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 w:before="60"/>
        <w:shd w:fill="163A5F"/>
        <w:ind w:left="173" w:right="173"/>
      </w:pPr>
      <w:r>
        <w:rPr>
          <w:rFonts w:ascii="Calibri" w:hAnsi="Calibri" w:eastAsia="Microsoft YaHei"/>
          <w:b/>
          <w:color w:val="FFFFFF"/>
          <w:sz w:val="18"/>
        </w:rPr>
        <w:t>RESEARCH MEMO  /  UNIPAT INTERVIEW ASSIGNMENT</w:t>
      </w:r>
    </w:p>
    <w:p>
      <w:pPr>
        <w:pStyle w:val="Title"/>
      </w:pPr>
      <w:r>
        <w:rPr>
          <w:rFonts w:ascii="Calibri" w:hAnsi="Calibri" w:eastAsia="Microsoft YaHei"/>
          <w:color w:val="163A5F"/>
          <w:sz w:val="48"/>
        </w:rPr>
        <w:t>ALE-style living benchmark</w:t>
      </w:r>
    </w:p>
    <w:p>
      <w:pPr>
        <w:spacing w:after="260"/>
      </w:pPr>
      <w:r>
        <w:rPr>
          <w:rFonts w:ascii="Calibri" w:hAnsi="Calibri" w:eastAsia="Microsoft YaHei"/>
          <w:b/>
          <w:color w:val="2E74B5"/>
          <w:sz w:val="30"/>
        </w:rPr>
        <w:t>Release architecture、污染控制与生命周期治理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9E2EC"/>
          <w:left w:val="single" w:sz="4" w:space="0" w:color="D9E2EC"/>
          <w:bottom w:val="single" w:sz="4" w:space="0" w:color="D9E2EC"/>
          <w:right w:val="single" w:sz="4" w:space="0" w:color="D9E2EC"/>
          <w:insideH w:val="single" w:sz="4" w:space="0" w:color="D9E2EC"/>
          <w:insideV w:val="single" w:sz="4" w:space="0" w:color="D9E2EC"/>
        </w:tblBorders>
      </w:tblPr>
      <w:tblGrid>
        <w:gridCol w:w="3120"/>
        <w:gridCol w:w="3120"/>
        <w:gridCol w:w="3120"/>
      </w:tblGrid>
      <w:tr>
        <w:tc>
          <w:tcPr>
            <w:tcW w:type="dxa" w:w="1440"/>
            <w:tcMar>
              <w:top w:w="80" w:type="dxa"/>
              <w:start w:w="110" w:type="dxa"/>
              <w:bottom w:w="80" w:type="dxa"/>
              <w:end w:w="110" w:type="dxa"/>
            </w:tcMar>
            <w:shd w:fill="F2F4F7"/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667085"/>
                <w:sz w:val="17"/>
              </w:rPr>
              <w:t>用途</w:t>
            </w:r>
          </w:p>
        </w:tc>
        <w:tc>
          <w:tcPr>
            <w:tcW w:type="dxa" w:w="6263"/>
            <w:tcMar>
              <w:top w:w="80" w:type="dxa"/>
              <w:start w:w="110" w:type="dxa"/>
              <w:bottom w:w="80" w:type="dxa"/>
              <w:end w:w="110" w:type="dxa"/>
            </w:tcMar>
            <w:shd w:fill="F2F4F7"/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667085"/>
                <w:sz w:val="17"/>
              </w:rPr>
              <w:t>UniPat 面试作业与 1,000-asset 生产方案</w:t>
            </w:r>
          </w:p>
        </w:tc>
        <w:tc>
          <w:tcPr>
            <w:tcW w:type="dxa" w:w="1655"/>
            <w:tcMar>
              <w:top w:w="80" w:type="dxa"/>
              <w:start w:w="110" w:type="dxa"/>
              <w:bottom w:w="80" w:type="dxa"/>
              <w:end w:w="110" w:type="dxa"/>
            </w:tcMar>
            <w:shd w:fill="F2F4F7"/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667085"/>
                <w:sz w:val="17"/>
              </w:rPr>
              <w:t>证据截止</w:t>
            </w:r>
          </w:p>
        </w:tc>
      </w:tr>
      <w:tr>
        <w:tc>
          <w:tcPr>
            <w:tcW w:type="dxa" w:w="1440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b w:val="0"/>
                <w:color w:val="243447"/>
                <w:sz w:val="17"/>
              </w:rPr>
              <w:t>2026-08-09</w:t>
            </w:r>
          </w:p>
        </w:tc>
        <w:tc>
          <w:tcPr>
            <w:tcW w:type="dxa" w:w="6263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243447"/>
                <w:sz w:val="17"/>
              </w:rPr>
              <w:t>ALE 基线：paper v2 · pinned GitHub · pinned HF</w:t>
            </w:r>
          </w:p>
        </w:tc>
        <w:tc>
          <w:tcPr>
            <w:tcW w:type="dxa" w:w="1655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b w:val="0"/>
                <w:color w:val="243447"/>
                <w:sz w:val="17"/>
              </w:rPr>
              <w:t>状态：研究建议 / pilot required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0" w:space="0" w:color="2E74B5"/>
          <w:left w:val="single" w:sz="10" w:space="0" w:color="2E74B5"/>
          <w:bottom w:val="single" w:sz="10" w:space="0" w:color="2E74B5"/>
          <w:right w:val="single" w:sz="10" w:space="0" w:color="2E74B5"/>
          <w:insideH w:val="single" w:sz="10" w:space="0" w:color="2E74B5"/>
          <w:insideV w:val="single" w:sz="10" w:space="0" w:color="2E74B5"/>
        </w:tblBorders>
      </w:tblPr>
      <w:tblGrid>
        <w:gridCol w:w="9360"/>
      </w:tblGrid>
      <w:tr>
        <w:tc>
          <w:tcPr>
            <w:tcW w:type="dxa" w:w="9360"/>
            <w:shd w:fill="EAF2F8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163A5F"/>
                <w:sz w:val="21"/>
              </w:rPr>
              <w:t>决策原则：</w:t>
            </w:r>
            <w:r>
              <w:rPr>
                <w:rFonts w:ascii="Calibri" w:hAnsi="Calibri" w:eastAsia="Microsoft YaHei"/>
                <w:b/>
                <w:color w:val="1F4D78"/>
                <w:sz w:val="20"/>
              </w:rPr>
              <w:t>[P]</w:t>
            </w:r>
            <w:r>
              <w:rPr>
                <w:rFonts w:ascii="Calibri" w:hAnsi="Calibri" w:eastAsia="Microsoft YaHei"/>
                <w:color w:val="163A5F"/>
                <w:sz w:val="21"/>
              </w:rPr>
              <w:t xml:space="preserve"> 先冻结用途、单位、访问、状态、版本和 pilot 变量，再决定任何 pool 比例；跨版本证据不足时，正式结论是 not comparable。</w:t>
            </w:r>
          </w:p>
        </w:tc>
      </w:tr>
    </w:tbl>
    <w:p>
      <w:pPr>
        <w:spacing w:before="200" w:after="0"/>
      </w:pPr>
      <w:r>
        <w:rPr>
          <w:rFonts w:ascii="Calibri" w:hAnsi="Calibri" w:eastAsia="Microsoft YaHei"/>
          <w:b/>
          <w:color w:val="667085"/>
          <w:sz w:val="16"/>
        </w:rPr>
        <w:t>EVIDENCE LABELS</w:t>
      </w:r>
    </w:p>
    <w:p>
      <w:pPr>
        <w:spacing w:after="160"/>
      </w:pPr>
      <w:r>
        <w:rPr>
          <w:rFonts w:ascii="Calibri" w:hAnsi="Calibri" w:eastAsia="Microsoft YaHei"/>
          <w:b/>
          <w:color w:val="26734D"/>
          <w:sz w:val="17"/>
        </w:rPr>
        <w:t>[E]</w:t>
      </w:r>
      <w:r>
        <w:rPr>
          <w:rFonts w:ascii="Calibri" w:hAnsi="Calibri" w:eastAsia="Microsoft YaHei"/>
          <w:color w:val="243447"/>
          <w:sz w:val="18"/>
        </w:rPr>
        <w:t xml:space="preserve"> 来源事实   </w:t>
      </w:r>
      <w:r>
        <w:rPr>
          <w:rFonts w:ascii="Calibri" w:hAnsi="Calibri" w:eastAsia="Microsoft YaHei"/>
          <w:b/>
          <w:color w:val="2E74B5"/>
          <w:sz w:val="17"/>
        </w:rPr>
        <w:t>[C]</w:t>
      </w:r>
      <w:r>
        <w:rPr>
          <w:rFonts w:ascii="Calibri" w:hAnsi="Calibri" w:eastAsia="Microsoft YaHei"/>
          <w:color w:val="243447"/>
          <w:sz w:val="18"/>
        </w:rPr>
        <w:t xml:space="preserve"> 来源主张   </w:t>
      </w:r>
      <w:r>
        <w:rPr>
          <w:rFonts w:ascii="Calibri" w:hAnsi="Calibri" w:eastAsia="Microsoft YaHei"/>
          <w:b/>
          <w:color w:val="B66A00"/>
          <w:sz w:val="17"/>
        </w:rPr>
        <w:t>[I]</w:t>
      </w:r>
      <w:r>
        <w:rPr>
          <w:rFonts w:ascii="Calibri" w:hAnsi="Calibri" w:eastAsia="Microsoft YaHei"/>
          <w:color w:val="243447"/>
          <w:sz w:val="18"/>
        </w:rPr>
        <w:t xml:space="preserve"> 研究者推断   </w:t>
      </w:r>
      <w:r>
        <w:rPr>
          <w:rFonts w:ascii="Calibri" w:hAnsi="Calibri" w:eastAsia="Microsoft YaHei"/>
          <w:b/>
          <w:color w:val="1F4D78"/>
          <w:sz w:val="17"/>
        </w:rPr>
        <w:t>[P]</w:t>
      </w:r>
      <w:r>
        <w:rPr>
          <w:rFonts w:ascii="Calibri" w:hAnsi="Calibri" w:eastAsia="Microsoft YaHei"/>
          <w:color w:val="243447"/>
          <w:sz w:val="18"/>
        </w:rPr>
        <w:t xml:space="preserve"> 项目建议   </w:t>
      </w:r>
      <w:r>
        <w:rPr>
          <w:rFonts w:ascii="Calibri" w:hAnsi="Calibri" w:eastAsia="Microsoft YaHei"/>
          <w:b/>
          <w:color w:val="B42318"/>
          <w:sz w:val="17"/>
        </w:rPr>
        <w:t>[V]</w:t>
      </w:r>
      <w:r>
        <w:rPr>
          <w:rFonts w:ascii="Calibri" w:hAnsi="Calibri" w:eastAsia="Microsoft YaHei"/>
          <w:color w:val="243447"/>
          <w:sz w:val="18"/>
        </w:rPr>
        <w:t xml:space="preserve"> 客户 / pilot 变量</w:t>
      </w:r>
    </w:p>
    <w:p>
      <w:pPr>
        <w:pStyle w:val="Heading1"/>
      </w:pPr>
      <w:r>
        <w:rPr>
          <w:rFonts w:ascii="Calibri" w:hAnsi="Calibri" w:eastAsia="Microsoft YaHei"/>
          <w:color w:val="2E74B5"/>
          <w:sz w:val="32"/>
        </w:rPr>
        <w:t>0. 阅读规则与证据边界</w:t>
      </w:r>
    </w:p>
    <w:p>
      <w:pPr>
        <w:widowControl/>
      </w:pPr>
      <w:r>
        <w:rPr>
          <w:rFonts w:ascii="Calibri" w:hAnsi="Calibri" w:eastAsia="Microsoft YaHei"/>
          <w:color w:val="243447"/>
          <w:sz w:val="22"/>
        </w:rPr>
        <w:t>全篇使用以下标签，避免把证据、主张和项目决策混在一起：</w:t>
      </w:r>
    </w:p>
    <w:p>
      <w:pPr>
        <w:pStyle w:val="ListBullet"/>
      </w:pPr>
      <w:r>
        <w:rPr>
          <w:rFonts w:ascii="Calibri" w:hAnsi="Calibri" w:eastAsia="Microsoft YaHei"/>
          <w:b/>
          <w:color w:val="243447"/>
          <w:sz w:val="21"/>
        </w:rPr>
        <w:t>[E] 来源事实：</w:t>
      </w:r>
      <w:r>
        <w:rPr>
          <w:rFonts w:ascii="Calibri" w:hAnsi="Calibri" w:eastAsia="Microsoft YaHei"/>
          <w:color w:val="243447"/>
          <w:sz w:val="21"/>
        </w:rPr>
        <w:t xml:space="preserve"> 来源直接支持且本研究可定位的事实。</w:t>
      </w:r>
    </w:p>
    <w:p>
      <w:pPr>
        <w:pStyle w:val="ListBullet"/>
      </w:pPr>
      <w:r>
        <w:rPr>
          <w:rFonts w:ascii="Calibri" w:hAnsi="Calibri" w:eastAsia="Microsoft YaHei"/>
          <w:b/>
          <w:color w:val="243447"/>
          <w:sz w:val="21"/>
        </w:rPr>
        <w:t>[C] 来源主张：</w:t>
      </w:r>
      <w:r>
        <w:rPr>
          <w:rFonts w:ascii="Calibri" w:hAnsi="Calibri" w:eastAsia="Microsoft YaHei"/>
          <w:color w:val="243447"/>
          <w:sz w:val="21"/>
        </w:rPr>
        <w:t xml:space="preserve"> 论文作者、机构或供应商的解释/宣称；不等同于本研究独立验证。</w:t>
      </w:r>
    </w:p>
    <w:p>
      <w:pPr>
        <w:pStyle w:val="ListBullet"/>
      </w:pPr>
      <w:r>
        <w:rPr>
          <w:rFonts w:ascii="Calibri" w:hAnsi="Calibri" w:eastAsia="Microsoft YaHei"/>
          <w:b/>
          <w:color w:val="243447"/>
          <w:sz w:val="21"/>
        </w:rPr>
        <w:t>[I] 研究者推断：</w:t>
      </w:r>
      <w:r>
        <w:rPr>
          <w:rFonts w:ascii="Calibri" w:hAnsi="Calibri" w:eastAsia="Microsoft YaHei"/>
          <w:color w:val="243447"/>
          <w:sz w:val="21"/>
        </w:rPr>
        <w:t xml:space="preserve"> 多源证据支持的项目语境推断，但不是来源原句或已验证的项目事实。</w:t>
      </w:r>
    </w:p>
    <w:p>
      <w:pPr>
        <w:pStyle w:val="ListBullet"/>
      </w:pPr>
      <w:r>
        <w:rPr>
          <w:rFonts w:ascii="Calibri" w:hAnsi="Calibri" w:eastAsia="Microsoft YaHei"/>
          <w:b/>
          <w:color w:val="243447"/>
          <w:sz w:val="21"/>
        </w:rPr>
        <w:t>[P] 项目建议：</w:t>
      </w:r>
      <w:r>
        <w:rPr>
          <w:rFonts w:ascii="Calibri" w:hAnsi="Calibri" w:eastAsia="Microsoft YaHei"/>
          <w:color w:val="243447"/>
          <w:sz w:val="21"/>
        </w:rPr>
        <w:t xml:space="preserve"> 可直接进入 ALE-style 1,000-asset 方案的治理规则。</w:t>
      </w:r>
    </w:p>
    <w:p>
      <w:pPr>
        <w:pStyle w:val="ListBullet"/>
      </w:pPr>
      <w:r>
        <w:rPr>
          <w:rFonts w:ascii="Calibri" w:hAnsi="Calibri" w:eastAsia="Microsoft YaHei"/>
          <w:b/>
          <w:color w:val="243447"/>
          <w:sz w:val="21"/>
        </w:rPr>
        <w:t>[V] 客户/pilot 变量：</w:t>
      </w:r>
      <w:r>
        <w:rPr>
          <w:rFonts w:ascii="Calibri" w:hAnsi="Calibri" w:eastAsia="Microsoft YaHei"/>
          <w:color w:val="243447"/>
          <w:sz w:val="21"/>
        </w:rPr>
        <w:t xml:space="preserve"> 必须由客户输入、合同、风险偏好或 pilot 测量确定。</w:t>
      </w:r>
    </w:p>
    <w:p>
      <w:pPr>
        <w:widowControl/>
      </w:pPr>
      <w:r>
        <w:rPr>
          <w:rFonts w:ascii="Calibri" w:hAnsi="Calibri" w:eastAsia="Microsoft YaHei"/>
          <w:color w:val="243447"/>
          <w:sz w:val="22"/>
        </w:rPr>
        <w:t>“Asset”在本报告中默认指</w:t>
      </w:r>
      <w:r>
        <w:rPr>
          <w:rFonts w:ascii="Calibri" w:hAnsi="Calibri" w:eastAsia="Microsoft YaHei"/>
          <w:b/>
          <w:color w:val="243447"/>
          <w:sz w:val="22"/>
        </w:rPr>
        <w:t>已定义身份的 concrete runnable instance</w:t>
      </w:r>
      <w:r>
        <w:rPr>
          <w:rFonts w:ascii="Calibri" w:hAnsi="Calibri" w:eastAsia="Microsoft YaHei"/>
          <w:color w:val="243447"/>
          <w:sz w:val="22"/>
        </w:rPr>
        <w:t>。Workflow family、workflow、concrete instance、submission、release 和 run 是不同单位；只有客户另行定义，1,000-asset 目标才可包含其他单位。</w:t>
      </w:r>
    </w:p>
    <w:p>
      <w:pPr>
        <w:pStyle w:val="Heading1"/>
        <w:pageBreakBefore/>
      </w:pPr>
      <w:r>
        <w:rPr>
          <w:rFonts w:ascii="Calibri" w:hAnsi="Calibri" w:eastAsia="Microsoft YaHei"/>
          <w:color w:val="2E74B5"/>
          <w:sz w:val="32"/>
        </w:rPr>
        <w:t>1. 核心结论</w:t>
      </w:r>
    </w:p>
    <w:p>
      <w:pPr>
        <w:pStyle w:val="ListNumber"/>
      </w:pPr>
      <w:r>
        <w:rPr>
          <w:rFonts w:ascii="Calibri" w:hAnsi="Calibri" w:eastAsia="Microsoft YaHei"/>
          <w:b/>
          <w:color w:val="243447"/>
          <w:sz w:val="21"/>
        </w:rPr>
        <w:t>[P] 把治理对象拆成五个正交轴，再提供六个业务视图。</w:t>
      </w:r>
      <w:r>
        <w:rPr>
          <w:rFonts w:ascii="Calibri" w:hAnsi="Calibri" w:eastAsia="Microsoft YaHei"/>
          <w:color w:val="243447"/>
          <w:sz w:val="21"/>
        </w:rPr>
        <w:t xml:space="preserve"> 原子记录分别是 asset lifecycle、pool purpose、access class、release membership、version/lineage；development/demo、restricted validation、private final、rotation reserve、training、retired archive 是业务用途/派生视图，不能塞进一个 </w:t>
      </w:r>
      <w:r>
        <w:rPr>
          <w:rFonts w:ascii="Consolas" w:hAnsi="Consolas" w:eastAsia="Microsoft YaHei"/>
          <w:color w:val="1F4D78"/>
          <w:sz w:val="19"/>
        </w:rPr>
        <w:t>status</w:t>
      </w:r>
      <w:r>
        <w:rPr>
          <w:rFonts w:ascii="Calibri" w:hAnsi="Calibri" w:eastAsia="Microsoft YaHei"/>
          <w:color w:val="243447"/>
          <w:sz w:val="21"/>
        </w:rPr>
        <w:t xml:space="preserve"> 字段。</w:t>
      </w:r>
    </w:p>
    <w:p>
      <w:pPr>
        <w:pStyle w:val="ListNumber"/>
      </w:pPr>
      <w:r>
        <w:rPr>
          <w:rFonts w:ascii="Calibri" w:hAnsi="Calibri" w:eastAsia="Microsoft YaHei"/>
          <w:b/>
          <w:color w:val="243447"/>
          <w:sz w:val="21"/>
        </w:rPr>
        <w:t>[P] 同一 workflow family 可以跨池，但必须重新实例化 attack surface。</w:t>
      </w:r>
      <w:r>
        <w:rPr>
          <w:rFonts w:ascii="Calibri" w:hAnsi="Calibri" w:eastAsia="Microsoft YaHei"/>
          <w:color w:val="243447"/>
          <w:sz w:val="21"/>
        </w:rPr>
        <w:t xml:space="preserve"> 只允许共享稳定的能力构念/工作流契约；concrete inputs、reference、hidden tests/secret seeds、environment state、外部 IDs、ACL 和 canary/copy IDs 不得直接复用。</w:t>
      </w:r>
    </w:p>
    <w:p>
      <w:pPr>
        <w:pStyle w:val="ListNumber"/>
      </w:pPr>
      <w:r>
        <w:rPr>
          <w:rFonts w:ascii="Calibri" w:hAnsi="Calibri" w:eastAsia="Microsoft YaHei"/>
          <w:b/>
          <w:color w:val="243447"/>
          <w:sz w:val="21"/>
        </w:rPr>
        <w:t>[P] Public subset 的主功能必须先由 intended decision 冻结。</w:t>
      </w:r>
      <w:r>
        <w:rPr>
          <w:rFonts w:ascii="Calibri" w:hAnsi="Calibri" w:eastAsia="Microsoft YaHei"/>
          <w:color w:val="243447"/>
          <w:sz w:val="21"/>
        </w:rPr>
        <w:t xml:space="preserve"> 若 adoption/integration 是主约束，它承担示例、开发、harness integration、复现；若监管/科学透明是主约束，它可主要承担公开审计或 representativeness check。无论哪种，representativeness 都必须验证，且 tuned public score 不是 unseen final evidence。</w:t>
      </w:r>
    </w:p>
    <w:p>
      <w:pPr>
        <w:pStyle w:val="ListNumber"/>
      </w:pPr>
      <w:r>
        <w:rPr>
          <w:rFonts w:ascii="Calibri" w:hAnsi="Calibri" w:eastAsia="Microsoft YaHei"/>
          <w:b/>
          <w:color w:val="243447"/>
          <w:sz w:val="21"/>
        </w:rPr>
        <w:t>[P] “保持 private”不是污染控制方案。</w:t>
      </w:r>
      <w:r>
        <w:rPr>
          <w:rFonts w:ascii="Calibri" w:hAnsi="Calibri" w:eastAsia="Microsoft YaHei"/>
          <w:color w:val="243447"/>
          <w:sz w:val="21"/>
        </w:rPr>
        <w:t xml:space="preserve"> Pretraining exposure、post-training optimization、public solution、near-duplicate、search-time contamination、reference/evaluator leakage、internal leakage、repeated-query hill climbing 是八条不同路径；需要身份、访问、服务端执行、反馈信息预算、日志、传感器、审计与 incident response 的组合。</w:t>
      </w:r>
    </w:p>
    <w:p>
      <w:pPr>
        <w:pStyle w:val="ListNumber"/>
      </w:pPr>
      <w:r>
        <w:rPr>
          <w:rFonts w:ascii="Calibri" w:hAnsi="Calibri" w:eastAsia="Microsoft YaHei"/>
          <w:b/>
          <w:color w:val="243447"/>
          <w:sz w:val="21"/>
        </w:rPr>
        <w:t>[P] Gating 和 evaluation-as-a-service 缩小直接暴露面，却增加 operator trust、集中式服务、日志和内部权限的新攻击面。</w:t>
      </w:r>
      <w:r>
        <w:rPr>
          <w:rFonts w:ascii="Calibri" w:hAnsi="Calibri" w:eastAsia="Microsoft YaHei"/>
          <w:color w:val="243447"/>
          <w:sz w:val="21"/>
        </w:rPr>
        <w:t xml:space="preserve"> Canary/watermark 只能作为检测/归因传感器；未触发不能证明没有污染。</w:t>
      </w:r>
    </w:p>
    <w:p>
      <w:pPr>
        <w:pStyle w:val="ListNumber"/>
      </w:pPr>
      <w:r>
        <w:rPr>
          <w:rFonts w:ascii="Calibri" w:hAnsi="Calibri" w:eastAsia="Microsoft YaHei"/>
          <w:b/>
          <w:color w:val="243447"/>
          <w:sz w:val="21"/>
        </w:rPr>
        <w:t>[P] 原子 lifecycle 只描述内容成熟度与资格。</w:t>
      </w:r>
      <w:r>
        <w:rPr>
          <w:rFonts w:ascii="Calibri" w:hAnsi="Calibri" w:eastAsia="Microsoft YaHei"/>
          <w:color w:val="243447"/>
          <w:sz w:val="21"/>
        </w:rPr>
        <w:t xml:space="preserve"> </w:t>
      </w:r>
      <w:r>
        <w:rPr>
          <w:rFonts w:ascii="Consolas" w:hAnsi="Consolas" w:eastAsia="Microsoft YaHei"/>
          <w:color w:val="1F4D78"/>
          <w:sz w:val="19"/>
        </w:rPr>
        <w:t>proposed → implemented → validated → accepted</w:t>
      </w:r>
      <w:r>
        <w:rPr>
          <w:rFonts w:ascii="Calibri" w:hAnsi="Calibri" w:eastAsia="Microsoft YaHei"/>
          <w:color w:val="243447"/>
          <w:sz w:val="21"/>
        </w:rPr>
        <w:t xml:space="preserve">；可信风险进入 </w:t>
      </w:r>
      <w:r>
        <w:rPr>
          <w:rFonts w:ascii="Consolas" w:hAnsi="Consolas" w:eastAsia="Microsoft YaHei"/>
          <w:color w:val="1F4D78"/>
          <w:sz w:val="19"/>
        </w:rPr>
        <w:t>quarantined</w:t>
      </w:r>
      <w:r>
        <w:rPr>
          <w:rFonts w:ascii="Calibri" w:hAnsi="Calibri" w:eastAsia="Microsoft YaHei"/>
          <w:color w:val="243447"/>
          <w:sz w:val="21"/>
        </w:rPr>
        <w:t>；</w:t>
      </w:r>
      <w:r>
        <w:rPr>
          <w:rFonts w:ascii="Consolas" w:hAnsi="Consolas" w:eastAsia="Microsoft YaHei"/>
          <w:color w:val="1F4D78"/>
          <w:sz w:val="19"/>
        </w:rPr>
        <w:t>repaired</w:t>
      </w:r>
      <w:r>
        <w:rPr>
          <w:rFonts w:ascii="Calibri" w:hAnsi="Calibri" w:eastAsia="Microsoft YaHei"/>
          <w:color w:val="243447"/>
          <w:sz w:val="21"/>
        </w:rPr>
        <w:t xml:space="preserve"> 表示新 version 等待重新验证；不可修复进入 </w:t>
      </w:r>
      <w:r>
        <w:rPr>
          <w:rFonts w:ascii="Consolas" w:hAnsi="Consolas" w:eastAsia="Microsoft YaHei"/>
          <w:color w:val="1F4D78"/>
          <w:sz w:val="19"/>
        </w:rPr>
        <w:t>retired</w:t>
      </w:r>
      <w:r>
        <w:rPr>
          <w:rFonts w:ascii="Calibri" w:hAnsi="Calibri" w:eastAsia="Microsoft YaHei"/>
          <w:color w:val="243447"/>
          <w:sz w:val="21"/>
        </w:rPr>
        <w:t>。</w:t>
      </w:r>
      <w:r>
        <w:rPr>
          <w:rFonts w:ascii="Consolas" w:hAnsi="Consolas" w:eastAsia="Microsoft YaHei"/>
          <w:color w:val="1F4D78"/>
          <w:sz w:val="19"/>
        </w:rPr>
        <w:t>active-public</w:t>
      </w:r>
      <w:r>
        <w:rPr>
          <w:rFonts w:ascii="Calibri" w:hAnsi="Calibri" w:eastAsia="Microsoft YaHei"/>
          <w:color w:val="243447"/>
          <w:sz w:val="21"/>
        </w:rPr>
        <w:t>、</w:t>
      </w:r>
      <w:r>
        <w:rPr>
          <w:rFonts w:ascii="Consolas" w:hAnsi="Consolas" w:eastAsia="Microsoft YaHei"/>
          <w:color w:val="1F4D78"/>
          <w:sz w:val="19"/>
        </w:rPr>
        <w:t>active-private</w:t>
      </w:r>
      <w:r>
        <w:rPr>
          <w:rFonts w:ascii="Calibri" w:hAnsi="Calibri" w:eastAsia="Microsoft YaHei"/>
          <w:color w:val="243447"/>
          <w:sz w:val="21"/>
        </w:rPr>
        <w:t>、</w:t>
      </w:r>
      <w:r>
        <w:rPr>
          <w:rFonts w:ascii="Consolas" w:hAnsi="Consolas" w:eastAsia="Microsoft YaHei"/>
          <w:color w:val="1F4D78"/>
          <w:sz w:val="19"/>
        </w:rPr>
        <w:t>rotation</w:t>
      </w:r>
      <w:r>
        <w:rPr>
          <w:rFonts w:ascii="Calibri" w:hAnsi="Calibri" w:eastAsia="Microsoft YaHei"/>
          <w:color w:val="243447"/>
          <w:sz w:val="21"/>
        </w:rPr>
        <w:t xml:space="preserve"> 和 </w:t>
      </w:r>
      <w:r>
        <w:rPr>
          <w:rFonts w:ascii="Consolas" w:hAnsi="Consolas" w:eastAsia="Microsoft YaHei"/>
          <w:color w:val="1F4D78"/>
          <w:sz w:val="19"/>
        </w:rPr>
        <w:t>replaced</w:t>
      </w:r>
      <w:r>
        <w:rPr>
          <w:rFonts w:ascii="Calibri" w:hAnsi="Calibri" w:eastAsia="Microsoft YaHei"/>
          <w:color w:val="243447"/>
          <w:sz w:val="21"/>
        </w:rPr>
        <w:t xml:space="preserve"> 是由多轴组合计算的派生视图，不是 lifecycle 原子状态。</w:t>
      </w:r>
    </w:p>
    <w:p>
      <w:pPr>
        <w:pStyle w:val="ListNumber"/>
      </w:pPr>
      <w:r>
        <w:rPr>
          <w:rFonts w:ascii="Calibri" w:hAnsi="Calibri" w:eastAsia="Microsoft YaHei"/>
          <w:b/>
          <w:color w:val="243447"/>
          <w:sz w:val="21"/>
        </w:rPr>
        <w:t>[P] Quarantine 是保全证据的暂停状态，不是有罪判定；repair 也不是直接复活。</w:t>
      </w:r>
      <w:r>
        <w:rPr>
          <w:rFonts w:ascii="Calibri" w:hAnsi="Calibri" w:eastAsia="Microsoft YaHei"/>
          <w:color w:val="243447"/>
          <w:sz w:val="21"/>
        </w:rPr>
        <w:t xml:space="preserve"> 对旧 version、旧分数和旧访问状态采用 append-only 记录，严禁静默覆写。</w:t>
      </w:r>
    </w:p>
    <w:p>
      <w:pPr>
        <w:pStyle w:val="ListNumber"/>
      </w:pPr>
      <w:r>
        <w:rPr>
          <w:rFonts w:ascii="Calibri" w:hAnsi="Calibri" w:eastAsia="Microsoft YaHei"/>
          <w:b/>
          <w:color w:val="243447"/>
          <w:sz w:val="21"/>
        </w:rPr>
        <w:t>[P] Refresh 恢复 freshness，却不自动保留可比性。</w:t>
      </w:r>
      <w:r>
        <w:rPr>
          <w:rFonts w:ascii="Calibri" w:hAnsi="Calibri" w:eastAsia="Microsoft YaHei"/>
          <w:color w:val="243447"/>
          <w:sz w:val="21"/>
        </w:rPr>
        <w:t xml:space="preserve"> 跨版本只允许三种结果：native release score、带假设和不确定性的 bridge-linked estimate、或 </w:t>
      </w:r>
      <w:r>
        <w:rPr>
          <w:rFonts w:ascii="Consolas" w:hAnsi="Consolas" w:eastAsia="Microsoft YaHei"/>
          <w:color w:val="1F4D78"/>
          <w:sz w:val="19"/>
        </w:rPr>
        <w:t>not comparable</w:t>
      </w:r>
      <w:r>
        <w:rPr>
          <w:rFonts w:ascii="Calibri" w:hAnsi="Calibri" w:eastAsia="Microsoft YaHei"/>
          <w:color w:val="243447"/>
          <w:sz w:val="21"/>
        </w:rPr>
        <w:t>。</w:t>
      </w:r>
    </w:p>
    <w:p>
      <w:pPr>
        <w:pStyle w:val="ListNumber"/>
      </w:pPr>
      <w:r>
        <w:rPr>
          <w:rFonts w:ascii="Calibri" w:hAnsi="Calibri" w:eastAsia="Microsoft YaHei"/>
          <w:b/>
          <w:color w:val="243447"/>
          <w:sz w:val="21"/>
        </w:rPr>
        <w:t>[P] Leaderboard 分成 historical snapshot、current live、bridge analysis。</w:t>
      </w:r>
      <w:r>
        <w:rPr>
          <w:rFonts w:ascii="Calibri" w:hAnsi="Calibri" w:eastAsia="Microsoft YaHei"/>
          <w:color w:val="243447"/>
          <w:sz w:val="21"/>
        </w:rPr>
        <w:t xml:space="preserve"> </w:t>
      </w:r>
      <w:r>
        <w:rPr>
          <w:rFonts w:ascii="Consolas" w:hAnsi="Consolas" w:eastAsia="Microsoft YaHei"/>
          <w:color w:val="1F4D78"/>
          <w:sz w:val="19"/>
        </w:rPr>
        <w:t>submission_pause</w:t>
      </w:r>
      <w:r>
        <w:rPr>
          <w:rFonts w:ascii="Calibri" w:hAnsi="Calibri" w:eastAsia="Microsoft YaHei"/>
          <w:color w:val="243447"/>
          <w:sz w:val="21"/>
        </w:rPr>
        <w:t xml:space="preserve"> 是事故动作，不再与 frozen snapshot 混名；历史 regrade 只增加 </w:t>
      </w:r>
      <w:r>
        <w:rPr>
          <w:rFonts w:ascii="Consolas" w:hAnsi="Consolas" w:eastAsia="Microsoft YaHei"/>
          <w:color w:val="1F4D78"/>
          <w:sz w:val="19"/>
        </w:rPr>
        <w:t>corrected_score_view</w:t>
      </w:r>
      <w:r>
        <w:rPr>
          <w:rFonts w:ascii="Calibri" w:hAnsi="Calibri" w:eastAsia="Microsoft YaHei"/>
          <w:color w:val="243447"/>
          <w:sz w:val="21"/>
        </w:rPr>
        <w:t>，alternate metric 与 bridge estimate 另列；不覆盖 original。泄漏不能靠 regrade 恢复 unseen validity。</w:t>
      </w:r>
    </w:p>
    <w:p>
      <w:pPr>
        <w:pStyle w:val="ListNumber"/>
      </w:pPr>
      <w:r>
        <w:rPr>
          <w:rFonts w:ascii="Calibri" w:hAnsi="Calibri" w:eastAsia="Microsoft YaHei"/>
          <w:b/>
          <w:color w:val="243447"/>
          <w:sz w:val="21"/>
        </w:rPr>
        <w:t>[V] Public/private/rotation 的数量与比例没有公开的通用答案。</w:t>
      </w:r>
      <w:r>
        <w:rPr>
          <w:rFonts w:ascii="Calibri" w:hAnsi="Calibri" w:eastAsia="Microsoft YaHei"/>
          <w:color w:val="243447"/>
          <w:sz w:val="21"/>
        </w:rPr>
        <w:t xml:space="preserve"> 需要由决策损失、覆盖要求、运行方差、反馈强度、暴露半衰期、资产生成能力、维护/替换负担、权利/安全约束和 reserve burn rate 的 pilot 值共同决定。</w:t>
      </w:r>
    </w:p>
    <w:p>
      <w:pPr>
        <w:pStyle w:val="Heading1"/>
        <w:pageBreakBefore/>
      </w:pPr>
      <w:r>
        <w:rPr>
          <w:rFonts w:ascii="Calibri" w:hAnsi="Calibri" w:eastAsia="Microsoft YaHei"/>
          <w:color w:val="2E74B5"/>
          <w:sz w:val="32"/>
        </w:rPr>
        <w:t>2. Claim-level 三类来源 ledger</w:t>
      </w:r>
    </w:p>
    <w:p>
      <w:pPr>
        <w:widowControl/>
      </w:pPr>
      <w:r>
        <w:rPr>
          <w:rFonts w:ascii="Calibri" w:hAnsi="Calibri" w:eastAsia="Microsoft YaHei"/>
          <w:b/>
          <w:color w:val="243447"/>
          <w:sz w:val="22"/>
        </w:rPr>
        <w:t>审计规则：</w:t>
      </w:r>
      <w:r>
        <w:rPr>
          <w:rFonts w:ascii="Calibri" w:hAnsi="Calibri" w:eastAsia="Microsoft YaHei"/>
          <w:color w:val="243447"/>
          <w:sz w:val="22"/>
        </w:rPr>
        <w:t xml:space="preserve"> 同一 canonical project 的 paper/code/data 只算一个 source family；三个栏目分别支持 recommendation 的不同组成部分，不能说任一来源“证明了整个项目 policy”。Exact ontology/state 名称始终是 </w:t>
      </w:r>
      <w:r>
        <w:rPr>
          <w:rFonts w:ascii="Calibri" w:hAnsi="Calibri" w:eastAsia="Microsoft YaHei"/>
          <w:b/>
          <w:color w:val="1F4D78"/>
          <w:sz w:val="21"/>
        </w:rPr>
        <w:t>[P]</w:t>
      </w:r>
      <w:r>
        <w:rPr>
          <w:rFonts w:ascii="Calibri" w:hAnsi="Calibri" w:eastAsia="Microsoft YaHei"/>
          <w:color w:val="243447"/>
          <w:sz w:val="22"/>
        </w:rPr>
        <w:t xml:space="preserve">，不是来源事实。完整摘要见 claim ledger；可机械连接的权威表是 claim-source join，其每行含 </w:t>
      </w:r>
      <w:r>
        <w:rPr>
          <w:rFonts w:ascii="Consolas" w:hAnsi="Consolas" w:eastAsia="Microsoft YaHei"/>
          <w:color w:val="1F4D78"/>
          <w:sz w:val="20"/>
        </w:rPr>
        <w:t>source_family_id</w:t>
      </w:r>
      <w:r>
        <w:rPr>
          <w:rFonts w:ascii="Calibri" w:hAnsi="Calibri" w:eastAsia="Microsoft YaHei"/>
          <w:color w:val="243447"/>
          <w:sz w:val="22"/>
        </w:rPr>
        <w:t xml:space="preserve"> 外键、source category、institution family、evidence role、evidence card、locator type、exact locator、supported subclause 和 boundary。</w:t>
      </w:r>
      <w:r>
        <w:rPr>
          <w:rFonts w:ascii="Consolas" w:hAnsi="Consolas" w:eastAsia="Microsoft YaHei"/>
          <w:color w:val="1F4D78"/>
          <w:sz w:val="20"/>
        </w:rPr>
        <w:t>validate_claim_join.py</w:t>
      </w:r>
      <w:r>
        <w:rPr>
          <w:rFonts w:ascii="Calibri" w:hAnsi="Calibri" w:eastAsia="Microsoft YaHei"/>
          <w:color w:val="243447"/>
          <w:sz w:val="22"/>
        </w:rPr>
        <w:t xml:space="preserve"> 检查 orphan/mismatch、三类来源、机构独立性、来源类型与定位格式、反证与边界。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0D5DD"/>
          <w:left w:val="single" w:sz="6" w:space="0" w:color="D0D5DD"/>
          <w:bottom w:val="single" w:sz="6" w:space="0" w:color="D0D5DD"/>
          <w:right w:val="single" w:sz="6" w:space="0" w:color="D0D5DD"/>
          <w:insideH w:val="single" w:sz="6" w:space="0" w:color="D0D5DD"/>
          <w:insideV w:val="single" w:sz="6" w:space="0" w:color="D0D5DD"/>
        </w:tblBorders>
      </w:tblPr>
      <w:tblGrid>
        <w:gridCol w:w="1560"/>
        <w:gridCol w:w="1560"/>
        <w:gridCol w:w="1560"/>
        <w:gridCol w:w="1560"/>
        <w:gridCol w:w="1560"/>
        <w:gridCol w:w="1560"/>
      </w:tblGrid>
      <w:tr>
        <w:trPr>
          <w:cantSplit/>
          <w:tblHeader w:val="true"/>
        </w:trPr>
        <w:tc>
          <w:tcPr>
            <w:tcW w:type="dxa" w:w="140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163A5F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b/>
                <w:color w:val="FFFFFF"/>
                <w:sz w:val="15"/>
              </w:rPr>
              <w:t>Claim</w:t>
            </w:r>
          </w:p>
        </w:tc>
        <w:tc>
          <w:tcPr>
            <w:tcW w:type="dxa" w:w="159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163A5F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b/>
                <w:color w:val="FFFFFF"/>
                <w:sz w:val="15"/>
              </w:rPr>
              <w:t>Role</w:t>
            </w:r>
          </w:p>
        </w:tc>
        <w:tc>
          <w:tcPr>
            <w:tcW w:type="dxa" w:w="159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163A5F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b/>
                <w:color w:val="FFFFFF"/>
                <w:sz w:val="15"/>
              </w:rPr>
              <w:t>Benchmark / operational family</w:t>
            </w:r>
          </w:p>
        </w:tc>
        <w:tc>
          <w:tcPr>
            <w:tcW w:type="dxa" w:w="159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163A5F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b/>
                <w:color w:val="FFFFFF"/>
                <w:sz w:val="15"/>
              </w:rPr>
              <w:t>Government / standard family</w:t>
            </w:r>
          </w:p>
        </w:tc>
        <w:tc>
          <w:tcPr>
            <w:tcW w:type="dxa" w:w="159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163A5F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b/>
                <w:color w:val="FFFFFF"/>
                <w:sz w:val="15"/>
              </w:rPr>
              <w:t>Independent method / audit family</w:t>
            </w:r>
          </w:p>
        </w:tc>
        <w:tc>
          <w:tcPr>
            <w:tcW w:type="dxa" w:w="159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163A5F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b/>
                <w:color w:val="FFFFFF"/>
                <w:sz w:val="15"/>
              </w:rPr>
              <w:t>结论强度与边界</w:t>
            </w:r>
          </w:p>
        </w:tc>
      </w:tr>
      <w:tr>
        <w:trPr>
          <w:cantSplit/>
        </w:trPr>
        <w:tc>
          <w:tcPr>
            <w:tcW w:type="dxa" w:w="140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5"/>
              </w:rPr>
              <w:t>CL01 五轴 registry，derived active views</w:t>
            </w:r>
          </w:p>
        </w:tc>
        <w:tc>
          <w:tcPr>
            <w:tcW w:type="dxa" w:w="159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5"/>
              </w:rPr>
              <w:t>P</w:t>
            </w:r>
          </w:p>
        </w:tc>
        <w:tc>
          <w:tcPr>
            <w:tcW w:type="dxa" w:w="159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5"/>
              </w:rPr>
              <w:t>ALE official family 显示 paper/code/data/run 是不同对象</w:t>
            </w:r>
          </w:p>
        </w:tc>
        <w:tc>
          <w:tcPr>
            <w:tcW w:type="dxa" w:w="159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5"/>
              </w:rPr>
              <w:t>NIST AI 800-2 精确版本/log；W3C PROV entity/derivation</w:t>
            </w:r>
          </w:p>
        </w:tc>
        <w:tc>
          <w:tcPr>
            <w:tcW w:type="dxa" w:w="159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5"/>
              </w:rPr>
              <w:t>UTBoost 显示 grader/version 变化改变 score/rank</w:t>
            </w:r>
          </w:p>
        </w:tc>
        <w:tc>
          <w:tcPr>
            <w:tcW w:type="dxa" w:w="159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5"/>
              </w:rPr>
              <w:t>三类支持“必须分离和追溯”；五轴 enum 是本项目 ontology</w:t>
            </w:r>
          </w:p>
        </w:tc>
      </w:tr>
      <w:tr>
        <w:trPr>
          <w:cantSplit/>
        </w:trPr>
        <w:tc>
          <w:tcPr>
            <w:tcW w:type="dxa" w:w="140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5"/>
              </w:rPr>
              <w:t>CL02 Public 主功能需按 intended decision 冻结；tuned public 非 unseen</w:t>
            </w:r>
          </w:p>
        </w:tc>
        <w:tc>
          <w:tcPr>
            <w:tcW w:type="dxa" w:w="159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5"/>
              </w:rPr>
              <w:t>P</w:t>
            </w:r>
          </w:p>
        </w:tc>
        <w:tc>
          <w:tcPr>
            <w:tcW w:type="dxa" w:w="159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5"/>
              </w:rPr>
              <w:t>ALE/MMLU-CF/公开 benchmark 显示 public development 与 closed test 模式</w:t>
            </w:r>
          </w:p>
        </w:tc>
        <w:tc>
          <w:tcPr>
            <w:tcW w:type="dxa" w:w="159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5"/>
              </w:rPr>
              <w:t>NIST TREC/pooling 研究支持 sampling/representativeness 需验证</w:t>
            </w:r>
          </w:p>
        </w:tc>
        <w:tc>
          <w:tcPr>
            <w:tcW w:type="dxa" w:w="159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5"/>
              </w:rPr>
              <w:t>Reusable Holdout/Ladder 支持 adaptive feedback 风险</w:t>
            </w:r>
          </w:p>
        </w:tc>
        <w:tc>
          <w:tcPr>
            <w:tcW w:type="dxa" w:w="159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5"/>
              </w:rPr>
              <w:t>三类支持边界；哪个功能“第一”是 V，不是通用事实</w:t>
            </w:r>
          </w:p>
        </w:tc>
      </w:tr>
      <w:tr>
        <w:trPr>
          <w:cantSplit/>
        </w:trPr>
        <w:tc>
          <w:tcPr>
            <w:tcW w:type="dxa" w:w="140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5"/>
              </w:rPr>
              <w:t>CL03 Family 可跨池，score-bearing concrete/secret surface 不复用</w:t>
            </w:r>
          </w:p>
        </w:tc>
        <w:tc>
          <w:tcPr>
            <w:tcW w:type="dxa" w:w="159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5"/>
              </w:rPr>
              <w:t>P</w:t>
            </w:r>
          </w:p>
        </w:tc>
        <w:tc>
          <w:tcPr>
            <w:tcW w:type="dxa" w:w="159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5"/>
              </w:rPr>
              <w:t>ALE official family 支持 hidden reference 与 distinct instances</w:t>
            </w:r>
          </w:p>
        </w:tc>
        <w:tc>
          <w:tcPr>
            <w:tcW w:type="dxa" w:w="159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5"/>
              </w:rPr>
              <w:t>NIST 800-171/WIPO 支持 least privilege/need-to-know/copy tracking</w:t>
            </w:r>
          </w:p>
        </w:tc>
        <w:tc>
          <w:tcPr>
            <w:tcW w:type="dxa" w:w="159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5"/>
              </w:rPr>
              <w:t>Yang et al. 支持 paraphrase/translation 绕过去重</w:t>
            </w:r>
          </w:p>
        </w:tc>
        <w:tc>
          <w:tcPr>
            <w:tcW w:type="dxa" w:w="159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5"/>
              </w:rPr>
              <w:t>各源只支持 input/reference/access 子命题；跨模态 gate 需 pilot</w:t>
            </w:r>
          </w:p>
        </w:tc>
      </w:tr>
      <w:tr>
        <w:trPr>
          <w:cantSplit/>
        </w:trPr>
        <w:tc>
          <w:tcPr>
            <w:tcW w:type="dxa" w:w="140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5"/>
              </w:rPr>
              <w:t>CL04 Private/EaaS 必须叠加 feedback、logging、audit</w:t>
            </w:r>
          </w:p>
        </w:tc>
        <w:tc>
          <w:tcPr>
            <w:tcW w:type="dxa" w:w="159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5"/>
              </w:rPr>
              <w:t>P</w:t>
            </w:r>
          </w:p>
        </w:tc>
        <w:tc>
          <w:tcPr>
            <w:tcW w:type="dxa" w:w="159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5"/>
              </w:rPr>
              <w:t>Codabench/Kaggle 展示 gated/phased service practice</w:t>
            </w:r>
          </w:p>
        </w:tc>
        <w:tc>
          <w:tcPr>
            <w:tcW w:type="dxa" w:w="159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5"/>
              </w:rPr>
              <w:t>NIST 800-171 + W3C 支持权限、audit、provenance</w:t>
            </w:r>
          </w:p>
        </w:tc>
        <w:tc>
          <w:tcPr>
            <w:tcW w:type="dxa" w:w="159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5"/>
              </w:rPr>
              <w:t>Reusable Holdout + Shaky Ladder 支持 adaptive attack</w:t>
            </w:r>
          </w:p>
        </w:tc>
        <w:tc>
          <w:tcPr>
            <w:tcW w:type="dxa" w:w="159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5"/>
              </w:rPr>
              <w:t>可支持 defense-in-depth；不提供 quota/delay</w:t>
            </w:r>
          </w:p>
        </w:tc>
      </w:tr>
      <w:tr>
        <w:trPr>
          <w:cantSplit/>
        </w:trPr>
        <w:tc>
          <w:tcPr>
            <w:tcW w:type="dxa" w:w="140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5"/>
              </w:rPr>
              <w:t>CL05 Marker/detector 只是 sensor，不是 clean certificate</w:t>
            </w:r>
          </w:p>
        </w:tc>
        <w:tc>
          <w:tcPr>
            <w:tcW w:type="dxa" w:w="159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5"/>
              </w:rPr>
              <w:t>P</w:t>
            </w:r>
          </w:p>
        </w:tc>
        <w:tc>
          <w:tcPr>
            <w:tcW w:type="dxa" w:w="159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5"/>
              </w:rPr>
              <w:t>BIG-bench official canary 是 exclusion-notice 实践</w:t>
            </w:r>
          </w:p>
        </w:tc>
        <w:tc>
          <w:tcPr>
            <w:tcW w:type="dxa" w:w="159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5"/>
              </w:rPr>
              <w:t>WIPO 支持 copy tracking/attribution，不支持 clean claim</w:t>
            </w:r>
          </w:p>
        </w:tc>
        <w:tc>
          <w:tcPr>
            <w:tcW w:type="dxa" w:w="159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5"/>
              </w:rPr>
              <w:t>Watermark methods + Duan MIA failure evidence</w:t>
            </w:r>
          </w:p>
        </w:tc>
        <w:tc>
          <w:tcPr>
            <w:tcW w:type="dxa" w:w="159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5"/>
              </w:rPr>
              <w:t>三类共同限定用途；具体 power/FPR/FNR 为 V</w:t>
            </w:r>
          </w:p>
        </w:tc>
      </w:tr>
      <w:tr>
        <w:trPr>
          <w:cantSplit/>
        </w:trPr>
        <w:tc>
          <w:tcPr>
            <w:tcW w:type="dxa" w:w="140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5"/>
              </w:rPr>
              <w:t>CL06 Quarantine 保全证据；repair 新版本再验证</w:t>
            </w:r>
          </w:p>
        </w:tc>
        <w:tc>
          <w:tcPr>
            <w:tcW w:type="dxa" w:w="159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5"/>
              </w:rPr>
              <w:t>P</w:t>
            </w:r>
          </w:p>
        </w:tc>
        <w:tc>
          <w:tcPr>
            <w:tcW w:type="dxa" w:w="159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5"/>
              </w:rPr>
              <w:t>ALE/SWE benchmark repair/retirement 是 operational cases</w:t>
            </w:r>
          </w:p>
        </w:tc>
        <w:tc>
          <w:tcPr>
            <w:tcW w:type="dxa" w:w="159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5"/>
              </w:rPr>
              <w:t>NIST AI RMF/SP 800-61r3 支持 contain/recover/improve</w:t>
            </w:r>
          </w:p>
        </w:tc>
        <w:tc>
          <w:tcPr>
            <w:tcW w:type="dxa" w:w="159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5"/>
              </w:rPr>
              <w:t>W3C provenance + UTBoost grader audit</w:t>
            </w:r>
          </w:p>
        </w:tc>
        <w:tc>
          <w:tcPr>
            <w:tcW w:type="dxa" w:w="159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5"/>
              </w:rPr>
              <w:t>Incident流程可迁移；score treatment 为项目政策</w:t>
            </w:r>
          </w:p>
        </w:tc>
      </w:tr>
      <w:tr>
        <w:trPr>
          <w:cantSplit/>
        </w:trPr>
        <w:tc>
          <w:tcPr>
            <w:tcW w:type="dxa" w:w="140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5"/>
              </w:rPr>
              <w:t>CL07 泄漏不能靠 regrade 恢复 unseen validity</w:t>
            </w:r>
          </w:p>
        </w:tc>
        <w:tc>
          <w:tcPr>
            <w:tcW w:type="dxa" w:w="159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5"/>
              </w:rPr>
              <w:t>P</w:t>
            </w:r>
          </w:p>
        </w:tc>
        <w:tc>
          <w:tcPr>
            <w:tcW w:type="dxa" w:w="159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5"/>
              </w:rPr>
              <w:t>ALE hidden-reference design/retirement cases表明 secrecy 是解释前提</w:t>
            </w:r>
          </w:p>
        </w:tc>
        <w:tc>
          <w:tcPr>
            <w:tcW w:type="dxa" w:w="159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5"/>
              </w:rPr>
              <w:t>NIST incident guidance支持限定 scope/containment</w:t>
            </w:r>
          </w:p>
        </w:tc>
        <w:tc>
          <w:tcPr>
            <w:tcW w:type="dxa" w:w="159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5"/>
              </w:rPr>
              <w:t>Controlled contamination、near-duplicate 与 grader audits支持条件效应</w:t>
            </w:r>
          </w:p>
        </w:tc>
        <w:tc>
          <w:tcPr>
            <w:tcW w:type="dxa" w:w="159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5"/>
              </w:rPr>
              <w:t>这是三类证据的保守综合；受影响 lineage/window 要 incident-specific</w:t>
            </w:r>
          </w:p>
        </w:tc>
      </w:tr>
      <w:tr>
        <w:trPr>
          <w:cantSplit/>
        </w:trPr>
        <w:tc>
          <w:tcPr>
            <w:tcW w:type="dxa" w:w="140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5"/>
              </w:rPr>
              <w:t>CL08 Refresh 不自动保留跨版可比性</w:t>
            </w:r>
          </w:p>
        </w:tc>
        <w:tc>
          <w:tcPr>
            <w:tcW w:type="dxa" w:w="159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5"/>
              </w:rPr>
              <w:t>P</w:t>
            </w:r>
          </w:p>
        </w:tc>
        <w:tc>
          <w:tcPr>
            <w:tcW w:type="dxa" w:w="159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5"/>
              </w:rPr>
              <w:t>Dynabench/LiveBench/SWE-rebench rolling practices；Dynabench提示不同比分</w:t>
            </w:r>
          </w:p>
        </w:tc>
        <w:tc>
          <w:tcPr>
            <w:tcW w:type="dxa" w:w="159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5"/>
              </w:rPr>
              <w:t>NCES/Testing Standards/PISA 要求 linking/invariance/error</w:t>
            </w:r>
          </w:p>
        </w:tc>
        <w:tc>
          <w:tcPr>
            <w:tcW w:type="dxa" w:w="159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5"/>
              </w:rPr>
              <w:t>UTBoost 显示 regrade rank 变化；dynamic theory给出 stall反证</w:t>
            </w:r>
          </w:p>
        </w:tc>
        <w:tc>
          <w:tcPr>
            <w:tcW w:type="dxa" w:w="159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5"/>
              </w:rPr>
              <w:t>支持 conditional bridge；不能宣称严格 equating</w:t>
            </w:r>
          </w:p>
        </w:tc>
      </w:tr>
      <w:tr>
        <w:trPr>
          <w:cantSplit/>
        </w:trPr>
        <w:tc>
          <w:tcPr>
            <w:tcW w:type="dxa" w:w="140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5"/>
              </w:rPr>
              <w:t>CL09 Historical/current/bridge 三视图，original 不覆写</w:t>
            </w:r>
          </w:p>
        </w:tc>
        <w:tc>
          <w:tcPr>
            <w:tcW w:type="dxa" w:w="159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5"/>
              </w:rPr>
              <w:t>P</w:t>
            </w:r>
          </w:p>
        </w:tc>
        <w:tc>
          <w:tcPr>
            <w:tcW w:type="dxa" w:w="159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5"/>
              </w:rPr>
              <w:t>SWE-bench-Live frozen/live 为 operational precedent</w:t>
            </w:r>
          </w:p>
        </w:tc>
        <w:tc>
          <w:tcPr>
            <w:tcW w:type="dxa" w:w="159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5"/>
              </w:rPr>
              <w:t>NIST AI 800-2 + W3C 支持版本、日志、派生</w:t>
            </w:r>
          </w:p>
        </w:tc>
        <w:tc>
          <w:tcPr>
            <w:tcW w:type="dxa" w:w="159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5"/>
              </w:rPr>
              <w:t>NCES/testing + UTBoost 支持新 view/警告</w:t>
            </w:r>
          </w:p>
        </w:tc>
        <w:tc>
          <w:tcPr>
            <w:tcW w:type="dxa" w:w="159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5"/>
              </w:rPr>
              <w:t>视图命名与 priority 是 policy；coverage 不全不重排</w:t>
            </w:r>
          </w:p>
        </w:tc>
      </w:tr>
      <w:tr>
        <w:trPr>
          <w:cantSplit/>
        </w:trPr>
        <w:tc>
          <w:tcPr>
            <w:tcW w:type="dxa" w:w="140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5"/>
              </w:rPr>
              <w:t>CL10 Pool allocation 由客户约束与 pilot measurement 决定</w:t>
            </w:r>
          </w:p>
        </w:tc>
        <w:tc>
          <w:tcPr>
            <w:tcW w:type="dxa" w:w="159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5"/>
              </w:rPr>
              <w:t>P/V</w:t>
            </w:r>
          </w:p>
        </w:tc>
        <w:tc>
          <w:tcPr>
            <w:tcW w:type="dxa" w:w="159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5"/>
              </w:rPr>
              <w:t>ALE counts 是特定 snapshot/单位，不能当比例</w:t>
            </w:r>
          </w:p>
        </w:tc>
        <w:tc>
          <w:tcPr>
            <w:tcW w:type="dxa" w:w="159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5"/>
              </w:rPr>
              <w:t>NIST AI 800-3 支持 sampling/randomness/uncertainty建模</w:t>
            </w:r>
          </w:p>
        </w:tc>
        <w:tc>
          <w:tcPr>
            <w:tcW w:type="dxa" w:w="159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5"/>
              </w:rPr>
              <w:t>Adaptive evaluation与dynamic benchmark显示反馈/refresh trade-offs</w:t>
            </w:r>
          </w:p>
        </w:tc>
        <w:tc>
          <w:tcPr>
            <w:tcW w:type="dxa" w:w="159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5"/>
              </w:rPr>
              <w:t>三类支持“不能直接外推”；具体变量/比例仍未知</w:t>
            </w:r>
          </w:p>
        </w:tc>
      </w:tr>
    </w:tbl>
    <w:p>
      <w:pPr>
        <w:widowControl/>
      </w:pPr>
      <w:r>
        <w:rPr>
          <w:rFonts w:ascii="Calibri" w:hAnsi="Calibri" w:eastAsia="Microsoft YaHei"/>
          <w:color w:val="243447"/>
          <w:sz w:val="22"/>
        </w:rPr>
        <w:t>主要证据卡见 sources/；canonical family 去重、外链、版本、mutable/refresh owner 见 source manifest。</w:t>
      </w:r>
    </w:p>
    <w:p>
      <w:pPr>
        <w:pStyle w:val="Heading1"/>
        <w:pageBreakBefore/>
      </w:pPr>
      <w:r>
        <w:rPr>
          <w:rFonts w:ascii="Calibri" w:hAnsi="Calibri" w:eastAsia="Microsoft YaHei"/>
          <w:color w:val="2E74B5"/>
          <w:sz w:val="32"/>
        </w:rPr>
        <w:t>3. 多池 release architecture</w:t>
      </w:r>
    </w:p>
    <w:p>
      <w:pPr>
        <w:pStyle w:val="Heading2"/>
      </w:pPr>
      <w:r>
        <w:rPr>
          <w:rFonts w:ascii="Calibri" w:hAnsi="Calibri" w:eastAsia="Microsoft YaHei"/>
          <w:color w:val="2E74B5"/>
          <w:sz w:val="26"/>
        </w:rPr>
        <w:t>3.0 五个原子轴与派生视图</w:t>
      </w:r>
    </w:p>
    <w:p>
      <w:pPr>
        <w:widowControl/>
      </w:pPr>
      <w:r>
        <w:rPr>
          <w:rFonts w:ascii="Calibri" w:hAnsi="Calibri" w:eastAsia="Microsoft YaHei"/>
          <w:b/>
          <w:color w:val="243447"/>
          <w:sz w:val="22"/>
        </w:rPr>
        <w:t>[P] Registry 不使用复合 `release_state`。</w:t>
      </w:r>
      <w:r>
        <w:rPr>
          <w:rFonts w:ascii="Calibri" w:hAnsi="Calibri" w:eastAsia="Microsoft YaHei"/>
          <w:color w:val="243447"/>
          <w:sz w:val="22"/>
        </w:rPr>
        <w:t xml:space="preserve"> 至少拆成：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0D5DD"/>
          <w:left w:val="single" w:sz="6" w:space="0" w:color="D0D5DD"/>
          <w:bottom w:val="single" w:sz="6" w:space="0" w:color="D0D5DD"/>
          <w:right w:val="single" w:sz="6" w:space="0" w:color="D0D5DD"/>
          <w:insideH w:val="single" w:sz="6" w:space="0" w:color="D0D5DD"/>
          <w:insideV w:val="single" w:sz="6" w:space="0" w:color="D0D5DD"/>
        </w:tblBorders>
      </w:tblPr>
      <w:tblGrid>
        <w:gridCol w:w="3120"/>
        <w:gridCol w:w="3120"/>
        <w:gridCol w:w="3120"/>
      </w:tblGrid>
      <w:tr>
        <w:trPr>
          <w:cantSplit/>
          <w:tblHeader w:val="true"/>
        </w:trPr>
        <w:tc>
          <w:tcPr>
            <w:tcW w:type="dxa" w:w="168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163A5F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b/>
                <w:color w:val="FFFFFF"/>
                <w:sz w:val="17"/>
              </w:rPr>
              <w:t>Axis</w:t>
            </w:r>
          </w:p>
        </w:tc>
        <w:tc>
          <w:tcPr>
            <w:tcW w:type="dxa" w:w="402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163A5F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b/>
                <w:color w:val="FFFFFF"/>
                <w:sz w:val="17"/>
              </w:rPr>
              <w:t>原子字段</w:t>
            </w:r>
          </w:p>
        </w:tc>
        <w:tc>
          <w:tcPr>
            <w:tcW w:type="dxa" w:w="365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163A5F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b/>
                <w:color w:val="FFFFFF"/>
                <w:sz w:val="17"/>
              </w:rPr>
              <w:t>说明</w:t>
            </w:r>
          </w:p>
        </w:tc>
      </w:tr>
      <w:tr>
        <w:trPr>
          <w:cantSplit/>
        </w:trPr>
        <w:tc>
          <w:tcPr>
            <w:tcW w:type="dxa" w:w="168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7"/>
              </w:rPr>
              <w:t>Asset lifecycle</w:t>
            </w:r>
          </w:p>
        </w:tc>
        <w:tc>
          <w:tcPr>
            <w:tcW w:type="dxa" w:w="402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onsolas" w:hAnsi="Consolas" w:eastAsia="Microsoft YaHei"/>
                <w:color w:val="1F4D78"/>
                <w:sz w:val="16"/>
              </w:rPr>
              <w:t>proposed / implemented / validated / accepted / quarantined / repaired / retired</w:t>
            </w:r>
          </w:p>
        </w:tc>
        <w:tc>
          <w:tcPr>
            <w:tcW w:type="dxa" w:w="365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7"/>
              </w:rPr>
              <w:t>只描述内容成熟度、资格暂停和退役；不编码池或 release</w:t>
            </w:r>
          </w:p>
        </w:tc>
      </w:tr>
      <w:tr>
        <w:trPr>
          <w:cantSplit/>
        </w:trPr>
        <w:tc>
          <w:tcPr>
            <w:tcW w:type="dxa" w:w="168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7"/>
              </w:rPr>
              <w:t>Pool purpose</w:t>
            </w:r>
          </w:p>
        </w:tc>
        <w:tc>
          <w:tcPr>
            <w:tcW w:type="dxa" w:w="402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onsolas" w:hAnsi="Consolas" w:eastAsia="Microsoft YaHei"/>
                <w:color w:val="1F4D78"/>
                <w:sz w:val="16"/>
              </w:rPr>
              <w:t>development_demo / restricted_validation / private_final / rotation_reserve / training</w:t>
            </w:r>
          </w:p>
        </w:tc>
        <w:tc>
          <w:tcPr>
            <w:tcW w:type="dxa" w:w="365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7"/>
              </w:rPr>
              <w:t>描述允许用途；retired archive 由 lifecycle + archive disposition 表示</w:t>
            </w:r>
          </w:p>
        </w:tc>
      </w:tr>
      <w:tr>
        <w:trPr>
          <w:cantSplit/>
        </w:trPr>
        <w:tc>
          <w:tcPr>
            <w:tcW w:type="dxa" w:w="168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7"/>
              </w:rPr>
              <w:t>Access class</w:t>
            </w:r>
          </w:p>
        </w:tc>
        <w:tc>
          <w:tcPr>
            <w:tcW w:type="dxa" w:w="402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onsolas" w:hAnsi="Consolas" w:eastAsia="Microsoft YaHei"/>
                <w:color w:val="1F4D78"/>
                <w:sz w:val="16"/>
              </w:rPr>
              <w:t>public / identity_gated / private_service / audit_only</w:t>
            </w:r>
          </w:p>
        </w:tc>
        <w:tc>
          <w:tcPr>
            <w:tcW w:type="dxa" w:w="365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7"/>
              </w:rPr>
              <w:t>与 pool 分离；同一 purpose 可因客户/权利使用不同 access class</w:t>
            </w:r>
          </w:p>
        </w:tc>
      </w:tr>
      <w:tr>
        <w:trPr>
          <w:cantSplit/>
        </w:trPr>
        <w:tc>
          <w:tcPr>
            <w:tcW w:type="dxa" w:w="168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7"/>
              </w:rPr>
              <w:t>Release membership</w:t>
            </w:r>
          </w:p>
        </w:tc>
        <w:tc>
          <w:tcPr>
            <w:tcW w:type="dxa" w:w="402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onsolas" w:hAnsi="Consolas" w:eastAsia="Microsoft YaHei"/>
                <w:color w:val="1F4D78"/>
                <w:sz w:val="16"/>
              </w:rPr>
              <w:t>(release_id, asset_version_id, role, effective_from, effective_to)</w:t>
            </w:r>
          </w:p>
        </w:tc>
        <w:tc>
          <w:tcPr>
            <w:tcW w:type="dxa" w:w="365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7"/>
              </w:rPr>
              <w:t>多对多、append-only；一个 version 可同时留在 R1 historical manifest 并作为 R2 anchor</w:t>
            </w:r>
          </w:p>
        </w:tc>
      </w:tr>
      <w:tr>
        <w:trPr>
          <w:cantSplit/>
        </w:trPr>
        <w:tc>
          <w:tcPr>
            <w:tcW w:type="dxa" w:w="168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7"/>
              </w:rPr>
              <w:t>Version / lineage</w:t>
            </w:r>
          </w:p>
        </w:tc>
        <w:tc>
          <w:tcPr>
            <w:tcW w:type="dxa" w:w="402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7"/>
              </w:rPr>
              <w:t xml:space="preserve">immutable </w:t>
            </w:r>
            <w:r>
              <w:rPr>
                <w:rFonts w:ascii="Consolas" w:hAnsi="Consolas" w:eastAsia="Microsoft YaHei"/>
                <w:color w:val="1F4D78"/>
                <w:sz w:val="16"/>
              </w:rPr>
              <w:t>asset_version_id</w:t>
            </w:r>
            <w:r>
              <w:rPr>
                <w:rFonts w:ascii="Calibri" w:hAnsi="Calibri" w:eastAsia="Microsoft YaHei"/>
                <w:color w:val="243447"/>
                <w:sz w:val="17"/>
              </w:rPr>
              <w:t xml:space="preserve"> + </w:t>
            </w:r>
            <w:r>
              <w:rPr>
                <w:rFonts w:ascii="Consolas" w:hAnsi="Consolas" w:eastAsia="Microsoft YaHei"/>
                <w:color w:val="1F4D78"/>
                <w:sz w:val="16"/>
              </w:rPr>
              <w:t>repairs / supersedes / replaces / derived_from</w:t>
            </w:r>
            <w:r>
              <w:rPr>
                <w:rFonts w:ascii="Calibri" w:hAnsi="Calibri" w:eastAsia="Microsoft YaHei"/>
                <w:color w:val="243447"/>
                <w:sz w:val="17"/>
              </w:rPr>
              <w:t xml:space="preserve"> edge</w:t>
            </w:r>
          </w:p>
        </w:tc>
        <w:tc>
          <w:tcPr>
            <w:tcW w:type="dxa" w:w="365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7"/>
              </w:rPr>
              <w:t xml:space="preserve">Edge 同时指向 asset 与 version；不把 </w:t>
            </w:r>
            <w:r>
              <w:rPr>
                <w:rFonts w:ascii="Consolas" w:hAnsi="Consolas" w:eastAsia="Microsoft YaHei"/>
                <w:color w:val="1F4D78"/>
                <w:sz w:val="16"/>
              </w:rPr>
              <w:t>replaced</w:t>
            </w:r>
            <w:r>
              <w:rPr>
                <w:rFonts w:ascii="Calibri" w:hAnsi="Calibri" w:eastAsia="Microsoft YaHei"/>
                <w:color w:val="243447"/>
                <w:sz w:val="17"/>
              </w:rPr>
              <w:t xml:space="preserve"> 存成可覆盖状态</w:t>
            </w:r>
          </w:p>
        </w:tc>
      </w:tr>
    </w:tbl>
    <w:p>
      <w:pPr>
        <w:widowControl/>
      </w:pPr>
      <w:r>
        <w:rPr>
          <w:rFonts w:ascii="Calibri" w:hAnsi="Calibri" w:eastAsia="Microsoft YaHei"/>
          <w:color w:val="243447"/>
          <w:sz w:val="22"/>
        </w:rPr>
        <w:t xml:space="preserve">另设 </w:t>
      </w:r>
      <w:r>
        <w:rPr>
          <w:rFonts w:ascii="Calibri" w:hAnsi="Calibri" w:eastAsia="Microsoft YaHei"/>
          <w:b/>
          <w:color w:val="243447"/>
          <w:sz w:val="22"/>
        </w:rPr>
        <w:t>actor/model-lineage-relative exposure relation</w:t>
      </w:r>
      <w:r>
        <w:rPr>
          <w:rFonts w:ascii="Calibri" w:hAnsi="Calibri" w:eastAsia="Microsoft YaHei"/>
          <w:color w:val="243447"/>
          <w:sz w:val="22"/>
        </w:rPr>
        <w:t>：</w:t>
      </w:r>
      <w:r>
        <w:rPr>
          <w:rFonts w:ascii="Consolas" w:hAnsi="Consolas" w:eastAsia="Microsoft YaHei"/>
          <w:color w:val="1F4D78"/>
          <w:sz w:val="20"/>
        </w:rPr>
        <w:t>(asset_version_id, exposed_surface, actor_org, model_lineage, first_known_time, evidence_strength)</w:t>
      </w:r>
      <w:r>
        <w:rPr>
          <w:rFonts w:ascii="Calibri" w:hAnsi="Calibri" w:eastAsia="Microsoft YaHei"/>
          <w:color w:val="243447"/>
          <w:sz w:val="22"/>
        </w:rPr>
        <w:t xml:space="preserve">；以及独立的 </w:t>
      </w:r>
      <w:r>
        <w:rPr>
          <w:rFonts w:ascii="Consolas" w:hAnsi="Consolas" w:eastAsia="Microsoft YaHei"/>
          <w:color w:val="1F4D78"/>
          <w:sz w:val="20"/>
        </w:rPr>
        <w:t>global_eligibility_decision</w:t>
      </w:r>
      <w:r>
        <w:rPr>
          <w:rFonts w:ascii="Calibri" w:hAnsi="Calibri" w:eastAsia="Microsoft YaHei"/>
          <w:color w:val="243447"/>
          <w:sz w:val="22"/>
        </w:rPr>
        <w:t xml:space="preserve">。因此一个 item 对 lineage A 可是 exposed、对 lineage B 仍可能未见；项目仍可基于传播/公平风险做 pool-global retirement，这属于 </w:t>
      </w:r>
      <w:r>
        <w:rPr>
          <w:rFonts w:ascii="Calibri" w:hAnsi="Calibri" w:eastAsia="Microsoft YaHei"/>
          <w:b/>
          <w:color w:val="1F4D78"/>
          <w:sz w:val="21"/>
        </w:rPr>
        <w:t>[P]</w:t>
      </w:r>
      <w:r>
        <w:rPr>
          <w:rFonts w:ascii="Calibri" w:hAnsi="Calibri" w:eastAsia="Microsoft YaHei"/>
          <w:color w:val="243447"/>
          <w:sz w:val="22"/>
        </w:rPr>
        <w:t xml:space="preserve"> policy decision，不是 exposure fact。</w:t>
      </w:r>
    </w:p>
    <w:p>
      <w:pPr>
        <w:widowControl/>
      </w:pPr>
      <w:r>
        <w:rPr>
          <w:rFonts w:ascii="Calibri" w:hAnsi="Calibri" w:eastAsia="Microsoft YaHei"/>
          <w:color w:val="243447"/>
          <w:sz w:val="22"/>
        </w:rPr>
        <w:t>用户要求的四个名称按下式计算：</w:t>
      </w:r>
    </w:p>
    <w:p>
      <w:pPr>
        <w:pStyle w:val="ListBullet"/>
      </w:pPr>
      <w:r>
        <w:rPr>
          <w:rFonts w:ascii="Consolas" w:hAnsi="Consolas" w:eastAsia="Microsoft YaHei"/>
          <w:color w:val="1F4D78"/>
          <w:sz w:val="19"/>
        </w:rPr>
        <w:t>active-public := accepted + active release membership(public_dev) + development_demo purpose + public access</w:t>
      </w:r>
      <w:r>
        <w:rPr>
          <w:rFonts w:ascii="Calibri" w:hAnsi="Calibri" w:eastAsia="Microsoft YaHei"/>
          <w:color w:val="243447"/>
          <w:sz w:val="21"/>
        </w:rPr>
        <w:t>；</w:t>
      </w:r>
    </w:p>
    <w:p>
      <w:pPr>
        <w:pStyle w:val="ListBullet"/>
      </w:pPr>
      <w:r>
        <w:rPr>
          <w:rFonts w:ascii="Consolas" w:hAnsi="Consolas" w:eastAsia="Microsoft YaHei"/>
          <w:color w:val="1F4D78"/>
          <w:sz w:val="19"/>
        </w:rPr>
        <w:t>active-private := accepted + active release membership(native_unseen_core) + private_final purpose + private_service access + applicable lineage eligibility</w:t>
      </w:r>
      <w:r>
        <w:rPr>
          <w:rFonts w:ascii="Calibri" w:hAnsi="Calibri" w:eastAsia="Microsoft YaHei"/>
          <w:color w:val="243447"/>
          <w:sz w:val="21"/>
        </w:rPr>
        <w:t>；</w:t>
      </w:r>
    </w:p>
    <w:p>
      <w:pPr>
        <w:pStyle w:val="ListBullet"/>
      </w:pPr>
      <w:r>
        <w:rPr>
          <w:rFonts w:ascii="Consolas" w:hAnsi="Consolas" w:eastAsia="Microsoft YaHei"/>
          <w:color w:val="1F4D78"/>
          <w:sz w:val="19"/>
        </w:rPr>
        <w:t>rotation := accepted + rotation_reserve purpose + no score-bearing participant/provider exposure</w:t>
      </w:r>
      <w:r>
        <w:rPr>
          <w:rFonts w:ascii="Calibri" w:hAnsi="Calibri" w:eastAsia="Microsoft YaHei"/>
          <w:color w:val="243447"/>
          <w:sz w:val="21"/>
        </w:rPr>
        <w:t>；</w:t>
      </w:r>
    </w:p>
    <w:p>
      <w:pPr>
        <w:pStyle w:val="ListBullet"/>
      </w:pPr>
      <w:r>
        <w:rPr>
          <w:rFonts w:ascii="Consolas" w:hAnsi="Consolas" w:eastAsia="Microsoft YaHei"/>
          <w:color w:val="1F4D78"/>
          <w:sz w:val="19"/>
        </w:rPr>
        <w:t>replaced := retired old asset + accepted successor + replaces edge</w:t>
      </w:r>
      <w:r>
        <w:rPr>
          <w:rFonts w:ascii="Calibri" w:hAnsi="Calibri" w:eastAsia="Microsoft YaHei"/>
          <w:color w:val="243447"/>
          <w:sz w:val="21"/>
        </w:rPr>
        <w:t>。</w:t>
      </w:r>
    </w:p>
    <w:p>
      <w:pPr>
        <w:widowControl/>
      </w:pPr>
      <w:r>
        <w:rPr>
          <w:rFonts w:ascii="Calibri" w:hAnsi="Calibri" w:eastAsia="Microsoft YaHei"/>
          <w:color w:val="243447"/>
          <w:sz w:val="22"/>
        </w:rPr>
        <w:t xml:space="preserve">这保证同一 </w:t>
      </w:r>
      <w:r>
        <w:rPr>
          <w:rFonts w:ascii="Consolas" w:hAnsi="Consolas" w:eastAsia="Microsoft YaHei"/>
          <w:color w:val="1F4D78"/>
          <w:sz w:val="20"/>
        </w:rPr>
        <w:t>asset_version_id</w:t>
      </w:r>
      <w:r>
        <w:rPr>
          <w:rFonts w:ascii="Calibri" w:hAnsi="Calibri" w:eastAsia="Microsoft YaHei"/>
          <w:color w:val="243447"/>
          <w:sz w:val="22"/>
        </w:rPr>
        <w:t xml:space="preserve"> 可以同时出现在 R1 historical snapshot 与 R2 bridge manifest，而不会覆盖 lifecycle、pool、access、exposure 或 lineage。</w:t>
      </w:r>
    </w:p>
    <w:p>
      <w:pPr>
        <w:pStyle w:val="Heading2"/>
      </w:pPr>
      <w:r>
        <w:rPr>
          <w:rFonts w:ascii="Calibri" w:hAnsi="Calibri" w:eastAsia="Microsoft YaHei"/>
          <w:color w:val="2E74B5"/>
          <w:sz w:val="26"/>
        </w:rPr>
        <w:t>3.1 五个 active purpose + 一个 retired archive view</w:t>
      </w:r>
    </w:p>
    <w:p>
      <w:pPr>
        <w:widowControl/>
      </w:pPr>
      <w:r>
        <w:rPr>
          <w:rFonts w:ascii="Calibri" w:hAnsi="Calibri" w:eastAsia="Microsoft YaHei"/>
          <w:b/>
          <w:color w:val="243447"/>
          <w:sz w:val="22"/>
        </w:rPr>
        <w:t>标签说明：</w:t>
      </w:r>
      <w:r>
        <w:rPr>
          <w:rFonts w:ascii="Calibri" w:hAnsi="Calibri" w:eastAsia="Microsoft YaHei"/>
          <w:color w:val="243447"/>
          <w:sz w:val="22"/>
        </w:rPr>
        <w:t xml:space="preserve"> 下表的 pool 划分、允许行为和解释边界均为 </w:t>
      </w:r>
      <w:r>
        <w:rPr>
          <w:rFonts w:ascii="Calibri" w:hAnsi="Calibri" w:eastAsia="Microsoft YaHei"/>
          <w:b/>
          <w:color w:val="243447"/>
          <w:sz w:val="22"/>
        </w:rPr>
        <w:t>[P] 项目建议</w:t>
      </w:r>
      <w:r>
        <w:rPr>
          <w:rFonts w:ascii="Calibri" w:hAnsi="Calibri" w:eastAsia="Microsoft YaHei"/>
          <w:color w:val="243447"/>
          <w:sz w:val="22"/>
        </w:rPr>
        <w:t>；它不是 ALE 作者规定，也不是公开 count 的推导。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0D5DD"/>
          <w:left w:val="single" w:sz="6" w:space="0" w:color="D0D5DD"/>
          <w:bottom w:val="single" w:sz="6" w:space="0" w:color="D0D5DD"/>
          <w:right w:val="single" w:sz="6" w:space="0" w:color="D0D5DD"/>
          <w:insideH w:val="single" w:sz="6" w:space="0" w:color="D0D5DD"/>
          <w:insideV w:val="single" w:sz="6" w:space="0" w:color="D0D5DD"/>
        </w:tblBorders>
      </w:tblPr>
      <w:tblGrid>
        <w:gridCol w:w="1560"/>
        <w:gridCol w:w="1560"/>
        <w:gridCol w:w="1560"/>
        <w:gridCol w:w="1560"/>
        <w:gridCol w:w="1560"/>
        <w:gridCol w:w="1560"/>
      </w:tblGrid>
      <w:tr>
        <w:trPr>
          <w:cantSplit/>
          <w:tblHeader w:val="true"/>
        </w:trPr>
        <w:tc>
          <w:tcPr>
            <w:tcW w:type="dxa" w:w="140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163A5F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b/>
                <w:color w:val="FFFFFF"/>
                <w:sz w:val="15"/>
              </w:rPr>
              <w:t>Pool / view</w:t>
            </w:r>
          </w:p>
        </w:tc>
        <w:tc>
          <w:tcPr>
            <w:tcW w:type="dxa" w:w="159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163A5F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b/>
                <w:color w:val="FFFFFF"/>
                <w:sz w:val="15"/>
              </w:rPr>
              <w:t>主要功能</w:t>
            </w:r>
          </w:p>
        </w:tc>
        <w:tc>
          <w:tcPr>
            <w:tcW w:type="dxa" w:w="159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163A5F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b/>
                <w:color w:val="FFFFFF"/>
                <w:sz w:val="15"/>
              </w:rPr>
              <w:t>允许使用</w:t>
            </w:r>
          </w:p>
        </w:tc>
        <w:tc>
          <w:tcPr>
            <w:tcW w:type="dxa" w:w="159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163A5F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b/>
                <w:color w:val="FFFFFF"/>
                <w:sz w:val="15"/>
              </w:rPr>
              <w:t>禁止解释/行为</w:t>
            </w:r>
          </w:p>
        </w:tc>
        <w:tc>
          <w:tcPr>
            <w:tcW w:type="dxa" w:w="159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163A5F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b/>
                <w:color w:val="FFFFFF"/>
                <w:sz w:val="15"/>
              </w:rPr>
              <w:t>默认访问与反馈</w:t>
            </w:r>
          </w:p>
        </w:tc>
        <w:tc>
          <w:tcPr>
            <w:tcW w:type="dxa" w:w="159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163A5F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b/>
                <w:color w:val="FFFFFF"/>
                <w:sz w:val="15"/>
              </w:rPr>
              <w:t>退出条件</w:t>
            </w:r>
          </w:p>
        </w:tc>
      </w:tr>
      <w:tr>
        <w:trPr>
          <w:cantSplit/>
        </w:trPr>
        <w:tc>
          <w:tcPr>
            <w:tcW w:type="dxa" w:w="140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b/>
                <w:color w:val="243447"/>
                <w:sz w:val="15"/>
              </w:rPr>
              <w:t>Development / demo</w:t>
            </w:r>
          </w:p>
        </w:tc>
        <w:tc>
          <w:tcPr>
            <w:tcW w:type="dxa" w:w="159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5"/>
              </w:rPr>
              <w:t>示例、authoring guidance、local debug、harness integration、schema/evaluator contract tests、复现与公开审计</w:t>
            </w:r>
          </w:p>
        </w:tc>
        <w:tc>
          <w:tcPr>
            <w:tcW w:type="dxa" w:w="159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5"/>
              </w:rPr>
              <w:t>公开练习、prompt/harness/tool 开发、教学 reference</w:t>
            </w:r>
          </w:p>
        </w:tc>
        <w:tc>
          <w:tcPr>
            <w:tcW w:type="dxa" w:w="159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5"/>
              </w:rPr>
              <w:t>不得称为 unseen final；不得把 tuned public score 当最终泛化证据</w:t>
            </w:r>
          </w:p>
        </w:tc>
        <w:tc>
          <w:tcPr>
            <w:tcW w:type="dxa" w:w="159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5"/>
              </w:rPr>
              <w:t>Public；详细 diagnostics；公开版本和已知问题</w:t>
            </w:r>
          </w:p>
        </w:tc>
        <w:tc>
          <w:tcPr>
            <w:tcW w:type="dxa" w:w="159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5"/>
              </w:rPr>
              <w:t>暴露不导致退出；过时/缺陷则 repair 或 retire</w:t>
            </w:r>
          </w:p>
        </w:tc>
      </w:tr>
      <w:tr>
        <w:trPr>
          <w:cantSplit/>
        </w:trPr>
        <w:tc>
          <w:tcPr>
            <w:tcW w:type="dxa" w:w="140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b/>
                <w:color w:val="243447"/>
                <w:sz w:val="15"/>
              </w:rPr>
              <w:t>Restricted validation</w:t>
            </w:r>
          </w:p>
        </w:tc>
        <w:tc>
          <w:tcPr>
            <w:tcW w:type="dxa" w:w="159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5"/>
              </w:rPr>
              <w:t>pre-final eligibility、regression、system selection、受限客户 rehearsal</w:t>
            </w:r>
          </w:p>
        </w:tc>
        <w:tc>
          <w:tcPr>
            <w:tcW w:type="dxa" w:w="159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5"/>
              </w:rPr>
              <w:t>限定次数/身份的自适应验证</w:t>
            </w:r>
          </w:p>
        </w:tc>
        <w:tc>
          <w:tcPr>
            <w:tcW w:type="dxa" w:w="159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5"/>
              </w:rPr>
              <w:t>不得当作未接触 final；不得无限次调试</w:t>
            </w:r>
          </w:p>
        </w:tc>
        <w:tc>
          <w:tcPr>
            <w:tcW w:type="dxa" w:w="159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5"/>
              </w:rPr>
              <w:t>Identity-gated EaaS；聚合/粗粒度或延迟反馈；完整日志</w:t>
            </w:r>
          </w:p>
        </w:tc>
        <w:tc>
          <w:tcPr>
            <w:tcW w:type="dxa" w:w="159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5"/>
              </w:rPr>
              <w:t>反馈预算耗尽、污染、漂移或到期后 rotate/demote/retire</w:t>
            </w:r>
          </w:p>
        </w:tc>
      </w:tr>
      <w:tr>
        <w:trPr>
          <w:cantSplit/>
        </w:trPr>
        <w:tc>
          <w:tcPr>
            <w:tcW w:type="dxa" w:w="140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b/>
                <w:color w:val="243447"/>
                <w:sz w:val="15"/>
              </w:rPr>
              <w:t>Private final holdout</w:t>
            </w:r>
          </w:p>
        </w:tc>
        <w:tc>
          <w:tcPr>
            <w:tcW w:type="dxa" w:w="159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5"/>
              </w:rPr>
              <w:t>最终比较、客户验收、对未用于系统选择的 concrete instances 做泛化检验</w:t>
            </w:r>
          </w:p>
        </w:tc>
        <w:tc>
          <w:tcPr>
            <w:tcW w:type="dxa" w:w="159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5"/>
              </w:rPr>
              <w:t>预先冻结系统后的最终运行；受控 appeal</w:t>
            </w:r>
          </w:p>
        </w:tc>
        <w:tc>
          <w:tcPr>
            <w:tcW w:type="dxa" w:w="159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5"/>
              </w:rPr>
              <w:t>不作为调试器；不返回可用于逐题爬坡的 oracle</w:t>
            </w:r>
          </w:p>
        </w:tc>
        <w:tc>
          <w:tcPr>
            <w:tcW w:type="dxa" w:w="159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5"/>
              </w:rPr>
              <w:t>隔离 EaaS/可信节点；最小即时信息；窗口结束后聚合披露</w:t>
            </w:r>
          </w:p>
        </w:tc>
        <w:tc>
          <w:tcPr>
            <w:tcW w:type="dxa" w:w="159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5"/>
              </w:rPr>
              <w:t>曝光、重复反馈、缺陷、漂移、权利/安全事件或计划轮换</w:t>
            </w:r>
          </w:p>
        </w:tc>
      </w:tr>
      <w:tr>
        <w:trPr>
          <w:cantSplit/>
        </w:trPr>
        <w:tc>
          <w:tcPr>
            <w:tcW w:type="dxa" w:w="140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b/>
                <w:color w:val="243447"/>
                <w:sz w:val="15"/>
              </w:rPr>
              <w:t>Rotation reserve</w:t>
            </w:r>
          </w:p>
        </w:tc>
        <w:tc>
          <w:tcPr>
            <w:tcW w:type="dxa" w:w="159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5"/>
              </w:rPr>
              <w:t>替代污染、过时、缺陷、许可失效、危险或失去辨别力的 active assets</w:t>
            </w:r>
          </w:p>
        </w:tc>
        <w:tc>
          <w:tcPr>
            <w:tcW w:type="dxa" w:w="159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5"/>
              </w:rPr>
              <w:t>Static QA、严格预注册的 sealed local QA、未来 promotion</w:t>
            </w:r>
          </w:p>
        </w:tc>
        <w:tc>
          <w:tcPr>
            <w:tcW w:type="dxa" w:w="159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5"/>
              </w:rPr>
              <w:t>不做 participant/provider-visible routine scoring、training 或 validation；每次接触必须 disposition</w:t>
            </w:r>
          </w:p>
        </w:tc>
        <w:tc>
          <w:tcPr>
            <w:tcW w:type="dxa" w:w="159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5"/>
              </w:rPr>
              <w:t>最严格 IAM/KMS；无参评者反馈；reserve-contact ledger</w:t>
            </w:r>
          </w:p>
        </w:tc>
        <w:tc>
          <w:tcPr>
            <w:tcW w:type="dxa" w:w="159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5"/>
              </w:rPr>
              <w:t>仍 pristine 才可 promotion；外部接触则 burn/demote；或 quarantine/retire</w:t>
            </w:r>
          </w:p>
        </w:tc>
      </w:tr>
      <w:tr>
        <w:trPr>
          <w:cantSplit/>
        </w:trPr>
        <w:tc>
          <w:tcPr>
            <w:tcW w:type="dxa" w:w="140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b/>
                <w:color w:val="243447"/>
                <w:sz w:val="15"/>
              </w:rPr>
              <w:t>Training assets</w:t>
            </w:r>
          </w:p>
        </w:tc>
        <w:tc>
          <w:tcPr>
            <w:tcW w:type="dxa" w:w="159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5"/>
              </w:rPr>
              <w:t>SFT/RL/agent policy、tool use、author training、evaluator/harness development、regression fixture</w:t>
            </w:r>
          </w:p>
        </w:tc>
        <w:tc>
          <w:tcPr>
            <w:tcW w:type="dxa" w:w="159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5"/>
              </w:rPr>
              <w:t>可公开或按许可训练</w:t>
            </w:r>
          </w:p>
        </w:tc>
        <w:tc>
          <w:tcPr>
            <w:tcW w:type="dxa" w:w="159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5"/>
              </w:rPr>
              <w:t>对参与过优化的 actor/model lineage 永久不能恢复 unseen interpretation；是否全局退役另行决策</w:t>
            </w:r>
          </w:p>
        </w:tc>
        <w:tc>
          <w:tcPr>
            <w:tcW w:type="dxa" w:w="159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5"/>
              </w:rPr>
              <w:t>按训练/许可政策；关系型 exposure ledger</w:t>
            </w:r>
          </w:p>
        </w:tc>
        <w:tc>
          <w:tcPr>
            <w:tcW w:type="dxa" w:w="159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5"/>
              </w:rPr>
              <w:t>继续 training/public；缺陷/权利事件可 retire</w:t>
            </w:r>
          </w:p>
        </w:tc>
      </w:tr>
      <w:tr>
        <w:trPr>
          <w:cantSplit/>
        </w:trPr>
        <w:tc>
          <w:tcPr>
            <w:tcW w:type="dxa" w:w="140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b/>
                <w:color w:val="243447"/>
                <w:sz w:val="15"/>
              </w:rPr>
              <w:t>Retired archive</w:t>
            </w:r>
          </w:p>
        </w:tc>
        <w:tc>
          <w:tcPr>
            <w:tcW w:type="dxa" w:w="159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onsolas" w:hAnsi="Consolas" w:eastAsia="Microsoft YaHei"/>
                <w:color w:val="1F4D78"/>
                <w:sz w:val="16"/>
              </w:rPr>
              <w:t>retired</w:t>
            </w:r>
            <w:r>
              <w:rPr>
                <w:rFonts w:ascii="Calibri" w:hAnsi="Calibri" w:eastAsia="Microsoft YaHei"/>
                <w:color w:val="243447"/>
                <w:sz w:val="15"/>
              </w:rPr>
              <w:t xml:space="preserve"> lifecycle + </w:t>
            </w:r>
            <w:r>
              <w:rPr>
                <w:rFonts w:ascii="Consolas" w:hAnsi="Consolas" w:eastAsia="Microsoft YaHei"/>
                <w:color w:val="1F4D78"/>
                <w:sz w:val="16"/>
              </w:rPr>
              <w:t>archive_disposition</w:t>
            </w:r>
            <w:r>
              <w:rPr>
                <w:rFonts w:ascii="Calibri" w:hAnsi="Calibri" w:eastAsia="Microsoft YaHei"/>
                <w:color w:val="243447"/>
                <w:sz w:val="15"/>
              </w:rPr>
              <w:t xml:space="preserve"> 派生视图；历史复现、审计、appeal、漂移、lineage</w:t>
            </w:r>
          </w:p>
        </w:tc>
        <w:tc>
          <w:tcPr>
            <w:tcW w:type="dxa" w:w="159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5"/>
              </w:rPr>
              <w:t>冻结查看；按权利提供受控审计</w:t>
            </w:r>
          </w:p>
        </w:tc>
        <w:tc>
          <w:tcPr>
            <w:tcW w:type="dxa" w:w="159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5"/>
              </w:rPr>
              <w:t>不参与 current allocation denominator/scoring；不等于“可重新上线”</w:t>
            </w:r>
          </w:p>
        </w:tc>
        <w:tc>
          <w:tcPr>
            <w:tcW w:type="dxa" w:w="159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5"/>
              </w:rPr>
              <w:t>Public-retired 可公开；private-retired 可继续 sealed</w:t>
            </w:r>
          </w:p>
        </w:tc>
        <w:tc>
          <w:tcPr>
            <w:tcW w:type="dxa" w:w="159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5"/>
              </w:rPr>
              <w:t xml:space="preserve">终态；有 accepted successor + replaces edge 时派生 </w:t>
            </w:r>
            <w:r>
              <w:rPr>
                <w:rFonts w:ascii="Consolas" w:hAnsi="Consolas" w:eastAsia="Microsoft YaHei"/>
                <w:color w:val="1F4D78"/>
                <w:sz w:val="16"/>
              </w:rPr>
              <w:t>replaced</w:t>
            </w:r>
          </w:p>
        </w:tc>
      </w:tr>
    </w:tbl>
    <w:p>
      <w:pPr>
        <w:sectPr>
          <w:headerReference w:type="default" r:id="rId9"/>
          <w:headerReference w:type="first" r:id="rId10"/>
          <w:footerReference w:type="default" r:id="rId11"/>
          <w:pgSz w:w="12240" w:h="15840"/>
          <w:pgMar w:top="1440" w:right="1440" w:bottom="1440" w:left="1440" w:header="708" w:footer="708" w:gutter="0"/>
          <w:cols w:space="720" w:num="1"/>
          <w:titlePg/>
          <w:docGrid w:linePitch="360"/>
        </w:sectPr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8641080" cy="45005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ease_architectur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8641080" cy="45005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80"/>
        <w:jc w:val="center"/>
      </w:pPr>
      <w:r>
        <w:rPr>
          <w:rFonts w:ascii="Calibri" w:hAnsi="Calibri" w:eastAsia="Microsoft YaHei"/>
          <w:i/>
          <w:color w:val="667085"/>
          <w:sz w:val="17"/>
        </w:rPr>
        <w:t>图 1｜五个 active purposes + retired archive view；family 可跨池，score-bearing concrete surface 不复用</w:t>
      </w:r>
    </w:p>
    <w:p>
      <w:pPr>
        <w:sectPr>
          <w:pgSz w:w="15840" w:h="12240" w:orient="landscape"/>
          <w:pgMar w:top="936" w:right="936" w:bottom="936" w:left="936" w:header="708" w:footer="708" w:gutter="0"/>
          <w:cols w:space="720" w:num="1"/>
          <w:titlePg/>
          <w:docGrid w:linePitch="360"/>
        </w:sectPr>
      </w:pPr>
    </w:p>
    <w:p>
      <w:pPr>
        <w:pStyle w:val="Heading2"/>
      </w:pPr>
      <w:r>
        <w:rPr>
          <w:rFonts w:ascii="Calibri" w:hAnsi="Calibri" w:eastAsia="Microsoft YaHei"/>
          <w:color w:val="2E74B5"/>
          <w:sz w:val="26"/>
        </w:rPr>
        <w:t>3.2 Public、restricted、private 的功能边界</w:t>
      </w:r>
    </w:p>
    <w:p>
      <w:pPr>
        <w:pStyle w:val="ListBullet"/>
      </w:pPr>
      <w:r>
        <w:rPr>
          <w:rFonts w:ascii="Calibri" w:hAnsi="Calibri" w:eastAsia="Microsoft YaHei"/>
          <w:b/>
          <w:color w:val="243447"/>
          <w:sz w:val="21"/>
        </w:rPr>
        <w:t>[E]</w:t>
      </w:r>
      <w:r>
        <w:rPr>
          <w:rFonts w:ascii="Calibri" w:hAnsi="Calibri" w:eastAsia="Microsoft YaHei"/>
          <w:color w:val="243447"/>
          <w:sz w:val="21"/>
        </w:rPr>
        <w:t xml:space="preserve"> ALE 冻结 paper/code surface 包含开放框架、公开任务与 agent 不可见 reference 的设计证据。</w:t>
      </w:r>
      <w:r>
        <w:rPr>
          <w:rFonts w:ascii="Calibri" w:hAnsi="Calibri" w:eastAsia="Microsoft YaHei"/>
          <w:b/>
          <w:color w:val="243447"/>
          <w:sz w:val="21"/>
        </w:rPr>
        <w:t>[C]</w:t>
      </w:r>
      <w:r>
        <w:rPr>
          <w:rFonts w:ascii="Calibri" w:hAnsi="Calibri" w:eastAsia="Microsoft YaHei"/>
          <w:color w:val="243447"/>
          <w:sz w:val="21"/>
        </w:rPr>
        <w:t xml:space="preserve"> 作者提出 private/rotation 可降低暴露风险；该主张不证明任何比例对本项目合适，也不证明已执行 rotation。R01 R02</w:t>
      </w:r>
    </w:p>
    <w:p>
      <w:pPr>
        <w:pStyle w:val="ListBullet"/>
      </w:pPr>
      <w:r>
        <w:rPr>
          <w:rFonts w:ascii="Calibri" w:hAnsi="Calibri" w:eastAsia="Microsoft YaHei"/>
          <w:b/>
          <w:color w:val="243447"/>
          <w:sz w:val="21"/>
        </w:rPr>
        <w:t>[P]</w:t>
      </w:r>
      <w:r>
        <w:rPr>
          <w:rFonts w:ascii="Calibri" w:hAnsi="Calibri" w:eastAsia="Microsoft YaHei"/>
          <w:color w:val="243447"/>
          <w:sz w:val="21"/>
        </w:rPr>
        <w:t xml:space="preserve"> Public 的主职责由 decision table 决定：adoption/integration 优先时用于构建、接入、复现；regulatory/scientific transparency 优先时用于公开审计/representativeness study。其 representativeness 仍必须用 blueprint sampling、缺失 strata、pooling-bias counter-audit、public/private directional check 与不确定性验证。R25</w:t>
      </w:r>
    </w:p>
    <w:p>
      <w:pPr>
        <w:pStyle w:val="ListBullet"/>
      </w:pPr>
      <w:r>
        <w:rPr>
          <w:rFonts w:ascii="Calibri" w:hAnsi="Calibri" w:eastAsia="Microsoft YaHei"/>
          <w:b/>
          <w:color w:val="243447"/>
          <w:sz w:val="21"/>
        </w:rPr>
        <w:t>[P]</w:t>
      </w:r>
      <w:r>
        <w:rPr>
          <w:rFonts w:ascii="Calibri" w:hAnsi="Calibri" w:eastAsia="Microsoft YaHei"/>
          <w:color w:val="243447"/>
          <w:sz w:val="21"/>
        </w:rPr>
        <w:t xml:space="preserve"> Restricted validation 承认自己是 adaptive surface；每次 query/反馈消耗 exposure budget。它不应伪装成 final。</w:t>
      </w:r>
    </w:p>
    <w:p>
      <w:pPr>
        <w:pStyle w:val="ListBullet"/>
      </w:pPr>
      <w:r>
        <w:rPr>
          <w:rFonts w:ascii="Calibri" w:hAnsi="Calibri" w:eastAsia="Microsoft YaHei"/>
          <w:b/>
          <w:color w:val="243447"/>
          <w:sz w:val="21"/>
        </w:rPr>
        <w:t>[P]</w:t>
      </w:r>
      <w:r>
        <w:rPr>
          <w:rFonts w:ascii="Calibri" w:hAnsi="Calibri" w:eastAsia="Microsoft YaHei"/>
          <w:color w:val="243447"/>
          <w:sz w:val="21"/>
        </w:rPr>
        <w:t xml:space="preserve"> Private final 回答“这个冻结系统在未用于其训练/选择/逐题反馈的 concrete instances 上表现如何”。对某个 actor/model-lineage 已产生实质自适应反馈后，原始结果仍保留，但 interpretation 必须变为 exposed/adaptive。</w:t>
      </w:r>
    </w:p>
    <w:p>
      <w:pPr>
        <w:pStyle w:val="ListBullet"/>
      </w:pPr>
      <w:r>
        <w:rPr>
          <w:rFonts w:ascii="Calibri" w:hAnsi="Calibri" w:eastAsia="Microsoft YaHei"/>
          <w:b/>
          <w:color w:val="243447"/>
          <w:sz w:val="21"/>
        </w:rPr>
        <w:t>[P]</w:t>
      </w:r>
      <w:r>
        <w:rPr>
          <w:rFonts w:ascii="Calibri" w:hAnsi="Calibri" w:eastAsia="Microsoft YaHei"/>
          <w:color w:val="243447"/>
          <w:sz w:val="21"/>
        </w:rPr>
        <w:t xml:space="preserve"> Private 不等于不可审计。应公开 construct、方法、版本、aggregate coverage、QA/uncertainty、已知限制，并让受控独立 auditor 查看 raw inputs/references/graders/logs。</w:t>
      </w:r>
    </w:p>
    <w:p>
      <w:pPr>
        <w:pStyle w:val="Heading2"/>
      </w:pPr>
      <w:r>
        <w:rPr>
          <w:rFonts w:ascii="Calibri" w:hAnsi="Calibri" w:eastAsia="Microsoft YaHei"/>
          <w:color w:val="2E74B5"/>
          <w:sz w:val="26"/>
        </w:rPr>
        <w:t>3.3 Workflow family 是否可以跨池</w:t>
      </w:r>
    </w:p>
    <w:p>
      <w:pPr>
        <w:widowControl/>
      </w:pPr>
      <w:r>
        <w:rPr>
          <w:rFonts w:ascii="Calibri" w:hAnsi="Calibri" w:eastAsia="Microsoft YaHei"/>
          <w:b/>
          <w:color w:val="243447"/>
          <w:sz w:val="22"/>
        </w:rPr>
        <w:t>答案：可以，但只在 family/construct 层复用；不得直接复用 scored concrete surface。</w:t>
      </w:r>
    </w:p>
    <w:p>
      <w:pPr>
        <w:widowControl/>
      </w:pPr>
      <w:r>
        <w:rPr>
          <w:rFonts w:ascii="Calibri" w:hAnsi="Calibri" w:eastAsia="Microsoft YaHei"/>
          <w:color w:val="243447"/>
          <w:sz w:val="22"/>
        </w:rPr>
        <w:t>跨池 gate：</w:t>
      </w:r>
    </w:p>
    <w:p>
      <w:pPr>
        <w:pStyle w:val="ListNumber"/>
      </w:pPr>
      <w:r>
        <w:rPr>
          <w:rFonts w:ascii="Calibri" w:hAnsi="Calibri" w:eastAsia="Microsoft YaHei"/>
          <w:b/>
          <w:color w:val="243447"/>
          <w:sz w:val="21"/>
        </w:rPr>
        <w:t>[P]</w:t>
      </w:r>
      <w:r>
        <w:rPr>
          <w:rFonts w:ascii="Calibri" w:hAnsi="Calibri" w:eastAsia="Microsoft YaHei"/>
          <w:color w:val="243447"/>
          <w:sz w:val="21"/>
        </w:rPr>
        <w:t xml:space="preserve"> Family 定义的是稳定能力/专业 workflow，不包含 family-wide invariant answer 或固定 grader shortcut。</w:t>
      </w:r>
    </w:p>
    <w:p>
      <w:pPr>
        <w:pStyle w:val="ListNumber"/>
      </w:pPr>
      <w:r>
        <w:rPr>
          <w:rFonts w:ascii="Calibri" w:hAnsi="Calibri" w:eastAsia="Microsoft YaHei"/>
          <w:b/>
          <w:color w:val="243447"/>
          <w:sz w:val="21"/>
        </w:rPr>
        <w:t>[P]</w:t>
      </w:r>
      <w:r>
        <w:rPr>
          <w:rFonts w:ascii="Calibri" w:hAnsi="Calibri" w:eastAsia="Microsoft YaHei"/>
          <w:color w:val="243447"/>
          <w:sz w:val="21"/>
        </w:rPr>
        <w:t xml:space="preserve"> 新建 concrete inputs 与独立 reference outcome；跨公开/训练/隐藏池做 text、code/AST、file hash、formula/dependency graph、image/geometry、semantic 与 workflow/evaluator graph 的多层近重复检查。</w:t>
      </w:r>
    </w:p>
    <w:p>
      <w:pPr>
        <w:pStyle w:val="ListNumber"/>
      </w:pPr>
      <w:r>
        <w:rPr>
          <w:rFonts w:ascii="Calibri" w:hAnsi="Calibri" w:eastAsia="Microsoft YaHei"/>
          <w:b/>
          <w:color w:val="243447"/>
          <w:sz w:val="21"/>
        </w:rPr>
        <w:t>[P]</w:t>
      </w:r>
      <w:r>
        <w:rPr>
          <w:rFonts w:ascii="Calibri" w:hAnsi="Calibri" w:eastAsia="Microsoft YaHei"/>
          <w:color w:val="243447"/>
          <w:sz w:val="21"/>
        </w:rPr>
        <w:t xml:space="preserve"> 可共享 evaluator interface；hidden tests、secret seeds、weights/tolerances、exploit fixtures、error behavior 必须独立实例化或严格 access-separated。</w:t>
      </w:r>
    </w:p>
    <w:p>
      <w:pPr>
        <w:pStyle w:val="ListNumber"/>
      </w:pPr>
      <w:r>
        <w:rPr>
          <w:rFonts w:ascii="Calibri" w:hAnsi="Calibri" w:eastAsia="Microsoft YaHei"/>
          <w:b/>
          <w:color w:val="243447"/>
          <w:sz w:val="21"/>
        </w:rPr>
        <w:t>[P]</w:t>
      </w:r>
      <w:r>
        <w:rPr>
          <w:rFonts w:ascii="Calibri" w:hAnsi="Calibri" w:eastAsia="Microsoft YaHei"/>
          <w:color w:val="243447"/>
          <w:sz w:val="21"/>
        </w:rPr>
        <w:t xml:space="preserve"> 重建/重新播种 environment；移除 cache、history、temp files、credentials、future artifacts 和可搜索 sibling metadata。</w:t>
      </w:r>
    </w:p>
    <w:p>
      <w:pPr>
        <w:pStyle w:val="ListNumber"/>
      </w:pPr>
      <w:r>
        <w:rPr>
          <w:rFonts w:ascii="Calibri" w:hAnsi="Calibri" w:eastAsia="Microsoft YaHei"/>
          <w:b/>
          <w:color w:val="243447"/>
          <w:sz w:val="21"/>
        </w:rPr>
        <w:t>[P]</w:t>
      </w:r>
      <w:r>
        <w:rPr>
          <w:rFonts w:ascii="Calibri" w:hAnsi="Calibri" w:eastAsia="Microsoft YaHei"/>
          <w:color w:val="243447"/>
          <w:sz w:val="21"/>
        </w:rPr>
        <w:t xml:space="preserve"> 外部 ID 使用不编码 pool、sequence、customer、source path 或 sibling count 的 scoped pseudonym；只有受限 registry 保留 family lineage。</w:t>
      </w:r>
    </w:p>
    <w:p>
      <w:pPr>
        <w:pStyle w:val="ListNumber"/>
      </w:pPr>
      <w:r>
        <w:rPr>
          <w:rFonts w:ascii="Calibri" w:hAnsi="Calibri" w:eastAsia="Microsoft YaHei"/>
          <w:b/>
          <w:color w:val="243447"/>
          <w:sz w:val="21"/>
        </w:rPr>
        <w:t>[P]</w:t>
      </w:r>
      <w:r>
        <w:rPr>
          <w:rFonts w:ascii="Calibri" w:hAnsi="Calibri" w:eastAsia="Microsoft YaHei"/>
          <w:color w:val="243447"/>
          <w:sz w:val="21"/>
        </w:rPr>
        <w:t xml:space="preserve"> Training/dev 用户和管线不得通过共享 group、bucket、CI、dashboard、backup、support 或 observability 获得 private/reserve 访问。</w:t>
      </w:r>
    </w:p>
    <w:p>
      <w:pPr>
        <w:pStyle w:val="ListNumber"/>
      </w:pPr>
      <w:r>
        <w:rPr>
          <w:rFonts w:ascii="Calibri" w:hAnsi="Calibri" w:eastAsia="Microsoft YaHei"/>
          <w:b/>
          <w:color w:val="243447"/>
          <w:sz w:val="21"/>
        </w:rPr>
        <w:t>[P]</w:t>
      </w:r>
      <w:r>
        <w:rPr>
          <w:rFonts w:ascii="Calibri" w:hAnsi="Calibri" w:eastAsia="Microsoft YaHei"/>
          <w:color w:val="243447"/>
          <w:sz w:val="21"/>
        </w:rPr>
        <w:t xml:space="preserve"> 用 common-agent pilot 证明新实例产生新的判别信息，而非 cosmetic variation 或答案迁移。</w:t>
      </w:r>
    </w:p>
    <w:p>
      <w:pPr>
        <w:widowControl/>
      </w:pPr>
      <w:r>
        <w:rPr>
          <w:rFonts w:ascii="Calibri" w:hAnsi="Calibri" w:eastAsia="Microsoft YaHei"/>
          <w:color w:val="243447"/>
          <w:sz w:val="22"/>
        </w:rPr>
        <w:t>直接复用的风险：concrete input 允许答案/文件指纹迁移；reference 直接暴露目标状态；公开 grader/parser/error/weights 可形成 grader gaming；共享 ID 支持跨池 join、enumeration、cache/log lookup；共享 ACL 使“逻辑分池”变成标签而非隔离。</w:t>
      </w:r>
    </w:p>
    <w:p>
      <w:pPr>
        <w:widowControl/>
      </w:pPr>
      <w:r>
        <w:rPr>
          <w:rFonts w:ascii="Calibri" w:hAnsi="Calibri" w:eastAsia="Microsoft YaHei"/>
          <w:color w:val="243447"/>
          <w:sz w:val="22"/>
        </w:rPr>
        <w:t>允许共享的边界进一步收紧为：</w:t>
      </w:r>
      <w:r>
        <w:rPr>
          <w:rFonts w:ascii="Calibri" w:hAnsi="Calibri" w:eastAsia="Microsoft YaHei"/>
          <w:b/>
          <w:color w:val="243447"/>
          <w:sz w:val="22"/>
        </w:rPr>
        <w:t>construct schema、non-secret evaluator engine/interface 和受限 internal family lineage 可以共享；score-bearing concrete input/reference、secret fixtures/config/weights/error oracle、external ID namespace 与 ACL 不共享。</w:t>
      </w:r>
    </w:p>
    <w:p>
      <w:pPr>
        <w:pStyle w:val="Heading2"/>
      </w:pPr>
      <w:r>
        <w:rPr>
          <w:rFonts w:ascii="Calibri" w:hAnsi="Calibri" w:eastAsia="Microsoft YaHei"/>
          <w:color w:val="2E74B5"/>
          <w:sz w:val="26"/>
        </w:rPr>
        <w:t>3.3.1 Linking anchor 与 reserve contact</w:t>
      </w:r>
    </w:p>
    <w:p>
      <w:pPr>
        <w:widowControl/>
      </w:pPr>
      <w:r>
        <w:rPr>
          <w:rFonts w:ascii="Calibri" w:hAnsi="Calibri" w:eastAsia="Microsoft YaHei"/>
          <w:b/>
          <w:color w:val="243447"/>
          <w:sz w:val="22"/>
        </w:rPr>
        <w:t>[P] `linking_anchor` 是独立 release role，不属于 private-final unseen numerator。</w:t>
      </w:r>
      <w:r>
        <w:rPr>
          <w:rFonts w:ascii="Calibri" w:hAnsi="Calibri" w:eastAsia="Microsoft YaHei"/>
          <w:color w:val="243447"/>
          <w:sz w:val="22"/>
        </w:rPr>
        <w:t xml:space="preserve"> 每个 release 机械区分三张互斥计分面：</w:t>
      </w:r>
    </w:p>
    <w:p>
      <w:pPr>
        <w:pStyle w:val="ListBullet"/>
      </w:pPr>
      <w:r>
        <w:rPr>
          <w:rFonts w:ascii="Consolas" w:hAnsi="Consolas" w:eastAsia="Microsoft YaHei"/>
          <w:color w:val="1F4D78"/>
          <w:sz w:val="19"/>
        </w:rPr>
        <w:t>unseen_core_score</w:t>
      </w:r>
      <w:r>
        <w:rPr>
          <w:rFonts w:ascii="Calibri" w:hAnsi="Calibri" w:eastAsia="Microsoft YaHei"/>
          <w:color w:val="243447"/>
          <w:sz w:val="21"/>
        </w:rPr>
        <w:t>：只含对适用 actor/model lineage 未暴露的 private-final native items；</w:t>
      </w:r>
    </w:p>
    <w:p>
      <w:pPr>
        <w:pStyle w:val="ListBullet"/>
      </w:pPr>
      <w:r>
        <w:rPr>
          <w:rFonts w:ascii="Consolas" w:hAnsi="Consolas" w:eastAsia="Microsoft YaHei"/>
          <w:color w:val="1F4D78"/>
          <w:sz w:val="19"/>
        </w:rPr>
        <w:t>linking_diagnostics</w:t>
      </w:r>
      <w:r>
        <w:rPr>
          <w:rFonts w:ascii="Calibri" w:hAnsi="Calibri" w:eastAsia="Microsoft YaHei"/>
          <w:color w:val="243447"/>
          <w:sz w:val="21"/>
        </w:rPr>
        <w:t>：anchor/bridge paired runs，只支持跨版分析；</w:t>
      </w:r>
    </w:p>
    <w:p>
      <w:pPr>
        <w:pStyle w:val="ListBullet"/>
      </w:pPr>
      <w:r>
        <w:rPr>
          <w:rFonts w:ascii="Consolas" w:hAnsi="Consolas" w:eastAsia="Microsoft YaHei"/>
          <w:color w:val="1F4D78"/>
          <w:sz w:val="19"/>
        </w:rPr>
        <w:t>exposed_validation_or_public_score</w:t>
      </w:r>
      <w:r>
        <w:rPr>
          <w:rFonts w:ascii="Calibri" w:hAnsi="Calibri" w:eastAsia="Microsoft YaHei"/>
          <w:color w:val="243447"/>
          <w:sz w:val="21"/>
        </w:rPr>
        <w:t>：公开、training、restricted validation 或已反馈 items。</w:t>
      </w:r>
    </w:p>
    <w:p>
      <w:pPr>
        <w:widowControl/>
      </w:pPr>
      <w:r>
        <w:rPr>
          <w:rFonts w:ascii="Calibri" w:hAnsi="Calibri" w:eastAsia="Microsoft YaHei"/>
          <w:color w:val="243447"/>
          <w:sz w:val="22"/>
        </w:rPr>
        <w:t xml:space="preserve">公开/重复使用的 anchor 不得混入 </w:t>
      </w:r>
      <w:r>
        <w:rPr>
          <w:rFonts w:ascii="Consolas" w:hAnsi="Consolas" w:eastAsia="Microsoft YaHei"/>
          <w:color w:val="1F4D78"/>
          <w:sz w:val="20"/>
        </w:rPr>
        <w:t>unseen_core_score</w:t>
      </w:r>
      <w:r>
        <w:rPr>
          <w:rFonts w:ascii="Calibri" w:hAnsi="Calibri" w:eastAsia="Microsoft YaHei"/>
          <w:color w:val="243447"/>
          <w:sz w:val="22"/>
        </w:rPr>
        <w:t>。若业务需要 composite view，必须并列披露各面分数、权重和暴露状态，不能称“全体 unseen”。Common-agent bridge 默认使用预先指定的 bridge/anchor role，不从 emergency reserve 无痕抽样。</w:t>
      </w:r>
    </w:p>
    <w:p>
      <w:pPr>
        <w:widowControl/>
      </w:pPr>
      <w:r>
        <w:rPr>
          <w:rFonts w:ascii="Calibri" w:hAnsi="Calibri" w:eastAsia="Microsoft YaHei"/>
          <w:b/>
          <w:color w:val="243447"/>
          <w:sz w:val="22"/>
        </w:rPr>
        <w:t>[P] Reserve contact classes：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0D5DD"/>
          <w:left w:val="single" w:sz="6" w:space="0" w:color="D0D5DD"/>
          <w:bottom w:val="single" w:sz="6" w:space="0" w:color="D0D5DD"/>
          <w:right w:val="single" w:sz="6" w:space="0" w:color="D0D5DD"/>
          <w:insideH w:val="single" w:sz="6" w:space="0" w:color="D0D5DD"/>
          <w:insideV w:val="single" w:sz="6" w:space="0" w:color="D0D5DD"/>
        </w:tblBorders>
      </w:tblPr>
      <w:tblGrid>
        <w:gridCol w:w="3120"/>
        <w:gridCol w:w="3120"/>
        <w:gridCol w:w="3120"/>
      </w:tblGrid>
      <w:tr>
        <w:trPr>
          <w:cantSplit/>
          <w:tblHeader w:val="true"/>
        </w:trPr>
        <w:tc>
          <w:tcPr>
            <w:tcW w:type="dxa" w:w="168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163A5F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b/>
                <w:color w:val="FFFFFF"/>
                <w:sz w:val="17"/>
              </w:rPr>
              <w:t>Class</w:t>
            </w:r>
          </w:p>
        </w:tc>
        <w:tc>
          <w:tcPr>
            <w:tcW w:type="dxa" w:w="402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163A5F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b/>
                <w:color w:val="FFFFFF"/>
                <w:sz w:val="17"/>
              </w:rPr>
              <w:t>接触方式</w:t>
            </w:r>
          </w:p>
        </w:tc>
        <w:tc>
          <w:tcPr>
            <w:tcW w:type="dxa" w:w="365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163A5F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b/>
                <w:color w:val="FFFFFF"/>
                <w:sz w:val="17"/>
              </w:rPr>
              <w:t>默认 disposition</w:t>
            </w:r>
          </w:p>
        </w:tc>
      </w:tr>
      <w:tr>
        <w:trPr>
          <w:cantSplit/>
        </w:trPr>
        <w:tc>
          <w:tcPr>
            <w:tcW w:type="dxa" w:w="168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onsolas" w:hAnsi="Consolas" w:eastAsia="Microsoft YaHei"/>
                <w:color w:val="1F4D78"/>
                <w:sz w:val="16"/>
              </w:rPr>
              <w:t>RC0</w:t>
            </w:r>
          </w:p>
        </w:tc>
        <w:tc>
          <w:tcPr>
            <w:tcW w:type="dxa" w:w="402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7"/>
              </w:rPr>
              <w:t>Static lint、schema、license、hash、reference-only QA；无 agent/model runtime</w:t>
            </w:r>
          </w:p>
        </w:tc>
        <w:tc>
          <w:tcPr>
            <w:tcW w:type="dxa" w:w="365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7"/>
              </w:rPr>
              <w:t>不 burn；仍记录 operator/access event</w:t>
            </w:r>
          </w:p>
        </w:tc>
      </w:tr>
      <w:tr>
        <w:trPr>
          <w:cantSplit/>
        </w:trPr>
        <w:tc>
          <w:tcPr>
            <w:tcW w:type="dxa" w:w="168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onsolas" w:hAnsi="Consolas" w:eastAsia="Microsoft YaHei"/>
                <w:color w:val="1F4D78"/>
                <w:sz w:val="16"/>
              </w:rPr>
              <w:t>RC1</w:t>
            </w:r>
          </w:p>
        </w:tc>
        <w:tc>
          <w:tcPr>
            <w:tcW w:type="dxa" w:w="402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7"/>
              </w:rPr>
              <w:t>Sealed local QA agent/reference run；无外部 provider、参评者、task-level feedback</w:t>
            </w:r>
          </w:p>
        </w:tc>
        <w:tc>
          <w:tcPr>
            <w:tcW w:type="dxa" w:w="365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7"/>
              </w:rPr>
              <w:t>有限 exposure；只有预注册 cleanliness 条件满足才可继续 reserve</w:t>
            </w:r>
          </w:p>
        </w:tc>
      </w:tr>
      <w:tr>
        <w:trPr>
          <w:cantSplit/>
        </w:trPr>
        <w:tc>
          <w:tcPr>
            <w:tcW w:type="dxa" w:w="168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onsolas" w:hAnsi="Consolas" w:eastAsia="Microsoft YaHei"/>
                <w:color w:val="1F4D78"/>
                <w:sz w:val="16"/>
              </w:rPr>
              <w:t>RC2</w:t>
            </w:r>
          </w:p>
        </w:tc>
        <w:tc>
          <w:tcPr>
            <w:tcW w:type="dxa" w:w="402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7"/>
              </w:rPr>
              <w:t>外部 model/API/provider 可见 prompt/input，或非隔离 common-agent run</w:t>
            </w:r>
          </w:p>
        </w:tc>
        <w:tc>
          <w:tcPr>
            <w:tcW w:type="dxa" w:w="365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7"/>
              </w:rPr>
              <w:t>默认 burn；移为 exposed-reserve/bridge candidate，不再 pristine</w:t>
            </w:r>
          </w:p>
        </w:tc>
      </w:tr>
      <w:tr>
        <w:trPr>
          <w:cantSplit/>
        </w:trPr>
        <w:tc>
          <w:tcPr>
            <w:tcW w:type="dxa" w:w="168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onsolas" w:hAnsi="Consolas" w:eastAsia="Microsoft YaHei"/>
                <w:color w:val="1F4D78"/>
                <w:sz w:val="16"/>
              </w:rPr>
              <w:t>RC3</w:t>
            </w:r>
          </w:p>
        </w:tc>
        <w:tc>
          <w:tcPr>
            <w:tcW w:type="dxa" w:w="402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7"/>
              </w:rPr>
              <w:t>Participant/team 可见或获得 item/score/error feedback</w:t>
            </w:r>
          </w:p>
        </w:tc>
        <w:tc>
          <w:tcPr>
            <w:tcW w:type="dxa" w:w="365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7"/>
              </w:rPr>
              <w:t>Demote 到 restricted validation 或 public/exposed；不得 promotion 为 unseen core</w:t>
            </w:r>
          </w:p>
        </w:tc>
      </w:tr>
    </w:tbl>
    <w:p>
      <w:pPr>
        <w:widowControl/>
      </w:pPr>
      <w:r>
        <w:rPr>
          <w:rFonts w:ascii="Calibri" w:hAnsi="Calibri" w:eastAsia="Microsoft YaHei"/>
          <w:color w:val="243447"/>
          <w:sz w:val="22"/>
        </w:rPr>
        <w:t xml:space="preserve">每次 reserve contact 必须记录 actor/model lineage、provider retention/training terms、task surface、feedback、日志位置和 </w:t>
      </w:r>
      <w:r>
        <w:rPr>
          <w:rFonts w:ascii="Consolas" w:hAnsi="Consolas" w:eastAsia="Microsoft YaHei"/>
          <w:color w:val="1F4D78"/>
          <w:sz w:val="20"/>
        </w:rPr>
        <w:t>remain / burn / demote / quarantine</w:t>
      </w:r>
      <w:r>
        <w:rPr>
          <w:rFonts w:ascii="Calibri" w:hAnsi="Calibri" w:eastAsia="Microsoft YaHei"/>
          <w:color w:val="243447"/>
          <w:sz w:val="22"/>
        </w:rPr>
        <w:t xml:space="preserve"> 决策。</w:t>
      </w:r>
    </w:p>
    <w:p>
      <w:pPr>
        <w:pStyle w:val="Heading2"/>
      </w:pPr>
      <w:r>
        <w:rPr>
          <w:rFonts w:ascii="Calibri" w:hAnsi="Calibri" w:eastAsia="Microsoft YaHei"/>
          <w:color w:val="2E74B5"/>
          <w:sz w:val="26"/>
        </w:rPr>
        <w:t>3.4 建议的 release bundle</w:t>
      </w:r>
    </w:p>
    <w:p>
      <w:pPr>
        <w:widowControl/>
      </w:pPr>
      <w:r>
        <w:rPr>
          <w:rFonts w:ascii="Calibri" w:hAnsi="Calibri" w:eastAsia="Microsoft YaHei"/>
          <w:b/>
          <w:color w:val="243447"/>
          <w:sz w:val="22"/>
        </w:rPr>
        <w:t>[P] 每次 release 的 immutable manifest 至少包含：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5" w:space="0" w:color="D9E2EC"/>
          <w:left w:val="single" w:sz="5" w:space="0" w:color="D9E2EC"/>
          <w:bottom w:val="single" w:sz="5" w:space="0" w:color="D9E2EC"/>
          <w:right w:val="single" w:sz="5" w:space="0" w:color="D9E2EC"/>
          <w:insideH w:val="single" w:sz="5" w:space="0" w:color="D9E2EC"/>
          <w:insideV w:val="single" w:sz="5" w:space="0" w:color="D9E2EC"/>
        </w:tblBorders>
      </w:tblPr>
      <w:tblGrid>
        <w:gridCol w:w="9360"/>
      </w:tblGrid>
      <w:tr>
        <w:tc>
          <w:tcPr>
            <w:tcW w:type="dxa" w:w="9360"/>
            <w:shd w:fill="F7F9FC"/>
            <w:tcMar>
              <w:top w:w="120" w:type="dxa"/>
              <w:start w:w="150" w:type="dxa"/>
              <w:bottom w:w="120" w:type="dxa"/>
              <w:end w:w="15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YaHei"/>
                <w:color w:val="243447"/>
                <w:sz w:val="14"/>
              </w:rPr>
              <w:t>suite_release_id: ...</w:t>
              <w:br/>
            </w:r>
            <w:r>
              <w:rPr>
                <w:rFonts w:ascii="Consolas" w:hAnsi="Consolas" w:eastAsia="Microsoft YaHei"/>
                <w:color w:val="243447"/>
                <w:sz w:val="14"/>
              </w:rPr>
              <w:t>evidence_cutoff: ...</w:t>
              <w:br/>
            </w:r>
            <w:r>
              <w:rPr>
                <w:rFonts w:ascii="Consolas" w:hAnsi="Consolas" w:eastAsia="Microsoft YaHei"/>
                <w:color w:val="243447"/>
                <w:sz w:val="14"/>
              </w:rPr>
              <w:t>pool_snapshot_id: ...</w:t>
              <w:br/>
            </w:r>
            <w:r>
              <w:rPr>
                <w:rFonts w:ascii="Consolas" w:hAnsi="Consolas" w:eastAsia="Microsoft YaHei"/>
                <w:color w:val="243447"/>
                <w:sz w:val="14"/>
              </w:rPr>
              <w:t>workflow_family_schema_version: ...</w:t>
              <w:br/>
            </w:r>
            <w:r>
              <w:rPr>
                <w:rFonts w:ascii="Consolas" w:hAnsi="Consolas" w:eastAsia="Microsoft YaHei"/>
                <w:color w:val="243447"/>
                <w:sz w:val="14"/>
              </w:rPr>
              <w:t>asset_versions: []</w:t>
              <w:br/>
            </w:r>
            <w:r>
              <w:rPr>
                <w:rFonts w:ascii="Consolas" w:hAnsi="Consolas" w:eastAsia="Microsoft YaHei"/>
                <w:color w:val="243447"/>
                <w:sz w:val="14"/>
              </w:rPr>
              <w:t>input_bundle_hashes: []</w:t>
              <w:br/>
            </w:r>
            <w:r>
              <w:rPr>
                <w:rFonts w:ascii="Consolas" w:hAnsi="Consolas" w:eastAsia="Microsoft YaHei"/>
                <w:color w:val="243447"/>
                <w:sz w:val="14"/>
              </w:rPr>
              <w:t>reference_bundle_version: ...</w:t>
              <w:br/>
            </w:r>
            <w:r>
              <w:rPr>
                <w:rFonts w:ascii="Consolas" w:hAnsi="Consolas" w:eastAsia="Microsoft YaHei"/>
                <w:color w:val="243447"/>
                <w:sz w:val="14"/>
              </w:rPr>
              <w:t>evaluator_bundle_version: ...</w:t>
              <w:br/>
            </w:r>
            <w:r>
              <w:rPr>
                <w:rFonts w:ascii="Consolas" w:hAnsi="Consolas" w:eastAsia="Microsoft YaHei"/>
                <w:color w:val="243447"/>
                <w:sz w:val="14"/>
              </w:rPr>
              <w:t>environment_bundle_version: ...</w:t>
              <w:br/>
            </w:r>
            <w:r>
              <w:rPr>
                <w:rFonts w:ascii="Consolas" w:hAnsi="Consolas" w:eastAsia="Microsoft YaHei"/>
                <w:color w:val="243447"/>
                <w:sz w:val="14"/>
              </w:rPr>
              <w:t>harness_protocol_version: ...</w:t>
              <w:br/>
            </w:r>
            <w:r>
              <w:rPr>
                <w:rFonts w:ascii="Consolas" w:hAnsi="Consolas" w:eastAsia="Microsoft YaHei"/>
                <w:color w:val="243447"/>
                <w:sz w:val="14"/>
              </w:rPr>
              <w:t>metric_definition_version: ...</w:t>
              <w:br/>
            </w:r>
            <w:r>
              <w:rPr>
                <w:rFonts w:ascii="Consolas" w:hAnsi="Consolas" w:eastAsia="Microsoft YaHei"/>
                <w:color w:val="243447"/>
                <w:sz w:val="14"/>
              </w:rPr>
              <w:t>access_feedback_policy_version: ...</w:t>
              <w:br/>
            </w:r>
            <w:r>
              <w:rPr>
                <w:rFonts w:ascii="Consolas" w:hAnsi="Consolas" w:eastAsia="Microsoft YaHei"/>
                <w:color w:val="243447"/>
                <w:sz w:val="14"/>
              </w:rPr>
              <w:t>leaderboard_policy_version: ...</w:t>
              <w:br/>
            </w:r>
            <w:r>
              <w:rPr>
                <w:rFonts w:ascii="Consolas" w:hAnsi="Consolas" w:eastAsia="Microsoft YaHei"/>
                <w:color w:val="243447"/>
                <w:sz w:val="14"/>
              </w:rPr>
              <w:t>license_rights_snapshot: ...</w:t>
              <w:br/>
            </w:r>
            <w:r>
              <w:rPr>
                <w:rFonts w:ascii="Consolas" w:hAnsi="Consolas" w:eastAsia="Microsoft YaHei"/>
                <w:color w:val="243447"/>
                <w:sz w:val="14"/>
              </w:rPr>
              <w:t>known_incidents_and_exclusions: []</w:t>
              <w:br/>
            </w:r>
            <w:r>
              <w:rPr>
                <w:rFonts w:ascii="Consolas" w:hAnsi="Consolas" w:eastAsia="Microsoft YaHei"/>
                <w:color w:val="243447"/>
                <w:sz w:val="14"/>
              </w:rPr>
              <w:t>signatures_attestations: []</w:t>
            </w:r>
          </w:p>
        </w:tc>
      </w:tr>
    </w:tbl>
    <w:p>
      <w:pPr>
        <w:pStyle w:val="Heading1"/>
        <w:pageBreakBefore/>
      </w:pPr>
      <w:r>
        <w:rPr>
          <w:rFonts w:ascii="Calibri" w:hAnsi="Calibri" w:eastAsia="Microsoft YaHei"/>
          <w:color w:val="2E74B5"/>
          <w:sz w:val="32"/>
        </w:rPr>
        <w:t>4. Access matrix</w:t>
      </w:r>
    </w:p>
    <w:p>
      <w:pPr>
        <w:widowControl/>
      </w:pPr>
      <w:r>
        <w:rPr>
          <w:rFonts w:ascii="Consolas" w:hAnsi="Consolas" w:eastAsia="Microsoft YaHei"/>
          <w:color w:val="1F4D78"/>
          <w:sz w:val="20"/>
        </w:rPr>
        <w:t>R</w:t>
      </w:r>
      <w:r>
        <w:rPr>
          <w:rFonts w:ascii="Calibri" w:hAnsi="Calibri" w:eastAsia="Microsoft YaHei"/>
          <w:color w:val="243447"/>
          <w:sz w:val="22"/>
        </w:rPr>
        <w:t>=read；</w:t>
      </w:r>
      <w:r>
        <w:rPr>
          <w:rFonts w:ascii="Consolas" w:hAnsi="Consolas" w:eastAsia="Microsoft YaHei"/>
          <w:color w:val="1F4D78"/>
          <w:sz w:val="20"/>
        </w:rPr>
        <w:t>W</w:t>
      </w:r>
      <w:r>
        <w:rPr>
          <w:rFonts w:ascii="Calibri" w:hAnsi="Calibri" w:eastAsia="Microsoft YaHei"/>
          <w:color w:val="243447"/>
          <w:sz w:val="22"/>
        </w:rPr>
        <w:t>=write/change；</w:t>
      </w:r>
      <w:r>
        <w:rPr>
          <w:rFonts w:ascii="Consolas" w:hAnsi="Consolas" w:eastAsia="Microsoft YaHei"/>
          <w:color w:val="1F4D78"/>
          <w:sz w:val="20"/>
        </w:rPr>
        <w:t>X</w:t>
      </w:r>
      <w:r>
        <w:rPr>
          <w:rFonts w:ascii="Calibri" w:hAnsi="Calibri" w:eastAsia="Microsoft YaHei"/>
          <w:color w:val="243447"/>
          <w:sz w:val="22"/>
        </w:rPr>
        <w:t>=单次 runtime ephemeral use；</w:t>
      </w:r>
      <w:r>
        <w:rPr>
          <w:rFonts w:ascii="Consolas" w:hAnsi="Consolas" w:eastAsia="Microsoft YaHei"/>
          <w:color w:val="1F4D78"/>
          <w:sz w:val="20"/>
        </w:rPr>
        <w:t>A</w:t>
      </w:r>
      <w:r>
        <w:rPr>
          <w:rFonts w:ascii="Calibri" w:hAnsi="Calibri" w:eastAsia="Microsoft YaHei"/>
          <w:color w:val="243447"/>
          <w:sz w:val="22"/>
        </w:rPr>
        <w:t>=approve；</w:t>
      </w:r>
      <w:r>
        <w:rPr>
          <w:rFonts w:ascii="Consolas" w:hAnsi="Consolas" w:eastAsia="Microsoft YaHei"/>
          <w:color w:val="1F4D78"/>
          <w:sz w:val="20"/>
        </w:rPr>
        <w:t>—</w:t>
      </w:r>
      <w:r>
        <w:rPr>
          <w:rFonts w:ascii="Calibri" w:hAnsi="Calibri" w:eastAsia="Microsoft YaHei"/>
          <w:color w:val="243447"/>
          <w:sz w:val="22"/>
        </w:rPr>
        <w:t>=无权限。此表是最小职责分离模板，不预设实际团队人数。</w:t>
      </w:r>
    </w:p>
    <w:p>
      <w:pPr>
        <w:widowControl/>
      </w:pPr>
      <w:r>
        <w:rPr>
          <w:rFonts w:ascii="Calibri" w:hAnsi="Calibri" w:eastAsia="Microsoft YaHei"/>
          <w:b/>
          <w:color w:val="243447"/>
          <w:sz w:val="22"/>
        </w:rPr>
        <w:t>标签说明：</w:t>
      </w:r>
      <w:r>
        <w:rPr>
          <w:rFonts w:ascii="Calibri" w:hAnsi="Calibri" w:eastAsia="Microsoft YaHei"/>
          <w:color w:val="243447"/>
          <w:sz w:val="22"/>
        </w:rPr>
        <w:t xml:space="preserve"> 整张矩阵是 </w:t>
      </w:r>
      <w:r>
        <w:rPr>
          <w:rFonts w:ascii="Calibri" w:hAnsi="Calibri" w:eastAsia="Microsoft YaHei"/>
          <w:b/>
          <w:color w:val="243447"/>
          <w:sz w:val="22"/>
        </w:rPr>
        <w:t>[P] 项目建议</w:t>
      </w:r>
      <w:r>
        <w:rPr>
          <w:rFonts w:ascii="Calibri" w:hAnsi="Calibri" w:eastAsia="Microsoft YaHei"/>
          <w:color w:val="243447"/>
          <w:sz w:val="22"/>
        </w:rPr>
        <w:t>；NIST/WIPO/W3C/MLCommons 只支持最小权限、审计、provenance 和独立检查等原则，不直接规定这些角色或权限单元格。</w:t>
      </w:r>
    </w:p>
    <w:p>
      <w:pPr>
        <w:sectPr>
          <w:pgSz w:w="12240" w:h="15840"/>
          <w:pgMar w:top="1440" w:right="1440" w:bottom="1440" w:left="1440" w:header="708" w:footer="708" w:gutter="0"/>
          <w:cols w:space="720" w:num="1"/>
          <w:titlePg/>
          <w:docGrid w:linePitch="360"/>
        </w:sectP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0D5DD"/>
          <w:left w:val="single" w:sz="6" w:space="0" w:color="D0D5DD"/>
          <w:bottom w:val="single" w:sz="6" w:space="0" w:color="D0D5DD"/>
          <w:right w:val="single" w:sz="6" w:space="0" w:color="D0D5DD"/>
          <w:insideH w:val="single" w:sz="6" w:space="0" w:color="D0D5DD"/>
          <w:insideV w:val="single" w:sz="6" w:space="0" w:color="D0D5DD"/>
        </w:tblBorders>
      </w:tblPr>
      <w:tblGrid>
        <w:gridCol w:w="1568"/>
        <w:gridCol w:w="1568"/>
        <w:gridCol w:w="1568"/>
        <w:gridCol w:w="1568"/>
        <w:gridCol w:w="1568"/>
        <w:gridCol w:w="1568"/>
        <w:gridCol w:w="1568"/>
        <w:gridCol w:w="1568"/>
        <w:gridCol w:w="1568"/>
      </w:tblGrid>
      <w:tr>
        <w:trPr>
          <w:cantSplit/>
          <w:tblHeader w:val="true"/>
        </w:trPr>
        <w:tc>
          <w:tcPr>
            <w:tcW w:type="dxa" w:w="211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163A5F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b/>
                <w:color w:val="FFFFFF"/>
                <w:sz w:val="14"/>
              </w:rPr>
              <w:t>Trust domain / role</w:t>
            </w:r>
          </w:p>
        </w:tc>
        <w:tc>
          <w:tcPr>
            <w:tcW w:type="dxa" w:w="149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163A5F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b/>
                <w:color w:val="FFFFFF"/>
                <w:sz w:val="14"/>
              </w:rPr>
              <w:t>Private input / environment</w:t>
            </w:r>
          </w:p>
        </w:tc>
        <w:tc>
          <w:tcPr>
            <w:tcW w:type="dxa" w:w="149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163A5F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b/>
                <w:color w:val="FFFFFF"/>
                <w:sz w:val="14"/>
              </w:rPr>
              <w:t>Submitted artifact</w:t>
            </w:r>
          </w:p>
        </w:tc>
        <w:tc>
          <w:tcPr>
            <w:tcW w:type="dxa" w:w="149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163A5F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b/>
                <w:color w:val="FFFFFF"/>
                <w:sz w:val="14"/>
              </w:rPr>
              <w:t>Reference</w:t>
            </w:r>
          </w:p>
        </w:tc>
        <w:tc>
          <w:tcPr>
            <w:tcW w:type="dxa" w:w="149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163A5F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b/>
                <w:color w:val="FFFFFF"/>
                <w:sz w:val="14"/>
              </w:rPr>
              <w:t>Evaluator production secret</w:t>
            </w:r>
          </w:p>
        </w:tc>
        <w:tc>
          <w:tcPr>
            <w:tcW w:type="dxa" w:w="149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163A5F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b/>
                <w:color w:val="FFFFFF"/>
                <w:sz w:val="14"/>
              </w:rPr>
              <w:t>Real ID map</w:t>
            </w:r>
          </w:p>
        </w:tc>
        <w:tc>
          <w:tcPr>
            <w:tcW w:type="dxa" w:w="149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163A5F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b/>
                <w:color w:val="FFFFFF"/>
                <w:sz w:val="14"/>
              </w:rPr>
              <w:t>Keys / markers</w:t>
            </w:r>
          </w:p>
        </w:tc>
        <w:tc>
          <w:tcPr>
            <w:tcW w:type="dxa" w:w="149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163A5F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b/>
                <w:color w:val="FFFFFF"/>
                <w:sz w:val="14"/>
              </w:rPr>
              <w:t>Logs</w:t>
            </w:r>
          </w:p>
        </w:tc>
        <w:tc>
          <w:tcPr>
            <w:tcW w:type="dxa" w:w="149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163A5F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b/>
                <w:color w:val="FFFFFF"/>
                <w:sz w:val="14"/>
              </w:rPr>
              <w:t>Approval</w:t>
            </w:r>
          </w:p>
        </w:tc>
      </w:tr>
      <w:tr>
        <w:trPr>
          <w:cantSplit/>
        </w:trPr>
        <w:tc>
          <w:tcPr>
            <w:tcW w:type="dxa" w:w="211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Registered submitter</w:t>
            </w:r>
          </w:p>
        </w:tc>
        <w:tc>
          <w:tcPr>
            <w:tcW w:type="dxa" w:w="149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—；只经 API/runtime</w:t>
            </w:r>
          </w:p>
        </w:tc>
        <w:tc>
          <w:tcPr>
            <w:tcW w:type="dxa" w:w="149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own artifact W</w:t>
            </w:r>
          </w:p>
        </w:tc>
        <w:tc>
          <w:tcPr>
            <w:tcW w:type="dxa" w:w="149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—</w:t>
            </w:r>
          </w:p>
        </w:tc>
        <w:tc>
          <w:tcPr>
            <w:tcW w:type="dxa" w:w="149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interface only</w:t>
            </w:r>
          </w:p>
        </w:tc>
        <w:tc>
          <w:tcPr>
            <w:tcW w:type="dxa" w:w="149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own pseudonym</w:t>
            </w:r>
          </w:p>
        </w:tc>
        <w:tc>
          <w:tcPr>
            <w:tcW w:type="dxa" w:w="149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—</w:t>
            </w:r>
          </w:p>
        </w:tc>
        <w:tc>
          <w:tcPr>
            <w:tcW w:type="dxa" w:w="149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own receipt/allowed feedback</w:t>
            </w:r>
          </w:p>
        </w:tc>
        <w:tc>
          <w:tcPr>
            <w:tcW w:type="dxa" w:w="149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—</w:t>
            </w:r>
          </w:p>
        </w:tc>
      </w:tr>
      <w:tr>
        <w:trPr>
          <w:cantSplit/>
        </w:trPr>
        <w:tc>
          <w:tcPr>
            <w:tcW w:type="dxa" w:w="211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b/>
                <w:color w:val="243447"/>
                <w:sz w:val="14"/>
              </w:rPr>
              <w:t>Agent execution worker</w:t>
            </w:r>
          </w:p>
        </w:tc>
        <w:tc>
          <w:tcPr>
            <w:tcW w:type="dxa" w:w="149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X</w:t>
            </w:r>
          </w:p>
        </w:tc>
        <w:tc>
          <w:tcPr>
            <w:tcW w:type="dxa" w:w="149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content-addressed handoff W</w:t>
            </w:r>
          </w:p>
        </w:tc>
        <w:tc>
          <w:tcPr>
            <w:tcW w:type="dxa" w:w="149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b/>
                <w:color w:val="243447"/>
                <w:sz w:val="14"/>
              </w:rPr>
              <w:t>—</w:t>
            </w:r>
          </w:p>
        </w:tc>
        <w:tc>
          <w:tcPr>
            <w:tcW w:type="dxa" w:w="149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b/>
                <w:color w:val="243447"/>
                <w:sz w:val="14"/>
              </w:rPr>
              <w:t>—</w:t>
            </w:r>
          </w:p>
        </w:tc>
        <w:tc>
          <w:tcPr>
            <w:tcW w:type="dxa" w:w="149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pseudonym only</w:t>
            </w:r>
          </w:p>
        </w:tc>
        <w:tc>
          <w:tcPr>
            <w:tcW w:type="dxa" w:w="149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—</w:t>
            </w:r>
          </w:p>
        </w:tc>
        <w:tc>
          <w:tcPr>
            <w:tcW w:type="dxa" w:w="149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append-only run events</w:t>
            </w:r>
          </w:p>
        </w:tc>
        <w:tc>
          <w:tcPr>
            <w:tcW w:type="dxa" w:w="149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—</w:t>
            </w:r>
          </w:p>
        </w:tc>
      </w:tr>
      <w:tr>
        <w:trPr>
          <w:cantSplit/>
        </w:trPr>
        <w:tc>
          <w:tcPr>
            <w:tcW w:type="dxa" w:w="211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b/>
                <w:color w:val="243447"/>
                <w:sz w:val="14"/>
              </w:rPr>
              <w:t>Scoring worker</w:t>
            </w:r>
          </w:p>
        </w:tc>
        <w:tc>
          <w:tcPr>
            <w:tcW w:type="dxa" w:w="149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b/>
                <w:color w:val="243447"/>
                <w:sz w:val="14"/>
              </w:rPr>
              <w:t>—</w:t>
            </w:r>
            <w:r>
              <w:rPr>
                <w:rFonts w:ascii="Calibri" w:hAnsi="Calibri" w:eastAsia="Microsoft YaHei"/>
                <w:color w:val="243447"/>
                <w:sz w:val="14"/>
              </w:rPr>
              <w:t>；不得读 agent workspace/credentials</w:t>
            </w:r>
          </w:p>
        </w:tc>
        <w:tc>
          <w:tcPr>
            <w:tcW w:type="dxa" w:w="149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X immutable handoff</w:t>
            </w:r>
          </w:p>
        </w:tc>
        <w:tc>
          <w:tcPr>
            <w:tcW w:type="dxa" w:w="149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X</w:t>
            </w:r>
          </w:p>
        </w:tc>
        <w:tc>
          <w:tcPr>
            <w:tcW w:type="dxa" w:w="149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X</w:t>
            </w:r>
          </w:p>
        </w:tc>
        <w:tc>
          <w:tcPr>
            <w:tcW w:type="dxa" w:w="149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—</w:t>
            </w:r>
          </w:p>
        </w:tc>
        <w:tc>
          <w:tcPr>
            <w:tcW w:type="dxa" w:w="149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non-scoring trap X only</w:t>
            </w:r>
          </w:p>
        </w:tc>
        <w:tc>
          <w:tcPr>
            <w:tcW w:type="dxa" w:w="149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append-only score event</w:t>
            </w:r>
          </w:p>
        </w:tc>
        <w:tc>
          <w:tcPr>
            <w:tcW w:type="dxa" w:w="149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—</w:t>
            </w:r>
          </w:p>
        </w:tc>
      </w:tr>
      <w:tr>
        <w:trPr>
          <w:cantSplit/>
        </w:trPr>
        <w:tc>
          <w:tcPr>
            <w:tcW w:type="dxa" w:w="211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Append-only log writer</w:t>
            </w:r>
          </w:p>
        </w:tc>
        <w:tc>
          <w:tcPr>
            <w:tcW w:type="dxa" w:w="149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—</w:t>
            </w:r>
          </w:p>
        </w:tc>
        <w:tc>
          <w:tcPr>
            <w:tcW w:type="dxa" w:w="149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hashes only</w:t>
            </w:r>
          </w:p>
        </w:tc>
        <w:tc>
          <w:tcPr>
            <w:tcW w:type="dxa" w:w="149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—</w:t>
            </w:r>
          </w:p>
        </w:tc>
        <w:tc>
          <w:tcPr>
            <w:tcW w:type="dxa" w:w="149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—</w:t>
            </w:r>
          </w:p>
        </w:tc>
        <w:tc>
          <w:tcPr>
            <w:tcW w:type="dxa" w:w="149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pseudonym/event ID</w:t>
            </w:r>
          </w:p>
        </w:tc>
        <w:tc>
          <w:tcPr>
            <w:tcW w:type="dxa" w:w="149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—</w:t>
            </w:r>
          </w:p>
        </w:tc>
        <w:tc>
          <w:tcPr>
            <w:tcW w:type="dxa" w:w="149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append only；default no read</w:t>
            </w:r>
          </w:p>
        </w:tc>
        <w:tc>
          <w:tcPr>
            <w:tcW w:type="dxa" w:w="149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—</w:t>
            </w:r>
          </w:p>
        </w:tc>
      </w:tr>
      <w:tr>
        <w:trPr>
          <w:cantSplit/>
        </w:trPr>
        <w:tc>
          <w:tcPr>
            <w:tcW w:type="dxa" w:w="211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Source curator</w:t>
            </w:r>
          </w:p>
        </w:tc>
        <w:tc>
          <w:tcPr>
            <w:tcW w:type="dxa" w:w="149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R/W input source</w:t>
            </w:r>
          </w:p>
        </w:tc>
        <w:tc>
          <w:tcPr>
            <w:tcW w:type="dxa" w:w="149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—</w:t>
            </w:r>
          </w:p>
        </w:tc>
        <w:tc>
          <w:tcPr>
            <w:tcW w:type="dxa" w:w="149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—</w:t>
            </w:r>
          </w:p>
        </w:tc>
        <w:tc>
          <w:tcPr>
            <w:tcW w:type="dxa" w:w="149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—</w:t>
            </w:r>
          </w:p>
        </w:tc>
        <w:tc>
          <w:tcPr>
            <w:tcW w:type="dxa" w:w="149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—</w:t>
            </w:r>
          </w:p>
        </w:tc>
        <w:tc>
          <w:tcPr>
            <w:tcW w:type="dxa" w:w="149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—</w:t>
            </w:r>
          </w:p>
        </w:tc>
        <w:tc>
          <w:tcPr>
            <w:tcW w:type="dxa" w:w="149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asset history R</w:t>
            </w:r>
          </w:p>
        </w:tc>
        <w:tc>
          <w:tcPr>
            <w:tcW w:type="dxa" w:w="149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—</w:t>
            </w:r>
          </w:p>
        </w:tc>
      </w:tr>
      <w:tr>
        <w:trPr>
          <w:cantSplit/>
        </w:trPr>
        <w:tc>
          <w:tcPr>
            <w:tcW w:type="dxa" w:w="211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Reference adjudicator</w:t>
            </w:r>
          </w:p>
        </w:tc>
        <w:tc>
          <w:tcPr>
            <w:tcW w:type="dxa" w:w="149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selected/masked R</w:t>
            </w:r>
          </w:p>
        </w:tc>
        <w:tc>
          <w:tcPr>
            <w:tcW w:type="dxa" w:w="149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test artifacts R</w:t>
            </w:r>
          </w:p>
        </w:tc>
        <w:tc>
          <w:tcPr>
            <w:tcW w:type="dxa" w:w="149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R/W candidate</w:t>
            </w:r>
          </w:p>
        </w:tc>
        <w:tc>
          <w:tcPr>
            <w:tcW w:type="dxa" w:w="149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—</w:t>
            </w:r>
          </w:p>
        </w:tc>
        <w:tc>
          <w:tcPr>
            <w:tcW w:type="dxa" w:w="149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—</w:t>
            </w:r>
          </w:p>
        </w:tc>
        <w:tc>
          <w:tcPr>
            <w:tcW w:type="dxa" w:w="149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—</w:t>
            </w:r>
          </w:p>
        </w:tc>
        <w:tc>
          <w:tcPr>
            <w:tcW w:type="dxa" w:w="149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adjudication log W</w:t>
            </w:r>
          </w:p>
        </w:tc>
        <w:tc>
          <w:tcPr>
            <w:tcW w:type="dxa" w:w="149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reference approval under review</w:t>
            </w:r>
          </w:p>
        </w:tc>
      </w:tr>
      <w:tr>
        <w:trPr>
          <w:cantSplit/>
        </w:trPr>
        <w:tc>
          <w:tcPr>
            <w:tcW w:type="dxa" w:w="211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Evaluator maintainer</w:t>
            </w:r>
          </w:p>
        </w:tc>
        <w:tc>
          <w:tcPr>
            <w:tcW w:type="dxa" w:w="149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synthetic/masked fixtures</w:t>
            </w:r>
          </w:p>
        </w:tc>
        <w:tc>
          <w:tcPr>
            <w:tcW w:type="dxa" w:w="149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test artifacts R</w:t>
            </w:r>
          </w:p>
        </w:tc>
        <w:tc>
          <w:tcPr>
            <w:tcW w:type="dxa" w:w="149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selected test reference</w:t>
            </w:r>
          </w:p>
        </w:tc>
        <w:tc>
          <w:tcPr>
            <w:tcW w:type="dxa" w:w="149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R/W non-production code；no prod key</w:t>
            </w:r>
          </w:p>
        </w:tc>
        <w:tc>
          <w:tcPr>
            <w:tcW w:type="dxa" w:w="149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—</w:t>
            </w:r>
          </w:p>
        </w:tc>
        <w:tc>
          <w:tcPr>
            <w:tcW w:type="dxa" w:w="149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—</w:t>
            </w:r>
          </w:p>
        </w:tc>
        <w:tc>
          <w:tcPr>
            <w:tcW w:type="dxa" w:w="149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evaluator-test logs R</w:t>
            </w:r>
          </w:p>
        </w:tc>
        <w:tc>
          <w:tcPr>
            <w:tcW w:type="dxa" w:w="149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code review only</w:t>
            </w:r>
          </w:p>
        </w:tc>
      </w:tr>
      <w:tr>
        <w:trPr>
          <w:cantSplit/>
        </w:trPr>
        <w:tc>
          <w:tcPr>
            <w:tcW w:type="dxa" w:w="211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Identity registrar</w:t>
            </w:r>
          </w:p>
        </w:tc>
        <w:tc>
          <w:tcPr>
            <w:tcW w:type="dxa" w:w="149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—</w:t>
            </w:r>
          </w:p>
        </w:tc>
        <w:tc>
          <w:tcPr>
            <w:tcW w:type="dxa" w:w="149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—</w:t>
            </w:r>
          </w:p>
        </w:tc>
        <w:tc>
          <w:tcPr>
            <w:tcW w:type="dxa" w:w="149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—</w:t>
            </w:r>
          </w:p>
        </w:tc>
        <w:tc>
          <w:tcPr>
            <w:tcW w:type="dxa" w:w="149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—</w:t>
            </w:r>
          </w:p>
        </w:tc>
        <w:tc>
          <w:tcPr>
            <w:tcW w:type="dxa" w:w="149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R/W</w:t>
            </w:r>
          </w:p>
        </w:tc>
        <w:tc>
          <w:tcPr>
            <w:tcW w:type="dxa" w:w="149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copy-recipient mapping only</w:t>
            </w:r>
          </w:p>
        </w:tc>
        <w:tc>
          <w:tcPr>
            <w:tcW w:type="dxa" w:w="149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identity events</w:t>
            </w:r>
          </w:p>
        </w:tc>
        <w:tc>
          <w:tcPr>
            <w:tcW w:type="dxa" w:w="149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mapping approval</w:t>
            </w:r>
          </w:p>
        </w:tc>
      </w:tr>
      <w:tr>
        <w:trPr>
          <w:cantSplit/>
        </w:trPr>
        <w:tc>
          <w:tcPr>
            <w:tcW w:type="dxa" w:w="211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Release steward</w:t>
            </w:r>
          </w:p>
        </w:tc>
        <w:tc>
          <w:tcPr>
            <w:tcW w:type="dxa" w:w="149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metadata only</w:t>
            </w:r>
          </w:p>
        </w:tc>
        <w:tc>
          <w:tcPr>
            <w:tcW w:type="dxa" w:w="149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hashes only</w:t>
            </w:r>
          </w:p>
        </w:tc>
        <w:tc>
          <w:tcPr>
            <w:tcW w:type="dxa" w:w="149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version metadata</w:t>
            </w:r>
          </w:p>
        </w:tc>
        <w:tc>
          <w:tcPr>
            <w:tcW w:type="dxa" w:w="149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build/version metadata</w:t>
            </w:r>
          </w:p>
        </w:tc>
        <w:tc>
          <w:tcPr>
            <w:tcW w:type="dxa" w:w="149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—</w:t>
            </w:r>
          </w:p>
        </w:tc>
        <w:tc>
          <w:tcPr>
            <w:tcW w:type="dxa" w:w="149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—</w:t>
            </w:r>
          </w:p>
        </w:tc>
        <w:tc>
          <w:tcPr>
            <w:tcW w:type="dxa" w:w="149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R</w:t>
            </w:r>
          </w:p>
        </w:tc>
        <w:tc>
          <w:tcPr>
            <w:tcW w:type="dxa" w:w="149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publication A；不得自批作者资产</w:t>
            </w:r>
          </w:p>
        </w:tc>
      </w:tr>
      <w:tr>
        <w:trPr>
          <w:cantSplit/>
        </w:trPr>
        <w:tc>
          <w:tcPr>
            <w:tcW w:type="dxa" w:w="211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Security / independent audit</w:t>
            </w:r>
          </w:p>
        </w:tc>
        <w:tc>
          <w:tcPr>
            <w:tcW w:type="dxa" w:w="149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controlled R</w:t>
            </w:r>
          </w:p>
        </w:tc>
        <w:tc>
          <w:tcPr>
            <w:tcW w:type="dxa" w:w="149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controlled R</w:t>
            </w:r>
          </w:p>
        </w:tc>
        <w:tc>
          <w:tcPr>
            <w:tcW w:type="dxa" w:w="149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controlled R</w:t>
            </w:r>
          </w:p>
        </w:tc>
        <w:tc>
          <w:tcPr>
            <w:tcW w:type="dxa" w:w="149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controlled R under dual control</w:t>
            </w:r>
          </w:p>
        </w:tc>
        <w:tc>
          <w:tcPr>
            <w:tcW w:type="dxa" w:w="149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controlled R only if needed</w:t>
            </w:r>
          </w:p>
        </w:tc>
        <w:tc>
          <w:tcPr>
            <w:tcW w:type="dxa" w:w="149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controlled R under dual control</w:t>
            </w:r>
          </w:p>
        </w:tc>
        <w:tc>
          <w:tcPr>
            <w:tcW w:type="dxa" w:w="149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R + integrity verify</w:t>
            </w:r>
          </w:p>
        </w:tc>
        <w:tc>
          <w:tcPr>
            <w:tcW w:type="dxa" w:w="149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recommendation / appeal</w:t>
            </w:r>
          </w:p>
        </w:tc>
      </w:tr>
      <w:tr>
        <w:trPr>
          <w:cantSplit/>
        </w:trPr>
        <w:tc>
          <w:tcPr>
            <w:tcW w:type="dxa" w:w="211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Key/marker custodian</w:t>
            </w:r>
          </w:p>
        </w:tc>
        <w:tc>
          <w:tcPr>
            <w:tcW w:type="dxa" w:w="149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marker placement interface only</w:t>
            </w:r>
          </w:p>
        </w:tc>
        <w:tc>
          <w:tcPr>
            <w:tcW w:type="dxa" w:w="149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—</w:t>
            </w:r>
          </w:p>
        </w:tc>
        <w:tc>
          <w:tcPr>
            <w:tcW w:type="dxa" w:w="149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marker placement only</w:t>
            </w:r>
          </w:p>
        </w:tc>
        <w:tc>
          <w:tcPr>
            <w:tcW w:type="dxa" w:w="149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key injection interface only</w:t>
            </w:r>
          </w:p>
        </w:tc>
        <w:tc>
          <w:tcPr>
            <w:tcW w:type="dxa" w:w="149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recipient mapping scoped R</w:t>
            </w:r>
          </w:p>
        </w:tc>
        <w:tc>
          <w:tcPr>
            <w:tcW w:type="dxa" w:w="149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R/W</w:t>
            </w:r>
          </w:p>
        </w:tc>
        <w:tc>
          <w:tcPr>
            <w:tcW w:type="dxa" w:w="149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marker events only</w:t>
            </w:r>
          </w:p>
        </w:tc>
        <w:tc>
          <w:tcPr>
            <w:tcW w:type="dxa" w:w="149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key rotation A under dual control</w:t>
            </w:r>
          </w:p>
        </w:tc>
      </w:tr>
    </w:tbl>
    <w:p>
      <w:pPr>
        <w:sectPr>
          <w:pgSz w:w="15840" w:h="12240" w:orient="landscape"/>
          <w:pgMar w:top="864" w:right="864" w:bottom="864" w:left="864" w:header="708" w:footer="708" w:gutter="0"/>
          <w:cols w:space="720" w:num="1"/>
          <w:titlePg/>
          <w:docGrid w:linePitch="360"/>
        </w:sectPr>
      </w:pPr>
    </w:p>
    <w:p>
      <w:pPr>
        <w:widowControl/>
      </w:pPr>
      <w:r>
        <w:rPr>
          <w:rFonts w:ascii="Calibri" w:hAnsi="Calibri" w:eastAsia="Microsoft YaHei"/>
          <w:b/>
          <w:color w:val="243447"/>
          <w:sz w:val="22"/>
        </w:rPr>
        <w:t>[P] 强制 trust boundary：</w:t>
      </w:r>
      <w:r>
        <w:rPr>
          <w:rFonts w:ascii="Calibri" w:hAnsi="Calibri" w:eastAsia="Microsoft YaHei"/>
          <w:color w:val="243447"/>
          <w:sz w:val="22"/>
        </w:rPr>
        <w:t xml:space="preserve"> Agent execution worker 永远不 mount/decrypt reference 或 evaluator secret；scoring worker 永远不获得 agent workspace、tool credentials、network session 或修改 handoff artifact 的权限。攻陷任一 domain 均不能独立跨越这条边界。</w:t>
      </w:r>
    </w:p>
    <w:p>
      <w:pPr>
        <w:widowControl/>
      </w:pPr>
      <w:r>
        <w:rPr>
          <w:rFonts w:ascii="Calibri" w:hAnsi="Calibri" w:eastAsia="Microsoft YaHei"/>
          <w:b/>
          <w:color w:val="243447"/>
          <w:sz w:val="22"/>
        </w:rPr>
        <w:t>[P] 权限实现不能只用 R/W/X。</w:t>
      </w:r>
      <w:r>
        <w:rPr>
          <w:rFonts w:ascii="Calibri" w:hAnsi="Calibri" w:eastAsia="Microsoft YaHei"/>
          <w:color w:val="243447"/>
          <w:sz w:val="22"/>
        </w:rPr>
        <w:t xml:space="preserve"> Secret capability 需分别声明 </w:t>
      </w:r>
      <w:r>
        <w:rPr>
          <w:rFonts w:ascii="Consolas" w:hAnsi="Consolas" w:eastAsia="Microsoft YaHei"/>
          <w:color w:val="1F4D78"/>
          <w:sz w:val="20"/>
        </w:rPr>
        <w:t>list / read / export / decrypt / mount / append / network_egress / approve</w:t>
      </w:r>
      <w:r>
        <w:rPr>
          <w:rFonts w:ascii="Calibri" w:hAnsi="Calibri" w:eastAsia="Microsoft YaHei"/>
          <w:color w:val="243447"/>
          <w:sz w:val="22"/>
        </w:rPr>
        <w:t>；</w:t>
      </w:r>
      <w:r>
        <w:rPr>
          <w:rFonts w:ascii="Consolas" w:hAnsi="Consolas" w:eastAsia="Microsoft YaHei"/>
          <w:color w:val="1F4D78"/>
          <w:sz w:val="20"/>
        </w:rPr>
        <w:t>W</w:t>
      </w:r>
      <w:r>
        <w:rPr>
          <w:rFonts w:ascii="Calibri" w:hAnsi="Calibri" w:eastAsia="Microsoft YaHei"/>
          <w:color w:val="243447"/>
          <w:sz w:val="22"/>
        </w:rPr>
        <w:t xml:space="preserve"> 不隐含 delete/overwrite。Break-glass 约束覆盖人、service account、CI runner、host、backup、observability 与 support tooling，并产生 stable event、expiry、双人/独立 review。实际角色合并与供应商权限为 </w:t>
      </w:r>
      <w:r>
        <w:rPr>
          <w:rFonts w:ascii="Calibri" w:hAnsi="Calibri" w:eastAsia="Microsoft YaHei"/>
          <w:b/>
          <w:color w:val="B42318"/>
          <w:sz w:val="21"/>
        </w:rPr>
        <w:t>[V]</w:t>
      </w:r>
      <w:r>
        <w:rPr>
          <w:rFonts w:ascii="Calibri" w:hAnsi="Calibri" w:eastAsia="Microsoft YaHei"/>
          <w:color w:val="243447"/>
          <w:sz w:val="22"/>
        </w:rPr>
        <w:t>。</w:t>
      </w:r>
    </w:p>
    <w:p>
      <w:pPr>
        <w:pStyle w:val="Heading1"/>
        <w:pageBreakBefore/>
      </w:pPr>
      <w:r>
        <w:rPr>
          <w:rFonts w:ascii="Calibri" w:hAnsi="Calibri" w:eastAsia="Microsoft YaHei"/>
          <w:color w:val="2E74B5"/>
          <w:sz w:val="32"/>
        </w:rPr>
        <w:t>5. Contamination taxonomy</w:t>
      </w:r>
    </w:p>
    <w:p>
      <w:pPr>
        <w:widowControl/>
      </w:pPr>
      <w:r>
        <w:rPr>
          <w:rFonts w:ascii="Calibri" w:hAnsi="Calibri" w:eastAsia="Microsoft YaHei"/>
          <w:b/>
          <w:color w:val="243447"/>
          <w:sz w:val="22"/>
        </w:rPr>
        <w:t>标签说明：</w:t>
      </w:r>
      <w:r>
        <w:rPr>
          <w:rFonts w:ascii="Calibri" w:hAnsi="Calibri" w:eastAsia="Microsoft YaHei"/>
          <w:color w:val="243447"/>
          <w:sz w:val="22"/>
        </w:rPr>
        <w:t xml:space="preserve"> 下表“定义与边界”默认是把公开方法映射到 ALE-style 场景的 </w:t>
      </w:r>
      <w:r>
        <w:rPr>
          <w:rFonts w:ascii="Calibri" w:hAnsi="Calibri" w:eastAsia="Microsoft YaHei"/>
          <w:b/>
          <w:color w:val="243447"/>
          <w:sz w:val="22"/>
        </w:rPr>
        <w:t>[I] 研究者推断</w:t>
      </w:r>
      <w:r>
        <w:rPr>
          <w:rFonts w:ascii="Calibri" w:hAnsi="Calibri" w:eastAsia="Microsoft YaHei"/>
          <w:color w:val="243447"/>
          <w:sz w:val="22"/>
        </w:rPr>
        <w:t xml:space="preserve">；“主要检测/首要缓解”是 </w:t>
      </w:r>
      <w:r>
        <w:rPr>
          <w:rFonts w:ascii="Calibri" w:hAnsi="Calibri" w:eastAsia="Microsoft YaHei"/>
          <w:b/>
          <w:color w:val="243447"/>
          <w:sz w:val="22"/>
        </w:rPr>
        <w:t>[P] 项目建议</w:t>
      </w:r>
      <w:r>
        <w:rPr>
          <w:rFonts w:ascii="Calibri" w:hAnsi="Calibri" w:eastAsia="Microsoft YaHei"/>
          <w:color w:val="243447"/>
          <w:sz w:val="22"/>
        </w:rPr>
        <w:t xml:space="preserve">；“不能推断”是证据边界。各类来源直接支持的内容与机构主张在来源卡中分别标为 </w:t>
      </w:r>
      <w:r>
        <w:rPr>
          <w:rFonts w:ascii="Calibri" w:hAnsi="Calibri" w:eastAsia="Microsoft YaHei"/>
          <w:b/>
          <w:color w:val="26734D"/>
          <w:sz w:val="21"/>
        </w:rPr>
        <w:t>[E]</w:t>
      </w:r>
      <w:r>
        <w:rPr>
          <w:rFonts w:ascii="Calibri" w:hAnsi="Calibri" w:eastAsia="Microsoft YaHei"/>
          <w:color w:val="243447"/>
          <w:sz w:val="22"/>
        </w:rPr>
        <w:t>/</w:t>
      </w:r>
      <w:r>
        <w:rPr>
          <w:rFonts w:ascii="Calibri" w:hAnsi="Calibri" w:eastAsia="Microsoft YaHei"/>
          <w:b/>
          <w:color w:val="2E74B5"/>
          <w:sz w:val="21"/>
        </w:rPr>
        <w:t>[C]</w:t>
      </w:r>
      <w:r>
        <w:rPr>
          <w:rFonts w:ascii="Calibri" w:hAnsi="Calibri" w:eastAsia="Microsoft YaHei"/>
          <w:color w:val="243447"/>
          <w:sz w:val="22"/>
        </w:rPr>
        <w:t>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0D5DD"/>
          <w:left w:val="single" w:sz="6" w:space="0" w:color="D0D5DD"/>
          <w:bottom w:val="single" w:sz="6" w:space="0" w:color="D0D5DD"/>
          <w:right w:val="single" w:sz="6" w:space="0" w:color="D0D5DD"/>
          <w:insideH w:val="single" w:sz="6" w:space="0" w:color="D0D5DD"/>
          <w:insideV w:val="single" w:sz="6" w:space="0" w:color="D0D5DD"/>
        </w:tblBorders>
      </w:tblPr>
      <w:tblGrid>
        <w:gridCol w:w="1560"/>
        <w:gridCol w:w="1560"/>
        <w:gridCol w:w="1560"/>
        <w:gridCol w:w="1560"/>
        <w:gridCol w:w="1560"/>
        <w:gridCol w:w="1560"/>
      </w:tblGrid>
      <w:tr>
        <w:trPr>
          <w:cantSplit/>
          <w:tblHeader w:val="true"/>
        </w:trPr>
        <w:tc>
          <w:tcPr>
            <w:tcW w:type="dxa" w:w="140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163A5F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b/>
                <w:color w:val="FFFFFF"/>
                <w:sz w:val="15"/>
              </w:rPr>
              <w:t>ID</w:t>
            </w:r>
          </w:p>
        </w:tc>
        <w:tc>
          <w:tcPr>
            <w:tcW w:type="dxa" w:w="159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163A5F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b/>
                <w:color w:val="FFFFFF"/>
                <w:sz w:val="15"/>
              </w:rPr>
              <w:t>类型</w:t>
            </w:r>
          </w:p>
        </w:tc>
        <w:tc>
          <w:tcPr>
            <w:tcW w:type="dxa" w:w="159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163A5F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b/>
                <w:color w:val="FFFFFF"/>
                <w:sz w:val="15"/>
              </w:rPr>
              <w:t>定义与边界</w:t>
            </w:r>
          </w:p>
        </w:tc>
        <w:tc>
          <w:tcPr>
            <w:tcW w:type="dxa" w:w="159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163A5F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b/>
                <w:color w:val="FFFFFF"/>
                <w:sz w:val="15"/>
              </w:rPr>
              <w:t>主要检测</w:t>
            </w:r>
          </w:p>
        </w:tc>
        <w:tc>
          <w:tcPr>
            <w:tcW w:type="dxa" w:w="159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163A5F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b/>
                <w:color w:val="FFFFFF"/>
                <w:sz w:val="15"/>
              </w:rPr>
              <w:t>首要缓解</w:t>
            </w:r>
          </w:p>
        </w:tc>
        <w:tc>
          <w:tcPr>
            <w:tcW w:type="dxa" w:w="159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163A5F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b/>
                <w:color w:val="FFFFFF"/>
                <w:sz w:val="15"/>
              </w:rPr>
              <w:t>不能推断</w:t>
            </w:r>
          </w:p>
        </w:tc>
      </w:tr>
      <w:tr>
        <w:trPr>
          <w:cantSplit/>
        </w:trPr>
        <w:tc>
          <w:tcPr>
            <w:tcW w:type="dxa" w:w="140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5"/>
              </w:rPr>
              <w:t>T1</w:t>
            </w:r>
          </w:p>
        </w:tc>
        <w:tc>
          <w:tcPr>
            <w:tcW w:type="dxa" w:w="159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b/>
                <w:color w:val="243447"/>
                <w:sz w:val="15"/>
              </w:rPr>
              <w:t>Pretraining exposure</w:t>
            </w:r>
          </w:p>
        </w:tc>
        <w:tc>
          <w:tcPr>
            <w:tcW w:type="dxa" w:w="159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5"/>
              </w:rPr>
              <w:t>基础模型参数形成阶段出现 prompt/input/reference/solution/grader 线索或近重复；通用领域知识不自动算污染</w:t>
            </w:r>
          </w:p>
        </w:tc>
        <w:tc>
          <w:tcPr>
            <w:tcW w:type="dxa" w:w="159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5"/>
              </w:rPr>
              <w:t>训练 cutoff/manifest attestation；公开语料/code/cache 搜索；membership probes；canary；fresh paired runs</w:t>
            </w:r>
          </w:p>
        </w:tc>
        <w:tc>
          <w:tcPr>
            <w:tcW w:type="dxa" w:w="159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5"/>
              </w:rPr>
              <w:t>private/reserve 不发布；提交绑定 base model/cutoff；重大疑点以经 preflight promotion 的 fresh private-final clean rerun</w:t>
            </w:r>
          </w:p>
        </w:tc>
        <w:tc>
          <w:tcPr>
            <w:tcW w:type="dxa" w:w="159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5"/>
              </w:rPr>
              <w:t>detector 未命中 ≠ 无暴露；黑盒供应商常不可完全审计</w:t>
            </w:r>
          </w:p>
        </w:tc>
      </w:tr>
      <w:tr>
        <w:trPr>
          <w:cantSplit/>
        </w:trPr>
        <w:tc>
          <w:tcPr>
            <w:tcW w:type="dxa" w:w="140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5"/>
              </w:rPr>
              <w:t>T2</w:t>
            </w:r>
          </w:p>
        </w:tc>
        <w:tc>
          <w:tcPr>
            <w:tcW w:type="dxa" w:w="159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b/>
                <w:color w:val="243447"/>
                <w:sz w:val="15"/>
              </w:rPr>
              <w:t>Post-training optimization</w:t>
            </w:r>
          </w:p>
        </w:tc>
        <w:tc>
          <w:tcPr>
            <w:tcW w:type="dxa" w:w="159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5"/>
              </w:rPr>
              <w:t>SFT/RL/distillation、prompt/harness/tool/memory/routing 对 benchmark item 或反馈进行针对优化</w:t>
            </w:r>
          </w:p>
        </w:tc>
        <w:tc>
          <w:tcPr>
            <w:tcW w:type="dxa" w:w="159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5"/>
              </w:rPr>
              <w:t>post-training lineage；benchmark-specific strings/branches/cache；public→validation→fresh active-private gap</w:t>
            </w:r>
          </w:p>
        </w:tc>
        <w:tc>
          <w:tcPr>
            <w:tcW w:type="dxa" w:w="159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5"/>
              </w:rPr>
              <w:t>dev/training 可合法优化但单独标记；final/reserve 禁止针对性更新；身份绑定完整 agent config</w:t>
            </w:r>
          </w:p>
        </w:tc>
        <w:tc>
          <w:tcPr>
            <w:tcW w:type="dxa" w:w="159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5"/>
              </w:rPr>
              <w:t>性能提升序列本身不能证明动机或数据来源</w:t>
            </w:r>
          </w:p>
        </w:tc>
      </w:tr>
      <w:tr>
        <w:trPr>
          <w:cantSplit/>
        </w:trPr>
        <w:tc>
          <w:tcPr>
            <w:tcW w:type="dxa" w:w="140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5"/>
              </w:rPr>
              <w:t>T3</w:t>
            </w:r>
          </w:p>
        </w:tc>
        <w:tc>
          <w:tcPr>
            <w:tcW w:type="dxa" w:w="159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b/>
                <w:color w:val="243447"/>
                <w:sz w:val="15"/>
              </w:rPr>
              <w:t>Public solution</w:t>
            </w:r>
          </w:p>
        </w:tc>
        <w:tc>
          <w:tcPr>
            <w:tcW w:type="dxa" w:w="159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5"/>
              </w:rPr>
              <w:t>gold/reference、human solution、walkthrough、repair patch、rubric/grader probe 出现在 web/code/video/log</w:t>
            </w:r>
          </w:p>
        </w:tc>
        <w:tc>
          <w:tcPr>
            <w:tcW w:type="dxa" w:w="159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5"/>
              </w:rPr>
              <w:t>web/code/transcript 定期搜索；reference/artifact structural fingerprints；时间线关联；copy marker</w:t>
            </w:r>
          </w:p>
        </w:tc>
        <w:tc>
          <w:tcPr>
            <w:tcW w:type="dxa" w:w="159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5"/>
              </w:rPr>
              <w:t>公共池使用专门可公开 reference；private/reserve reference 和 scorer 细节隔离；retire 后才评估披露</w:t>
            </w:r>
          </w:p>
        </w:tc>
        <w:tc>
          <w:tcPr>
            <w:tcW w:type="dxa" w:w="159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5"/>
              </w:rPr>
              <w:t>删除网页不能删除模型参数、镜像、缓存和截图</w:t>
            </w:r>
          </w:p>
        </w:tc>
      </w:tr>
      <w:tr>
        <w:trPr>
          <w:cantSplit/>
        </w:trPr>
        <w:tc>
          <w:tcPr>
            <w:tcW w:type="dxa" w:w="140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5"/>
              </w:rPr>
              <w:t>T4</w:t>
            </w:r>
          </w:p>
        </w:tc>
        <w:tc>
          <w:tcPr>
            <w:tcW w:type="dxa" w:w="159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b/>
                <w:color w:val="243447"/>
                <w:sz w:val="15"/>
              </w:rPr>
              <w:t>Near-duplicate</w:t>
            </w:r>
          </w:p>
        </w:tc>
        <w:tc>
          <w:tcPr>
            <w:tcW w:type="dxa" w:w="159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5"/>
              </w:rPr>
              <w:t>paraphrase/translation/格式或数值变换/模板换皮/近似文件、reference 或 evaluator graph</w:t>
            </w:r>
          </w:p>
        </w:tc>
        <w:tc>
          <w:tcPr>
            <w:tcW w:type="dxa" w:w="159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5"/>
              </w:rPr>
              <w:t>exact hash → normalized fingerprints → semantic retrieval → graph compare → expert adjudication</w:t>
            </w:r>
          </w:p>
        </w:tc>
        <w:tc>
          <w:tcPr>
            <w:tcW w:type="dxa" w:w="159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5"/>
              </w:rPr>
              <w:t>family 跨池重建 concrete surface；pilot 校准 detector</w:t>
            </w:r>
          </w:p>
        </w:tc>
        <w:tc>
          <w:tcPr>
            <w:tcW w:type="dxa" w:w="159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5"/>
              </w:rPr>
              <w:t>单一字符串去重不充分；阈值过严会误删合法同领域任务</w:t>
            </w:r>
          </w:p>
        </w:tc>
      </w:tr>
      <w:tr>
        <w:trPr>
          <w:cantSplit/>
        </w:trPr>
        <w:tc>
          <w:tcPr>
            <w:tcW w:type="dxa" w:w="140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5"/>
              </w:rPr>
              <w:t>T5</w:t>
            </w:r>
          </w:p>
        </w:tc>
        <w:tc>
          <w:tcPr>
            <w:tcW w:type="dxa" w:w="159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b/>
                <w:color w:val="243447"/>
                <w:sz w:val="15"/>
              </w:rPr>
              <w:t>Search-time contamination</w:t>
            </w:r>
          </w:p>
        </w:tc>
        <w:tc>
          <w:tcPr>
            <w:tcW w:type="dxa" w:w="159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5"/>
              </w:rPr>
              <w:t>agent 运行时经 web、code search、history、enterprise KB、cache、vector store、shared memory 找到题目/答案/ grader 线索</w:t>
            </w:r>
          </w:p>
        </w:tc>
        <w:tc>
          <w:tcPr>
            <w:tcW w:type="dxa" w:w="159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5"/>
              </w:rPr>
              <w:t>完整 network/DNS/proxy/query/snippet/tool/URL/content hashes；controlled-network 对照</w:t>
            </w:r>
          </w:p>
        </w:tc>
        <w:tc>
          <w:tcPr>
            <w:tcW w:type="dxa" w:w="159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5"/>
              </w:rPr>
              <w:t>若开放 web 属构念，隐藏 searchable IDs 并审计轨迹；否则 allowlist/mirror/offline</w:t>
            </w:r>
          </w:p>
        </w:tc>
        <w:tc>
          <w:tcPr>
            <w:tcW w:type="dxa" w:w="159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5"/>
              </w:rPr>
              <w:t>ALE-style 发生率/效应证据不足，必须 pilot；禁网也可能破坏真实构念</w:t>
            </w:r>
          </w:p>
        </w:tc>
      </w:tr>
      <w:tr>
        <w:trPr>
          <w:cantSplit/>
        </w:trPr>
        <w:tc>
          <w:tcPr>
            <w:tcW w:type="dxa" w:w="140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5"/>
              </w:rPr>
              <w:t>T6</w:t>
            </w:r>
          </w:p>
        </w:tc>
        <w:tc>
          <w:tcPr>
            <w:tcW w:type="dxa" w:w="159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b/>
                <w:color w:val="243447"/>
                <w:sz w:val="15"/>
              </w:rPr>
              <w:t>Reference/evaluator leakage</w:t>
            </w:r>
          </w:p>
        </w:tc>
        <w:tc>
          <w:tcPr>
            <w:tcW w:type="dxa" w:w="159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5"/>
              </w:rPr>
              <w:t>reference、hidden tests、judge prompt、tolerance/weight/hash、gold patch、seed、grader API behavior 泄漏</w:t>
            </w:r>
          </w:p>
        </w:tc>
        <w:tc>
          <w:tcPr>
            <w:tcW w:type="dxa" w:w="159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5"/>
              </w:rPr>
              <w:t>secret/repo history audit；non-scoring trap；异常边界行为；scorer query/error sequence；独立 exploit review</w:t>
            </w:r>
          </w:p>
        </w:tc>
        <w:tc>
          <w:tcPr>
            <w:tcW w:type="dxa" w:w="159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5"/>
              </w:rPr>
              <w:t>EaaS；reference/key 分仓；ephemeral mount；最小 error/feedback；rotate secret surface</w:t>
            </w:r>
          </w:p>
        </w:tc>
        <w:tc>
          <w:tcPr>
            <w:tcW w:type="dxa" w:w="159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5"/>
              </w:rPr>
              <w:t>大量黑盒 query 仍可能反推；grader bug 可伪装成攻击</w:t>
            </w:r>
          </w:p>
        </w:tc>
      </w:tr>
      <w:tr>
        <w:trPr>
          <w:cantSplit/>
        </w:trPr>
        <w:tc>
          <w:tcPr>
            <w:tcW w:type="dxa" w:w="140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5"/>
              </w:rPr>
              <w:t>T7</w:t>
            </w:r>
          </w:p>
        </w:tc>
        <w:tc>
          <w:tcPr>
            <w:tcW w:type="dxa" w:w="159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b/>
                <w:color w:val="243447"/>
                <w:sz w:val="15"/>
              </w:rPr>
              <w:t>Internal leakage</w:t>
            </w:r>
          </w:p>
        </w:tc>
        <w:tc>
          <w:tcPr>
            <w:tcW w:type="dxa" w:w="159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5"/>
              </w:rPr>
              <w:t>员工、专家、供应商、平台管理员、自动化系统故意/意外/被入侵泄露</w:t>
            </w:r>
          </w:p>
        </w:tc>
        <w:tc>
          <w:tcPr>
            <w:tcW w:type="dxa" w:w="159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5"/>
              </w:rPr>
              <w:t>identity-bound access/download/egress logs；per-recipient copy marker；DLP；privilege recertification</w:t>
            </w:r>
          </w:p>
        </w:tc>
        <w:tc>
          <w:tcPr>
            <w:tcW w:type="dxa" w:w="159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5"/>
              </w:rPr>
              <w:t>need-to-know、JIT、自动过期、职责分离、双人导出、offboarding revoke</w:t>
            </w:r>
          </w:p>
        </w:tc>
        <w:tc>
          <w:tcPr>
            <w:tcW w:type="dxa" w:w="159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5"/>
              </w:rPr>
              <w:t>内部生产必然需要部分访问；过度监控有隐私/劳动成本</w:t>
            </w:r>
          </w:p>
        </w:tc>
      </w:tr>
      <w:tr>
        <w:trPr>
          <w:cantSplit/>
        </w:trPr>
        <w:tc>
          <w:tcPr>
            <w:tcW w:type="dxa" w:w="140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5"/>
              </w:rPr>
              <w:t>T8</w:t>
            </w:r>
          </w:p>
        </w:tc>
        <w:tc>
          <w:tcPr>
            <w:tcW w:type="dxa" w:w="159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b/>
                <w:color w:val="243447"/>
                <w:sz w:val="15"/>
              </w:rPr>
              <w:t>Repeated-query hill climbing</w:t>
            </w:r>
          </w:p>
        </w:tc>
        <w:tc>
          <w:tcPr>
            <w:tcW w:type="dxa" w:w="159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5"/>
              </w:rPr>
              <w:t>看不到 raw holdout，仍根据 score/pass/error/rank/latency 反复优化</w:t>
            </w:r>
          </w:p>
        </w:tc>
        <w:tc>
          <w:tcPr>
            <w:tcW w:type="dxa" w:w="159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5"/>
              </w:rPr>
              <w:t>account+org+model-lineage linkage；提交序列/score gradient；跨账号同步；fresh final/新晋 promoted item 复核</w:t>
            </w:r>
          </w:p>
        </w:tc>
        <w:tc>
          <w:tcPr>
            <w:tcW w:type="dxa" w:w="159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5"/>
              </w:rPr>
              <w:t>同时限制 query、feedback granularity/delay、final selection、reset 与 eligibility；给 dev surface 足够 diagnostics</w:t>
            </w:r>
          </w:p>
        </w:tc>
        <w:tc>
          <w:tcPr>
            <w:tcW w:type="dxa" w:w="159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5"/>
              </w:rPr>
              <w:t>正常产品迭代也会提高分数；模式是调查线索，不是作弊证明</w:t>
            </w:r>
          </w:p>
        </w:tc>
      </w:tr>
    </w:tbl>
    <w:p>
      <w:pPr>
        <w:widowControl/>
      </w:pPr>
      <w:r>
        <w:rPr>
          <w:rFonts w:ascii="Calibri" w:hAnsi="Calibri" w:eastAsia="Microsoft YaHei"/>
          <w:b/>
          <w:color w:val="243447"/>
          <w:sz w:val="22"/>
        </w:rPr>
        <w:t>[P] contamination registry 不使用单一布尔值。</w:t>
      </w:r>
      <w:r>
        <w:rPr>
          <w:rFonts w:ascii="Calibri" w:hAnsi="Calibri" w:eastAsia="Microsoft YaHei"/>
          <w:color w:val="243447"/>
          <w:sz w:val="22"/>
        </w:rPr>
        <w:t xml:space="preserve"> 至少记录 </w:t>
      </w:r>
      <w:r>
        <w:rPr>
          <w:rFonts w:ascii="Consolas" w:hAnsi="Consolas" w:eastAsia="Microsoft YaHei"/>
          <w:color w:val="1F4D78"/>
          <w:sz w:val="20"/>
        </w:rPr>
        <w:t>vector</w:t>
      </w:r>
      <w:r>
        <w:rPr>
          <w:rFonts w:ascii="Calibri" w:hAnsi="Calibri" w:eastAsia="Microsoft YaHei"/>
          <w:color w:val="243447"/>
          <w:sz w:val="22"/>
        </w:rPr>
        <w:t>、</w:t>
      </w:r>
      <w:r>
        <w:rPr>
          <w:rFonts w:ascii="Consolas" w:hAnsi="Consolas" w:eastAsia="Microsoft YaHei"/>
          <w:color w:val="1F4D78"/>
          <w:sz w:val="20"/>
        </w:rPr>
        <w:t>exposed_surface</w:t>
      </w:r>
      <w:r>
        <w:rPr>
          <w:rFonts w:ascii="Calibri" w:hAnsi="Calibri" w:eastAsia="Microsoft YaHei"/>
          <w:color w:val="243447"/>
          <w:sz w:val="22"/>
        </w:rPr>
        <w:t>、</w:t>
      </w:r>
      <w:r>
        <w:rPr>
          <w:rFonts w:ascii="Consolas" w:hAnsi="Consolas" w:eastAsia="Microsoft YaHei"/>
          <w:color w:val="1F4D78"/>
          <w:sz w:val="20"/>
        </w:rPr>
        <w:t>first_known_time</w:t>
      </w:r>
      <w:r>
        <w:rPr>
          <w:rFonts w:ascii="Calibri" w:hAnsi="Calibri" w:eastAsia="Microsoft YaHei"/>
          <w:color w:val="243447"/>
          <w:sz w:val="22"/>
        </w:rPr>
        <w:t>、</w:t>
      </w:r>
      <w:r>
        <w:rPr>
          <w:rFonts w:ascii="Consolas" w:hAnsi="Consolas" w:eastAsia="Microsoft YaHei"/>
          <w:color w:val="1F4D78"/>
          <w:sz w:val="20"/>
        </w:rPr>
        <w:t>source</w:t>
      </w:r>
      <w:r>
        <w:rPr>
          <w:rFonts w:ascii="Calibri" w:hAnsi="Calibri" w:eastAsia="Microsoft YaHei"/>
          <w:color w:val="243447"/>
          <w:sz w:val="22"/>
        </w:rPr>
        <w:t>、</w:t>
      </w:r>
      <w:r>
        <w:rPr>
          <w:rFonts w:ascii="Consolas" w:hAnsi="Consolas" w:eastAsia="Microsoft YaHei"/>
          <w:color w:val="1F4D78"/>
          <w:sz w:val="20"/>
        </w:rPr>
        <w:t>affected_assets</w:t>
      </w:r>
      <w:r>
        <w:rPr>
          <w:rFonts w:ascii="Calibri" w:hAnsi="Calibri" w:eastAsia="Microsoft YaHei"/>
          <w:color w:val="243447"/>
          <w:sz w:val="22"/>
        </w:rPr>
        <w:t>、</w:t>
      </w:r>
      <w:r>
        <w:rPr>
          <w:rFonts w:ascii="Consolas" w:hAnsi="Consolas" w:eastAsia="Microsoft YaHei"/>
          <w:color w:val="1F4D78"/>
          <w:sz w:val="20"/>
        </w:rPr>
        <w:t>affected_model_lineage</w:t>
      </w:r>
      <w:r>
        <w:rPr>
          <w:rFonts w:ascii="Calibri" w:hAnsi="Calibri" w:eastAsia="Microsoft YaHei"/>
          <w:color w:val="243447"/>
          <w:sz w:val="22"/>
        </w:rPr>
        <w:t>、</w:t>
      </w:r>
      <w:r>
        <w:rPr>
          <w:rFonts w:ascii="Consolas" w:hAnsi="Consolas" w:eastAsia="Microsoft YaHei"/>
          <w:color w:val="1F4D78"/>
          <w:sz w:val="20"/>
        </w:rPr>
        <w:t>detection_method</w:t>
      </w:r>
      <w:r>
        <w:rPr>
          <w:rFonts w:ascii="Calibri" w:hAnsi="Calibri" w:eastAsia="Microsoft YaHei"/>
          <w:color w:val="243447"/>
          <w:sz w:val="22"/>
        </w:rPr>
        <w:t>、</w:t>
      </w:r>
      <w:r>
        <w:rPr>
          <w:rFonts w:ascii="Consolas" w:hAnsi="Consolas" w:eastAsia="Microsoft YaHei"/>
          <w:color w:val="1F4D78"/>
          <w:sz w:val="20"/>
        </w:rPr>
        <w:t>evidence_strength</w:t>
      </w:r>
      <w:r>
        <w:rPr>
          <w:rFonts w:ascii="Calibri" w:hAnsi="Calibri" w:eastAsia="Microsoft YaHei"/>
          <w:color w:val="243447"/>
          <w:sz w:val="22"/>
        </w:rPr>
        <w:t>、</w:t>
      </w:r>
      <w:r>
        <w:rPr>
          <w:rFonts w:ascii="Consolas" w:hAnsi="Consolas" w:eastAsia="Microsoft YaHei"/>
          <w:color w:val="1F4D78"/>
          <w:sz w:val="20"/>
        </w:rPr>
        <w:t>score_impact_status</w:t>
      </w:r>
      <w:r>
        <w:rPr>
          <w:rFonts w:ascii="Calibri" w:hAnsi="Calibri" w:eastAsia="Microsoft YaHei"/>
          <w:color w:val="243447"/>
          <w:sz w:val="22"/>
        </w:rPr>
        <w:t>、</w:t>
      </w:r>
      <w:r>
        <w:rPr>
          <w:rFonts w:ascii="Consolas" w:hAnsi="Consolas" w:eastAsia="Microsoft YaHei"/>
          <w:color w:val="1F4D78"/>
          <w:sz w:val="20"/>
        </w:rPr>
        <w:t>containment</w:t>
      </w:r>
      <w:r>
        <w:rPr>
          <w:rFonts w:ascii="Calibri" w:hAnsi="Calibri" w:eastAsia="Microsoft YaHei"/>
          <w:color w:val="243447"/>
          <w:sz w:val="22"/>
        </w:rPr>
        <w:t>、</w:t>
      </w:r>
      <w:r>
        <w:rPr>
          <w:rFonts w:ascii="Consolas" w:hAnsi="Consolas" w:eastAsia="Microsoft YaHei"/>
          <w:color w:val="1F4D78"/>
          <w:sz w:val="20"/>
        </w:rPr>
        <w:t>regrade_or_bridge</w:t>
      </w:r>
      <w:r>
        <w:rPr>
          <w:rFonts w:ascii="Calibri" w:hAnsi="Calibri" w:eastAsia="Microsoft YaHei"/>
          <w:color w:val="243447"/>
          <w:sz w:val="22"/>
        </w:rPr>
        <w:t>。</w:t>
      </w:r>
    </w:p>
    <w:p>
      <w:pPr>
        <w:pStyle w:val="Heading1"/>
        <w:pageBreakBefore/>
      </w:pPr>
      <w:r>
        <w:rPr>
          <w:rFonts w:ascii="Calibri" w:hAnsi="Calibri" w:eastAsia="Microsoft YaHei"/>
          <w:color w:val="2E74B5"/>
          <w:sz w:val="32"/>
        </w:rPr>
        <w:t>6. Contamination detection / mitigation mapping</w:t>
      </w:r>
    </w:p>
    <w:p>
      <w:pPr>
        <w:widowControl/>
      </w:pPr>
      <w:r>
        <w:rPr>
          <w:rFonts w:ascii="Calibri" w:hAnsi="Calibri" w:eastAsia="Microsoft YaHei"/>
          <w:color w:val="243447"/>
          <w:sz w:val="22"/>
        </w:rPr>
        <w:t>符号：</w:t>
      </w:r>
      <w:r>
        <w:rPr>
          <w:rFonts w:ascii="Consolas" w:hAnsi="Consolas" w:eastAsia="Microsoft YaHei"/>
          <w:color w:val="1F4D78"/>
          <w:sz w:val="20"/>
        </w:rPr>
        <w:t>P</w:t>
      </w:r>
      <w:r>
        <w:rPr>
          <w:rFonts w:ascii="Calibri" w:hAnsi="Calibri" w:eastAsia="Microsoft YaHei"/>
          <w:color w:val="243447"/>
          <w:sz w:val="22"/>
        </w:rPr>
        <w:t xml:space="preserve"> 主要预防；</w:t>
      </w:r>
      <w:r>
        <w:rPr>
          <w:rFonts w:ascii="Consolas" w:hAnsi="Consolas" w:eastAsia="Microsoft YaHei"/>
          <w:color w:val="1F4D78"/>
          <w:sz w:val="20"/>
        </w:rPr>
        <w:t>D</w:t>
      </w:r>
      <w:r>
        <w:rPr>
          <w:rFonts w:ascii="Calibri" w:hAnsi="Calibri" w:eastAsia="Microsoft YaHei"/>
          <w:color w:val="243447"/>
          <w:sz w:val="22"/>
        </w:rPr>
        <w:t xml:space="preserve"> 主要检测/取证；</w:t>
      </w:r>
      <w:r>
        <w:rPr>
          <w:rFonts w:ascii="Consolas" w:hAnsi="Consolas" w:eastAsia="Microsoft YaHei"/>
          <w:color w:val="1F4D78"/>
          <w:sz w:val="20"/>
        </w:rPr>
        <w:t>M</w:t>
      </w:r>
      <w:r>
        <w:rPr>
          <w:rFonts w:ascii="Calibri" w:hAnsi="Calibri" w:eastAsia="Microsoft YaHei"/>
          <w:color w:val="243447"/>
          <w:sz w:val="22"/>
        </w:rPr>
        <w:t xml:space="preserve"> 降低影响或泄漏信息量；</w:t>
      </w:r>
      <w:r>
        <w:rPr>
          <w:rFonts w:ascii="Consolas" w:hAnsi="Consolas" w:eastAsia="Microsoft YaHei"/>
          <w:color w:val="1F4D78"/>
          <w:sz w:val="20"/>
        </w:rPr>
        <w:t>—</w:t>
      </w:r>
      <w:r>
        <w:rPr>
          <w:rFonts w:ascii="Calibri" w:hAnsi="Calibri" w:eastAsia="Microsoft YaHei"/>
          <w:color w:val="243447"/>
          <w:sz w:val="22"/>
        </w:rPr>
        <w:t xml:space="preserve"> 无直接作用。</w:t>
      </w:r>
    </w:p>
    <w:p>
      <w:pPr>
        <w:widowControl/>
      </w:pPr>
      <w:r>
        <w:rPr>
          <w:rFonts w:ascii="Calibri" w:hAnsi="Calibri" w:eastAsia="Microsoft YaHei"/>
          <w:b/>
          <w:color w:val="243447"/>
          <w:sz w:val="22"/>
        </w:rPr>
        <w:t>标签说明：</w:t>
      </w:r>
      <w:r>
        <w:rPr>
          <w:rFonts w:ascii="Calibri" w:hAnsi="Calibri" w:eastAsia="Microsoft YaHei"/>
          <w:color w:val="243447"/>
          <w:sz w:val="22"/>
        </w:rPr>
        <w:t xml:space="preserve"> 这张作用映射是 </w:t>
      </w:r>
      <w:r>
        <w:rPr>
          <w:rFonts w:ascii="Calibri" w:hAnsi="Calibri" w:eastAsia="Microsoft YaHei"/>
          <w:b/>
          <w:color w:val="243447"/>
          <w:sz w:val="22"/>
        </w:rPr>
        <w:t>[I] 研究者综合判断</w:t>
      </w:r>
      <w:r>
        <w:rPr>
          <w:rFonts w:ascii="Calibri" w:hAnsi="Calibri" w:eastAsia="Microsoft YaHei"/>
          <w:color w:val="243447"/>
          <w:sz w:val="22"/>
        </w:rPr>
        <w:t xml:space="preserve">，后续 control baseline 是 </w:t>
      </w:r>
      <w:r>
        <w:rPr>
          <w:rFonts w:ascii="Calibri" w:hAnsi="Calibri" w:eastAsia="Microsoft YaHei"/>
          <w:b/>
          <w:color w:val="243447"/>
          <w:sz w:val="22"/>
        </w:rPr>
        <w:t>[P] 项目建议</w:t>
      </w:r>
      <w:r>
        <w:rPr>
          <w:rFonts w:ascii="Calibri" w:hAnsi="Calibri" w:eastAsia="Microsoft YaHei"/>
          <w:color w:val="243447"/>
          <w:sz w:val="22"/>
        </w:rPr>
        <w:t>；它不表示来源机构对本项目的认证。</w:t>
      </w:r>
    </w:p>
    <w:p>
      <w:pPr>
        <w:sectPr>
          <w:pgSz w:w="12240" w:h="15840"/>
          <w:pgMar w:top="1440" w:right="1440" w:bottom="1440" w:left="1440" w:header="708" w:footer="708" w:gutter="0"/>
          <w:cols w:space="720" w:num="1"/>
          <w:titlePg/>
          <w:docGrid w:linePitch="360"/>
        </w:sectP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0D5DD"/>
          <w:left w:val="single" w:sz="6" w:space="0" w:color="D0D5DD"/>
          <w:bottom w:val="single" w:sz="6" w:space="0" w:color="D0D5DD"/>
          <w:right w:val="single" w:sz="6" w:space="0" w:color="D0D5DD"/>
          <w:insideH w:val="single" w:sz="6" w:space="0" w:color="D0D5DD"/>
          <w:insideV w:val="single" w:sz="6" w:space="0" w:color="D0D5DD"/>
        </w:tblBorders>
      </w:tblPr>
      <w:tblGrid>
        <w:gridCol w:w="1764"/>
        <w:gridCol w:w="1764"/>
        <w:gridCol w:w="1764"/>
        <w:gridCol w:w="1764"/>
        <w:gridCol w:w="1764"/>
        <w:gridCol w:w="1764"/>
        <w:gridCol w:w="1764"/>
        <w:gridCol w:w="1764"/>
      </w:tblGrid>
      <w:tr>
        <w:trPr>
          <w:cantSplit/>
          <w:tblHeader w:val="true"/>
        </w:trPr>
        <w:tc>
          <w:tcPr>
            <w:tcW w:type="dxa" w:w="211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163A5F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b/>
                <w:color w:val="FFFFFF"/>
                <w:sz w:val="14"/>
              </w:rPr>
              <w:t>Vector</w:t>
            </w:r>
          </w:p>
        </w:tc>
        <w:tc>
          <w:tcPr>
            <w:tcW w:type="dxa" w:w="1713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163A5F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b/>
                <w:color w:val="FFFFFF"/>
                <w:sz w:val="14"/>
              </w:rPr>
              <w:t>Gated access</w:t>
            </w:r>
          </w:p>
        </w:tc>
        <w:tc>
          <w:tcPr>
            <w:tcW w:type="dxa" w:w="1713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163A5F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b/>
                <w:color w:val="FFFFFF"/>
                <w:sz w:val="14"/>
              </w:rPr>
              <w:t>EaaS</w:t>
            </w:r>
          </w:p>
        </w:tc>
        <w:tc>
          <w:tcPr>
            <w:tcW w:type="dxa" w:w="1713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163A5F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b/>
                <w:color w:val="FFFFFF"/>
                <w:sz w:val="14"/>
              </w:rPr>
              <w:t>Query limits</w:t>
            </w:r>
          </w:p>
        </w:tc>
        <w:tc>
          <w:tcPr>
            <w:tcW w:type="dxa" w:w="1713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163A5F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b/>
                <w:color w:val="FFFFFF"/>
                <w:sz w:val="14"/>
              </w:rPr>
              <w:t>Submission logging</w:t>
            </w:r>
          </w:p>
        </w:tc>
        <w:tc>
          <w:tcPr>
            <w:tcW w:type="dxa" w:w="1713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163A5F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b/>
                <w:color w:val="FFFFFF"/>
                <w:sz w:val="14"/>
              </w:rPr>
              <w:t>Canary/watermark</w:t>
            </w:r>
          </w:p>
        </w:tc>
        <w:tc>
          <w:tcPr>
            <w:tcW w:type="dxa" w:w="1713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163A5F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b/>
                <w:color w:val="FFFFFF"/>
                <w:sz w:val="14"/>
              </w:rPr>
              <w:t>Delayed/coarse feedback</w:t>
            </w:r>
          </w:p>
        </w:tc>
        <w:tc>
          <w:tcPr>
            <w:tcW w:type="dxa" w:w="1713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163A5F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b/>
                <w:color w:val="FFFFFF"/>
                <w:sz w:val="14"/>
              </w:rPr>
              <w:t>Audit trail</w:t>
            </w:r>
          </w:p>
        </w:tc>
      </w:tr>
      <w:tr>
        <w:trPr>
          <w:cantSplit/>
        </w:trPr>
        <w:tc>
          <w:tcPr>
            <w:tcW w:type="dxa" w:w="211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T1 Pretraining</w:t>
            </w:r>
          </w:p>
        </w:tc>
        <w:tc>
          <w:tcPr>
            <w:tcW w:type="dxa" w:w="1713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P/M 防未来扩散</w:t>
            </w:r>
          </w:p>
        </w:tc>
        <w:tc>
          <w:tcPr>
            <w:tcW w:type="dxa" w:w="1713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P/M 不外发秘密</w:t>
            </w:r>
          </w:p>
        </w:tc>
        <w:tc>
          <w:tcPr>
            <w:tcW w:type="dxa" w:w="1713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—</w:t>
            </w:r>
          </w:p>
        </w:tc>
        <w:tc>
          <w:tcPr>
            <w:tcW w:type="dxa" w:w="1713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D 版本/时间线</w:t>
            </w:r>
          </w:p>
        </w:tc>
        <w:tc>
          <w:tcPr>
            <w:tcW w:type="dxa" w:w="1713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D 有条件检测</w:t>
            </w:r>
          </w:p>
        </w:tc>
        <w:tc>
          <w:tcPr>
            <w:tcW w:type="dxa" w:w="1713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—</w:t>
            </w:r>
          </w:p>
        </w:tc>
        <w:tc>
          <w:tcPr>
            <w:tcW w:type="dxa" w:w="1713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D 训练声明与 provenance</w:t>
            </w:r>
          </w:p>
        </w:tc>
      </w:tr>
      <w:tr>
        <w:trPr>
          <w:cantSplit/>
        </w:trPr>
        <w:tc>
          <w:tcPr>
            <w:tcW w:type="dxa" w:w="211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T2 Post-training</w:t>
            </w:r>
          </w:p>
        </w:tc>
        <w:tc>
          <w:tcPr>
            <w:tcW w:type="dxa" w:w="1713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P/M 限制取材</w:t>
            </w:r>
          </w:p>
        </w:tc>
        <w:tc>
          <w:tcPr>
            <w:tcW w:type="dxa" w:w="1713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P/M 隐藏 scorer</w:t>
            </w:r>
          </w:p>
        </w:tc>
        <w:tc>
          <w:tcPr>
            <w:tcW w:type="dxa" w:w="1713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M</w:t>
            </w:r>
          </w:p>
        </w:tc>
        <w:tc>
          <w:tcPr>
            <w:tcW w:type="dxa" w:w="1713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D lineage/迭代</w:t>
            </w:r>
          </w:p>
        </w:tc>
        <w:tc>
          <w:tcPr>
            <w:tcW w:type="dxa" w:w="1713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D 部分暴露</w:t>
            </w:r>
          </w:p>
        </w:tc>
        <w:tc>
          <w:tcPr>
            <w:tcW w:type="dxa" w:w="1713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M</w:t>
            </w:r>
          </w:p>
        </w:tc>
        <w:tc>
          <w:tcPr>
            <w:tcW w:type="dxa" w:w="1713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D 优化历史</w:t>
            </w:r>
          </w:p>
        </w:tc>
      </w:tr>
      <w:tr>
        <w:trPr>
          <w:cantSplit/>
        </w:trPr>
        <w:tc>
          <w:tcPr>
            <w:tcW w:type="dxa" w:w="211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T3 Public solution</w:t>
            </w:r>
          </w:p>
        </w:tc>
        <w:tc>
          <w:tcPr>
            <w:tcW w:type="dxa" w:w="1713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P 仅对未公开池</w:t>
            </w:r>
          </w:p>
        </w:tc>
        <w:tc>
          <w:tcPr>
            <w:tcW w:type="dxa" w:w="1713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P 保留 reference</w:t>
            </w:r>
          </w:p>
        </w:tc>
        <w:tc>
          <w:tcPr>
            <w:tcW w:type="dxa" w:w="1713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M 限制反馈复原</w:t>
            </w:r>
          </w:p>
        </w:tc>
        <w:tc>
          <w:tcPr>
            <w:tcW w:type="dxa" w:w="1713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D 异常引用</w:t>
            </w:r>
          </w:p>
        </w:tc>
        <w:tc>
          <w:tcPr>
            <w:tcW w:type="dxa" w:w="1713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D 泄漏/归因</w:t>
            </w:r>
          </w:p>
        </w:tc>
        <w:tc>
          <w:tcPr>
            <w:tcW w:type="dxa" w:w="1713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M 只延缓</w:t>
            </w:r>
          </w:p>
        </w:tc>
        <w:tc>
          <w:tcPr>
            <w:tcW w:type="dxa" w:w="1713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D 首次公开/复制链</w:t>
            </w:r>
          </w:p>
        </w:tc>
      </w:tr>
      <w:tr>
        <w:trPr>
          <w:cantSplit/>
        </w:trPr>
        <w:tc>
          <w:tcPr>
            <w:tcW w:type="dxa" w:w="211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T4 Near-duplicate</w:t>
            </w:r>
          </w:p>
        </w:tc>
        <w:tc>
          <w:tcPr>
            <w:tcW w:type="dxa" w:w="1713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M</w:t>
            </w:r>
          </w:p>
        </w:tc>
        <w:tc>
          <w:tcPr>
            <w:tcW w:type="dxa" w:w="1713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M</w:t>
            </w:r>
          </w:p>
        </w:tc>
        <w:tc>
          <w:tcPr>
            <w:tcW w:type="dxa" w:w="1713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—/M</w:t>
            </w:r>
          </w:p>
        </w:tc>
        <w:tc>
          <w:tcPr>
            <w:tcW w:type="dxa" w:w="1713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D detector/adjudication</w:t>
            </w:r>
          </w:p>
        </w:tc>
        <w:tc>
          <w:tcPr>
            <w:tcW w:type="dxa" w:w="1713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D 仅有标记者</w:t>
            </w:r>
          </w:p>
        </w:tc>
        <w:tc>
          <w:tcPr>
            <w:tcW w:type="dxa" w:w="1713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—</w:t>
            </w:r>
          </w:p>
        </w:tc>
        <w:tc>
          <w:tcPr>
            <w:tcW w:type="dxa" w:w="1713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D family/input/ref/grader lineage</w:t>
            </w:r>
          </w:p>
        </w:tc>
      </w:tr>
      <w:tr>
        <w:trPr>
          <w:cantSplit/>
        </w:trPr>
        <w:tc>
          <w:tcPr>
            <w:tcW w:type="dxa" w:w="211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T5 Search-time</w:t>
            </w:r>
          </w:p>
        </w:tc>
        <w:tc>
          <w:tcPr>
            <w:tcW w:type="dxa" w:w="1713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M 隐藏 IDs</w:t>
            </w:r>
          </w:p>
        </w:tc>
        <w:tc>
          <w:tcPr>
            <w:tcW w:type="dxa" w:w="1713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P/M 若也控网络</w:t>
            </w:r>
          </w:p>
        </w:tc>
        <w:tc>
          <w:tcPr>
            <w:tcW w:type="dxa" w:w="1713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M 需纳入检索预算</w:t>
            </w:r>
          </w:p>
        </w:tc>
        <w:tc>
          <w:tcPr>
            <w:tcW w:type="dxa" w:w="1713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D trajectory/network</w:t>
            </w:r>
          </w:p>
        </w:tc>
        <w:tc>
          <w:tcPr>
            <w:tcW w:type="dxa" w:w="1713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D 若命中 marker</w:t>
            </w:r>
          </w:p>
        </w:tc>
        <w:tc>
          <w:tcPr>
            <w:tcW w:type="dxa" w:w="1713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—/M</w:t>
            </w:r>
          </w:p>
        </w:tc>
        <w:tc>
          <w:tcPr>
            <w:tcW w:type="dxa" w:w="1713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D URL/query/content chain</w:t>
            </w:r>
          </w:p>
        </w:tc>
      </w:tr>
      <w:tr>
        <w:trPr>
          <w:cantSplit/>
        </w:trPr>
        <w:tc>
          <w:tcPr>
            <w:tcW w:type="dxa" w:w="211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T6 Reference/grader</w:t>
            </w:r>
          </w:p>
        </w:tc>
        <w:tc>
          <w:tcPr>
            <w:tcW w:type="dxa" w:w="1713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P</w:t>
            </w:r>
          </w:p>
        </w:tc>
        <w:tc>
          <w:tcPr>
            <w:tcW w:type="dxa" w:w="1713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P 但集中风险</w:t>
            </w:r>
          </w:p>
        </w:tc>
        <w:tc>
          <w:tcPr>
            <w:tcW w:type="dxa" w:w="1713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M 黑盒反推</w:t>
            </w:r>
          </w:p>
        </w:tc>
        <w:tc>
          <w:tcPr>
            <w:tcW w:type="dxa" w:w="1713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D query/error</w:t>
            </w:r>
          </w:p>
        </w:tc>
        <w:tc>
          <w:tcPr>
            <w:tcW w:type="dxa" w:w="1713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D copy/trap</w:t>
            </w:r>
          </w:p>
        </w:tc>
        <w:tc>
          <w:tcPr>
            <w:tcW w:type="dxa" w:w="1713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M</w:t>
            </w:r>
          </w:p>
        </w:tc>
        <w:tc>
          <w:tcPr>
            <w:tcW w:type="dxa" w:w="1713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D secret/access/run/score</w:t>
            </w:r>
          </w:p>
        </w:tc>
      </w:tr>
      <w:tr>
        <w:trPr>
          <w:cantSplit/>
        </w:trPr>
        <w:tc>
          <w:tcPr>
            <w:tcW w:type="dxa" w:w="211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T7 Internal</w:t>
            </w:r>
          </w:p>
        </w:tc>
        <w:tc>
          <w:tcPr>
            <w:tcW w:type="dxa" w:w="1713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P JIT/least privilege</w:t>
            </w:r>
          </w:p>
        </w:tc>
        <w:tc>
          <w:tcPr>
            <w:tcW w:type="dxa" w:w="1713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M 减少副本</w:t>
            </w:r>
          </w:p>
        </w:tc>
        <w:tc>
          <w:tcPr>
            <w:tcW w:type="dxa" w:w="1713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—</w:t>
            </w:r>
          </w:p>
        </w:tc>
        <w:tc>
          <w:tcPr>
            <w:tcW w:type="dxa" w:w="1713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D access/egress</w:t>
            </w:r>
          </w:p>
        </w:tc>
        <w:tc>
          <w:tcPr>
            <w:tcW w:type="dxa" w:w="1713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D per-recipient</w:t>
            </w:r>
          </w:p>
        </w:tc>
        <w:tc>
          <w:tcPr>
            <w:tcW w:type="dxa" w:w="1713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—/M</w:t>
            </w:r>
          </w:p>
        </w:tc>
        <w:tc>
          <w:tcPr>
            <w:tcW w:type="dxa" w:w="1713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D tamper-evident chain</w:t>
            </w:r>
          </w:p>
        </w:tc>
      </w:tr>
      <w:tr>
        <w:trPr>
          <w:cantSplit/>
        </w:trPr>
        <w:tc>
          <w:tcPr>
            <w:tcW w:type="dxa" w:w="211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T8 Hill climbing</w:t>
            </w:r>
          </w:p>
        </w:tc>
        <w:tc>
          <w:tcPr>
            <w:tcW w:type="dxa" w:w="1713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—/M 身份辅助</w:t>
            </w:r>
          </w:p>
        </w:tc>
        <w:tc>
          <w:tcPr>
            <w:tcW w:type="dxa" w:w="1713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—/M 服务也产生反馈</w:t>
            </w:r>
          </w:p>
        </w:tc>
        <w:tc>
          <w:tcPr>
            <w:tcW w:type="dxa" w:w="1713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M 核心之一</w:t>
            </w:r>
          </w:p>
        </w:tc>
        <w:tc>
          <w:tcPr>
            <w:tcW w:type="dxa" w:w="1713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D 序列核心证据</w:t>
            </w:r>
          </w:p>
        </w:tc>
        <w:tc>
          <w:tcPr>
            <w:tcW w:type="dxa" w:w="1713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—/D 特殊 trap</w:t>
            </w:r>
          </w:p>
        </w:tc>
        <w:tc>
          <w:tcPr>
            <w:tcW w:type="dxa" w:w="1713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M 核心之一</w:t>
            </w:r>
          </w:p>
        </w:tc>
        <w:tc>
          <w:tcPr>
            <w:tcW w:type="dxa" w:w="1713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D org/model linkage</w:t>
            </w:r>
          </w:p>
        </w:tc>
      </w:tr>
    </w:tbl>
    <w:p>
      <w:pPr>
        <w:sectPr>
          <w:pgSz w:w="15840" w:h="12240" w:orient="landscape"/>
          <w:pgMar w:top="864" w:right="864" w:bottom="864" w:left="864" w:header="708" w:footer="708" w:gutter="0"/>
          <w:cols w:space="720" w:num="1"/>
          <w:titlePg/>
          <w:docGrid w:linePitch="360"/>
        </w:sectPr>
      </w:pPr>
    </w:p>
    <w:p>
      <w:pPr>
        <w:pStyle w:val="Heading2"/>
      </w:pPr>
      <w:r>
        <w:rPr>
          <w:rFonts w:ascii="Calibri" w:hAnsi="Calibri" w:eastAsia="Microsoft YaHei"/>
          <w:color w:val="2E74B5"/>
          <w:sz w:val="26"/>
        </w:rPr>
        <w:t>6.1 控制的效用与反证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0D5DD"/>
          <w:left w:val="single" w:sz="6" w:space="0" w:color="D0D5DD"/>
          <w:bottom w:val="single" w:sz="6" w:space="0" w:color="D0D5DD"/>
          <w:right w:val="single" w:sz="6" w:space="0" w:color="D0D5DD"/>
          <w:insideH w:val="single" w:sz="6" w:space="0" w:color="D0D5DD"/>
          <w:insideV w:val="single" w:sz="6" w:space="0" w:color="D0D5DD"/>
        </w:tblBorders>
      </w:tblPr>
      <w:tblGrid>
        <w:gridCol w:w="1872"/>
        <w:gridCol w:w="1872"/>
        <w:gridCol w:w="1872"/>
        <w:gridCol w:w="1872"/>
        <w:gridCol w:w="1872"/>
      </w:tblGrid>
      <w:tr>
        <w:trPr>
          <w:cantSplit/>
          <w:tblHeader w:val="true"/>
        </w:trPr>
        <w:tc>
          <w:tcPr>
            <w:tcW w:type="dxa" w:w="84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163A5F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b/>
                <w:color w:val="FFFFFF"/>
                <w:sz w:val="15"/>
              </w:rPr>
              <w:t>控制</w:t>
            </w:r>
          </w:p>
        </w:tc>
        <w:tc>
          <w:tcPr>
            <w:tcW w:type="dxa" w:w="234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163A5F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b/>
                <w:color w:val="FFFFFF"/>
                <w:sz w:val="15"/>
              </w:rPr>
              <w:t>直接价值</w:t>
            </w:r>
          </w:p>
        </w:tc>
        <w:tc>
          <w:tcPr>
            <w:tcW w:type="dxa" w:w="149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163A5F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b/>
                <w:color w:val="FFFFFF"/>
                <w:sz w:val="15"/>
              </w:rPr>
              <w:t>必须实现的证据</w:t>
            </w:r>
          </w:p>
        </w:tc>
        <w:tc>
          <w:tcPr>
            <w:tcW w:type="dxa" w:w="262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163A5F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b/>
                <w:color w:val="FFFFFF"/>
                <w:sz w:val="15"/>
              </w:rPr>
              <w:t>反方证据 / 适用边界</w:t>
            </w:r>
          </w:p>
        </w:tc>
        <w:tc>
          <w:tcPr>
            <w:tcW w:type="dxa" w:w="205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163A5F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b/>
                <w:color w:val="FFFFFF"/>
                <w:sz w:val="14"/>
              </w:rPr>
              <w:t>[V]</w:t>
            </w:r>
            <w:r>
              <w:rPr>
                <w:rFonts w:ascii="Calibri" w:hAnsi="Calibri" w:eastAsia="Microsoft YaHei"/>
                <w:b/>
                <w:color w:val="FFFFFF"/>
                <w:sz w:val="15"/>
              </w:rPr>
              <w:t xml:space="preserve"> 客户或 pilot 决定</w:t>
            </w:r>
          </w:p>
        </w:tc>
      </w:tr>
      <w:tr>
        <w:trPr>
          <w:cantSplit/>
        </w:trPr>
        <w:tc>
          <w:tcPr>
            <w:tcW w:type="dxa" w:w="84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b/>
                <w:color w:val="243447"/>
                <w:sz w:val="15"/>
              </w:rPr>
              <w:t>Gated access</w:t>
            </w:r>
          </w:p>
        </w:tc>
        <w:tc>
          <w:tcPr>
            <w:tcW w:type="dxa" w:w="234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5"/>
              </w:rPr>
              <w:t>降低 anonymous scraping，支持身份、用途、撤权和 need-to-know</w:t>
            </w:r>
          </w:p>
        </w:tc>
        <w:tc>
          <w:tcPr>
            <w:tcW w:type="dxa" w:w="149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5"/>
              </w:rPr>
              <w:t>actor/org、purpose、ACL、条款、expiry、download/export、revocation logs</w:t>
            </w:r>
          </w:p>
        </w:tc>
        <w:tc>
          <w:tcPr>
            <w:tcW w:type="dxa" w:w="262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5"/>
              </w:rPr>
              <w:t>无法消除 provider 既有训练、授权 insider、sybil/collusion；会降低开放复现</w:t>
            </w:r>
          </w:p>
        </w:tc>
        <w:tc>
          <w:tcPr>
            <w:tcW w:type="dxa" w:w="205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5"/>
              </w:rPr>
              <w:t>eligibility、审批、期限、研究者/auditor/appeal 权利</w:t>
            </w:r>
          </w:p>
        </w:tc>
      </w:tr>
      <w:tr>
        <w:trPr>
          <w:cantSplit/>
        </w:trPr>
        <w:tc>
          <w:tcPr>
            <w:tcW w:type="dxa" w:w="84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b/>
                <w:color w:val="243447"/>
                <w:sz w:val="15"/>
              </w:rPr>
              <w:t>Evaluation-as-a-service</w:t>
            </w:r>
          </w:p>
        </w:tc>
        <w:tc>
          <w:tcPr>
            <w:tcW w:type="dxa" w:w="234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5"/>
              </w:rPr>
              <w:t>raw input/reference/grader 不离开受控节点；环境标准化；集中日志</w:t>
            </w:r>
          </w:p>
        </w:tc>
        <w:tc>
          <w:tcPr>
            <w:tcW w:type="dxa" w:w="149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5"/>
              </w:rPr>
              <w:t>image/commit/digest、secret mount、network policy、run manifest、reproduction/appeal、独立 audit</w:t>
            </w:r>
          </w:p>
        </w:tc>
        <w:tc>
          <w:tcPr>
            <w:tcW w:type="dxa" w:w="262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5"/>
              </w:rPr>
              <w:t>operator/service 成为集中信任与可用性单点；error/artifact/log 可泄漏；私有服务仍可 hill-climb</w:t>
            </w:r>
          </w:p>
        </w:tc>
        <w:tc>
          <w:tcPr>
            <w:tcW w:type="dxa" w:w="205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5"/>
              </w:rPr>
              <w:t>模型交付方式、IP/data residency、隔离、network realism、证据返还</w:t>
            </w:r>
          </w:p>
        </w:tc>
      </w:tr>
      <w:tr>
        <w:trPr>
          <w:cantSplit/>
        </w:trPr>
        <w:tc>
          <w:tcPr>
            <w:tcW w:type="dxa" w:w="84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b/>
                <w:color w:val="243447"/>
                <w:sz w:val="15"/>
              </w:rPr>
              <w:t>Query limits</w:t>
            </w:r>
          </w:p>
        </w:tc>
        <w:tc>
          <w:tcPr>
            <w:tcW w:type="dxa" w:w="234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5"/>
              </w:rPr>
              <w:t>限制自适应交互和 scorer 反推</w:t>
            </w:r>
          </w:p>
        </w:tc>
        <w:tc>
          <w:tcPr>
            <w:tcW w:type="dxa" w:w="149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5"/>
              </w:rPr>
              <w:t>account+org+model-lineage+release counters、reset/exception log</w:t>
            </w:r>
          </w:p>
        </w:tc>
        <w:tc>
          <w:tcPr>
            <w:tcW w:type="dxa" w:w="262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5"/>
              </w:rPr>
              <w:t>少量高信息反馈仍危险；多账号绕过；过紧限制妨碍 reliability/debug</w:t>
            </w:r>
          </w:p>
        </w:tc>
        <w:tc>
          <w:tcPr>
            <w:tcW w:type="dxa" w:w="205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5"/>
              </w:rPr>
              <w:t>各 identity scope 的 quota、误操作恢复、例外与跨版本累计</w:t>
            </w:r>
          </w:p>
        </w:tc>
      </w:tr>
      <w:tr>
        <w:trPr>
          <w:cantSplit/>
        </w:trPr>
        <w:tc>
          <w:tcPr>
            <w:tcW w:type="dxa" w:w="84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b/>
                <w:color w:val="243447"/>
                <w:sz w:val="15"/>
              </w:rPr>
              <w:t>Submission logging</w:t>
            </w:r>
          </w:p>
        </w:tc>
        <w:tc>
          <w:tcPr>
            <w:tcW w:type="dxa" w:w="234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5"/>
              </w:rPr>
              <w:t>attribution、pattern detection、incident reconstruction、regrade evidence</w:t>
            </w:r>
          </w:p>
        </w:tc>
        <w:tc>
          <w:tcPr>
            <w:tcW w:type="dxa" w:w="149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5"/>
              </w:rPr>
              <w:t>immutable submission ID、config hashes、pool/version、trace/artifact/score/feedback hashes</w:t>
            </w:r>
          </w:p>
        </w:tc>
        <w:tc>
          <w:tcPr>
            <w:tcW w:type="dxa" w:w="262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5"/>
              </w:rPr>
              <w:t>日志不能自己防止事故；privileged actor 可篡改；日志本身是敏感 attack surface</w:t>
            </w:r>
          </w:p>
        </w:tc>
        <w:tc>
          <w:tcPr>
            <w:tcW w:type="dxa" w:w="205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5"/>
              </w:rPr>
              <w:t>retention、privacy notice、redaction、legal hold、review cadence</w:t>
            </w:r>
          </w:p>
        </w:tc>
      </w:tr>
      <w:tr>
        <w:trPr>
          <w:cantSplit/>
        </w:trPr>
        <w:tc>
          <w:tcPr>
            <w:tcW w:type="dxa" w:w="84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b/>
                <w:color w:val="243447"/>
                <w:sz w:val="15"/>
              </w:rPr>
              <w:t>Exclusion notice / crawler canary</w:t>
            </w:r>
          </w:p>
        </w:tc>
        <w:tc>
          <w:tcPr>
            <w:tcW w:type="dxa" w:w="234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5"/>
              </w:rPr>
              <w:t>向愿意合作的 crawler/trainer 发出过滤信号；BIG-bench 是实践先例</w:t>
            </w:r>
          </w:p>
        </w:tc>
        <w:tc>
          <w:tcPr>
            <w:tcW w:type="dxa" w:w="149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5"/>
              </w:rPr>
              <w:t>固定文本、placement/version、预期 crawler 行为</w:t>
            </w:r>
          </w:p>
        </w:tc>
        <w:tc>
          <w:tcPr>
            <w:tcW w:type="dxa" w:w="262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5"/>
              </w:rPr>
              <w:t>不是统计检测器；可忽略/删除；未出现不证明未训练</w:t>
            </w:r>
          </w:p>
        </w:tc>
        <w:tc>
          <w:tcPr>
            <w:tcW w:type="dxa" w:w="205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5"/>
              </w:rPr>
              <w:t>notice 文本、传播渠道、合作方义务</w:t>
            </w:r>
          </w:p>
        </w:tc>
      </w:tr>
      <w:tr>
        <w:trPr>
          <w:cantSplit/>
        </w:trPr>
        <w:tc>
          <w:tcPr>
            <w:tcW w:type="dxa" w:w="84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b/>
                <w:color w:val="243447"/>
                <w:sz w:val="15"/>
              </w:rPr>
              <w:t>Per-recipient forensic mark</w:t>
            </w:r>
          </w:p>
        </w:tc>
        <w:tc>
          <w:tcPr>
            <w:tcW w:type="dxa" w:w="234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5"/>
              </w:rPr>
              <w:t>复制/分发归因</w:t>
            </w:r>
          </w:p>
        </w:tc>
        <w:tc>
          <w:tcPr>
            <w:tcW w:type="dxa" w:w="149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5"/>
              </w:rPr>
              <w:t>recipient mapping、copy-level ledger、chain of custody、合法性</w:t>
            </w:r>
          </w:p>
        </w:tc>
        <w:tc>
          <w:tcPr>
            <w:tcW w:type="dxa" w:w="262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5"/>
              </w:rPr>
              <w:t>可被重写/截图；命中只是调查线索，可能 false flag</w:t>
            </w:r>
          </w:p>
        </w:tc>
        <w:tc>
          <w:tcPr>
            <w:tcW w:type="dxa" w:w="205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5"/>
              </w:rPr>
              <w:t>marking modality、recipient notice、证据与 appeal 标准</w:t>
            </w:r>
          </w:p>
        </w:tc>
      </w:tr>
      <w:tr>
        <w:trPr>
          <w:cantSplit/>
        </w:trPr>
        <w:tc>
          <w:tcPr>
            <w:tcW w:type="dxa" w:w="84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b/>
                <w:color w:val="243447"/>
                <w:sz w:val="15"/>
              </w:rPr>
              <w:t>Statistical training watermark</w:t>
            </w:r>
          </w:p>
        </w:tc>
        <w:tc>
          <w:tcPr>
            <w:tcW w:type="dxa" w:w="234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5"/>
              </w:rPr>
              <w:t>在预注册 null/alternative 下检测部分训练暴露</w:t>
            </w:r>
          </w:p>
        </w:tc>
        <w:tc>
          <w:tcPr>
            <w:tcW w:type="dxa" w:w="149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5"/>
              </w:rPr>
              <w:t>key custody、power/FPR/FNR、utility、blind calibration、adjudication</w:t>
            </w:r>
          </w:p>
        </w:tc>
        <w:tc>
          <w:tcPr>
            <w:tcW w:type="dxa" w:w="262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5"/>
              </w:rPr>
              <w:t>MIA/检测研究显示部分设置接近随机或被 distribution shift 误导；命中/未命中都不是 verdict [R22]</w:t>
            </w:r>
          </w:p>
        </w:tc>
        <w:tc>
          <w:tcPr>
            <w:tcW w:type="dxa" w:w="205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5"/>
              </w:rPr>
              <w:t>sample size、operating point、validity region、retest rule</w:t>
            </w:r>
          </w:p>
        </w:tc>
      </w:tr>
      <w:tr>
        <w:trPr>
          <w:cantSplit/>
        </w:trPr>
        <w:tc>
          <w:tcPr>
            <w:tcW w:type="dxa" w:w="84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b/>
                <w:color w:val="243447"/>
                <w:sz w:val="15"/>
              </w:rPr>
              <w:t>Non-scoring honeytoken / grader trap</w:t>
            </w:r>
          </w:p>
        </w:tc>
        <w:tc>
          <w:tcPr>
            <w:tcW w:type="dxa" w:w="234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5"/>
              </w:rPr>
              <w:t>侦测 scorer probing、secret lookup 或异常 path</w:t>
            </w:r>
          </w:p>
        </w:tc>
        <w:tc>
          <w:tcPr>
            <w:tcW w:type="dxa" w:w="149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5"/>
              </w:rPr>
              <w:t>不影响正常分数、secret design、trigger null、review protocol</w:t>
            </w:r>
          </w:p>
        </w:tc>
        <w:tc>
          <w:tcPr>
            <w:tcW w:type="dxa" w:w="262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5"/>
              </w:rPr>
              <w:t>命中可由 bug/环境/偶然触发；不得自动定罪或下榜</w:t>
            </w:r>
          </w:p>
        </w:tc>
        <w:tc>
          <w:tcPr>
            <w:tcW w:type="dxa" w:w="205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5"/>
              </w:rPr>
              <w:t>placement、false-positive handling、incident scope</w:t>
            </w:r>
          </w:p>
        </w:tc>
      </w:tr>
      <w:tr>
        <w:trPr>
          <w:cantSplit/>
        </w:trPr>
        <w:tc>
          <w:tcPr>
            <w:tcW w:type="dxa" w:w="84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b/>
                <w:color w:val="243447"/>
                <w:sz w:val="15"/>
              </w:rPr>
              <w:t>Delayed/coarse feedback</w:t>
            </w:r>
          </w:p>
        </w:tc>
        <w:tc>
          <w:tcPr>
            <w:tcW w:type="dxa" w:w="234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5"/>
              </w:rPr>
              <w:t>降低每次反馈的信息量和即时调参速度</w:t>
            </w:r>
          </w:p>
        </w:tc>
        <w:tc>
          <w:tcPr>
            <w:tcW w:type="dxa" w:w="149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5"/>
              </w:rPr>
              <w:t>feedback schedule、aggregation/precision/error taxonomy、released payload hash</w:t>
            </w:r>
          </w:p>
        </w:tc>
        <w:tc>
          <w:tcPr>
            <w:tcW w:type="dxa" w:w="262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5"/>
              </w:rPr>
              <w:t>延迟只改变速度；过粗会妨碍 grader defect 发现、appeal 和小团队参与</w:t>
            </w:r>
          </w:p>
        </w:tc>
        <w:tc>
          <w:tcPr>
            <w:tcW w:type="dxa" w:w="205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5"/>
              </w:rPr>
              <w:t>delay、granularity、security error、release-window、appeal turnaround</w:t>
            </w:r>
          </w:p>
        </w:tc>
      </w:tr>
      <w:tr>
        <w:trPr>
          <w:cantSplit/>
        </w:trPr>
        <w:tc>
          <w:tcPr>
            <w:tcW w:type="dxa" w:w="84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b/>
                <w:color w:val="243447"/>
                <w:sz w:val="15"/>
              </w:rPr>
              <w:t>Audit trail</w:t>
            </w:r>
          </w:p>
        </w:tc>
        <w:tc>
          <w:tcPr>
            <w:tcW w:type="dxa" w:w="234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5"/>
              </w:rPr>
              <w:t>可追溯 asset→access→run→artifact→grader→score→feedback→leaderboard</w:t>
            </w:r>
          </w:p>
        </w:tc>
        <w:tc>
          <w:tcPr>
            <w:tcW w:type="dxa" w:w="149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5"/>
              </w:rPr>
              <w:t>immutable manifest、provenance graph、raw trace/hash、actor/owner、integrity proof</w:t>
            </w:r>
          </w:p>
        </w:tc>
        <w:tc>
          <w:tcPr>
            <w:tcW w:type="dxa" w:w="262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5"/>
              </w:rPr>
              <w:t>Provenance 模型不保证记录真实；审计可能抽样不足或有利益冲突</w:t>
            </w:r>
          </w:p>
        </w:tc>
        <w:tc>
          <w:tcPr>
            <w:tcW w:type="dxa" w:w="205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5"/>
              </w:rPr>
              <w:t>auditor independence、范围、公开摘要、retention、解封权限</w:t>
            </w:r>
          </w:p>
        </w:tc>
      </w:tr>
    </w:tbl>
    <w:p>
      <w:pPr>
        <w:pStyle w:val="Heading2"/>
      </w:pPr>
      <w:r>
        <w:rPr>
          <w:rFonts w:ascii="Calibri" w:hAnsi="Calibri" w:eastAsia="Microsoft YaHei"/>
          <w:color w:val="2E74B5"/>
          <w:sz w:val="26"/>
        </w:rPr>
        <w:t>6.2 多维 feedback-risk ledger，不伪造统一“信息量”</w:t>
      </w:r>
    </w:p>
    <w:p>
      <w:pPr>
        <w:widowControl/>
      </w:pPr>
      <w:r>
        <w:rPr>
          <w:rFonts w:ascii="Calibri" w:hAnsi="Calibri" w:eastAsia="Microsoft YaHei"/>
          <w:b/>
          <w:color w:val="243447"/>
          <w:sz w:val="22"/>
        </w:rPr>
        <w:t>[I]</w:t>
      </w:r>
      <w:r>
        <w:rPr>
          <w:rFonts w:ascii="Calibri" w:hAnsi="Calibri" w:eastAsia="Microsoft YaHei"/>
          <w:color w:val="243447"/>
          <w:sz w:val="22"/>
        </w:rPr>
        <w:t xml:space="preserve"> Repeated-query 风险不仅由 submission count 决定，但目前没有可把 score、error、rank timing、artifact 和 search leakage 直接相加的共同单位。因此 pilot 前不使用无量纲 </w:t>
      </w:r>
      <w:r>
        <w:rPr>
          <w:rFonts w:ascii="Consolas" w:hAnsi="Consolas" w:eastAsia="Microsoft YaHei"/>
          <w:color w:val="1F4D78"/>
          <w:sz w:val="20"/>
        </w:rPr>
        <w:t>L_release</w:t>
      </w:r>
      <w:r>
        <w:rPr>
          <w:rFonts w:ascii="Calibri" w:hAnsi="Calibri" w:eastAsia="Microsoft YaHei"/>
          <w:color w:val="243447"/>
          <w:sz w:val="22"/>
        </w:rPr>
        <w:t xml:space="preserve"> 标量。</w:t>
      </w:r>
    </w:p>
    <w:p>
      <w:pPr>
        <w:widowControl/>
      </w:pPr>
      <w:r>
        <w:rPr>
          <w:rFonts w:ascii="Calibri" w:hAnsi="Calibri" w:eastAsia="Microsoft YaHei"/>
          <w:b/>
          <w:color w:val="243447"/>
          <w:sz w:val="22"/>
        </w:rPr>
        <w:t>[P]</w:t>
      </w:r>
      <w:r>
        <w:rPr>
          <w:rFonts w:ascii="Calibri" w:hAnsi="Calibri" w:eastAsia="Microsoft YaHei"/>
          <w:color w:val="243447"/>
          <w:sz w:val="22"/>
        </w:rPr>
        <w:t xml:space="preserve"> 每个 actor/org/model-lineage/release 维护风险向量：</w:t>
      </w:r>
      <w:r>
        <w:rPr>
          <w:rFonts w:ascii="Consolas" w:hAnsi="Consolas" w:eastAsia="Microsoft YaHei"/>
          <w:color w:val="1F4D78"/>
          <w:sz w:val="20"/>
        </w:rPr>
        <w:t>{query_count, task_level_feedback, score_precision, error_specificity, delay, selectable_final_submissions, cross_account_linkage, artifact_export, search_exposure}</w:t>
      </w:r>
      <w:r>
        <w:rPr>
          <w:rFonts w:ascii="Calibri" w:hAnsi="Calibri" w:eastAsia="Microsoft YaHei"/>
          <w:color w:val="243447"/>
          <w:sz w:val="22"/>
        </w:rPr>
        <w:t>；policy 在每个维度设约束/监控，不提前加权求和。</w:t>
      </w:r>
    </w:p>
    <w:p>
      <w:pPr>
        <w:widowControl/>
      </w:pPr>
      <w:r>
        <w:rPr>
          <w:rFonts w:ascii="Calibri" w:hAnsi="Calibri" w:eastAsia="Microsoft YaHei"/>
          <w:b/>
          <w:color w:val="243447"/>
          <w:sz w:val="22"/>
        </w:rPr>
        <w:t>[V]</w:t>
      </w:r>
      <w:r>
        <w:rPr>
          <w:rFonts w:ascii="Calibri" w:hAnsi="Calibri" w:eastAsia="Microsoft YaHei"/>
          <w:color w:val="243447"/>
          <w:sz w:val="22"/>
        </w:rPr>
        <w:t xml:space="preserve"> 只有 pilot 定义各维单位、normalization、interaction、uncertainty 和 decision loss 后，才可讨论 scalar information budget。Pilot 比较详细/聚合、即时/延迟、账号/组织绑定、fixed/fresh holdout、开放/隐藏 grader error，并纳入 Shaky Ladder 类后续攻击的 red-team regression。R23</w:t>
      </w:r>
    </w:p>
    <w:p>
      <w:pPr>
        <w:pStyle w:val="Heading1"/>
        <w:pageBreakBefore/>
      </w:pPr>
      <w:r>
        <w:rPr>
          <w:rFonts w:ascii="Calibri" w:hAnsi="Calibri" w:eastAsia="Microsoft YaHei"/>
          <w:color w:val="2E74B5"/>
          <w:sz w:val="32"/>
        </w:rPr>
        <w:t>7. Lifecycle state machine</w:t>
      </w:r>
    </w:p>
    <w:p>
      <w:pPr>
        <w:sectPr>
          <w:pgSz w:w="12240" w:h="15840"/>
          <w:pgMar w:top="1440" w:right="1440" w:bottom="1440" w:left="1440" w:header="708" w:footer="708" w:gutter="0"/>
          <w:cols w:space="720" w:num="1"/>
          <w:titlePg/>
          <w:docGrid w:linePitch="360"/>
        </w:sectPr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8641080" cy="489661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ifecycle_state_machin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8641080" cy="48966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80"/>
        <w:jc w:val="center"/>
      </w:pPr>
      <w:r>
        <w:rPr>
          <w:rFonts w:ascii="Calibri" w:hAnsi="Calibri" w:eastAsia="Microsoft YaHei"/>
          <w:i/>
          <w:color w:val="667085"/>
          <w:sz w:val="17"/>
        </w:rPr>
        <w:t>图 2｜生命周期状态机：quarantine 保全证据，repair 必须重新验证</w:t>
      </w:r>
    </w:p>
    <w:p>
      <w:pPr>
        <w:sectPr>
          <w:pgSz w:w="15840" w:h="12240" w:orient="landscape"/>
          <w:pgMar w:top="936" w:right="936" w:bottom="936" w:left="936" w:header="708" w:footer="708" w:gutter="0"/>
          <w:cols w:space="720" w:num="1"/>
          <w:titlePg/>
          <w:docGrid w:linePitch="360"/>
        </w:sectPr>
      </w:pPr>
    </w:p>
    <w:p>
      <w:pPr>
        <w:pStyle w:val="Heading2"/>
      </w:pPr>
      <w:r>
        <w:rPr>
          <w:rFonts w:ascii="Calibri" w:hAnsi="Calibri" w:eastAsia="Microsoft YaHei"/>
          <w:color w:val="2E74B5"/>
          <w:sz w:val="26"/>
        </w:rPr>
        <w:t>7.1 状态定义与 gates</w:t>
      </w:r>
    </w:p>
    <w:p>
      <w:pPr>
        <w:widowControl/>
      </w:pPr>
      <w:r>
        <w:rPr>
          <w:rFonts w:ascii="Calibri" w:hAnsi="Calibri" w:eastAsia="Microsoft YaHei"/>
          <w:b/>
          <w:color w:val="243447"/>
          <w:sz w:val="22"/>
        </w:rPr>
        <w:t>标签说明：</w:t>
      </w:r>
      <w:r>
        <w:rPr>
          <w:rFonts w:ascii="Calibri" w:hAnsi="Calibri" w:eastAsia="Microsoft YaHei"/>
          <w:color w:val="243447"/>
          <w:sz w:val="22"/>
        </w:rPr>
        <w:t xml:space="preserve"> 全部状态定义、进入/退出 gate 和 leaderboard 后果为 </w:t>
      </w:r>
      <w:r>
        <w:rPr>
          <w:rFonts w:ascii="Calibri" w:hAnsi="Calibri" w:eastAsia="Microsoft YaHei"/>
          <w:b/>
          <w:color w:val="243447"/>
          <w:sz w:val="22"/>
        </w:rPr>
        <w:t>[P] 项目建议</w:t>
      </w:r>
      <w:r>
        <w:rPr>
          <w:rFonts w:ascii="Calibri" w:hAnsi="Calibri" w:eastAsia="Microsoft YaHei"/>
          <w:color w:val="243447"/>
          <w:sz w:val="22"/>
        </w:rPr>
        <w:t>；W3C/NIST 提供 provenance、monitor/change/incident 原则，不直接规定这 7 个原子状态。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0D5DD"/>
          <w:left w:val="single" w:sz="6" w:space="0" w:color="D0D5DD"/>
          <w:bottom w:val="single" w:sz="6" w:space="0" w:color="D0D5DD"/>
          <w:right w:val="single" w:sz="6" w:space="0" w:color="D0D5DD"/>
          <w:insideH w:val="single" w:sz="6" w:space="0" w:color="D0D5DD"/>
          <w:insideV w:val="single" w:sz="6" w:space="0" w:color="D0D5DD"/>
        </w:tblBorders>
      </w:tblPr>
      <w:tblGrid>
        <w:gridCol w:w="2340"/>
        <w:gridCol w:w="2340"/>
        <w:gridCol w:w="2340"/>
        <w:gridCol w:w="2340"/>
      </w:tblGrid>
      <w:tr>
        <w:trPr>
          <w:cantSplit/>
          <w:tblHeader w:val="true"/>
        </w:trPr>
        <w:tc>
          <w:tcPr>
            <w:tcW w:type="dxa" w:w="149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163A5F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b/>
                <w:color w:val="FFFFFF"/>
                <w:sz w:val="17"/>
              </w:rPr>
              <w:t>State</w:t>
            </w:r>
          </w:p>
        </w:tc>
        <w:tc>
          <w:tcPr>
            <w:tcW w:type="dxa" w:w="252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163A5F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b/>
                <w:color w:val="FFFFFF"/>
                <w:sz w:val="17"/>
              </w:rPr>
              <w:t>进入条件</w:t>
            </w:r>
          </w:p>
        </w:tc>
        <w:tc>
          <w:tcPr>
            <w:tcW w:type="dxa" w:w="271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163A5F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b/>
                <w:color w:val="FFFFFF"/>
                <w:sz w:val="17"/>
              </w:rPr>
              <w:t>允许行为与离开 gate</w:t>
            </w:r>
          </w:p>
        </w:tc>
        <w:tc>
          <w:tcPr>
            <w:tcW w:type="dxa" w:w="262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163A5F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b/>
                <w:color w:val="FFFFFF"/>
                <w:sz w:val="17"/>
              </w:rPr>
              <w:t>Leaderboard 含义</w:t>
            </w:r>
          </w:p>
        </w:tc>
      </w:tr>
      <w:tr>
        <w:trPr>
          <w:cantSplit/>
        </w:trPr>
        <w:tc>
          <w:tcPr>
            <w:tcW w:type="dxa" w:w="149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onsolas" w:hAnsi="Consolas" w:eastAsia="Microsoft YaHei"/>
                <w:color w:val="1F4D78"/>
                <w:sz w:val="16"/>
              </w:rPr>
              <w:t>proposed</w:t>
            </w:r>
          </w:p>
        </w:tc>
        <w:tc>
          <w:tcPr>
            <w:tcW w:type="dxa" w:w="252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7"/>
              </w:rPr>
              <w:t>Construct、family、来源/权利初审、预期 I/O 和 evaluator idea；stable draft ID</w:t>
            </w:r>
          </w:p>
        </w:tc>
        <w:tc>
          <w:tcPr>
            <w:tcW w:type="dxa" w:w="271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7"/>
              </w:rPr>
              <w:t>评审、拒绝、实现</w:t>
            </w:r>
          </w:p>
        </w:tc>
        <w:tc>
          <w:tcPr>
            <w:tcW w:type="dxa" w:w="262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7"/>
              </w:rPr>
              <w:t>不算 accepted runnable asset；不得 official score</w:t>
            </w:r>
          </w:p>
        </w:tc>
      </w:tr>
      <w:tr>
        <w:trPr>
          <w:cantSplit/>
        </w:trPr>
        <w:tc>
          <w:tcPr>
            <w:tcW w:type="dxa" w:w="149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onsolas" w:hAnsi="Consolas" w:eastAsia="Microsoft YaHei"/>
                <w:color w:val="1F4D78"/>
                <w:sz w:val="16"/>
              </w:rPr>
              <w:t>implemented</w:t>
            </w:r>
          </w:p>
        </w:tc>
        <w:tc>
          <w:tcPr>
            <w:tcW w:type="dxa" w:w="252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7"/>
              </w:rPr>
              <w:t>package 可安装/启动/提交/评分；manifest/hash/license snapshot</w:t>
            </w:r>
          </w:p>
        </w:tc>
        <w:tc>
          <w:tcPr>
            <w:tcW w:type="dxa" w:w="271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7"/>
              </w:rPr>
              <w:t>reference run、negative/metamorphic、exploit、rebuild、安全检查</w:t>
            </w:r>
          </w:p>
        </w:tc>
        <w:tc>
          <w:tcPr>
            <w:tcW w:type="dxa" w:w="262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7"/>
              </w:rPr>
              <w:t>engineering QA only</w:t>
            </w:r>
          </w:p>
        </w:tc>
      </w:tr>
      <w:tr>
        <w:trPr>
          <w:cantSplit/>
        </w:trPr>
        <w:tc>
          <w:tcPr>
            <w:tcW w:type="dxa" w:w="149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onsolas" w:hAnsi="Consolas" w:eastAsia="Microsoft YaHei"/>
                <w:color w:val="1F4D78"/>
                <w:sz w:val="16"/>
              </w:rPr>
              <w:t>validated</w:t>
            </w:r>
          </w:p>
        </w:tc>
        <w:tc>
          <w:tcPr>
            <w:tcW w:type="dxa" w:w="252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7"/>
              </w:rPr>
              <w:t>可运行、reference 可复现、evaluator/construct/权限/安全/许可证据通过</w:t>
            </w:r>
          </w:p>
        </w:tc>
        <w:tc>
          <w:tcPr>
            <w:tcW w:type="dxa" w:w="271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7"/>
              </w:rPr>
              <w:t>独立 acceptance；证据过期退回或 quarantine</w:t>
            </w:r>
          </w:p>
        </w:tc>
        <w:tc>
          <w:tcPr>
            <w:tcW w:type="dxa" w:w="262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7"/>
              </w:rPr>
              <w:t>calibration only</w:t>
            </w:r>
          </w:p>
        </w:tc>
      </w:tr>
      <w:tr>
        <w:trPr>
          <w:cantSplit/>
        </w:trPr>
        <w:tc>
          <w:tcPr>
            <w:tcW w:type="dxa" w:w="149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onsolas" w:hAnsi="Consolas" w:eastAsia="Microsoft YaHei"/>
                <w:color w:val="1F4D78"/>
                <w:sz w:val="16"/>
              </w:rPr>
              <w:t>accepted</w:t>
            </w:r>
          </w:p>
        </w:tc>
        <w:tc>
          <w:tcPr>
            <w:tcW w:type="dxa" w:w="252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7"/>
              </w:rPr>
              <w:t>独立于作者的 acceptance authority 批准 scope/version/limitations</w:t>
            </w:r>
          </w:p>
        </w:tc>
        <w:tc>
          <w:tcPr>
            <w:tcW w:type="dxa" w:w="271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7"/>
              </w:rPr>
              <w:t>可建立 pool assignment、access class 与 release membership；这些不改变 lifecycle</w:t>
            </w:r>
          </w:p>
        </w:tc>
        <w:tc>
          <w:tcPr>
            <w:tcW w:type="dxa" w:w="262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7"/>
              </w:rPr>
              <w:t>只有进入特定 release role 后才有计分含义</w:t>
            </w:r>
          </w:p>
        </w:tc>
      </w:tr>
      <w:tr>
        <w:trPr>
          <w:cantSplit/>
        </w:trPr>
        <w:tc>
          <w:tcPr>
            <w:tcW w:type="dxa" w:w="149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onsolas" w:hAnsi="Consolas" w:eastAsia="Microsoft YaHei"/>
                <w:color w:val="1F4D78"/>
                <w:sz w:val="16"/>
              </w:rPr>
              <w:t>quarantined</w:t>
            </w:r>
          </w:p>
        </w:tc>
        <w:tc>
          <w:tcPr>
            <w:tcW w:type="dxa" w:w="252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7"/>
              </w:rPr>
              <w:t>credible contamination、grader、environment、license、safety 或治理问题</w:t>
            </w:r>
          </w:p>
        </w:tc>
        <w:tc>
          <w:tcPr>
            <w:tcW w:type="dxa" w:w="271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7"/>
              </w:rPr>
              <w:t>保全证据、停止受影响访问/计分、scope、repair/retire</w:t>
            </w:r>
          </w:p>
        </w:tc>
        <w:tc>
          <w:tcPr>
            <w:tcW w:type="dxa" w:w="262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7"/>
              </w:rPr>
              <w:t>current board freeze/annotation；历史不删除</w:t>
            </w:r>
          </w:p>
        </w:tc>
      </w:tr>
      <w:tr>
        <w:trPr>
          <w:cantSplit/>
        </w:trPr>
        <w:tc>
          <w:tcPr>
            <w:tcW w:type="dxa" w:w="149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onsolas" w:hAnsi="Consolas" w:eastAsia="Microsoft YaHei"/>
                <w:color w:val="1F4D78"/>
                <w:sz w:val="16"/>
              </w:rPr>
              <w:t>repaired</w:t>
            </w:r>
          </w:p>
        </w:tc>
        <w:tc>
          <w:tcPr>
            <w:tcW w:type="dxa" w:w="252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b/>
                <w:color w:val="243447"/>
                <w:sz w:val="17"/>
              </w:rPr>
              <w:t>仅属于 repair event 新建的 version</w:t>
            </w:r>
            <w:r>
              <w:rPr>
                <w:rFonts w:ascii="Calibri" w:hAnsi="Calibri" w:eastAsia="Microsoft YaHei"/>
                <w:color w:val="243447"/>
                <w:sz w:val="17"/>
              </w:rPr>
              <w:t>；</w:t>
            </w:r>
            <w:r>
              <w:rPr>
                <w:rFonts w:ascii="Consolas" w:hAnsi="Consolas" w:eastAsia="Microsoft YaHei"/>
                <w:color w:val="1F4D78"/>
                <w:sz w:val="16"/>
              </w:rPr>
              <w:t>repairs</w:t>
            </w:r>
            <w:r>
              <w:rPr>
                <w:rFonts w:ascii="Calibri" w:hAnsi="Calibri" w:eastAsia="Microsoft YaHei"/>
                <w:color w:val="243447"/>
                <w:sz w:val="17"/>
              </w:rPr>
              <w:t xml:space="preserve"> edge 指向旧 version；旧 version 保持 </w:t>
            </w:r>
            <w:r>
              <w:rPr>
                <w:rFonts w:ascii="Consolas" w:hAnsi="Consolas" w:eastAsia="Microsoft YaHei"/>
                <w:color w:val="1F4D78"/>
                <w:sz w:val="16"/>
              </w:rPr>
              <w:t>quarantined</w:t>
            </w:r>
            <w:r>
              <w:rPr>
                <w:rFonts w:ascii="Calibri" w:hAnsi="Calibri" w:eastAsia="Microsoft YaHei"/>
                <w:color w:val="243447"/>
                <w:sz w:val="17"/>
              </w:rPr>
              <w:t xml:space="preserve"> 或随后独立 </w:t>
            </w:r>
            <w:r>
              <w:rPr>
                <w:rFonts w:ascii="Consolas" w:hAnsi="Consolas" w:eastAsia="Microsoft YaHei"/>
                <w:color w:val="1F4D78"/>
                <w:sz w:val="16"/>
              </w:rPr>
              <w:t>retired</w:t>
            </w:r>
            <w:r>
              <w:rPr>
                <w:rFonts w:ascii="Calibri" w:hAnsi="Calibri" w:eastAsia="Microsoft YaHei"/>
                <w:color w:val="243447"/>
                <w:sz w:val="17"/>
              </w:rPr>
              <w:t>；repair record 完整</w:t>
            </w:r>
          </w:p>
        </w:tc>
        <w:tc>
          <w:tcPr>
            <w:tcW w:type="dxa" w:w="271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7"/>
              </w:rPr>
              <w:t xml:space="preserve">新 version 重新走 </w:t>
            </w:r>
            <w:r>
              <w:rPr>
                <w:rFonts w:ascii="Consolas" w:hAnsi="Consolas" w:eastAsia="Microsoft YaHei"/>
                <w:color w:val="1F4D78"/>
                <w:sz w:val="16"/>
              </w:rPr>
              <w:t>validated → accepted</w:t>
            </w:r>
            <w:r>
              <w:rPr>
                <w:rFonts w:ascii="Calibri" w:hAnsi="Calibri" w:eastAsia="Microsoft YaHei"/>
                <w:color w:val="243447"/>
                <w:sz w:val="17"/>
              </w:rPr>
              <w:t>；不能直返 active</w:t>
            </w:r>
          </w:p>
        </w:tc>
        <w:tc>
          <w:tcPr>
            <w:tcW w:type="dxa" w:w="262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7"/>
              </w:rPr>
              <w:t>old/new asset-version、grader 与 score 分开</w:t>
            </w:r>
          </w:p>
        </w:tc>
      </w:tr>
      <w:tr>
        <w:trPr>
          <w:cantSplit/>
        </w:trPr>
        <w:tc>
          <w:tcPr>
            <w:tcW w:type="dxa" w:w="149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onsolas" w:hAnsi="Consolas" w:eastAsia="Microsoft YaHei"/>
                <w:color w:val="1F4D78"/>
                <w:sz w:val="16"/>
              </w:rPr>
              <w:t>retired</w:t>
            </w:r>
          </w:p>
        </w:tc>
        <w:tc>
          <w:tcPr>
            <w:tcW w:type="dxa" w:w="252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7"/>
              </w:rPr>
              <w:t>current scoring 资格终止；reason/effective time/affected release 披露</w:t>
            </w:r>
          </w:p>
        </w:tc>
        <w:tc>
          <w:tcPr>
            <w:tcW w:type="dxa" w:w="271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7"/>
              </w:rPr>
              <w:t>immutable archive；可建立 successor link</w:t>
            </w:r>
          </w:p>
        </w:tc>
        <w:tc>
          <w:tcPr>
            <w:tcW w:type="dxa" w:w="262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7"/>
              </w:rPr>
              <w:t>frozen history 保留并标注</w:t>
            </w:r>
          </w:p>
        </w:tc>
      </w:tr>
    </w:tbl>
    <w:p>
      <w:pPr>
        <w:widowControl/>
      </w:pPr>
      <w:r>
        <w:rPr>
          <w:rFonts w:ascii="Calibri" w:hAnsi="Calibri" w:eastAsia="Microsoft YaHei"/>
          <w:b/>
          <w:color w:val="243447"/>
          <w:sz w:val="22"/>
        </w:rPr>
        <w:t>派生视图定义：</w:t>
      </w:r>
      <w:r>
        <w:rPr>
          <w:rFonts w:ascii="Calibri" w:hAnsi="Calibri" w:eastAsia="Microsoft YaHei"/>
          <w:color w:val="243447"/>
          <w:sz w:val="22"/>
        </w:rPr>
        <w:t xml:space="preserve"> </w:t>
      </w:r>
      <w:r>
        <w:rPr>
          <w:rFonts w:ascii="Consolas" w:hAnsi="Consolas" w:eastAsia="Microsoft YaHei"/>
          <w:color w:val="1F4D78"/>
          <w:sz w:val="20"/>
        </w:rPr>
        <w:t>active-public</w:t>
      </w:r>
      <w:r>
        <w:rPr>
          <w:rFonts w:ascii="Calibri" w:hAnsi="Calibri" w:eastAsia="Microsoft YaHei"/>
          <w:color w:val="243447"/>
          <w:sz w:val="22"/>
        </w:rPr>
        <w:t>、</w:t>
      </w:r>
      <w:r>
        <w:rPr>
          <w:rFonts w:ascii="Consolas" w:hAnsi="Consolas" w:eastAsia="Microsoft YaHei"/>
          <w:color w:val="1F4D78"/>
          <w:sz w:val="20"/>
        </w:rPr>
        <w:t>active-private</w:t>
      </w:r>
      <w:r>
        <w:rPr>
          <w:rFonts w:ascii="Calibri" w:hAnsi="Calibri" w:eastAsia="Microsoft YaHei"/>
          <w:color w:val="243447"/>
          <w:sz w:val="22"/>
        </w:rPr>
        <w:t>、</w:t>
      </w:r>
      <w:r>
        <w:rPr>
          <w:rFonts w:ascii="Consolas" w:hAnsi="Consolas" w:eastAsia="Microsoft YaHei"/>
          <w:color w:val="1F4D78"/>
          <w:sz w:val="20"/>
        </w:rPr>
        <w:t>rotation</w:t>
      </w:r>
      <w:r>
        <w:rPr>
          <w:rFonts w:ascii="Calibri" w:hAnsi="Calibri" w:eastAsia="Microsoft YaHei"/>
          <w:color w:val="243447"/>
          <w:sz w:val="22"/>
        </w:rPr>
        <w:t xml:space="preserve"> 和 </w:t>
      </w:r>
      <w:r>
        <w:rPr>
          <w:rFonts w:ascii="Consolas" w:hAnsi="Consolas" w:eastAsia="Microsoft YaHei"/>
          <w:color w:val="1F4D78"/>
          <w:sz w:val="20"/>
        </w:rPr>
        <w:t>replaced</w:t>
      </w:r>
      <w:r>
        <w:rPr>
          <w:rFonts w:ascii="Calibri" w:hAnsi="Calibri" w:eastAsia="Microsoft YaHei"/>
          <w:color w:val="243447"/>
          <w:sz w:val="22"/>
        </w:rPr>
        <w:t xml:space="preserve"> 依第 3.0 节规则计算；查询结果必须同时返回组成它的 lifecycle、pool、access、release role、exposure eligibility 与 lineage，禁止只返回复合词。</w:t>
      </w:r>
    </w:p>
    <w:p>
      <w:pPr>
        <w:widowControl/>
      </w:pPr>
      <w:r>
        <w:rPr>
          <w:rFonts w:ascii="Calibri" w:hAnsi="Calibri" w:eastAsia="Microsoft YaHei"/>
          <w:b/>
          <w:color w:val="243447"/>
          <w:sz w:val="22"/>
        </w:rPr>
        <w:t>[P] 状态不变量：</w:t>
      </w:r>
    </w:p>
    <w:p>
      <w:pPr>
        <w:pStyle w:val="ListBullet"/>
      </w:pPr>
      <w:r>
        <w:rPr>
          <w:rFonts w:ascii="Calibri" w:hAnsi="Calibri" w:eastAsia="Microsoft YaHei"/>
          <w:color w:val="243447"/>
          <w:sz w:val="21"/>
        </w:rPr>
        <w:t xml:space="preserve">同一 </w:t>
      </w:r>
      <w:r>
        <w:rPr>
          <w:rFonts w:ascii="Consolas" w:hAnsi="Consolas" w:eastAsia="Microsoft YaHei"/>
          <w:color w:val="1F4D78"/>
          <w:sz w:val="19"/>
        </w:rPr>
        <w:t>asset_version</w:t>
      </w:r>
      <w:r>
        <w:rPr>
          <w:rFonts w:ascii="Calibri" w:hAnsi="Calibri" w:eastAsia="Microsoft YaHei"/>
          <w:color w:val="243447"/>
          <w:sz w:val="21"/>
        </w:rPr>
        <w:t xml:space="preserve"> 只有一个 lifecycle status，但可拥有多个 append-only release-membership records；historical membership 不因 current removal 被覆盖。</w:t>
      </w:r>
    </w:p>
    <w:p>
      <w:pPr>
        <w:pStyle w:val="ListBullet"/>
      </w:pPr>
      <w:r>
        <w:rPr>
          <w:rFonts w:ascii="Calibri" w:hAnsi="Calibri" w:eastAsia="Microsoft YaHei"/>
          <w:color w:val="243447"/>
          <w:sz w:val="21"/>
        </w:rPr>
        <w:t>Pool/access/release/exposure 变化各自产生 event；input/reference/evaluator/environment 改变产生新的 immutable version。</w:t>
      </w:r>
    </w:p>
    <w:p>
      <w:pPr>
        <w:pStyle w:val="ListBullet"/>
      </w:pPr>
      <w:r>
        <w:rPr>
          <w:rFonts w:ascii="Consolas" w:hAnsi="Consolas" w:eastAsia="Microsoft YaHei"/>
          <w:color w:val="1F4D78"/>
          <w:sz w:val="19"/>
        </w:rPr>
        <w:t>repaired</w:t>
      </w:r>
      <w:r>
        <w:rPr>
          <w:rFonts w:ascii="Calibri" w:hAnsi="Calibri" w:eastAsia="Microsoft YaHei"/>
          <w:color w:val="243447"/>
          <w:sz w:val="21"/>
        </w:rPr>
        <w:t xml:space="preserve"> 是</w:t>
      </w:r>
      <w:r>
        <w:rPr>
          <w:rFonts w:ascii="Calibri" w:hAnsi="Calibri" w:eastAsia="Microsoft YaHei"/>
          <w:b/>
          <w:color w:val="243447"/>
          <w:sz w:val="21"/>
        </w:rPr>
        <w:t>新 version</w:t>
      </w:r>
      <w:r>
        <w:rPr>
          <w:rFonts w:ascii="Calibri" w:hAnsi="Calibri" w:eastAsia="Microsoft YaHei"/>
          <w:color w:val="243447"/>
          <w:sz w:val="21"/>
        </w:rPr>
        <w:t xml:space="preserve">必须重验证的暂态，不是旧 version 从 </w:t>
      </w:r>
      <w:r>
        <w:rPr>
          <w:rFonts w:ascii="Consolas" w:hAnsi="Consolas" w:eastAsia="Microsoft YaHei"/>
          <w:color w:val="1F4D78"/>
          <w:sz w:val="19"/>
        </w:rPr>
        <w:t>quarantined</w:t>
      </w:r>
      <w:r>
        <w:rPr>
          <w:rFonts w:ascii="Calibri" w:hAnsi="Calibri" w:eastAsia="Microsoft YaHei"/>
          <w:color w:val="243447"/>
          <w:sz w:val="21"/>
        </w:rPr>
        <w:t xml:space="preserve"> 原地变更的目标；</w:t>
      </w:r>
      <w:r>
        <w:rPr>
          <w:rFonts w:ascii="Consolas" w:hAnsi="Consolas" w:eastAsia="Microsoft YaHei"/>
          <w:color w:val="1F4D78"/>
          <w:sz w:val="19"/>
        </w:rPr>
        <w:t>retired</w:t>
      </w:r>
      <w:r>
        <w:rPr>
          <w:rFonts w:ascii="Calibri" w:hAnsi="Calibri" w:eastAsia="Microsoft YaHei"/>
          <w:color w:val="243447"/>
          <w:sz w:val="21"/>
        </w:rPr>
        <w:t xml:space="preserve"> 是资格终止；</w:t>
      </w:r>
      <w:r>
        <w:rPr>
          <w:rFonts w:ascii="Consolas" w:hAnsi="Consolas" w:eastAsia="Microsoft YaHei"/>
          <w:color w:val="1F4D78"/>
          <w:sz w:val="19"/>
        </w:rPr>
        <w:t>repairs</w:t>
      </w:r>
      <w:r>
        <w:rPr>
          <w:rFonts w:ascii="Calibri" w:hAnsi="Calibri" w:eastAsia="Microsoft YaHei"/>
          <w:color w:val="243447"/>
          <w:sz w:val="21"/>
        </w:rPr>
        <w:t>、</w:t>
      </w:r>
      <w:r>
        <w:rPr>
          <w:rFonts w:ascii="Consolas" w:hAnsi="Consolas" w:eastAsia="Microsoft YaHei"/>
          <w:color w:val="1F4D78"/>
          <w:sz w:val="19"/>
        </w:rPr>
        <w:t>supersedes</w:t>
      </w:r>
      <w:r>
        <w:rPr>
          <w:rFonts w:ascii="Calibri" w:hAnsi="Calibri" w:eastAsia="Microsoft YaHei"/>
          <w:color w:val="243447"/>
          <w:sz w:val="21"/>
        </w:rPr>
        <w:t xml:space="preserve"> 和 </w:t>
      </w:r>
      <w:r>
        <w:rPr>
          <w:rFonts w:ascii="Consolas" w:hAnsi="Consolas" w:eastAsia="Microsoft YaHei"/>
          <w:color w:val="1F4D78"/>
          <w:sz w:val="19"/>
        </w:rPr>
        <w:t>replaces</w:t>
      </w:r>
      <w:r>
        <w:rPr>
          <w:rFonts w:ascii="Calibri" w:hAnsi="Calibri" w:eastAsia="Microsoft YaHei"/>
          <w:color w:val="243447"/>
          <w:sz w:val="21"/>
        </w:rPr>
        <w:t xml:space="preserve"> 都是跨 version 的 lineage edge。</w:t>
      </w:r>
    </w:p>
    <w:p>
      <w:pPr>
        <w:pStyle w:val="ListBullet"/>
      </w:pPr>
      <w:r>
        <w:rPr>
          <w:rFonts w:ascii="Calibri" w:hAnsi="Calibri" w:eastAsia="Microsoft YaHei"/>
          <w:color w:val="243447"/>
          <w:sz w:val="21"/>
        </w:rPr>
        <w:t xml:space="preserve">Repair transaction 必须原子地：(a) 保持 old </w:t>
      </w:r>
      <w:r>
        <w:rPr>
          <w:rFonts w:ascii="Consolas" w:hAnsi="Consolas" w:eastAsia="Microsoft YaHei"/>
          <w:color w:val="1F4D78"/>
          <w:sz w:val="19"/>
        </w:rPr>
        <w:t>asset_version</w:t>
      </w:r>
      <w:r>
        <w:rPr>
          <w:rFonts w:ascii="Calibri" w:hAnsi="Calibri" w:eastAsia="Microsoft YaHei"/>
          <w:color w:val="243447"/>
          <w:sz w:val="21"/>
        </w:rPr>
        <w:t xml:space="preserve"> 状态不变；(b) 创建 new </w:t>
      </w:r>
      <w:r>
        <w:rPr>
          <w:rFonts w:ascii="Consolas" w:hAnsi="Consolas" w:eastAsia="Microsoft YaHei"/>
          <w:color w:val="1F4D78"/>
          <w:sz w:val="19"/>
        </w:rPr>
        <w:t>asset_version_id</w:t>
      </w:r>
      <w:r>
        <w:rPr>
          <w:rFonts w:ascii="Calibri" w:hAnsi="Calibri" w:eastAsia="Microsoft YaHei"/>
          <w:color w:val="243447"/>
          <w:sz w:val="21"/>
        </w:rPr>
        <w:t xml:space="preserve">；(c) 写入含两端 asset 和 version 身份的 </w:t>
      </w:r>
      <w:r>
        <w:rPr>
          <w:rFonts w:ascii="Consolas" w:hAnsi="Consolas" w:eastAsia="Microsoft YaHei"/>
          <w:color w:val="1F4D78"/>
          <w:sz w:val="19"/>
        </w:rPr>
        <w:t>repairs</w:t>
      </w:r>
      <w:r>
        <w:rPr>
          <w:rFonts w:ascii="Calibri" w:hAnsi="Calibri" w:eastAsia="Microsoft YaHei"/>
          <w:color w:val="243447"/>
          <w:sz w:val="21"/>
        </w:rPr>
        <w:t xml:space="preserve"> edge。默认 </w:t>
      </w:r>
      <w:r>
        <w:rPr>
          <w:rFonts w:ascii="Consolas" w:hAnsi="Consolas" w:eastAsia="Microsoft YaHei"/>
          <w:color w:val="1F4D78"/>
          <w:sz w:val="19"/>
        </w:rPr>
        <w:t>repairs/supersedes</w:t>
      </w:r>
      <w:r>
        <w:rPr>
          <w:rFonts w:ascii="Calibri" w:hAnsi="Calibri" w:eastAsia="Microsoft YaHei"/>
          <w:color w:val="243447"/>
          <w:sz w:val="21"/>
        </w:rPr>
        <w:t xml:space="preserve"> 为同一 </w:t>
      </w:r>
      <w:r>
        <w:rPr>
          <w:rFonts w:ascii="Consolas" w:hAnsi="Consolas" w:eastAsia="Microsoft YaHei"/>
          <w:color w:val="1F4D78"/>
          <w:sz w:val="19"/>
        </w:rPr>
        <w:t>asset_id</w:t>
      </w:r>
      <w:r>
        <w:rPr>
          <w:rFonts w:ascii="Calibri" w:hAnsi="Calibri" w:eastAsia="Microsoft YaHei"/>
          <w:color w:val="243447"/>
          <w:sz w:val="21"/>
        </w:rPr>
        <w:t xml:space="preserve"> 的新 version，</w:t>
      </w:r>
      <w:r>
        <w:rPr>
          <w:rFonts w:ascii="Consolas" w:hAnsi="Consolas" w:eastAsia="Microsoft YaHei"/>
          <w:color w:val="1F4D78"/>
          <w:sz w:val="19"/>
        </w:rPr>
        <w:t>replaces</w:t>
      </w:r>
      <w:r>
        <w:rPr>
          <w:rFonts w:ascii="Calibri" w:hAnsi="Calibri" w:eastAsia="Microsoft YaHei"/>
          <w:color w:val="243447"/>
          <w:sz w:val="21"/>
        </w:rPr>
        <w:t xml:space="preserve"> 为不同 </w:t>
      </w:r>
      <w:r>
        <w:rPr>
          <w:rFonts w:ascii="Consolas" w:hAnsi="Consolas" w:eastAsia="Microsoft YaHei"/>
          <w:color w:val="1F4D78"/>
          <w:sz w:val="19"/>
        </w:rPr>
        <w:t>asset_id</w:t>
      </w:r>
      <w:r>
        <w:rPr>
          <w:rFonts w:ascii="Calibri" w:hAnsi="Calibri" w:eastAsia="Microsoft YaHei"/>
          <w:color w:val="243447"/>
          <w:sz w:val="21"/>
        </w:rPr>
        <w:t>；例外必须记录 authority 和 reason。</w:t>
      </w:r>
    </w:p>
    <w:p>
      <w:pPr>
        <w:pStyle w:val="ListBullet"/>
      </w:pPr>
      <w:r>
        <w:rPr>
          <w:rFonts w:ascii="Calibri" w:hAnsi="Calibri" w:eastAsia="Microsoft YaHei"/>
          <w:color w:val="243447"/>
          <w:sz w:val="21"/>
        </w:rPr>
        <w:t xml:space="preserve">旧 version 永不物理覆盖。若法律/安全要求删除 payload，仍保留允许的 tombstone、hash、时间、授权和原因；保留边界为 </w:t>
      </w:r>
      <w:r>
        <w:rPr>
          <w:rFonts w:ascii="Calibri" w:hAnsi="Calibri" w:eastAsia="Microsoft YaHei"/>
          <w:b/>
          <w:color w:val="B42318"/>
          <w:sz w:val="20"/>
        </w:rPr>
        <w:t>[V]</w:t>
      </w:r>
      <w:r>
        <w:rPr>
          <w:rFonts w:ascii="Calibri" w:hAnsi="Calibri" w:eastAsia="Microsoft YaHei"/>
          <w:color w:val="243447"/>
          <w:sz w:val="21"/>
        </w:rPr>
        <w:t>。</w:t>
      </w:r>
    </w:p>
    <w:p>
      <w:pPr>
        <w:pStyle w:val="ListBullet"/>
      </w:pPr>
      <w:r>
        <w:rPr>
          <w:rFonts w:ascii="Consolas" w:hAnsi="Consolas" w:eastAsia="Microsoft YaHei"/>
          <w:color w:val="1F4D78"/>
          <w:sz w:val="19"/>
        </w:rPr>
        <w:t>proposed</w:t>
      </w:r>
      <w:r>
        <w:rPr>
          <w:rFonts w:ascii="Calibri" w:hAnsi="Calibri" w:eastAsia="Microsoft YaHei"/>
          <w:color w:val="243447"/>
          <w:sz w:val="21"/>
        </w:rPr>
        <w:t xml:space="preserve"> 的 rejected/withdrawn/deferred 不物理删除；记录 </w:t>
      </w:r>
      <w:r>
        <w:rPr>
          <w:rFonts w:ascii="Consolas" w:hAnsi="Consolas" w:eastAsia="Microsoft YaHei"/>
          <w:color w:val="1F4D78"/>
          <w:sz w:val="19"/>
        </w:rPr>
        <w:t>proposal_disposition, reason, authority, effective_at</w:t>
      </w:r>
      <w:r>
        <w:rPr>
          <w:rFonts w:ascii="Calibri" w:hAnsi="Calibri" w:eastAsia="Microsoft YaHei"/>
          <w:color w:val="243447"/>
          <w:sz w:val="21"/>
        </w:rPr>
        <w:t>，以支持 selection/yield pilot。</w:t>
      </w:r>
    </w:p>
    <w:p>
      <w:pPr>
        <w:pStyle w:val="Heading1"/>
        <w:pageBreakBefore/>
      </w:pPr>
      <w:r>
        <w:rPr>
          <w:rFonts w:ascii="Calibri" w:hAnsi="Calibri" w:eastAsia="Microsoft YaHei"/>
          <w:color w:val="2E74B5"/>
          <w:sz w:val="32"/>
        </w:rPr>
        <w:t>8. Refresh、repair、quarantine 与 retirement decision tree</w:t>
      </w:r>
    </w:p>
    <w:p>
      <w:pPr>
        <w:sectPr>
          <w:pgSz w:w="12240" w:h="15840"/>
          <w:pgMar w:top="1440" w:right="1440" w:bottom="1440" w:left="1440" w:header="708" w:footer="708" w:gutter="0"/>
          <w:cols w:space="720" w:num="1"/>
          <w:titlePg/>
          <w:docGrid w:linePitch="360"/>
        </w:sectPr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8641080" cy="626478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cision_tre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8641080" cy="62647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80"/>
        <w:jc w:val="center"/>
      </w:pPr>
      <w:r>
        <w:rPr>
          <w:rFonts w:ascii="Calibri" w:hAnsi="Calibri" w:eastAsia="Microsoft YaHei"/>
          <w:i/>
          <w:color w:val="667085"/>
          <w:sz w:val="17"/>
        </w:rPr>
        <w:t>图 3｜刷新、修复、隔离与退役决策树</w:t>
      </w:r>
    </w:p>
    <w:p>
      <w:pPr>
        <w:sectPr>
          <w:pgSz w:w="15840" w:h="12240" w:orient="landscape"/>
          <w:pgMar w:top="936" w:right="936" w:bottom="936" w:left="936" w:header="708" w:footer="708" w:gutter="0"/>
          <w:cols w:space="720" w:num="1"/>
          <w:titlePg/>
          <w:docGrid w:linePitch="360"/>
        </w:sectPr>
      </w:pPr>
    </w:p>
    <w:p>
      <w:pPr>
        <w:pStyle w:val="Heading2"/>
      </w:pPr>
      <w:r>
        <w:rPr>
          <w:rFonts w:ascii="Calibri" w:hAnsi="Calibri" w:eastAsia="Microsoft YaHei"/>
          <w:color w:val="2E74B5"/>
          <w:sz w:val="26"/>
        </w:rPr>
        <w:t>8.1 九类 refresh trigger</w:t>
      </w:r>
    </w:p>
    <w:p>
      <w:pPr>
        <w:widowControl/>
      </w:pPr>
      <w:r>
        <w:rPr>
          <w:rFonts w:ascii="Calibri" w:hAnsi="Calibri" w:eastAsia="Microsoft YaHei"/>
          <w:b/>
          <w:color w:val="243447"/>
          <w:sz w:val="22"/>
        </w:rPr>
        <w:t>标签说明：</w:t>
      </w:r>
      <w:r>
        <w:rPr>
          <w:rFonts w:ascii="Calibri" w:hAnsi="Calibri" w:eastAsia="Microsoft YaHei"/>
          <w:color w:val="243447"/>
          <w:sz w:val="22"/>
        </w:rPr>
        <w:t xml:space="preserve"> 来源卡中的 benchmark refresh 事实或作者动机分别标 </w:t>
      </w:r>
      <w:r>
        <w:rPr>
          <w:rFonts w:ascii="Calibri" w:hAnsi="Calibri" w:eastAsia="Microsoft YaHei"/>
          <w:b/>
          <w:color w:val="26734D"/>
          <w:sz w:val="21"/>
        </w:rPr>
        <w:t>[E]</w:t>
      </w:r>
      <w:r>
        <w:rPr>
          <w:rFonts w:ascii="Calibri" w:hAnsi="Calibri" w:eastAsia="Microsoft YaHei"/>
          <w:color w:val="243447"/>
          <w:sz w:val="22"/>
        </w:rPr>
        <w:t>/</w:t>
      </w:r>
      <w:r>
        <w:rPr>
          <w:rFonts w:ascii="Calibri" w:hAnsi="Calibri" w:eastAsia="Microsoft YaHei"/>
          <w:b/>
          <w:color w:val="2E74B5"/>
          <w:sz w:val="21"/>
        </w:rPr>
        <w:t>[C]</w:t>
      </w:r>
      <w:r>
        <w:rPr>
          <w:rFonts w:ascii="Calibri" w:hAnsi="Calibri" w:eastAsia="Microsoft YaHei"/>
          <w:color w:val="243447"/>
          <w:sz w:val="22"/>
        </w:rPr>
        <w:t xml:space="preserve">；下表把它们映射成“可观察信号”属于 </w:t>
      </w:r>
      <w:r>
        <w:rPr>
          <w:rFonts w:ascii="Calibri" w:hAnsi="Calibri" w:eastAsia="Microsoft YaHei"/>
          <w:b/>
          <w:color w:val="243447"/>
          <w:sz w:val="22"/>
        </w:rPr>
        <w:t>[I] 研究者推断</w:t>
      </w:r>
      <w:r>
        <w:rPr>
          <w:rFonts w:ascii="Calibri" w:hAnsi="Calibri" w:eastAsia="Microsoft YaHei"/>
          <w:color w:val="243447"/>
          <w:sz w:val="22"/>
        </w:rPr>
        <w:t xml:space="preserve">，“首要动作”是 </w:t>
      </w:r>
      <w:r>
        <w:rPr>
          <w:rFonts w:ascii="Calibri" w:hAnsi="Calibri" w:eastAsia="Microsoft YaHei"/>
          <w:b/>
          <w:color w:val="243447"/>
          <w:sz w:val="22"/>
        </w:rPr>
        <w:t>[P] 项目建议</w:t>
      </w:r>
      <w:r>
        <w:rPr>
          <w:rFonts w:ascii="Calibri" w:hAnsi="Calibri" w:eastAsia="Microsoft YaHei"/>
          <w:color w:val="243447"/>
          <w:sz w:val="22"/>
        </w:rPr>
        <w:t xml:space="preserve">，“待确定”全部为 </w:t>
      </w:r>
      <w:r>
        <w:rPr>
          <w:rFonts w:ascii="Calibri" w:hAnsi="Calibri" w:eastAsia="Microsoft YaHei"/>
          <w:b/>
          <w:color w:val="243447"/>
          <w:sz w:val="22"/>
        </w:rPr>
        <w:t>[V] 客户/pilot 变量</w:t>
      </w:r>
      <w:r>
        <w:rPr>
          <w:rFonts w:ascii="Calibri" w:hAnsi="Calibri" w:eastAsia="Microsoft YaHei"/>
          <w:color w:val="243447"/>
          <w:sz w:val="22"/>
        </w:rPr>
        <w:t>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0D5DD"/>
          <w:left w:val="single" w:sz="6" w:space="0" w:color="D0D5DD"/>
          <w:bottom w:val="single" w:sz="6" w:space="0" w:color="D0D5DD"/>
          <w:right w:val="single" w:sz="6" w:space="0" w:color="D0D5DD"/>
          <w:insideH w:val="single" w:sz="6" w:space="0" w:color="D0D5DD"/>
          <w:insideV w:val="single" w:sz="6" w:space="0" w:color="D0D5DD"/>
        </w:tblBorders>
      </w:tblPr>
      <w:tblGrid>
        <w:gridCol w:w="2340"/>
        <w:gridCol w:w="2340"/>
        <w:gridCol w:w="2340"/>
        <w:gridCol w:w="2340"/>
      </w:tblGrid>
      <w:tr>
        <w:trPr>
          <w:cantSplit/>
          <w:tblHeader w:val="true"/>
        </w:trPr>
        <w:tc>
          <w:tcPr>
            <w:tcW w:type="dxa" w:w="149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163A5F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b/>
                <w:color w:val="FFFFFF"/>
                <w:sz w:val="17"/>
              </w:rPr>
              <w:t>Trigger</w:t>
            </w:r>
          </w:p>
        </w:tc>
        <w:tc>
          <w:tcPr>
            <w:tcW w:type="dxa" w:w="252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163A5F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b/>
                <w:color w:val="FFFFFF"/>
                <w:sz w:val="17"/>
              </w:rPr>
              <w:t xml:space="preserve">可观察信号 </w:t>
            </w:r>
            <w:r>
              <w:rPr>
                <w:rFonts w:ascii="Calibri" w:hAnsi="Calibri" w:eastAsia="Microsoft YaHei"/>
                <w:b/>
                <w:color w:val="FFFFFF"/>
                <w:sz w:val="16"/>
              </w:rPr>
              <w:t>[I]</w:t>
            </w:r>
          </w:p>
        </w:tc>
        <w:tc>
          <w:tcPr>
            <w:tcW w:type="dxa" w:w="271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163A5F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b/>
                <w:color w:val="FFFFFF"/>
                <w:sz w:val="17"/>
              </w:rPr>
              <w:t xml:space="preserve">首要动作 </w:t>
            </w:r>
            <w:r>
              <w:rPr>
                <w:rFonts w:ascii="Calibri" w:hAnsi="Calibri" w:eastAsia="Microsoft YaHei"/>
                <w:b/>
                <w:color w:val="FFFFFF"/>
                <w:sz w:val="16"/>
              </w:rPr>
              <w:t>[P]</w:t>
            </w:r>
          </w:p>
        </w:tc>
        <w:tc>
          <w:tcPr>
            <w:tcW w:type="dxa" w:w="262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163A5F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b/>
                <w:color w:val="FFFFFF"/>
                <w:sz w:val="17"/>
              </w:rPr>
              <w:t xml:space="preserve">待确定 </w:t>
            </w:r>
            <w:r>
              <w:rPr>
                <w:rFonts w:ascii="Calibri" w:hAnsi="Calibri" w:eastAsia="Microsoft YaHei"/>
                <w:b/>
                <w:color w:val="FFFFFF"/>
                <w:sz w:val="16"/>
              </w:rPr>
              <w:t>[V]</w:t>
            </w:r>
          </w:p>
        </w:tc>
      </w:tr>
      <w:tr>
        <w:trPr>
          <w:cantSplit/>
        </w:trPr>
        <w:tc>
          <w:tcPr>
            <w:tcW w:type="dxa" w:w="149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b/>
                <w:color w:val="243447"/>
                <w:sz w:val="17"/>
              </w:rPr>
              <w:t>Saturation</w:t>
            </w:r>
          </w:p>
        </w:tc>
        <w:tc>
          <w:tcPr>
            <w:tcW w:type="dxa" w:w="252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7"/>
              </w:rPr>
              <w:t>score distribution 接近 ceiling、challenge headroom 消失</w:t>
            </w:r>
          </w:p>
        </w:tc>
        <w:tc>
          <w:tcPr>
            <w:tcW w:type="dxa" w:w="271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7"/>
              </w:rPr>
              <w:t>分 task/domain/system 分析；从 reserve 生成 challenge replacement；保留健康 anchors</w:t>
            </w:r>
          </w:p>
        </w:tc>
        <w:tc>
          <w:tcPr>
            <w:tcW w:type="dxa" w:w="262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7"/>
              </w:rPr>
              <w:t>系统集合、观察窗口、ceiling/materiality、cadence</w:t>
            </w:r>
          </w:p>
        </w:tc>
      </w:tr>
      <w:tr>
        <w:trPr>
          <w:cantSplit/>
        </w:trPr>
        <w:tc>
          <w:tcPr>
            <w:tcW w:type="dxa" w:w="149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b/>
                <w:color w:val="243447"/>
                <w:sz w:val="17"/>
              </w:rPr>
              <w:t>Discrimination loss</w:t>
            </w:r>
          </w:p>
        </w:tc>
        <w:tc>
          <w:tcPr>
            <w:tcW w:type="dxa" w:w="252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7"/>
              </w:rPr>
              <w:t>能力不同系统得分趋同；rank 对抽样/重跑不稳定；item 与 construct 关系减弱</w:t>
            </w:r>
          </w:p>
        </w:tc>
        <w:tc>
          <w:tcPr>
            <w:tcW w:type="dxa" w:w="271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7"/>
              </w:rPr>
              <w:t>repeated-run variance、item information、bootstrap/rank stability；先排除噪声和 grader defect</w:t>
            </w:r>
          </w:p>
        </w:tc>
        <w:tc>
          <w:tcPr>
            <w:tcW w:type="dxa" w:w="262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7"/>
              </w:rPr>
              <w:t>precision/uncertainty、共同系统、分 domain policy</w:t>
            </w:r>
          </w:p>
        </w:tc>
      </w:tr>
      <w:tr>
        <w:trPr>
          <w:cantSplit/>
        </w:trPr>
        <w:tc>
          <w:tcPr>
            <w:tcW w:type="dxa" w:w="149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b/>
                <w:color w:val="243447"/>
                <w:sz w:val="17"/>
              </w:rPr>
              <w:t>Contamination</w:t>
            </w:r>
          </w:p>
        </w:tc>
        <w:tc>
          <w:tcPr>
            <w:tcW w:type="dxa" w:w="252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7"/>
              </w:rPr>
              <w:t>solution/train disclosure、near-dup、canary/log、verbatim/search/insider/provider signal</w:t>
            </w:r>
          </w:p>
        </w:tc>
        <w:tc>
          <w:tcPr>
            <w:tcW w:type="dxa" w:w="271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7"/>
              </w:rPr>
              <w:t>锁定 exposure、保存 trace、界定 window；相应 asset/family/grader quarantine</w:t>
            </w:r>
          </w:p>
        </w:tc>
        <w:tc>
          <w:tcPr>
            <w:tcW w:type="dxa" w:w="262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7"/>
              </w:rPr>
              <w:t>evidence grade、scope、通知、freeze 层级</w:t>
            </w:r>
          </w:p>
        </w:tc>
      </w:tr>
      <w:tr>
        <w:trPr>
          <w:cantSplit/>
        </w:trPr>
        <w:tc>
          <w:tcPr>
            <w:tcW w:type="dxa" w:w="149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b/>
                <w:color w:val="243447"/>
                <w:sz w:val="17"/>
              </w:rPr>
              <w:t>Environment drift</w:t>
            </w:r>
          </w:p>
        </w:tc>
        <w:tc>
          <w:tcPr>
            <w:tcW w:type="dxa" w:w="252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7"/>
              </w:rPr>
              <w:t>dependency/app/API/OS/license server 改变；reference run 失败</w:t>
            </w:r>
          </w:p>
        </w:tc>
        <w:tc>
          <w:tcPr>
            <w:tcW w:type="dxa" w:w="271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7"/>
              </w:rPr>
              <w:t>重建并对照；区分 infra invalid 与 capability failure；repair 或 replace</w:t>
            </w:r>
          </w:p>
        </w:tc>
        <w:tc>
          <w:tcPr>
            <w:tcW w:type="dxa" w:w="262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7"/>
              </w:rPr>
              <w:t>support matrix、health cadence、允许差异、fallback</w:t>
            </w:r>
          </w:p>
        </w:tc>
      </w:tr>
      <w:tr>
        <w:trPr>
          <w:cantSplit/>
        </w:trPr>
        <w:tc>
          <w:tcPr>
            <w:tcW w:type="dxa" w:w="149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b/>
                <w:color w:val="243447"/>
                <w:sz w:val="17"/>
              </w:rPr>
              <w:t>License change</w:t>
            </w:r>
          </w:p>
        </w:tc>
        <w:tc>
          <w:tcPr>
            <w:tcW w:type="dxa" w:w="252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7"/>
              </w:rPr>
              <w:t>分发、运行、模型调用、保留或商用权利改变/撤回</w:t>
            </w:r>
          </w:p>
        </w:tc>
        <w:tc>
          <w:tcPr>
            <w:tcW w:type="dxa" w:w="271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7"/>
              </w:rPr>
              <w:t>暂停访问/新 run；权利 owner 决定 restricted use、repair 或 retire</w:t>
            </w:r>
          </w:p>
        </w:tc>
        <w:tc>
          <w:tcPr>
            <w:tcW w:type="dxa" w:w="262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7"/>
              </w:rPr>
              <w:t>法域、notice、deletion/legal hold、archive/regrade 权利</w:t>
            </w:r>
          </w:p>
        </w:tc>
      </w:tr>
      <w:tr>
        <w:trPr>
          <w:cantSplit/>
        </w:trPr>
        <w:tc>
          <w:tcPr>
            <w:tcW w:type="dxa" w:w="149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b/>
                <w:color w:val="243447"/>
                <w:sz w:val="17"/>
              </w:rPr>
              <w:t>Evaluator defect</w:t>
            </w:r>
          </w:p>
        </w:tc>
        <w:tc>
          <w:tcPr>
            <w:tcW w:type="dxa" w:w="252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7"/>
              </w:rPr>
              <w:t>false accept/reject、parser error、reward exploit、judge drift、reference contradiction</w:t>
            </w:r>
          </w:p>
        </w:tc>
        <w:tc>
          <w:tcPr>
            <w:tcW w:type="dxa" w:w="271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7"/>
              </w:rPr>
              <w:t>quarantine grader/items；保存 outputs；old/new 双评分 impact analysis</w:t>
            </w:r>
          </w:p>
        </w:tc>
        <w:tc>
          <w:tcPr>
            <w:tcW w:type="dxa" w:w="262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7"/>
              </w:rPr>
              <w:t>materiality、sample review、regrade eligibility、appeal</w:t>
            </w:r>
          </w:p>
        </w:tc>
      </w:tr>
      <w:tr>
        <w:trPr>
          <w:cantSplit/>
        </w:trPr>
        <w:tc>
          <w:tcPr>
            <w:tcW w:type="dxa" w:w="149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b/>
                <w:color w:val="243447"/>
                <w:sz w:val="17"/>
              </w:rPr>
              <w:t>Task obsolescence</w:t>
            </w:r>
          </w:p>
        </w:tc>
        <w:tc>
          <w:tcPr>
            <w:tcW w:type="dxa" w:w="252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7"/>
              </w:rPr>
              <w:t>工具/规范/workflow 不再存在，或不再测目标工作</w:t>
            </w:r>
          </w:p>
        </w:tc>
        <w:tc>
          <w:tcPr>
            <w:tcW w:type="dxa" w:w="271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7"/>
              </w:rPr>
              <w:t>construct owner 复核 relevance；语义改变则 retire/replace</w:t>
            </w:r>
          </w:p>
        </w:tc>
        <w:tc>
          <w:tcPr>
            <w:tcW w:type="dxa" w:w="262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7"/>
              </w:rPr>
              <w:t>权威更新源、review cadence、customer acceptance</w:t>
            </w:r>
          </w:p>
        </w:tc>
      </w:tr>
      <w:tr>
        <w:trPr>
          <w:cantSplit/>
        </w:trPr>
        <w:tc>
          <w:tcPr>
            <w:tcW w:type="dxa" w:w="149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b/>
                <w:color w:val="243447"/>
                <w:sz w:val="17"/>
              </w:rPr>
              <w:t>Customer change</w:t>
            </w:r>
          </w:p>
        </w:tc>
        <w:tc>
          <w:tcPr>
            <w:tcW w:type="dxa" w:w="252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7"/>
              </w:rPr>
              <w:t>target capability、risk、用户、合规或产品用途改变</w:t>
            </w:r>
          </w:p>
        </w:tc>
        <w:tc>
          <w:tcPr>
            <w:tcW w:type="dxa" w:w="271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7"/>
              </w:rPr>
              <w:t>重新 MAP construct/coverage；旧版冻结，新版重走 acceptance</w:t>
            </w:r>
          </w:p>
        </w:tc>
        <w:tc>
          <w:tcPr>
            <w:tcW w:type="dxa" w:w="262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7"/>
              </w:rPr>
              <w:t>intended-use change authority、major-release rule</w:t>
            </w:r>
          </w:p>
        </w:tc>
      </w:tr>
      <w:tr>
        <w:trPr>
          <w:cantSplit/>
        </w:trPr>
        <w:tc>
          <w:tcPr>
            <w:tcW w:type="dxa" w:w="149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b/>
                <w:color w:val="243447"/>
                <w:sz w:val="17"/>
              </w:rPr>
              <w:t>Safety incident</w:t>
            </w:r>
          </w:p>
        </w:tc>
        <w:tc>
          <w:tcPr>
            <w:tcW w:type="dxa" w:w="252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7"/>
              </w:rPr>
              <w:t>危险操作、真实 secret/PII、恶意 artifact、越权 tool</w:t>
            </w:r>
          </w:p>
        </w:tc>
        <w:tc>
          <w:tcPr>
            <w:tcW w:type="dxa" w:w="271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7"/>
              </w:rPr>
              <w:t>immediate containment、撤权、隔离、evidence preservation、通知</w:t>
            </w:r>
          </w:p>
        </w:tc>
        <w:tc>
          <w:tcPr>
            <w:tcW w:type="dxa" w:w="262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7"/>
              </w:rPr>
              <w:t>severity、通报/披露、retention、recovery authority</w:t>
            </w:r>
          </w:p>
        </w:tc>
      </w:tr>
    </w:tbl>
    <w:p>
      <w:pPr>
        <w:pStyle w:val="Heading2"/>
      </w:pPr>
      <w:r>
        <w:rPr>
          <w:rFonts w:ascii="Calibri" w:hAnsi="Calibri" w:eastAsia="Microsoft YaHei"/>
          <w:color w:val="2E74B5"/>
          <w:sz w:val="26"/>
        </w:rPr>
        <w:t>8.2 Repair 还是 replacement</w:t>
      </w:r>
    </w:p>
    <w:p>
      <w:pPr>
        <w:widowControl/>
      </w:pPr>
      <w:r>
        <w:rPr>
          <w:rFonts w:ascii="Calibri" w:hAnsi="Calibri" w:eastAsia="Microsoft YaHei"/>
          <w:b/>
          <w:color w:val="243447"/>
          <w:sz w:val="22"/>
        </w:rPr>
        <w:t>[P] Repair = same `asset_id` + new immutable `asset_version_id`。</w:t>
      </w:r>
      <w:r>
        <w:rPr>
          <w:rFonts w:ascii="Calibri" w:hAnsi="Calibri" w:eastAsia="Microsoft YaHei"/>
          <w:color w:val="243447"/>
          <w:sz w:val="22"/>
        </w:rPr>
        <w:t xml:space="preserve"> 仅当 construct、concrete input meaning、required output 与 success semantics 不变：非语义 typo/manifest/path；恢复原 contract 所承诺的依赖/环境；修正 parser/scorer implementation；或原 success definition 清楚但 reference implementation 错误。全部仍需 revalidation。</w:t>
      </w:r>
    </w:p>
    <w:p>
      <w:pPr>
        <w:widowControl/>
      </w:pPr>
      <w:r>
        <w:rPr>
          <w:rFonts w:ascii="Calibri" w:hAnsi="Calibri" w:eastAsia="Microsoft YaHei"/>
          <w:b/>
          <w:color w:val="243447"/>
          <w:sz w:val="22"/>
        </w:rPr>
        <w:t>[P] Replacement = new `asset_id` + `replaces` edge。</w:t>
      </w:r>
      <w:r>
        <w:rPr>
          <w:rFonts w:ascii="Calibri" w:hAnsi="Calibri" w:eastAsia="Microsoft YaHei"/>
          <w:color w:val="243447"/>
          <w:sz w:val="22"/>
        </w:rPr>
        <w:t xml:space="preserve"> 更换 concrete input/required deliverable；reference truth 本身有歧义或 success semantics 改变；改变 target capability、允许工具、资源语义或主要交互；污染已破坏 unseen interpretation；license/safety/obsolescence 使原任务不再合法、可运行或相关。</w:t>
      </w:r>
    </w:p>
    <w:p>
      <w:pPr>
        <w:widowControl/>
      </w:pPr>
      <w:r>
        <w:rPr>
          <w:rFonts w:ascii="Calibri" w:hAnsi="Calibri" w:eastAsia="Microsoft YaHei"/>
          <w:b/>
          <w:color w:val="243447"/>
          <w:sz w:val="22"/>
        </w:rPr>
        <w:t>[P] Alternate metric view 不是 repair。</w:t>
      </w:r>
      <w:r>
        <w:rPr>
          <w:rFonts w:ascii="Calibri" w:hAnsi="Calibri" w:eastAsia="Microsoft YaHei"/>
          <w:color w:val="243447"/>
          <w:sz w:val="22"/>
        </w:rPr>
        <w:t xml:space="preserve"> 同一 item evidence 用不同 aggregation/reporting 产生 </w:t>
      </w:r>
      <w:r>
        <w:rPr>
          <w:rFonts w:ascii="Consolas" w:hAnsi="Consolas" w:eastAsia="Microsoft YaHei"/>
          <w:color w:val="1F4D78"/>
          <w:sz w:val="20"/>
        </w:rPr>
        <w:t>alternate_metric_score</w:t>
      </w:r>
      <w:r>
        <w:rPr>
          <w:rFonts w:ascii="Calibri" w:hAnsi="Calibri" w:eastAsia="Microsoft YaHei"/>
          <w:color w:val="243447"/>
          <w:sz w:val="22"/>
        </w:rPr>
        <w:t>；它不得命名为 corrected，也不得自动获得 original metric 的 official priority。是否可比较由预注册 intended use、definition 与 bridge evidence 判断。</w:t>
      </w:r>
    </w:p>
    <w:p>
      <w:pPr>
        <w:widowControl/>
      </w:pPr>
      <w:r>
        <w:rPr>
          <w:rFonts w:ascii="Calibri" w:hAnsi="Calibri" w:eastAsia="Microsoft YaHei"/>
          <w:color w:val="243447"/>
          <w:sz w:val="22"/>
        </w:rPr>
        <w:t>“增加更多 tests”可能是 implementation fix，也可能改变 success semantics。Construct owner 和 evaluator reviewer 必须联合判断并发布 old/new delta；不能仅因为代码 diff 小就称为 patch。</w:t>
      </w:r>
    </w:p>
    <w:p>
      <w:pPr>
        <w:pStyle w:val="Heading1"/>
        <w:pageBreakBefore/>
      </w:pPr>
      <w:r>
        <w:rPr>
          <w:rFonts w:ascii="Calibri" w:hAnsi="Calibri" w:eastAsia="Microsoft YaHei"/>
          <w:color w:val="2E74B5"/>
          <w:sz w:val="32"/>
        </w:rPr>
        <w:t>9. Contamination / grader-leak incident response</w:t>
      </w:r>
    </w:p>
    <w:p>
      <w:pPr>
        <w:pStyle w:val="Heading2"/>
      </w:pPr>
      <w:r>
        <w:rPr>
          <w:rFonts w:ascii="Calibri" w:hAnsi="Calibri" w:eastAsia="Microsoft YaHei"/>
          <w:color w:val="2E74B5"/>
          <w:sz w:val="26"/>
        </w:rPr>
        <w:t>9.1 预案与七步流程</w:t>
      </w:r>
    </w:p>
    <w:p>
      <w:pPr>
        <w:pStyle w:val="ListNumber"/>
      </w:pPr>
      <w:r>
        <w:rPr>
          <w:rFonts w:ascii="Calibri" w:hAnsi="Calibri" w:eastAsia="Microsoft YaHei"/>
          <w:b/>
          <w:color w:val="243447"/>
          <w:sz w:val="21"/>
        </w:rPr>
        <w:t>Prepare [P]：</w:t>
      </w:r>
      <w:r>
        <w:rPr>
          <w:rFonts w:ascii="Calibri" w:hAnsi="Calibri" w:eastAsia="Microsoft YaHei"/>
          <w:color w:val="243447"/>
          <w:sz w:val="21"/>
        </w:rPr>
        <w:t xml:space="preserve"> 预先定义 incident commander、measurement owner、security/legal/safety、freeze authority、evidence store、contact tree、kill switch、replacement inventory、notification 与 broken-task 模板。</w:t>
      </w:r>
    </w:p>
    <w:p>
      <w:pPr>
        <w:pStyle w:val="ListNumber"/>
      </w:pPr>
      <w:r>
        <w:rPr>
          <w:rFonts w:ascii="Calibri" w:hAnsi="Calibri" w:eastAsia="Microsoft YaHei"/>
          <w:b/>
          <w:color w:val="243447"/>
          <w:sz w:val="21"/>
        </w:rPr>
        <w:t>Detect / triage [P]：</w:t>
      </w:r>
      <w:r>
        <w:rPr>
          <w:rFonts w:ascii="Calibri" w:hAnsi="Calibri" w:eastAsia="Microsoft YaHei"/>
          <w:color w:val="243447"/>
          <w:sz w:val="21"/>
        </w:rPr>
        <w:t xml:space="preserve"> 创建 stable incident ID；记录来源、时间、资产/版本、可信度、直接事实、机构判断和未知；先保全，不先清理 trace。</w:t>
      </w:r>
    </w:p>
    <w:p>
      <w:pPr>
        <w:pStyle w:val="ListNumber"/>
      </w:pPr>
      <w:r>
        <w:rPr>
          <w:rFonts w:ascii="Calibri" w:hAnsi="Calibri" w:eastAsia="Microsoft YaHei"/>
          <w:b/>
          <w:color w:val="243447"/>
          <w:sz w:val="21"/>
        </w:rPr>
        <w:t>Contain [P]：</w:t>
      </w:r>
      <w:r>
        <w:rPr>
          <w:rFonts w:ascii="Calibri" w:hAnsi="Calibri" w:eastAsia="Microsoft YaHei"/>
          <w:color w:val="243447"/>
          <w:sz w:val="21"/>
        </w:rPr>
        <w:t xml:space="preserve"> 按最小充分 scope 暂停 query、grader、asset、workflow family 或 release；撤销 credential；快照 ACL、logs、manifest、artifact、service image、key metadata。</w:t>
      </w:r>
    </w:p>
    <w:p>
      <w:pPr>
        <w:pStyle w:val="ListNumber"/>
      </w:pPr>
      <w:r>
        <w:rPr>
          <w:rFonts w:ascii="Calibri" w:hAnsi="Calibri" w:eastAsia="Microsoft YaHei"/>
          <w:b/>
          <w:color w:val="243447"/>
          <w:sz w:val="21"/>
        </w:rPr>
        <w:t>Scope / analyze [P]：</w:t>
      </w:r>
      <w:r>
        <w:rPr>
          <w:rFonts w:ascii="Calibri" w:hAnsi="Calibri" w:eastAsia="Microsoft YaHei"/>
          <w:color w:val="243447"/>
          <w:sz w:val="21"/>
        </w:rPr>
        <w:t xml:space="preserve"> 界定受影响 input/reference/grader/ID/用户/model lineage/submission/leaderboard/时间窗；区分“暴露已确认”与“分数因暴露提高已证明”。</w:t>
      </w:r>
    </w:p>
    <w:p>
      <w:pPr>
        <w:pStyle w:val="ListNumber"/>
      </w:pPr>
      <w:r>
        <w:rPr>
          <w:rFonts w:ascii="Calibri" w:hAnsi="Calibri" w:eastAsia="Microsoft YaHei"/>
          <w:b/>
          <w:color w:val="243447"/>
          <w:sz w:val="21"/>
        </w:rPr>
        <w:t>Eradicate / repair [P]：</w:t>
      </w:r>
      <w:r>
        <w:rPr>
          <w:rFonts w:ascii="Calibri" w:hAnsi="Calibri" w:eastAsia="Microsoft YaHei"/>
          <w:color w:val="243447"/>
          <w:sz w:val="21"/>
        </w:rPr>
        <w:t xml:space="preserve"> 修复 root cause、轮换 secret、创建新的 evaluator/asset/environment version；旧 version 与证据保持 immutable。</w:t>
      </w:r>
    </w:p>
    <w:p>
      <w:pPr>
        <w:pStyle w:val="ListNumber"/>
      </w:pPr>
      <w:r>
        <w:rPr>
          <w:rFonts w:ascii="Calibri" w:hAnsi="Calibri" w:eastAsia="Microsoft YaHei"/>
          <w:b/>
          <w:color w:val="243447"/>
          <w:sz w:val="21"/>
        </w:rPr>
        <w:t>Recover [P]：</w:t>
      </w:r>
      <w:r>
        <w:rPr>
          <w:rFonts w:ascii="Calibri" w:hAnsi="Calibri" w:eastAsia="Microsoft YaHei"/>
          <w:color w:val="243447"/>
          <w:sz w:val="21"/>
        </w:rPr>
        <w:t xml:space="preserve"> revalidation、acceptance、clean/bridge/common-agent runs；按证据 reopen、retire 或 replace；更新 controls。</w:t>
      </w:r>
    </w:p>
    <w:p>
      <w:pPr>
        <w:pStyle w:val="ListNumber"/>
      </w:pPr>
      <w:r>
        <w:rPr>
          <w:rFonts w:ascii="Calibri" w:hAnsi="Calibri" w:eastAsia="Microsoft YaHei"/>
          <w:b/>
          <w:color w:val="243447"/>
          <w:sz w:val="21"/>
        </w:rPr>
        <w:t>Disclose / improve [P]：</w:t>
      </w:r>
      <w:r>
        <w:rPr>
          <w:rFonts w:ascii="Calibri" w:hAnsi="Calibri" w:eastAsia="Microsoft YaHei"/>
          <w:color w:val="243447"/>
          <w:sz w:val="21"/>
        </w:rPr>
        <w:t xml:space="preserve"> 发布 issue class、affected versions/window、score treatment、repair/replacement、uncertainty、appeal；postmortem 进入 control/authoring/review checklist。</w:t>
      </w:r>
    </w:p>
    <w:p>
      <w:pPr>
        <w:widowControl/>
      </w:pPr>
      <w:r>
        <w:rPr>
          <w:rFonts w:ascii="Calibri" w:hAnsi="Calibri" w:eastAsia="Microsoft YaHei"/>
          <w:color w:val="243447"/>
          <w:sz w:val="22"/>
        </w:rPr>
        <w:t>这是把 NIST SP 800-61r3 的 prepare/detect/respond/recover/improve 结构迁移到 benchmark；score/leaderboard 后果是本项目建议，不是 NIST 原文要求。L11</w:t>
      </w:r>
    </w:p>
    <w:p>
      <w:pPr>
        <w:pStyle w:val="Heading2"/>
      </w:pPr>
      <w:r>
        <w:rPr>
          <w:rFonts w:ascii="Calibri" w:hAnsi="Calibri" w:eastAsia="Microsoft YaHei"/>
          <w:color w:val="2E74B5"/>
          <w:sz w:val="26"/>
        </w:rPr>
        <w:t>9.2 Grader/reference leak 的特别规则</w:t>
      </w:r>
    </w:p>
    <w:p>
      <w:pPr>
        <w:pStyle w:val="ListBullet"/>
      </w:pPr>
      <w:r>
        <w:rPr>
          <w:rFonts w:ascii="Calibri" w:hAnsi="Calibri" w:eastAsia="Microsoft YaHei"/>
          <w:b/>
          <w:color w:val="243447"/>
          <w:sz w:val="21"/>
        </w:rPr>
        <w:t>[P]</w:t>
      </w:r>
      <w:r>
        <w:rPr>
          <w:rFonts w:ascii="Calibri" w:hAnsi="Calibri" w:eastAsia="Microsoft YaHei"/>
          <w:color w:val="243447"/>
          <w:sz w:val="21"/>
        </w:rPr>
        <w:t xml:space="preserve"> Confirmed grader/reference secret leak 默认 quarantine 共享该 attack surface 的 evaluator bundle 与 sibling family，直到 scope review 证明可缩小；只换 task ID 不构成修复。</w:t>
      </w:r>
    </w:p>
    <w:p>
      <w:pPr>
        <w:pStyle w:val="ListBullet"/>
      </w:pPr>
      <w:r>
        <w:rPr>
          <w:rFonts w:ascii="Calibri" w:hAnsi="Calibri" w:eastAsia="Microsoft YaHei"/>
          <w:b/>
          <w:color w:val="243447"/>
          <w:sz w:val="21"/>
        </w:rPr>
        <w:t>[P]</w:t>
      </w:r>
      <w:r>
        <w:rPr>
          <w:rFonts w:ascii="Calibri" w:hAnsi="Calibri" w:eastAsia="Microsoft YaHei"/>
          <w:color w:val="243447"/>
          <w:sz w:val="21"/>
        </w:rPr>
        <w:t xml:space="preserve"> 若仅发现 contamination signal，先标 </w:t>
      </w:r>
      <w:r>
        <w:rPr>
          <w:rFonts w:ascii="Consolas" w:hAnsi="Consolas" w:eastAsia="Microsoft YaHei"/>
          <w:color w:val="1F4D78"/>
          <w:sz w:val="19"/>
        </w:rPr>
        <w:t>suspected</w:t>
      </w:r>
      <w:r>
        <w:rPr>
          <w:rFonts w:ascii="Calibri" w:hAnsi="Calibri" w:eastAsia="Microsoft YaHei"/>
          <w:color w:val="243447"/>
          <w:sz w:val="21"/>
        </w:rPr>
        <w:t>/</w:t>
      </w:r>
      <w:r>
        <w:rPr>
          <w:rFonts w:ascii="Consolas" w:hAnsi="Consolas" w:eastAsia="Microsoft YaHei"/>
          <w:color w:val="1F4D78"/>
          <w:sz w:val="19"/>
        </w:rPr>
        <w:t>signal_supported</w:t>
      </w:r>
      <w:r>
        <w:rPr>
          <w:rFonts w:ascii="Calibri" w:hAnsi="Calibri" w:eastAsia="Microsoft YaHei"/>
          <w:color w:val="243447"/>
          <w:sz w:val="21"/>
        </w:rPr>
        <w:t>；signal 可能是 false positive 或 denial-of-evaluation，未经 scope/independent review 不能自动判 guilt、删除 entry 或扩大 quarantine。</w:t>
      </w:r>
    </w:p>
    <w:p>
      <w:pPr>
        <w:pStyle w:val="ListBullet"/>
      </w:pPr>
      <w:r>
        <w:rPr>
          <w:rFonts w:ascii="Calibri" w:hAnsi="Calibri" w:eastAsia="Microsoft YaHei"/>
          <w:b/>
          <w:color w:val="243447"/>
          <w:sz w:val="21"/>
        </w:rPr>
        <w:t>[P]</w:t>
      </w:r>
      <w:r>
        <w:rPr>
          <w:rFonts w:ascii="Calibri" w:hAnsi="Calibri" w:eastAsia="Microsoft YaHei"/>
          <w:color w:val="243447"/>
          <w:sz w:val="21"/>
        </w:rPr>
        <w:t xml:space="preserve"> </w:t>
      </w:r>
      <w:r>
        <w:rPr>
          <w:rFonts w:ascii="Consolas" w:hAnsi="Consolas" w:eastAsia="Microsoft YaHei"/>
          <w:color w:val="1F4D78"/>
          <w:sz w:val="19"/>
        </w:rPr>
        <w:t>regrade</w:t>
      </w:r>
      <w:r>
        <w:rPr>
          <w:rFonts w:ascii="Calibri" w:hAnsi="Calibri" w:eastAsia="Microsoft YaHei"/>
          <w:color w:val="243447"/>
          <w:sz w:val="21"/>
        </w:rPr>
        <w:t xml:space="preserve"> 只回答旧 artifact 在新 scorer 下的分数；它不能让已暴露 input/reference/grader secret 重新成为 unseen evidence。</w:t>
      </w:r>
    </w:p>
    <w:p>
      <w:pPr>
        <w:pStyle w:val="ListBullet"/>
      </w:pPr>
      <w:r>
        <w:rPr>
          <w:rFonts w:ascii="Calibri" w:hAnsi="Calibri" w:eastAsia="Microsoft YaHei"/>
          <w:b/>
          <w:color w:val="243447"/>
          <w:sz w:val="21"/>
        </w:rPr>
        <w:t>[P]</w:t>
      </w:r>
      <w:r>
        <w:rPr>
          <w:rFonts w:ascii="Calibri" w:hAnsi="Calibri" w:eastAsia="Microsoft YaHei"/>
          <w:color w:val="243447"/>
          <w:sz w:val="21"/>
        </w:rPr>
        <w:t xml:space="preserve"> Incident 期间保留 </w:t>
      </w:r>
      <w:r>
        <w:rPr>
          <w:rFonts w:ascii="Consolas" w:hAnsi="Consolas" w:eastAsia="Microsoft YaHei"/>
          <w:color w:val="1F4D78"/>
          <w:sz w:val="19"/>
        </w:rPr>
        <w:t>historical_snapshot</w:t>
      </w:r>
      <w:r>
        <w:rPr>
          <w:rFonts w:ascii="Calibri" w:hAnsi="Calibri" w:eastAsia="Microsoft YaHei"/>
          <w:color w:val="243447"/>
          <w:sz w:val="21"/>
        </w:rPr>
        <w:t xml:space="preserve">；对 current live 使用 </w:t>
      </w:r>
      <w:r>
        <w:rPr>
          <w:rFonts w:ascii="Consolas" w:hAnsi="Consolas" w:eastAsia="Microsoft YaHei"/>
          <w:color w:val="1F4D78"/>
          <w:sz w:val="19"/>
        </w:rPr>
        <w:t>submission_pause / entry_withdrawn / claim_scope_invalid</w:t>
      </w:r>
      <w:r>
        <w:rPr>
          <w:rFonts w:ascii="Calibri" w:hAnsi="Calibri" w:eastAsia="Microsoft YaHei"/>
          <w:color w:val="243447"/>
          <w:sz w:val="21"/>
        </w:rPr>
        <w:t xml:space="preserve"> 等明确动作；禁止静默删题后重排。</w:t>
      </w:r>
    </w:p>
    <w:p>
      <w:pPr>
        <w:pStyle w:val="Heading2"/>
      </w:pPr>
      <w:r>
        <w:rPr>
          <w:rFonts w:ascii="Calibri" w:hAnsi="Calibri" w:eastAsia="Microsoft YaHei"/>
          <w:color w:val="2E74B5"/>
          <w:sz w:val="26"/>
        </w:rPr>
        <w:t>9.2.1 Incident → score treatment matrix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0D5DD"/>
          <w:left w:val="single" w:sz="6" w:space="0" w:color="D0D5DD"/>
          <w:bottom w:val="single" w:sz="6" w:space="0" w:color="D0D5DD"/>
          <w:right w:val="single" w:sz="6" w:space="0" w:color="D0D5DD"/>
          <w:insideH w:val="single" w:sz="6" w:space="0" w:color="D0D5DD"/>
          <w:insideV w:val="single" w:sz="6" w:space="0" w:color="D0D5DD"/>
        </w:tblBorders>
      </w:tblPr>
      <w:tblGrid>
        <w:gridCol w:w="2340"/>
        <w:gridCol w:w="2340"/>
        <w:gridCol w:w="2340"/>
        <w:gridCol w:w="2340"/>
      </w:tblGrid>
      <w:tr>
        <w:trPr>
          <w:cantSplit/>
          <w:tblHeader w:val="true"/>
        </w:trPr>
        <w:tc>
          <w:tcPr>
            <w:tcW w:type="dxa" w:w="149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163A5F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b/>
                <w:color w:val="FFFFFF"/>
                <w:sz w:val="17"/>
              </w:rPr>
              <w:t>Incident class</w:t>
            </w:r>
          </w:p>
        </w:tc>
        <w:tc>
          <w:tcPr>
            <w:tcW w:type="dxa" w:w="252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163A5F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b/>
                <w:color w:val="FFFFFF"/>
                <w:sz w:val="17"/>
              </w:rPr>
              <w:t>Historical regrade</w:t>
            </w:r>
          </w:p>
        </w:tc>
        <w:tc>
          <w:tcPr>
            <w:tcW w:type="dxa" w:w="271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163A5F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b/>
                <w:color w:val="FFFFFF"/>
                <w:sz w:val="17"/>
              </w:rPr>
              <w:t>Unseen claim</w:t>
            </w:r>
          </w:p>
        </w:tc>
        <w:tc>
          <w:tcPr>
            <w:tcW w:type="dxa" w:w="262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163A5F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b/>
                <w:color w:val="FFFFFF"/>
                <w:sz w:val="17"/>
              </w:rPr>
              <w:t>Official treatment</w:t>
            </w:r>
          </w:p>
        </w:tc>
      </w:tr>
      <w:tr>
        <w:trPr>
          <w:cantSplit/>
        </w:trPr>
        <w:tc>
          <w:tcPr>
            <w:tcW w:type="dxa" w:w="149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7"/>
              </w:rPr>
              <w:t>Bounded grader implementation bug</w:t>
            </w:r>
          </w:p>
        </w:tc>
        <w:tc>
          <w:tcPr>
            <w:tcW w:type="dxa" w:w="252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7"/>
              </w:rPr>
              <w:t xml:space="preserve">条件满足时允许 </w:t>
            </w:r>
            <w:r>
              <w:rPr>
                <w:rFonts w:ascii="Consolas" w:hAnsi="Consolas" w:eastAsia="Microsoft YaHei"/>
                <w:color w:val="1F4D78"/>
                <w:sz w:val="16"/>
              </w:rPr>
              <w:t>corrected_score_view</w:t>
            </w:r>
          </w:p>
        </w:tc>
        <w:tc>
          <w:tcPr>
            <w:tcW w:type="dxa" w:w="271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7"/>
              </w:rPr>
              <w:t>仅在披露假设和 coverage 后可保留</w:t>
            </w:r>
          </w:p>
        </w:tc>
        <w:tc>
          <w:tcPr>
            <w:tcW w:type="dxa" w:w="262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7"/>
              </w:rPr>
              <w:t>Original + corrected；coverage 不足只做 delta，不重排全榜</w:t>
            </w:r>
          </w:p>
        </w:tc>
      </w:tr>
      <w:tr>
        <w:trPr>
          <w:cantSplit/>
        </w:trPr>
        <w:tc>
          <w:tcPr>
            <w:tcW w:type="dxa" w:w="149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7"/>
              </w:rPr>
              <w:t>Grader secret / exploit leak</w:t>
            </w:r>
          </w:p>
        </w:tc>
        <w:tc>
          <w:tcPr>
            <w:tcW w:type="dxa" w:w="252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7"/>
              </w:rPr>
              <w:t xml:space="preserve">可作 </w:t>
            </w:r>
            <w:r>
              <w:rPr>
                <w:rFonts w:ascii="Consolas" w:hAnsi="Consolas" w:eastAsia="Microsoft YaHei"/>
                <w:color w:val="1F4D78"/>
                <w:sz w:val="16"/>
              </w:rPr>
              <w:t>alternate_forensic_score</w:t>
            </w:r>
          </w:p>
        </w:tc>
        <w:tc>
          <w:tcPr>
            <w:tcW w:type="dxa" w:w="271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7"/>
              </w:rPr>
              <w:t>Regrade 默认不能恢复</w:t>
            </w:r>
          </w:p>
        </w:tc>
        <w:tc>
          <w:tcPr>
            <w:tcW w:type="dxa" w:w="262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onsolas" w:hAnsi="Consolas" w:eastAsia="Microsoft YaHei"/>
                <w:color w:val="1F4D78"/>
                <w:sz w:val="16"/>
              </w:rPr>
              <w:t>submission_pause</w:t>
            </w:r>
            <w:r>
              <w:rPr>
                <w:rFonts w:ascii="Calibri" w:hAnsi="Calibri" w:eastAsia="Microsoft YaHei"/>
                <w:color w:val="243447"/>
                <w:sz w:val="17"/>
              </w:rPr>
              <w:t xml:space="preserve"> / affected </w:t>
            </w:r>
            <w:r>
              <w:rPr>
                <w:rFonts w:ascii="Consolas" w:hAnsi="Consolas" w:eastAsia="Microsoft YaHei"/>
                <w:color w:val="1F4D78"/>
                <w:sz w:val="16"/>
              </w:rPr>
              <w:t>claim_scope_invalid</w:t>
            </w:r>
            <w:r>
              <w:rPr>
                <w:rFonts w:ascii="Calibri" w:hAnsi="Calibri" w:eastAsia="Microsoft YaHei"/>
                <w:color w:val="243447"/>
                <w:sz w:val="17"/>
              </w:rPr>
              <w:t>；新 secret + clean rerun</w:t>
            </w:r>
          </w:p>
        </w:tc>
      </w:tr>
      <w:tr>
        <w:trPr>
          <w:cantSplit/>
        </w:trPr>
        <w:tc>
          <w:tcPr>
            <w:tcW w:type="dxa" w:w="149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7"/>
              </w:rPr>
              <w:t>Reference / solution leak</w:t>
            </w:r>
          </w:p>
        </w:tc>
        <w:tc>
          <w:tcPr>
            <w:tcW w:type="dxa" w:w="252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7"/>
              </w:rPr>
              <w:t>不能恢复 validity</w:t>
            </w:r>
          </w:p>
        </w:tc>
        <w:tc>
          <w:tcPr>
            <w:tcW w:type="dxa" w:w="271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7"/>
              </w:rPr>
              <w:t>对受影响 actor/model lineage/window 失效</w:t>
            </w:r>
          </w:p>
        </w:tc>
        <w:tc>
          <w:tcPr>
            <w:tcW w:type="dxa" w:w="262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7"/>
              </w:rPr>
              <w:t>Rotate/replace + fresh clean rerun；旧结果仅 historical/exposed view</w:t>
            </w:r>
          </w:p>
        </w:tc>
      </w:tr>
      <w:tr>
        <w:trPr>
          <w:cantSplit/>
        </w:trPr>
        <w:tc>
          <w:tcPr>
            <w:tcW w:type="dxa" w:w="149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7"/>
              </w:rPr>
              <w:t>Input / public / search contamination</w:t>
            </w:r>
          </w:p>
        </w:tc>
        <w:tc>
          <w:tcPr>
            <w:tcW w:type="dxa" w:w="252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7"/>
              </w:rPr>
              <w:t>Regrade 无关</w:t>
            </w:r>
          </w:p>
        </w:tc>
        <w:tc>
          <w:tcPr>
            <w:tcW w:type="dxa" w:w="271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7"/>
              </w:rPr>
              <w:t>依 exposure evidence 界定</w:t>
            </w:r>
          </w:p>
        </w:tc>
        <w:tc>
          <w:tcPr>
            <w:tcW w:type="dxa" w:w="262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7"/>
              </w:rPr>
              <w:t>Quarantine、scope、fresh unseen instances；允许 false-positive no_change path</w:t>
            </w:r>
          </w:p>
        </w:tc>
      </w:tr>
      <w:tr>
        <w:trPr>
          <w:cantSplit/>
        </w:trPr>
        <w:tc>
          <w:tcPr>
            <w:tcW w:type="dxa" w:w="149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7"/>
              </w:rPr>
              <w:t>Environment / protocol drift</w:t>
            </w:r>
          </w:p>
        </w:tc>
        <w:tc>
          <w:tcPr>
            <w:tcW w:type="dxa" w:w="252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7"/>
              </w:rPr>
              <w:t>通常不足</w:t>
            </w:r>
          </w:p>
        </w:tc>
        <w:tc>
          <w:tcPr>
            <w:tcW w:type="dxa" w:w="271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7"/>
              </w:rPr>
              <w:t>需同环境或 bridge 假设</w:t>
            </w:r>
          </w:p>
        </w:tc>
        <w:tc>
          <w:tcPr>
            <w:tcW w:type="dxa" w:w="262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7"/>
              </w:rPr>
              <w:t xml:space="preserve">Common-agent rerun、bridge 或 </w:t>
            </w:r>
            <w:r>
              <w:rPr>
                <w:rFonts w:ascii="Consolas" w:hAnsi="Consolas" w:eastAsia="Microsoft YaHei"/>
                <w:color w:val="1F4D78"/>
                <w:sz w:val="16"/>
              </w:rPr>
              <w:t>not comparable</w:t>
            </w:r>
          </w:p>
        </w:tc>
      </w:tr>
    </w:tbl>
    <w:p>
      <w:pPr>
        <w:pStyle w:val="Heading2"/>
      </w:pPr>
      <w:r>
        <w:rPr>
          <w:rFonts w:ascii="Calibri" w:hAnsi="Calibri" w:eastAsia="Microsoft YaHei"/>
          <w:color w:val="2E74B5"/>
          <w:sz w:val="26"/>
        </w:rPr>
        <w:t>9.3 Broken-task disclosure 最小字段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5" w:space="0" w:color="D9E2EC"/>
          <w:left w:val="single" w:sz="5" w:space="0" w:color="D9E2EC"/>
          <w:bottom w:val="single" w:sz="5" w:space="0" w:color="D9E2EC"/>
          <w:right w:val="single" w:sz="5" w:space="0" w:color="D9E2EC"/>
          <w:insideH w:val="single" w:sz="5" w:space="0" w:color="D9E2EC"/>
          <w:insideV w:val="single" w:sz="5" w:space="0" w:color="D9E2EC"/>
        </w:tblBorders>
      </w:tblPr>
      <w:tblGrid>
        <w:gridCol w:w="9360"/>
      </w:tblGrid>
      <w:tr>
        <w:tc>
          <w:tcPr>
            <w:tcW w:type="dxa" w:w="9360"/>
            <w:shd w:fill="F7F9FC"/>
            <w:tcMar>
              <w:top w:w="120" w:type="dxa"/>
              <w:start w:w="150" w:type="dxa"/>
              <w:bottom w:w="120" w:type="dxa"/>
              <w:end w:w="15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YaHei"/>
                <w:color w:val="243447"/>
                <w:sz w:val="14"/>
              </w:rPr>
              <w:t>incident_id: ...</w:t>
              <w:br/>
            </w:r>
            <w:r>
              <w:rPr>
                <w:rFonts w:ascii="Consolas" w:hAnsi="Consolas" w:eastAsia="Microsoft YaHei"/>
                <w:color w:val="243447"/>
                <w:sz w:val="14"/>
              </w:rPr>
              <w:t>status: investigating|bounded|repaired|retired|closed</w:t>
              <w:br/>
            </w:r>
            <w:r>
              <w:rPr>
                <w:rFonts w:ascii="Consolas" w:hAnsi="Consolas" w:eastAsia="Microsoft YaHei"/>
                <w:color w:val="243447"/>
                <w:sz w:val="14"/>
              </w:rPr>
              <w:t>owner: ...</w:t>
              <w:br/>
            </w:r>
            <w:r>
              <w:rPr>
                <w:rFonts w:ascii="Consolas" w:hAnsi="Consolas" w:eastAsia="Microsoft YaHei"/>
                <w:color w:val="243447"/>
                <w:sz w:val="14"/>
              </w:rPr>
              <w:t>detected_at: ...</w:t>
              <w:br/>
            </w:r>
            <w:r>
              <w:rPr>
                <w:rFonts w:ascii="Consolas" w:hAnsi="Consolas" w:eastAsia="Microsoft YaHei"/>
                <w:color w:val="243447"/>
                <w:sz w:val="14"/>
              </w:rPr>
              <w:t>contained_at: ...</w:t>
              <w:br/>
            </w:r>
            <w:r>
              <w:rPr>
                <w:rFonts w:ascii="Consolas" w:hAnsi="Consolas" w:eastAsia="Microsoft YaHei"/>
                <w:color w:val="243447"/>
                <w:sz w:val="14"/>
              </w:rPr>
              <w:t>decision_at: ...</w:t>
              <w:br/>
            </w:r>
            <w:r>
              <w:rPr>
                <w:rFonts w:ascii="Consolas" w:hAnsi="Consolas" w:eastAsia="Microsoft YaHei"/>
                <w:color w:val="243447"/>
                <w:sz w:val="14"/>
              </w:rPr>
              <w:t>effective_at: ...</w:t>
              <w:br/>
            </w:r>
            <w:r>
              <w:rPr>
                <w:rFonts w:ascii="Consolas" w:hAnsi="Consolas" w:eastAsia="Microsoft YaHei"/>
                <w:color w:val="243447"/>
                <w:sz w:val="14"/>
              </w:rPr>
              <w:t>published_at: ...</w:t>
              <w:br/>
            </w:r>
            <w:r>
              <w:rPr>
                <w:rFonts w:ascii="Consolas" w:hAnsi="Consolas" w:eastAsia="Microsoft YaHei"/>
                <w:color w:val="243447"/>
                <w:sz w:val="14"/>
              </w:rPr>
              <w:t>last_updated: ...</w:t>
              <w:br/>
            </w:r>
            <w:r>
              <w:rPr>
                <w:rFonts w:ascii="Consolas" w:hAnsi="Consolas" w:eastAsia="Microsoft YaHei"/>
                <w:color w:val="243447"/>
                <w:sz w:val="14"/>
              </w:rPr>
              <w:t>supersedes_notice: null</w:t>
              <w:br/>
            </w:r>
            <w:r>
              <w:rPr>
                <w:rFonts w:ascii="Consolas" w:hAnsi="Consolas" w:eastAsia="Microsoft YaHei"/>
                <w:color w:val="243447"/>
                <w:sz w:val="14"/>
              </w:rPr>
              <w:t>affected_asset_versions: []</w:t>
              <w:br/>
            </w:r>
            <w:r>
              <w:rPr>
                <w:rFonts w:ascii="Consolas" w:hAnsi="Consolas" w:eastAsia="Microsoft YaHei"/>
                <w:color w:val="243447"/>
                <w:sz w:val="14"/>
              </w:rPr>
              <w:t>affected_release_ids: []</w:t>
              <w:br/>
            </w:r>
            <w:r>
              <w:rPr>
                <w:rFonts w:ascii="Consolas" w:hAnsi="Consolas" w:eastAsia="Microsoft YaHei"/>
                <w:color w:val="243447"/>
                <w:sz w:val="14"/>
              </w:rPr>
              <w:t>affected_actor_orgs: []</w:t>
              <w:br/>
            </w:r>
            <w:r>
              <w:rPr>
                <w:rFonts w:ascii="Consolas" w:hAnsi="Consolas" w:eastAsia="Microsoft YaHei"/>
                <w:color w:val="243447"/>
                <w:sz w:val="14"/>
              </w:rPr>
              <w:t>affected_model_lineages: []</w:t>
              <w:br/>
            </w:r>
            <w:r>
              <w:rPr>
                <w:rFonts w:ascii="Consolas" w:hAnsi="Consolas" w:eastAsia="Microsoft YaHei"/>
                <w:color w:val="243447"/>
                <w:sz w:val="14"/>
              </w:rPr>
              <w:t>affected_result_window: {from: ..., to: ...}</w:t>
              <w:br/>
            </w:r>
            <w:r>
              <w:rPr>
                <w:rFonts w:ascii="Consolas" w:hAnsi="Consolas" w:eastAsia="Microsoft YaHei"/>
                <w:color w:val="243447"/>
                <w:sz w:val="14"/>
              </w:rPr>
              <w:t>issue_class: contamination|grader_defect|environment|license|safety|obsolete|other</w:t>
              <w:br/>
            </w:r>
            <w:r>
              <w:rPr>
                <w:rFonts w:ascii="Consolas" w:hAnsi="Consolas" w:eastAsia="Microsoft YaHei"/>
                <w:color w:val="243447"/>
                <w:sz w:val="14"/>
              </w:rPr>
              <w:t>directly_confirmed_facts: []</w:t>
              <w:br/>
            </w:r>
            <w:r>
              <w:rPr>
                <w:rFonts w:ascii="Consolas" w:hAnsi="Consolas" w:eastAsia="Microsoft YaHei"/>
                <w:color w:val="243447"/>
                <w:sz w:val="14"/>
              </w:rPr>
              <w:t>maintainer_interpretation: []</w:t>
              <w:br/>
            </w:r>
            <w:r>
              <w:rPr>
                <w:rFonts w:ascii="Consolas" w:hAnsi="Consolas" w:eastAsia="Microsoft YaHei"/>
                <w:color w:val="243447"/>
                <w:sz w:val="14"/>
              </w:rPr>
              <w:t>unknowns: []</w:t>
              <w:br/>
            </w:r>
            <w:r>
              <w:rPr>
                <w:rFonts w:ascii="Consolas" w:hAnsi="Consolas" w:eastAsia="Microsoft YaHei"/>
                <w:color w:val="243447"/>
                <w:sz w:val="14"/>
              </w:rPr>
              <w:t>containment: []</w:t>
              <w:br/>
            </w:r>
            <w:r>
              <w:rPr>
                <w:rFonts w:ascii="Consolas" w:hAnsi="Consolas" w:eastAsia="Microsoft YaHei"/>
                <w:color w:val="243447"/>
                <w:sz w:val="14"/>
              </w:rPr>
              <w:t>evidence_grade: suspected|signal_supported|independently_reproduced|confirmed_scope|not_assessable</w:t>
              <w:br/>
            </w:r>
            <w:r>
              <w:rPr>
                <w:rFonts w:ascii="Consolas" w:hAnsi="Consolas" w:eastAsia="Microsoft YaHei"/>
                <w:color w:val="243447"/>
                <w:sz w:val="14"/>
              </w:rPr>
              <w:t>root_cause: {status: unknown|hypothesis|confirmed, evidence: []}</w:t>
              <w:br/>
            </w:r>
            <w:r>
              <w:rPr>
                <w:rFonts w:ascii="Consolas" w:hAnsi="Consolas" w:eastAsia="Microsoft YaHei"/>
                <w:color w:val="243447"/>
                <w:sz w:val="14"/>
              </w:rPr>
              <w:t>score_treatment: submission_pause|annotation|corrected_score_view|alternate_score_view|entry_withdrawn|claim_scope_invalid|no_change</w:t>
              <w:br/>
            </w:r>
            <w:r>
              <w:rPr>
                <w:rFonts w:ascii="Consolas" w:hAnsi="Consolas" w:eastAsia="Microsoft YaHei"/>
                <w:color w:val="243447"/>
                <w:sz w:val="14"/>
              </w:rPr>
              <w:t>repair_or_replacement: ...</w:t>
              <w:br/>
            </w:r>
            <w:r>
              <w:rPr>
                <w:rFonts w:ascii="Consolas" w:hAnsi="Consolas" w:eastAsia="Microsoft YaHei"/>
                <w:color w:val="243447"/>
                <w:sz w:val="14"/>
              </w:rPr>
              <w:t>evidence_and_method: []</w:t>
              <w:br/>
            </w:r>
            <w:r>
              <w:rPr>
                <w:rFonts w:ascii="Consolas" w:hAnsi="Consolas" w:eastAsia="Microsoft YaHei"/>
                <w:color w:val="243447"/>
                <w:sz w:val="14"/>
              </w:rPr>
              <w:t>independent_reviewer: ...</w:t>
              <w:br/>
            </w:r>
            <w:r>
              <w:rPr>
                <w:rFonts w:ascii="Consolas" w:hAnsi="Consolas" w:eastAsia="Microsoft YaHei"/>
                <w:color w:val="243447"/>
                <w:sz w:val="14"/>
              </w:rPr>
              <w:t>appeal_or_contact: ...</w:t>
            </w:r>
          </w:p>
        </w:tc>
      </w:tr>
    </w:tbl>
    <w:p>
      <w:pPr>
        <w:widowControl/>
      </w:pPr>
      <w:r>
        <w:rPr>
          <w:rFonts w:ascii="Calibri" w:hAnsi="Calibri" w:eastAsia="Microsoft YaHei"/>
          <w:b/>
          <w:color w:val="243447"/>
          <w:sz w:val="22"/>
        </w:rPr>
        <w:t>[P]</w:t>
      </w:r>
      <w:r>
        <w:rPr>
          <w:rFonts w:ascii="Calibri" w:hAnsi="Calibri" w:eastAsia="Microsoft YaHei"/>
          <w:color w:val="243447"/>
          <w:sz w:val="22"/>
        </w:rPr>
        <w:t xml:space="preserve"> Defect count 必须同时披露 denominator、selection mechanism 和外推边界；对 failure-conditioned audit 的缺陷比例不能外推到全体。安全/隐私/商业秘密可采用 delayed/redacted disclosure，但至少披露受影响版本、score treatment、有效时间和剩余不确定性；具体延迟为 </w:t>
      </w:r>
      <w:r>
        <w:rPr>
          <w:rFonts w:ascii="Calibri" w:hAnsi="Calibri" w:eastAsia="Microsoft YaHei"/>
          <w:b/>
          <w:color w:val="B42318"/>
          <w:sz w:val="21"/>
        </w:rPr>
        <w:t>[V]</w:t>
      </w:r>
    </w:p>
    <w:p>
      <w:pPr>
        <w:pStyle w:val="Heading1"/>
        <w:pageBreakBefore/>
      </w:pPr>
      <w:r>
        <w:rPr>
          <w:rFonts w:ascii="Calibri" w:hAnsi="Calibri" w:eastAsia="Microsoft YaHei"/>
          <w:color w:val="2E74B5"/>
          <w:sz w:val="32"/>
        </w:rPr>
        <w:t>10. Versioning 与 leaderboard policy</w:t>
      </w:r>
    </w:p>
    <w:p>
      <w:pPr>
        <w:pStyle w:val="Heading2"/>
      </w:pPr>
      <w:r>
        <w:rPr>
          <w:rFonts w:ascii="Calibri" w:hAnsi="Calibri" w:eastAsia="Microsoft YaHei"/>
          <w:color w:val="2E74B5"/>
          <w:sz w:val="26"/>
        </w:rPr>
        <w:t>10.1 Version vector</w:t>
      </w:r>
    </w:p>
    <w:p>
      <w:pPr>
        <w:widowControl/>
      </w:pPr>
      <w:r>
        <w:rPr>
          <w:rFonts w:ascii="Calibri" w:hAnsi="Calibri" w:eastAsia="Microsoft YaHei"/>
          <w:b/>
          <w:color w:val="243447"/>
          <w:sz w:val="22"/>
        </w:rPr>
        <w:t>[P] 每条 official result 绑定：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5" w:space="0" w:color="D9E2EC"/>
          <w:left w:val="single" w:sz="5" w:space="0" w:color="D9E2EC"/>
          <w:bottom w:val="single" w:sz="5" w:space="0" w:color="D9E2EC"/>
          <w:right w:val="single" w:sz="5" w:space="0" w:color="D9E2EC"/>
          <w:insideH w:val="single" w:sz="5" w:space="0" w:color="D9E2EC"/>
          <w:insideV w:val="single" w:sz="5" w:space="0" w:color="D9E2EC"/>
        </w:tblBorders>
      </w:tblPr>
      <w:tblGrid>
        <w:gridCol w:w="9360"/>
      </w:tblGrid>
      <w:tr>
        <w:tc>
          <w:tcPr>
            <w:tcW w:type="dxa" w:w="9360"/>
            <w:shd w:fill="F7F9FC"/>
            <w:tcMar>
              <w:top w:w="120" w:type="dxa"/>
              <w:start w:w="150" w:type="dxa"/>
              <w:bottom w:w="120" w:type="dxa"/>
              <w:end w:w="15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YaHei"/>
                <w:color w:val="243447"/>
                <w:sz w:val="14"/>
              </w:rPr>
              <w:t>suite_release_id</w:t>
              <w:br/>
            </w:r>
            <w:r>
              <w:rPr>
                <w:rFonts w:ascii="Consolas" w:hAnsi="Consolas" w:eastAsia="Microsoft YaHei"/>
                <w:color w:val="243447"/>
                <w:sz w:val="14"/>
              </w:rPr>
              <w:t>+ asset_manifest_hash</w:t>
              <w:br/>
            </w:r>
            <w:r>
              <w:rPr>
                <w:rFonts w:ascii="Consolas" w:hAnsi="Consolas" w:eastAsia="Microsoft YaHei"/>
                <w:color w:val="243447"/>
                <w:sz w:val="14"/>
              </w:rPr>
              <w:t>+ pool_snapshot_id</w:t>
              <w:br/>
            </w:r>
            <w:r>
              <w:rPr>
                <w:rFonts w:ascii="Consolas" w:hAnsi="Consolas" w:eastAsia="Microsoft YaHei"/>
                <w:color w:val="243447"/>
                <w:sz w:val="14"/>
              </w:rPr>
              <w:t>+ input/reference bundle versions</w:t>
              <w:br/>
            </w:r>
            <w:r>
              <w:rPr>
                <w:rFonts w:ascii="Consolas" w:hAnsi="Consolas" w:eastAsia="Microsoft YaHei"/>
                <w:color w:val="243447"/>
                <w:sz w:val="14"/>
              </w:rPr>
              <w:t>+ environment bundle version</w:t>
              <w:br/>
            </w:r>
            <w:r>
              <w:rPr>
                <w:rFonts w:ascii="Consolas" w:hAnsi="Consolas" w:eastAsia="Microsoft YaHei"/>
                <w:color w:val="243447"/>
                <w:sz w:val="14"/>
              </w:rPr>
              <w:t>+ evaluator bundle version</w:t>
              <w:br/>
            </w:r>
            <w:r>
              <w:rPr>
                <w:rFonts w:ascii="Consolas" w:hAnsi="Consolas" w:eastAsia="Microsoft YaHei"/>
                <w:color w:val="243447"/>
                <w:sz w:val="14"/>
              </w:rPr>
              <w:t>+ harness/protocol version</w:t>
              <w:br/>
            </w:r>
            <w:r>
              <w:rPr>
                <w:rFonts w:ascii="Consolas" w:hAnsi="Consolas" w:eastAsia="Microsoft YaHei"/>
                <w:color w:val="243447"/>
                <w:sz w:val="14"/>
              </w:rPr>
              <w:t>+ metric definition version</w:t>
              <w:br/>
            </w:r>
            <w:r>
              <w:rPr>
                <w:rFonts w:ascii="Consolas" w:hAnsi="Consolas" w:eastAsia="Microsoft YaHei"/>
                <w:color w:val="243447"/>
                <w:sz w:val="14"/>
              </w:rPr>
              <w:t>+ access/feedback policy version</w:t>
              <w:br/>
            </w:r>
            <w:r>
              <w:rPr>
                <w:rFonts w:ascii="Consolas" w:hAnsi="Consolas" w:eastAsia="Microsoft YaHei"/>
                <w:color w:val="243447"/>
                <w:sz w:val="14"/>
              </w:rPr>
              <w:t>+ leaderboard policy version</w:t>
              <w:br/>
            </w:r>
            <w:r>
              <w:rPr>
                <w:rFonts w:ascii="Consolas" w:hAnsi="Consolas" w:eastAsia="Microsoft YaHei"/>
                <w:color w:val="243447"/>
                <w:sz w:val="14"/>
              </w:rPr>
              <w:t>+ agent/model/config identity</w:t>
              <w:br/>
            </w:r>
            <w:r>
              <w:rPr>
                <w:rFonts w:ascii="Consolas" w:hAnsi="Consolas" w:eastAsia="Microsoft YaHei"/>
                <w:color w:val="243447"/>
                <w:sz w:val="14"/>
              </w:rPr>
              <w:t>+ budget/retry/repeat policy</w:t>
              <w:br/>
            </w:r>
            <w:r>
              <w:rPr>
                <w:rFonts w:ascii="Consolas" w:hAnsi="Consolas" w:eastAsia="Microsoft YaHei"/>
                <w:color w:val="243447"/>
                <w:sz w:val="14"/>
              </w:rPr>
              <w:t>+ run timestamp</w:t>
            </w:r>
          </w:p>
        </w:tc>
      </w:tr>
    </w:tbl>
    <w:p>
      <w:pPr>
        <w:widowControl/>
      </w:pPr>
      <w:r>
        <w:rPr>
          <w:rFonts w:ascii="Calibri" w:hAnsi="Calibri" w:eastAsia="Microsoft YaHei"/>
          <w:color w:val="243447"/>
          <w:sz w:val="22"/>
        </w:rPr>
        <w:t xml:space="preserve">Composite </w:t>
      </w:r>
      <w:r>
        <w:rPr>
          <w:rFonts w:ascii="Consolas" w:hAnsi="Consolas" w:eastAsia="Microsoft YaHei"/>
          <w:color w:val="1F4D78"/>
          <w:sz w:val="20"/>
        </w:rPr>
        <w:t>release_id</w:t>
      </w:r>
      <w:r>
        <w:rPr>
          <w:rFonts w:ascii="Calibri" w:hAnsi="Calibri" w:eastAsia="Microsoft YaHei"/>
          <w:color w:val="243447"/>
          <w:sz w:val="22"/>
        </w:rPr>
        <w:t xml:space="preserve"> 可供展示，但不可隐藏向量。Metadata-only 修改仍需新 manifest 与 regression 证据；evaluator、aggregation、missing/broken handling、partial-credit/pass semantics 改变必须递增 evaluator/metric version；environment/app/API 改变必须递增 environment version，若改变 affordance/construct 则新 asset/release。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0D5DD"/>
          <w:left w:val="single" w:sz="6" w:space="0" w:color="D0D5DD"/>
          <w:bottom w:val="single" w:sz="6" w:space="0" w:color="D0D5DD"/>
          <w:right w:val="single" w:sz="6" w:space="0" w:color="D0D5DD"/>
          <w:insideH w:val="single" w:sz="6" w:space="0" w:color="D0D5DD"/>
          <w:insideV w:val="single" w:sz="6" w:space="0" w:color="D0D5DD"/>
        </w:tblBorders>
      </w:tblPr>
      <w:tblGrid>
        <w:gridCol w:w="3120"/>
        <w:gridCol w:w="3120"/>
        <w:gridCol w:w="3120"/>
      </w:tblGrid>
      <w:tr>
        <w:trPr>
          <w:cantSplit/>
          <w:tblHeader w:val="true"/>
        </w:trPr>
        <w:tc>
          <w:tcPr>
            <w:tcW w:type="dxa" w:w="168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163A5F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b/>
                <w:color w:val="FFFFFF"/>
                <w:sz w:val="17"/>
              </w:rPr>
              <w:t>Change class</w:t>
            </w:r>
          </w:p>
        </w:tc>
        <w:tc>
          <w:tcPr>
            <w:tcW w:type="dxa" w:w="402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163A5F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b/>
                <w:color w:val="FFFFFF"/>
                <w:sz w:val="17"/>
              </w:rPr>
              <w:t xml:space="preserve">条件 </w:t>
            </w:r>
            <w:r>
              <w:rPr>
                <w:rFonts w:ascii="Calibri" w:hAnsi="Calibri" w:eastAsia="Microsoft YaHei"/>
                <w:b/>
                <w:color w:val="FFFFFF"/>
                <w:sz w:val="16"/>
              </w:rPr>
              <w:t>[P]</w:t>
            </w:r>
          </w:p>
        </w:tc>
        <w:tc>
          <w:tcPr>
            <w:tcW w:type="dxa" w:w="365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163A5F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b/>
                <w:color w:val="FFFFFF"/>
                <w:sz w:val="17"/>
              </w:rPr>
              <w:t>Leaderboard 默认后果</w:t>
            </w:r>
          </w:p>
        </w:tc>
      </w:tr>
      <w:tr>
        <w:trPr>
          <w:cantSplit/>
        </w:trPr>
        <w:tc>
          <w:tcPr>
            <w:tcW w:type="dxa" w:w="168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7"/>
              </w:rPr>
              <w:t>Metadata-only</w:t>
            </w:r>
          </w:p>
        </w:tc>
        <w:tc>
          <w:tcPr>
            <w:tcW w:type="dxa" w:w="402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7"/>
              </w:rPr>
              <w:t>不改变 agent-visible 信息、执行、reference、grader、aggregation；regression 证明</w:t>
            </w:r>
          </w:p>
        </w:tc>
        <w:tc>
          <w:tcPr>
            <w:tcW w:type="dxa" w:w="365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7"/>
              </w:rPr>
              <w:t>原 native score 可保留；发布 patch note</w:t>
            </w:r>
          </w:p>
        </w:tc>
      </w:tr>
      <w:tr>
        <w:trPr>
          <w:cantSplit/>
        </w:trPr>
        <w:tc>
          <w:tcPr>
            <w:tcW w:type="dxa" w:w="168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7"/>
              </w:rPr>
              <w:t>Compatible repair</w:t>
            </w:r>
          </w:p>
        </w:tc>
        <w:tc>
          <w:tcPr>
            <w:tcW w:type="dxa" w:w="402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7"/>
              </w:rPr>
              <w:t>修复已定义 contract implementation；old/new 可双评分</w:t>
            </w:r>
          </w:p>
        </w:tc>
        <w:tc>
          <w:tcPr>
            <w:tcW w:type="dxa" w:w="365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7"/>
              </w:rPr>
              <w:t xml:space="preserve">append </w:t>
            </w:r>
            <w:r>
              <w:rPr>
                <w:rFonts w:ascii="Consolas" w:hAnsi="Consolas" w:eastAsia="Microsoft YaHei"/>
                <w:color w:val="1F4D78"/>
                <w:sz w:val="16"/>
              </w:rPr>
              <w:t>corrected_score_view</w:t>
            </w:r>
            <w:r>
              <w:rPr>
                <w:rFonts w:ascii="Calibri" w:hAnsi="Calibri" w:eastAsia="Microsoft YaHei"/>
                <w:color w:val="243447"/>
                <w:sz w:val="17"/>
              </w:rPr>
              <w:t>；original priority 与升级条件在事故前预注册</w:t>
            </w:r>
          </w:p>
        </w:tc>
      </w:tr>
      <w:tr>
        <w:trPr>
          <w:cantSplit/>
        </w:trPr>
        <w:tc>
          <w:tcPr>
            <w:tcW w:type="dxa" w:w="168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7"/>
              </w:rPr>
              <w:t>Content rotation</w:t>
            </w:r>
          </w:p>
        </w:tc>
        <w:tc>
          <w:tcPr>
            <w:tcW w:type="dxa" w:w="402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7"/>
              </w:rPr>
              <w:t>增删/替换 concrete instances；blueprint 基本不变</w:t>
            </w:r>
          </w:p>
        </w:tc>
        <w:tc>
          <w:tcPr>
            <w:tcW w:type="dxa" w:w="365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7"/>
              </w:rPr>
              <w:t>新 release；native score 不直接并表；运行 bridge</w:t>
            </w:r>
          </w:p>
        </w:tc>
      </w:tr>
      <w:tr>
        <w:trPr>
          <w:cantSplit/>
        </w:trPr>
        <w:tc>
          <w:tcPr>
            <w:tcW w:type="dxa" w:w="168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7"/>
              </w:rPr>
              <w:t>Protocol/environment change</w:t>
            </w:r>
          </w:p>
        </w:tc>
        <w:tc>
          <w:tcPr>
            <w:tcW w:type="dxa" w:w="402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7"/>
              </w:rPr>
              <w:t>Harness/tools/budget/runtime 可能改变行为</w:t>
            </w:r>
          </w:p>
        </w:tc>
        <w:tc>
          <w:tcPr>
            <w:tcW w:type="dxa" w:w="365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7"/>
              </w:rPr>
              <w:t>新 release/protocol；common-agent rerun</w:t>
            </w:r>
          </w:p>
        </w:tc>
      </w:tr>
      <w:tr>
        <w:trPr>
          <w:cantSplit/>
        </w:trPr>
        <w:tc>
          <w:tcPr>
            <w:tcW w:type="dxa" w:w="168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7"/>
              </w:rPr>
              <w:t>Alternate reporting metric</w:t>
            </w:r>
          </w:p>
        </w:tc>
        <w:tc>
          <w:tcPr>
            <w:tcW w:type="dxa" w:w="402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7"/>
              </w:rPr>
              <w:t>同一 per-item evidence，不改变 task success；另一个预注册 aggregation/view</w:t>
            </w:r>
          </w:p>
        </w:tc>
        <w:tc>
          <w:tcPr>
            <w:tcW w:type="dxa" w:w="365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onsolas" w:hAnsi="Consolas" w:eastAsia="Microsoft YaHei"/>
                <w:color w:val="1F4D78"/>
                <w:sz w:val="16"/>
              </w:rPr>
              <w:t>alternate_metric_score</w:t>
            </w:r>
            <w:r>
              <w:rPr>
                <w:rFonts w:ascii="Calibri" w:hAnsi="Calibri" w:eastAsia="Microsoft YaHei"/>
                <w:color w:val="243447"/>
                <w:sz w:val="17"/>
              </w:rPr>
              <w:t xml:space="preserve"> 独立展示；不取代 original official</w:t>
            </w:r>
          </w:p>
        </w:tc>
      </w:tr>
      <w:tr>
        <w:trPr>
          <w:cantSplit/>
        </w:trPr>
        <w:tc>
          <w:tcPr>
            <w:tcW w:type="dxa" w:w="168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7"/>
              </w:rPr>
              <w:t>Construct/metric break</w:t>
            </w:r>
          </w:p>
        </w:tc>
        <w:tc>
          <w:tcPr>
            <w:tcW w:type="dxa" w:w="402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7"/>
              </w:rPr>
              <w:t>Target capability、success definition、或 intended use 实质改变</w:t>
            </w:r>
          </w:p>
        </w:tc>
        <w:tc>
          <w:tcPr>
            <w:tcW w:type="dxa" w:w="365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7"/>
              </w:rPr>
              <w:t>新 scale/major release；默认 not comparable</w:t>
            </w:r>
          </w:p>
        </w:tc>
      </w:tr>
    </w:tbl>
    <w:p>
      <w:pPr>
        <w:pStyle w:val="Heading2"/>
      </w:pPr>
      <w:r>
        <w:rPr>
          <w:rFonts w:ascii="Calibri" w:hAnsi="Calibri" w:eastAsia="Microsoft YaHei"/>
          <w:color w:val="2E74B5"/>
          <w:sz w:val="26"/>
        </w:rPr>
        <w:t>10.2 Historical regrade</w:t>
      </w:r>
    </w:p>
    <w:p>
      <w:pPr>
        <w:widowControl/>
      </w:pPr>
      <w:r>
        <w:rPr>
          <w:rFonts w:ascii="Calibri" w:hAnsi="Calibri" w:eastAsia="Microsoft YaHei"/>
          <w:b/>
          <w:color w:val="243447"/>
          <w:sz w:val="22"/>
        </w:rPr>
        <w:t>[P] 允许 append-only regrade 需同时满足：</w:t>
      </w:r>
    </w:p>
    <w:p>
      <w:pPr>
        <w:pStyle w:val="ListNumber"/>
      </w:pPr>
      <w:r>
        <w:rPr>
          <w:rFonts w:ascii="Calibri" w:hAnsi="Calibri" w:eastAsia="Microsoft YaHei"/>
          <w:color w:val="243447"/>
          <w:sz w:val="21"/>
        </w:rPr>
        <w:t>原 submission artifact、必要 trace/log、原 score/version identity 完整；</w:t>
      </w:r>
    </w:p>
    <w:p>
      <w:pPr>
        <w:pStyle w:val="ListNumber"/>
      </w:pPr>
      <w:r>
        <w:rPr>
          <w:rFonts w:ascii="Calibri" w:hAnsi="Calibri" w:eastAsia="Microsoft YaHei"/>
          <w:color w:val="243447"/>
          <w:sz w:val="21"/>
        </w:rPr>
        <w:t>新 grader 能对同一 artifact 评分，不需要 agent 获取新信息或采取未发生行为；</w:t>
      </w:r>
    </w:p>
    <w:p>
      <w:pPr>
        <w:pStyle w:val="ListNumber"/>
      </w:pPr>
      <w:r>
        <w:rPr>
          <w:rFonts w:ascii="Calibri" w:hAnsi="Calibri" w:eastAsia="Microsoft YaHei"/>
          <w:color w:val="243447"/>
          <w:sz w:val="21"/>
        </w:rPr>
        <w:t>修复的是既有 evaluator contract 的 implementation defect；独立新 metric view 不叫 correction；</w:t>
      </w:r>
    </w:p>
    <w:p>
      <w:pPr>
        <w:pStyle w:val="ListNumber"/>
      </w:pPr>
      <w:r>
        <w:rPr>
          <w:rFonts w:ascii="Calibri" w:hAnsi="Calibri" w:eastAsia="Microsoft YaHei"/>
          <w:color w:val="243447"/>
          <w:sz w:val="21"/>
        </w:rPr>
        <w:t>受影响 assets、submissions、window 可界定；</w:t>
      </w:r>
    </w:p>
    <w:p>
      <w:pPr>
        <w:pStyle w:val="ListNumber"/>
      </w:pPr>
      <w:r>
        <w:rPr>
          <w:rFonts w:ascii="Calibri" w:hAnsi="Calibri" w:eastAsia="Microsoft YaHei"/>
          <w:color w:val="243447"/>
          <w:sz w:val="21"/>
        </w:rPr>
        <w:t>old/new grader、reference、environment 差异已版本化并独立审查；</w:t>
      </w:r>
    </w:p>
    <w:p>
      <w:pPr>
        <w:pStyle w:val="ListNumber"/>
      </w:pPr>
      <w:r>
        <w:rPr>
          <w:rFonts w:ascii="Calibri" w:hAnsi="Calibri" w:eastAsia="Microsoft YaHei"/>
          <w:color w:val="243447"/>
          <w:sz w:val="21"/>
        </w:rPr>
        <w:t>新 score 明确回答“旧 artifact 在新 scorer 下如何”，而不是伪造“原 run 当时本应怎样”。</w:t>
      </w:r>
    </w:p>
    <w:p>
      <w:pPr>
        <w:widowControl/>
      </w:pPr>
      <w:r>
        <w:rPr>
          <w:rFonts w:ascii="Calibri" w:hAnsi="Calibri" w:eastAsia="Microsoft YaHei"/>
          <w:color w:val="243447"/>
          <w:sz w:val="22"/>
        </w:rPr>
        <w:t xml:space="preserve">若 artifacts 缺失、new tests 要求新行为、environment/tool/reference/instruction 已变、success definition 已变、proprietary agent 无法复现、影响面/selection bias 不可界定，则保留 original，标 </w:t>
      </w:r>
      <w:r>
        <w:rPr>
          <w:rFonts w:ascii="Consolas" w:hAnsi="Consolas" w:eastAsia="Microsoft YaHei"/>
          <w:color w:val="1F4D78"/>
          <w:sz w:val="20"/>
        </w:rPr>
        <w:t>not_regradable</w:t>
      </w:r>
      <w:r>
        <w:rPr>
          <w:rFonts w:ascii="Calibri" w:hAnsi="Calibri" w:eastAsia="Microsoft YaHei"/>
          <w:color w:val="243447"/>
          <w:sz w:val="22"/>
        </w:rPr>
        <w:t>，用 common-agent bridge reruns 研究版本差异。</w:t>
      </w:r>
    </w:p>
    <w:p>
      <w:pPr>
        <w:widowControl/>
      </w:pPr>
      <w:r>
        <w:rPr>
          <w:rFonts w:ascii="Calibri" w:hAnsi="Calibri" w:eastAsia="Microsoft YaHei"/>
          <w:color w:val="243447"/>
          <w:sz w:val="22"/>
        </w:rPr>
        <w:t xml:space="preserve">展示分为 </w:t>
      </w:r>
      <w:r>
        <w:rPr>
          <w:rFonts w:ascii="Consolas" w:hAnsi="Consolas" w:eastAsia="Microsoft YaHei"/>
          <w:color w:val="1F4D78"/>
          <w:sz w:val="20"/>
        </w:rPr>
        <w:t>original_score@R@G1</w:t>
      </w:r>
      <w:r>
        <w:rPr>
          <w:rFonts w:ascii="Calibri" w:hAnsi="Calibri" w:eastAsia="Microsoft YaHei"/>
          <w:color w:val="243447"/>
          <w:sz w:val="22"/>
        </w:rPr>
        <w:t>、</w:t>
      </w:r>
      <w:r>
        <w:rPr>
          <w:rFonts w:ascii="Consolas" w:hAnsi="Consolas" w:eastAsia="Microsoft YaHei"/>
          <w:color w:val="1F4D78"/>
          <w:sz w:val="20"/>
        </w:rPr>
        <w:t>corrected_score@R@G2</w:t>
      </w:r>
      <w:r>
        <w:rPr>
          <w:rFonts w:ascii="Calibri" w:hAnsi="Calibri" w:eastAsia="Microsoft YaHei"/>
          <w:color w:val="243447"/>
          <w:sz w:val="22"/>
        </w:rPr>
        <w:t>、</w:t>
      </w:r>
      <w:r>
        <w:rPr>
          <w:rFonts w:ascii="Consolas" w:hAnsi="Consolas" w:eastAsia="Microsoft YaHei"/>
          <w:color w:val="1F4D78"/>
          <w:sz w:val="20"/>
        </w:rPr>
        <w:t>alternate_metric_score@M2</w:t>
      </w:r>
      <w:r>
        <w:rPr>
          <w:rFonts w:ascii="Calibri" w:hAnsi="Calibri" w:eastAsia="Microsoft YaHei"/>
          <w:color w:val="243447"/>
          <w:sz w:val="22"/>
        </w:rPr>
        <w:t xml:space="preserve"> 与 </w:t>
      </w:r>
      <w:r>
        <w:rPr>
          <w:rFonts w:ascii="Consolas" w:hAnsi="Consolas" w:eastAsia="Microsoft YaHei"/>
          <w:color w:val="1F4D78"/>
          <w:sz w:val="20"/>
        </w:rPr>
        <w:t>bridge_estimate@B</w:t>
      </w:r>
      <w:r>
        <w:rPr>
          <w:rFonts w:ascii="Calibri" w:hAnsi="Calibri" w:eastAsia="Microsoft YaHei"/>
          <w:color w:val="243447"/>
          <w:sz w:val="22"/>
        </w:rPr>
        <w:t>；四者不互换。披露 affected tasks、delta、coverage/missingness 和 uncertainty。若 regrade coverage 不完整，只发布 covered-subset delta analysis，不发布新的全榜 rank；绝不把未能 regrade 的 submissions 当 0 或静默丢弃。</w:t>
      </w:r>
    </w:p>
    <w:p>
      <w:pPr>
        <w:pStyle w:val="Heading2"/>
      </w:pPr>
      <w:r>
        <w:rPr>
          <w:rFonts w:ascii="Calibri" w:hAnsi="Calibri" w:eastAsia="Microsoft YaHei"/>
          <w:color w:val="2E74B5"/>
          <w:sz w:val="26"/>
        </w:rPr>
        <w:t>10.3 Anchor、bridge runs 与 common-agent reruns</w:t>
      </w:r>
    </w:p>
    <w:p>
      <w:pPr>
        <w:widowControl/>
      </w:pPr>
      <w:r>
        <w:rPr>
          <w:rFonts w:ascii="Calibri" w:hAnsi="Calibri" w:eastAsia="Microsoft YaHei"/>
          <w:b/>
          <w:color w:val="243447"/>
          <w:sz w:val="22"/>
        </w:rPr>
        <w:t>[P] Anchor gate：</w:t>
      </w:r>
      <w:r>
        <w:rPr>
          <w:rFonts w:ascii="Calibri" w:hAnsi="Calibri" w:eastAsia="Microsoft YaHei"/>
          <w:color w:val="243447"/>
          <w:sz w:val="22"/>
        </w:rPr>
        <w:t xml:space="preserve"> Anchor 使用独立 </w:t>
      </w:r>
      <w:r>
        <w:rPr>
          <w:rFonts w:ascii="Consolas" w:hAnsi="Consolas" w:eastAsia="Microsoft YaHei"/>
          <w:color w:val="1F4D78"/>
          <w:sz w:val="20"/>
        </w:rPr>
        <w:t>linking_anchor</w:t>
      </w:r>
      <w:r>
        <w:rPr>
          <w:rFonts w:ascii="Calibri" w:hAnsi="Calibri" w:eastAsia="Microsoft YaHei"/>
          <w:color w:val="243447"/>
          <w:sz w:val="22"/>
        </w:rPr>
        <w:t xml:space="preserve"> release role，排除在 native unseen-core numerator 之外。其 concrete input、reference truth、evaluator semantics、environment affordance、instructions 和 administration position 可跨 release 保持；覆盖目标 construct；grader 已通过 exploit/false-accept/false-reject validation；exposure/query 可审计；不进入 training；检查跨系统行为和 differential drift。公开 anchor 只支持 linking diagnostics，不承担 unseen 证据。</w:t>
      </w:r>
    </w:p>
    <w:p>
      <w:pPr>
        <w:widowControl/>
      </w:pPr>
      <w:r>
        <w:rPr>
          <w:rFonts w:ascii="Calibri" w:hAnsi="Calibri" w:eastAsia="Microsoft YaHei"/>
          <w:b/>
          <w:color w:val="243447"/>
          <w:sz w:val="22"/>
        </w:rPr>
        <w:t>[P] Bridge protocol：</w:t>
      </w:r>
    </w:p>
    <w:p>
      <w:pPr>
        <w:pStyle w:val="ListNumber"/>
      </w:pPr>
      <w:r>
        <w:rPr>
          <w:rFonts w:ascii="Calibri" w:hAnsi="Calibri" w:eastAsia="Microsoft YaHei"/>
          <w:color w:val="243447"/>
          <w:sz w:val="21"/>
        </w:rPr>
        <w:t>冻结 old/new releases、共同 protocol 与 infrastructure window；</w:t>
      </w:r>
    </w:p>
    <w:p>
      <w:pPr>
        <w:pStyle w:val="ListNumber"/>
      </w:pPr>
      <w:r>
        <w:rPr>
          <w:rFonts w:ascii="Calibri" w:hAnsi="Calibri" w:eastAsia="Microsoft YaHei"/>
          <w:color w:val="243447"/>
          <w:sz w:val="21"/>
        </w:rPr>
        <w:t xml:space="preserve">选择可复现 common agent configs，覆盖稳定 baseline 与目标系统区间；具体数量/重复为 </w:t>
      </w:r>
      <w:r>
        <w:rPr>
          <w:rFonts w:ascii="Calibri" w:hAnsi="Calibri" w:eastAsia="Microsoft YaHei"/>
          <w:b/>
          <w:color w:val="B42318"/>
          <w:sz w:val="20"/>
        </w:rPr>
        <w:t>[V]</w:t>
      </w:r>
      <w:r>
        <w:rPr>
          <w:rFonts w:ascii="Calibri" w:hAnsi="Calibri" w:eastAsia="Microsoft YaHei"/>
          <w:color w:val="243447"/>
          <w:sz w:val="21"/>
        </w:rPr>
        <w:t>；</w:t>
      </w:r>
    </w:p>
    <w:p>
      <w:pPr>
        <w:pStyle w:val="ListNumber"/>
      </w:pPr>
      <w:r>
        <w:rPr>
          <w:rFonts w:ascii="Calibri" w:hAnsi="Calibri" w:eastAsia="Microsoft YaHei"/>
          <w:color w:val="243447"/>
          <w:sz w:val="21"/>
        </w:rPr>
        <w:t>同 configs 成对运行 old/new，保存 raw outputs、traces、invalid reasons、repeat variation；</w:t>
      </w:r>
    </w:p>
    <w:p>
      <w:pPr>
        <w:pStyle w:val="ListNumber"/>
      </w:pPr>
      <w:r>
        <w:rPr>
          <w:rFonts w:ascii="Calibri" w:hAnsi="Calibri" w:eastAsia="Microsoft YaHei"/>
          <w:color w:val="243447"/>
          <w:sz w:val="21"/>
        </w:rPr>
        <w:t>分解 anchor-only、retained-task、new/retired composition、environment/grader effects；</w:t>
      </w:r>
    </w:p>
    <w:p>
      <w:pPr>
        <w:pStyle w:val="ListNumber"/>
      </w:pPr>
      <w:r>
        <w:rPr>
          <w:rFonts w:ascii="Calibri" w:hAnsi="Calibri" w:eastAsia="Microsoft YaHei"/>
          <w:color w:val="243447"/>
          <w:sz w:val="21"/>
        </w:rPr>
        <w:t xml:space="preserve">只有 anchor invariance、coverage、fit 与 uncertainty 达到客户预先冻结的 acceptance rule 才发布 linked estimate；否则 </w:t>
      </w:r>
      <w:r>
        <w:rPr>
          <w:rFonts w:ascii="Consolas" w:hAnsi="Consolas" w:eastAsia="Microsoft YaHei"/>
          <w:color w:val="1F4D78"/>
          <w:sz w:val="19"/>
        </w:rPr>
        <w:t>not comparable</w:t>
      </w:r>
      <w:r>
        <w:rPr>
          <w:rFonts w:ascii="Calibri" w:hAnsi="Calibri" w:eastAsia="Microsoft YaHei"/>
          <w:color w:val="243447"/>
          <w:sz w:val="21"/>
        </w:rPr>
        <w:t>；</w:t>
      </w:r>
    </w:p>
    <w:p>
      <w:pPr>
        <w:pStyle w:val="ListNumber"/>
      </w:pPr>
      <w:r>
        <w:rPr>
          <w:rFonts w:ascii="Calibri" w:hAnsi="Calibri" w:eastAsia="Microsoft YaHei"/>
          <w:color w:val="243447"/>
          <w:sz w:val="21"/>
        </w:rPr>
        <w:t>用后续新 submissions 检查 bridge 外推；失效即撤回解释，但保留研究记录。</w:t>
      </w:r>
    </w:p>
    <w:p>
      <w:pPr>
        <w:widowControl/>
      </w:pPr>
      <w:r>
        <w:rPr>
          <w:rFonts w:ascii="Calibri" w:hAnsi="Calibri" w:eastAsia="Microsoft YaHei"/>
          <w:b/>
          <w:color w:val="243447"/>
          <w:sz w:val="22"/>
        </w:rPr>
        <w:t>[I]</w:t>
      </w:r>
      <w:r>
        <w:rPr>
          <w:rFonts w:ascii="Calibri" w:hAnsi="Calibri" w:eastAsia="Microsoft YaHei"/>
          <w:color w:val="243447"/>
          <w:sz w:val="22"/>
        </w:rPr>
        <w:t xml:space="preserve"> 对异质、交互、环境依赖的 agent benchmark，应默认称 </w:t>
      </w:r>
      <w:r>
        <w:rPr>
          <w:rFonts w:ascii="Consolas" w:hAnsi="Consolas" w:eastAsia="Microsoft YaHei"/>
          <w:color w:val="1F4D78"/>
          <w:sz w:val="20"/>
        </w:rPr>
        <w:t>bridge/linking</w:t>
      </w:r>
      <w:r>
        <w:rPr>
          <w:rFonts w:ascii="Calibri" w:hAnsi="Calibri" w:eastAsia="Microsoft YaHei"/>
          <w:color w:val="243447"/>
          <w:sz w:val="22"/>
        </w:rPr>
        <w:t xml:space="preserve">，而非 </w:t>
      </w:r>
      <w:r>
        <w:rPr>
          <w:rFonts w:ascii="Consolas" w:hAnsi="Consolas" w:eastAsia="Microsoft YaHei"/>
          <w:color w:val="1F4D78"/>
          <w:sz w:val="20"/>
        </w:rPr>
        <w:t>equating</w:t>
      </w:r>
      <w:r>
        <w:rPr>
          <w:rFonts w:ascii="Calibri" w:hAnsi="Calibri" w:eastAsia="Microsoft YaHei"/>
          <w:color w:val="243447"/>
          <w:sz w:val="22"/>
        </w:rPr>
        <w:t>。教育测量方法提供设计原则，不能直接证明 ALE-style scores 已可严格等值。</w:t>
      </w:r>
    </w:p>
    <w:p>
      <w:pPr>
        <w:pStyle w:val="Heading2"/>
      </w:pPr>
      <w:r>
        <w:rPr>
          <w:rFonts w:ascii="Calibri" w:hAnsi="Calibri" w:eastAsia="Microsoft YaHei"/>
          <w:color w:val="2E74B5"/>
          <w:sz w:val="26"/>
        </w:rPr>
        <w:t>10.4 三种 leaderboard 视图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0D5DD"/>
          <w:left w:val="single" w:sz="6" w:space="0" w:color="D0D5DD"/>
          <w:bottom w:val="single" w:sz="6" w:space="0" w:color="D0D5DD"/>
          <w:right w:val="single" w:sz="6" w:space="0" w:color="D0D5DD"/>
          <w:insideH w:val="single" w:sz="6" w:space="0" w:color="D0D5DD"/>
          <w:insideV w:val="single" w:sz="6" w:space="0" w:color="D0D5DD"/>
        </w:tblBorders>
      </w:tblPr>
      <w:tblGrid>
        <w:gridCol w:w="3120"/>
        <w:gridCol w:w="3120"/>
        <w:gridCol w:w="3120"/>
      </w:tblGrid>
      <w:tr>
        <w:trPr>
          <w:cantSplit/>
          <w:tblHeader w:val="true"/>
        </w:trPr>
        <w:tc>
          <w:tcPr>
            <w:tcW w:type="dxa" w:w="168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163A5F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b/>
                <w:color w:val="FFFFFF"/>
                <w:sz w:val="17"/>
              </w:rPr>
              <w:t>View</w:t>
            </w:r>
          </w:p>
        </w:tc>
        <w:tc>
          <w:tcPr>
            <w:tcW w:type="dxa" w:w="402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163A5F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b/>
                <w:color w:val="FFFFFF"/>
                <w:sz w:val="17"/>
              </w:rPr>
              <w:t>内容</w:t>
            </w:r>
          </w:p>
        </w:tc>
        <w:tc>
          <w:tcPr>
            <w:tcW w:type="dxa" w:w="365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163A5F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b/>
                <w:color w:val="FFFFFF"/>
                <w:sz w:val="17"/>
              </w:rPr>
              <w:t>不允许</w:t>
            </w:r>
          </w:p>
        </w:tc>
      </w:tr>
      <w:tr>
        <w:trPr>
          <w:cantSplit/>
        </w:trPr>
        <w:tc>
          <w:tcPr>
            <w:tcW w:type="dxa" w:w="168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b/>
                <w:color w:val="243447"/>
                <w:sz w:val="17"/>
              </w:rPr>
              <w:t>Historical snapshot</w:t>
            </w:r>
          </w:p>
        </w:tc>
        <w:tc>
          <w:tcPr>
            <w:tcW w:type="dxa" w:w="402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7"/>
              </w:rPr>
              <w:t>关闭 release 的 immutable manifest、native metric、当时结果；可追加 annotation、withdrawal、corrected view</w:t>
            </w:r>
          </w:p>
        </w:tc>
        <w:tc>
          <w:tcPr>
            <w:tcW w:type="dxa" w:w="365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7"/>
              </w:rPr>
              <w:t>改写历史列；把 aging/exposed 分数称当前 unseen 能力</w:t>
            </w:r>
          </w:p>
        </w:tc>
      </w:tr>
      <w:tr>
        <w:trPr>
          <w:cantSplit/>
        </w:trPr>
        <w:tc>
          <w:tcPr>
            <w:tcW w:type="dxa" w:w="168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b/>
                <w:color w:val="243447"/>
                <w:sz w:val="17"/>
              </w:rPr>
              <w:t>Current live</w:t>
            </w:r>
          </w:p>
        </w:tc>
        <w:tc>
          <w:tcPr>
            <w:tcW w:type="dxa" w:w="402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7"/>
              </w:rPr>
              <w:t>当前 release/current protocol 的新运行；展示 agent/config、time、version vector、query policy、budget/retry/repeat、logs status</w:t>
            </w:r>
          </w:p>
        </w:tc>
        <w:tc>
          <w:tcPr>
            <w:tcW w:type="dxa" w:w="365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7"/>
              </w:rPr>
              <w:t>旧 release entry 自动 carry forward；混合 grader/metric versions</w:t>
            </w:r>
          </w:p>
        </w:tc>
      </w:tr>
      <w:tr>
        <w:trPr>
          <w:cantSplit/>
        </w:trPr>
        <w:tc>
          <w:tcPr>
            <w:tcW w:type="dxa" w:w="168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b/>
                <w:color w:val="243447"/>
                <w:sz w:val="17"/>
              </w:rPr>
              <w:t>Bridge analysis</w:t>
            </w:r>
          </w:p>
        </w:tc>
        <w:tc>
          <w:tcPr>
            <w:tcW w:type="dxa" w:w="402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7"/>
              </w:rPr>
              <w:t>common-agent paired runs、linked estimates、uncertainty、applicable range、non-comparable regions</w:t>
            </w:r>
          </w:p>
        </w:tc>
        <w:tc>
          <w:tcPr>
            <w:tcW w:type="dxa" w:w="365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7"/>
              </w:rPr>
              <w:t>把 estimate 冒充 official native score；为只有单边 native result 的系统生成伪跨版排名</w:t>
            </w:r>
          </w:p>
        </w:tc>
      </w:tr>
    </w:tbl>
    <w:p>
      <w:pPr>
        <w:widowControl/>
      </w:pPr>
      <w:r>
        <w:rPr>
          <w:rFonts w:ascii="Calibri" w:hAnsi="Calibri" w:eastAsia="Microsoft YaHei"/>
          <w:b/>
          <w:color w:val="243447"/>
          <w:sz w:val="22"/>
        </w:rPr>
        <w:t>Leaderboard action vocabulary [P]：</w:t>
      </w:r>
      <w:r>
        <w:rPr>
          <w:rFonts w:ascii="Calibri" w:hAnsi="Calibri" w:eastAsia="Microsoft YaHei"/>
          <w:color w:val="243447"/>
          <w:sz w:val="22"/>
        </w:rPr>
        <w:t xml:space="preserve"> </w:t>
      </w:r>
      <w:r>
        <w:rPr>
          <w:rFonts w:ascii="Consolas" w:hAnsi="Consolas" w:eastAsia="Microsoft YaHei"/>
          <w:color w:val="1F4D78"/>
          <w:sz w:val="20"/>
        </w:rPr>
        <w:t>historical_snapshot</w:t>
      </w:r>
      <w:r>
        <w:rPr>
          <w:rFonts w:ascii="Calibri" w:hAnsi="Calibri" w:eastAsia="Microsoft YaHei"/>
          <w:color w:val="243447"/>
          <w:sz w:val="22"/>
        </w:rPr>
        <w:t xml:space="preserve"> 是历史对象；</w:t>
      </w:r>
      <w:r>
        <w:rPr>
          <w:rFonts w:ascii="Consolas" w:hAnsi="Consolas" w:eastAsia="Microsoft YaHei"/>
          <w:color w:val="1F4D78"/>
          <w:sz w:val="20"/>
        </w:rPr>
        <w:t>submission_pause</w:t>
      </w:r>
      <w:r>
        <w:rPr>
          <w:rFonts w:ascii="Calibri" w:hAnsi="Calibri" w:eastAsia="Microsoft YaHei"/>
          <w:color w:val="243447"/>
          <w:sz w:val="22"/>
        </w:rPr>
        <w:t xml:space="preserve"> 是停止新 entry 的事故动作；</w:t>
      </w:r>
      <w:r>
        <w:rPr>
          <w:rFonts w:ascii="Consolas" w:hAnsi="Consolas" w:eastAsia="Microsoft YaHei"/>
          <w:color w:val="1F4D78"/>
          <w:sz w:val="20"/>
        </w:rPr>
        <w:t>entry_withdrawn</w:t>
      </w:r>
      <w:r>
        <w:rPr>
          <w:rFonts w:ascii="Calibri" w:hAnsi="Calibri" w:eastAsia="Microsoft YaHei"/>
          <w:color w:val="243447"/>
          <w:sz w:val="22"/>
        </w:rPr>
        <w:t xml:space="preserve"> 保留记录但取消指定榜单资格；</w:t>
      </w:r>
      <w:r>
        <w:rPr>
          <w:rFonts w:ascii="Consolas" w:hAnsi="Consolas" w:eastAsia="Microsoft YaHei"/>
          <w:color w:val="1F4D78"/>
          <w:sz w:val="20"/>
        </w:rPr>
        <w:t>claim_scope_invalid</w:t>
      </w:r>
      <w:r>
        <w:rPr>
          <w:rFonts w:ascii="Calibri" w:hAnsi="Calibri" w:eastAsia="Microsoft YaHei"/>
          <w:color w:val="243447"/>
          <w:sz w:val="22"/>
        </w:rPr>
        <w:t xml:space="preserve"> 撤销某一解释而非删除分数；</w:t>
      </w:r>
      <w:r>
        <w:rPr>
          <w:rFonts w:ascii="Consolas" w:hAnsi="Consolas" w:eastAsia="Microsoft YaHei"/>
          <w:color w:val="1F4D78"/>
          <w:sz w:val="20"/>
        </w:rPr>
        <w:t>alternate_score_view</w:t>
      </w:r>
      <w:r>
        <w:rPr>
          <w:rFonts w:ascii="Calibri" w:hAnsi="Calibri" w:eastAsia="Microsoft YaHei"/>
          <w:color w:val="243447"/>
          <w:sz w:val="22"/>
        </w:rPr>
        <w:t xml:space="preserve"> 不取代 official。Credible grader/reference/rights/safety issue 触发最小 scope pause 与 evidence preservation；恢复要求 root cause/false-positive finding、版本/验证、score treatment、notice lineage 和 appeal 完成。</w:t>
      </w:r>
    </w:p>
    <w:p>
      <w:pPr>
        <w:pStyle w:val="Heading1"/>
        <w:pageBreakBefore/>
      </w:pPr>
      <w:r>
        <w:rPr>
          <w:rFonts w:ascii="Calibri" w:hAnsi="Calibri" w:eastAsia="Microsoft YaHei"/>
          <w:color w:val="2E74B5"/>
          <w:sz w:val="32"/>
        </w:rPr>
        <w:t>11. Public/private/rotation allocation：变量、公式与 pilot</w:t>
      </w:r>
    </w:p>
    <w:p>
      <w:pPr>
        <w:widowControl/>
      </w:pPr>
      <w:r>
        <w:rPr>
          <w:rFonts w:ascii="Calibri" w:hAnsi="Calibri" w:eastAsia="Microsoft YaHei"/>
          <w:color w:val="243447"/>
          <w:sz w:val="22"/>
        </w:rPr>
        <w:t xml:space="preserve">设 </w:t>
      </w:r>
      <w:r>
        <w:rPr>
          <w:rFonts w:ascii="Consolas" w:hAnsi="Consolas" w:eastAsia="Microsoft YaHei"/>
          <w:color w:val="1F4D78"/>
          <w:sz w:val="20"/>
        </w:rPr>
        <w:t>p ∈ {dev, validation, final, reserve, training}</w:t>
      </w:r>
      <w:r>
        <w:rPr>
          <w:rFonts w:ascii="Calibri" w:hAnsi="Calibri" w:eastAsia="Microsoft YaHei"/>
          <w:color w:val="243447"/>
          <w:sz w:val="22"/>
        </w:rPr>
        <w:t xml:space="preserve">，stratum/workflow family 为 </w:t>
      </w:r>
      <w:r>
        <w:rPr>
          <w:rFonts w:ascii="Consolas" w:hAnsi="Consolas" w:eastAsia="Microsoft YaHei"/>
          <w:color w:val="1F4D78"/>
          <w:sz w:val="20"/>
        </w:rPr>
        <w:t>s</w:t>
      </w:r>
      <w:r>
        <w:rPr>
          <w:rFonts w:ascii="Calibri" w:hAnsi="Calibri" w:eastAsia="Microsoft YaHei"/>
          <w:color w:val="243447"/>
          <w:sz w:val="22"/>
        </w:rPr>
        <w:t>，</w:t>
      </w:r>
      <w:r>
        <w:rPr>
          <w:rFonts w:ascii="Consolas" w:hAnsi="Consolas" w:eastAsia="Microsoft YaHei"/>
          <w:color w:val="1F4D78"/>
          <w:sz w:val="20"/>
        </w:rPr>
        <w:t>n[p,s]</w:t>
      </w:r>
      <w:r>
        <w:rPr>
          <w:rFonts w:ascii="Calibri" w:hAnsi="Calibri" w:eastAsia="Microsoft YaHei"/>
          <w:color w:val="243447"/>
          <w:sz w:val="22"/>
        </w:rPr>
        <w:t xml:space="preserve"> 为</w:t>
      </w:r>
      <w:r>
        <w:rPr>
          <w:rFonts w:ascii="Calibri" w:hAnsi="Calibri" w:eastAsia="Microsoft YaHei"/>
          <w:b/>
          <w:color w:val="243447"/>
          <w:sz w:val="22"/>
        </w:rPr>
        <w:t>accepted concrete runnable instances</w:t>
      </w:r>
      <w:r>
        <w:rPr>
          <w:rFonts w:ascii="Calibri" w:hAnsi="Calibri" w:eastAsia="Microsoft YaHei"/>
          <w:color w:val="243447"/>
          <w:sz w:val="22"/>
        </w:rPr>
        <w:t>。Archive 是历史状态，不与 active inventory 重复计数。</w:t>
      </w:r>
    </w:p>
    <w:p>
      <w:pPr>
        <w:pStyle w:val="Heading2"/>
      </w:pPr>
      <w:r>
        <w:rPr>
          <w:rFonts w:ascii="Calibri" w:hAnsi="Calibri" w:eastAsia="Microsoft YaHei"/>
          <w:color w:val="2E74B5"/>
          <w:sz w:val="26"/>
        </w:rPr>
        <w:t xml:space="preserve">11.1 Hard constraints </w:t>
      </w:r>
      <w:r>
        <w:rPr>
          <w:rFonts w:ascii="Calibri" w:hAnsi="Calibri" w:eastAsia="Microsoft YaHei"/>
          <w:b/>
          <w:color w:val="1F4D78"/>
          <w:sz w:val="25"/>
        </w:rPr>
        <w:t>[P]</w:t>
      </w:r>
    </w:p>
    <w:p>
      <w:pPr>
        <w:pStyle w:val="ListBullet"/>
      </w:pPr>
      <w:r>
        <w:rPr>
          <w:rFonts w:ascii="Calibri" w:hAnsi="Calibri" w:eastAsia="Microsoft YaHei"/>
          <w:color w:val="243447"/>
          <w:sz w:val="21"/>
        </w:rPr>
        <w:t xml:space="preserve">每个 active concrete </w:t>
      </w:r>
      <w:r>
        <w:rPr>
          <w:rFonts w:ascii="Consolas" w:hAnsi="Consolas" w:eastAsia="Microsoft YaHei"/>
          <w:color w:val="1F4D78"/>
          <w:sz w:val="19"/>
        </w:rPr>
        <w:t>instance_id</w:t>
      </w:r>
      <w:r>
        <w:rPr>
          <w:rFonts w:ascii="Calibri" w:hAnsi="Calibri" w:eastAsia="Microsoft YaHei"/>
          <w:color w:val="243447"/>
          <w:sz w:val="21"/>
        </w:rPr>
        <w:t xml:space="preserve"> 只有一个主要用途池；多重暴露写 exposure ledger，不靠复制 ID。</w:t>
      </w:r>
    </w:p>
    <w:p>
      <w:pPr>
        <w:pStyle w:val="ListBullet"/>
      </w:pPr>
      <w:r>
        <w:rPr>
          <w:rFonts w:ascii="Calibri" w:hAnsi="Calibri" w:eastAsia="Microsoft YaHei"/>
          <w:color w:val="243447"/>
          <w:sz w:val="21"/>
        </w:rPr>
        <w:t>Training 与 final/reserve 的 concrete hashes、reference、grader secrets 及 adjudicated semantic-near-duplicate clusters 不重叠；只允许通过 gate 的 family-level 复用。</w:t>
      </w:r>
    </w:p>
    <w:p>
      <w:pPr>
        <w:pStyle w:val="ListBullet"/>
      </w:pPr>
      <w:r>
        <w:rPr>
          <w:rFonts w:ascii="Calibri" w:hAnsi="Calibri" w:eastAsia="Microsoft YaHei"/>
          <w:color w:val="243447"/>
          <w:sz w:val="21"/>
        </w:rPr>
        <w:t>客户要求的 construct/domain/software/environment/risk coverage 明确成约束。</w:t>
      </w:r>
    </w:p>
    <w:p>
      <w:pPr>
        <w:pStyle w:val="ListBullet"/>
      </w:pPr>
      <w:r>
        <w:rPr>
          <w:rFonts w:ascii="Calibri" w:hAnsi="Calibri" w:eastAsia="Microsoft YaHei"/>
          <w:color w:val="243447"/>
          <w:sz w:val="21"/>
        </w:rPr>
        <w:t>Final 的决策 precision/discrimination 在 pilot 估计的 item information、run variance、grader uncertainty 下满足客户可接受 decision error。</w:t>
      </w:r>
    </w:p>
    <w:p>
      <w:pPr>
        <w:pStyle w:val="ListBullet"/>
      </w:pPr>
      <w:r>
        <w:rPr>
          <w:rFonts w:ascii="Calibri" w:hAnsi="Calibri" w:eastAsia="Microsoft YaHei"/>
          <w:color w:val="243447"/>
          <w:sz w:val="21"/>
        </w:rPr>
        <w:t>Reserve 满足选定 planning horizon 下由 pilot 观测的 retirement/incident/drift demand；不以公开 benchmark 比例替代。</w:t>
      </w:r>
    </w:p>
    <w:p>
      <w:pPr>
        <w:pStyle w:val="ListBullet"/>
      </w:pPr>
      <w:r>
        <w:rPr>
          <w:rFonts w:ascii="Calibri" w:hAnsi="Calibri" w:eastAsia="Microsoft YaHei"/>
          <w:color w:val="243447"/>
          <w:sz w:val="21"/>
        </w:rPr>
        <w:t>Anchor/bridge coverage、权利、访问、数据驻留与安全约束显式进入模型。</w:t>
      </w:r>
    </w:p>
    <w:p>
      <w:pPr>
        <w:pStyle w:val="Heading2"/>
      </w:pPr>
      <w:r>
        <w:rPr>
          <w:rFonts w:ascii="Calibri" w:hAnsi="Calibri" w:eastAsia="Microsoft YaHei"/>
          <w:color w:val="2E74B5"/>
          <w:sz w:val="26"/>
        </w:rPr>
        <w:t>11.2 Feasible set、Pareto 与 sensitivity；不使用无量纲单目标</w:t>
      </w:r>
    </w:p>
    <w:p>
      <w:pPr>
        <w:widowControl/>
      </w:pPr>
      <w:r>
        <w:rPr>
          <w:rFonts w:ascii="Calibri" w:hAnsi="Calibri" w:eastAsia="Microsoft YaHei"/>
          <w:b/>
          <w:color w:val="243447"/>
          <w:sz w:val="22"/>
        </w:rPr>
        <w:t>[P]</w:t>
      </w:r>
      <w:r>
        <w:rPr>
          <w:rFonts w:ascii="Calibri" w:hAnsi="Calibri" w:eastAsia="Microsoft YaHei"/>
          <w:color w:val="243447"/>
          <w:sz w:val="22"/>
        </w:rPr>
        <w:t xml:space="preserve"> Pilot 前只构造 feasible set：满足 coverage、decision-uncertainty、rights、安全、access、reserve-cleanliness 和 bridge constraints 的 </w:t>
      </w:r>
      <w:r>
        <w:rPr>
          <w:rFonts w:ascii="Consolas" w:hAnsi="Consolas" w:eastAsia="Microsoft YaHei"/>
          <w:color w:val="1F4D78"/>
          <w:sz w:val="20"/>
        </w:rPr>
        <w:t>n[p,s]</w:t>
      </w:r>
      <w:r>
        <w:rPr>
          <w:rFonts w:ascii="Calibri" w:hAnsi="Calibri" w:eastAsia="Microsoft YaHei"/>
          <w:color w:val="243447"/>
          <w:sz w:val="22"/>
        </w:rPr>
        <w:t xml:space="preserve"> 组合。对每个可行方案并列报告多维向量 </w:t>
      </w:r>
      <w:r>
        <w:rPr>
          <w:rFonts w:ascii="Consolas" w:hAnsi="Consolas" w:eastAsia="Microsoft YaHei"/>
          <w:color w:val="1F4D78"/>
          <w:sz w:val="20"/>
        </w:rPr>
        <w:t>{maintenance burden, access-ops burden, exposure risk, decision error, coverage gap, refresh resilience}</w:t>
      </w:r>
      <w:r>
        <w:rPr>
          <w:rFonts w:ascii="Calibri" w:hAnsi="Calibri" w:eastAsia="Microsoft YaHei"/>
          <w:color w:val="243447"/>
          <w:sz w:val="22"/>
        </w:rPr>
        <w:t>，做 Pareto 与 sensitivity；不把不同单位直接相加。</w:t>
      </w:r>
    </w:p>
    <w:p>
      <w:pPr>
        <w:widowControl/>
      </w:pPr>
      <w:r>
        <w:rPr>
          <w:rFonts w:ascii="Calibri" w:hAnsi="Calibri" w:eastAsia="Microsoft YaHei"/>
          <w:b/>
          <w:color w:val="243447"/>
          <w:sz w:val="22"/>
        </w:rPr>
        <w:t>[V]</w:t>
      </w:r>
      <w:r>
        <w:rPr>
          <w:rFonts w:ascii="Calibri" w:hAnsi="Calibri" w:eastAsia="Microsoft YaHei"/>
          <w:color w:val="243447"/>
          <w:sz w:val="22"/>
        </w:rPr>
        <w:t xml:space="preserve"> 只有客户定义单位、normalization、weights、uncertainty 与 decision loss 后，才可生成 scalar objective；所有输入仍来自 pilot，而非公开 benchmark counts。</w:t>
      </w:r>
    </w:p>
    <w:p>
      <w:pPr>
        <w:pStyle w:val="Heading2"/>
      </w:pPr>
      <w:r>
        <w:rPr>
          <w:rFonts w:ascii="Calibri" w:hAnsi="Calibri" w:eastAsia="Microsoft YaHei"/>
          <w:color w:val="2E74B5"/>
          <w:sz w:val="26"/>
        </w:rPr>
        <w:t xml:space="preserve">11.3 决定比例的变量 </w:t>
      </w:r>
      <w:r>
        <w:rPr>
          <w:rFonts w:ascii="Calibri" w:hAnsi="Calibri" w:eastAsia="Microsoft YaHei"/>
          <w:b/>
          <w:color w:val="B42318"/>
          <w:sz w:val="25"/>
        </w:rPr>
        <w:t>[V]</w:t>
      </w:r>
    </w:p>
    <w:p>
      <w:pPr>
        <w:pStyle w:val="ListBullet"/>
      </w:pPr>
      <w:r>
        <w:rPr>
          <w:rFonts w:ascii="Calibri" w:hAnsi="Calibri" w:eastAsia="Microsoft YaHei"/>
          <w:color w:val="243447"/>
          <w:sz w:val="21"/>
        </w:rPr>
        <w:t>最终 score 将授权什么决策，以及 false ranking/false confidence 的损失；</w:t>
      </w:r>
    </w:p>
    <w:p>
      <w:pPr>
        <w:pStyle w:val="ListBullet"/>
      </w:pPr>
      <w:r>
        <w:rPr>
          <w:rFonts w:ascii="Calibri" w:hAnsi="Calibri" w:eastAsia="Microsoft YaHei"/>
          <w:color w:val="243447"/>
          <w:sz w:val="21"/>
        </w:rPr>
        <w:t>Construct、domain、software、environment、安全/合规 strata 的 coverage；</w:t>
      </w:r>
    </w:p>
    <w:p>
      <w:pPr>
        <w:pStyle w:val="ListBullet"/>
      </w:pPr>
      <w:r>
        <w:rPr>
          <w:rFonts w:ascii="Calibri" w:hAnsi="Calibri" w:eastAsia="Microsoft YaHei"/>
          <w:color w:val="243447"/>
          <w:sz w:val="21"/>
        </w:rPr>
        <w:t>用户/组织/model lineage 数、submission cadence、run variance、反馈粒度和所需 turnaround；</w:t>
      </w:r>
    </w:p>
    <w:p>
      <w:pPr>
        <w:pStyle w:val="ListBullet"/>
      </w:pPr>
      <w:r>
        <w:rPr>
          <w:rFonts w:ascii="Calibri" w:hAnsi="Calibri" w:eastAsia="Microsoft YaHei"/>
          <w:color w:val="243447"/>
          <w:sz w:val="21"/>
        </w:rPr>
        <w:t>Transparency、reproducibility、appeal、procurement、independent-audit obligations；</w:t>
      </w:r>
    </w:p>
    <w:p>
      <w:pPr>
        <w:pStyle w:val="ListBullet"/>
      </w:pPr>
      <w:r>
        <w:rPr>
          <w:rFonts w:ascii="Calibri" w:hAnsi="Calibri" w:eastAsia="Microsoft YaHei"/>
          <w:color w:val="243447"/>
          <w:sz w:val="21"/>
        </w:rPr>
        <w:t>模型/post-training 更新 cadence、task exposure half-life、公开 solution 传播速度；</w:t>
      </w:r>
    </w:p>
    <w:p>
      <w:pPr>
        <w:pStyle w:val="ListBullet"/>
      </w:pPr>
      <w:r>
        <w:rPr>
          <w:rFonts w:ascii="Calibri" w:hAnsi="Calibri" w:eastAsia="Microsoft YaHei"/>
          <w:color w:val="243447"/>
          <w:sz w:val="21"/>
        </w:rPr>
        <w:t>Family 内 semantic/template/evaluator transfer risk；</w:t>
      </w:r>
    </w:p>
    <w:p>
      <w:pPr>
        <w:pStyle w:val="ListBullet"/>
      </w:pPr>
      <w:r>
        <w:rPr>
          <w:rFonts w:ascii="Calibri" w:hAnsi="Calibri" w:eastAsia="Microsoft YaHei"/>
          <w:color w:val="243447"/>
          <w:sz w:val="21"/>
        </w:rPr>
        <w:t>Pilot 的 evaluator defect/exploit、environment/license attrition 和 reserve burn-rate 分布；</w:t>
      </w:r>
    </w:p>
    <w:p>
      <w:pPr>
        <w:pStyle w:val="ListBullet"/>
      </w:pPr>
      <w:r>
        <w:rPr>
          <w:rFonts w:ascii="Calibri" w:hAnsi="Calibri" w:eastAsia="Microsoft YaHei"/>
          <w:color w:val="243447"/>
          <w:sz w:val="21"/>
        </w:rPr>
        <w:t>每 family 生成独立有效 instances 的能力、维护/rebuild/replacement burden；</w:t>
      </w:r>
    </w:p>
    <w:p>
      <w:pPr>
        <w:pStyle w:val="ListBullet"/>
      </w:pPr>
      <w:r>
        <w:rPr>
          <w:rFonts w:ascii="Calibri" w:hAnsi="Calibri" w:eastAsia="Microsoft YaHei"/>
          <w:color w:val="243447"/>
          <w:sz w:val="21"/>
        </w:rPr>
        <w:t>Legal、confidentiality、privacy、export、safety、client isolation；</w:t>
      </w:r>
    </w:p>
    <w:p>
      <w:pPr>
        <w:pStyle w:val="ListBullet"/>
      </w:pPr>
      <w:r>
        <w:rPr>
          <w:rFonts w:ascii="Calibri" w:hAnsi="Calibri" w:eastAsia="Microsoft YaHei"/>
          <w:color w:val="243447"/>
          <w:sz w:val="21"/>
        </w:rPr>
        <w:t>Anchor/bridge 的信息与稳定性需求；public/training 是否是独立产品。</w:t>
      </w:r>
    </w:p>
    <w:p>
      <w:pPr>
        <w:pStyle w:val="Heading2"/>
      </w:pPr>
      <w:r>
        <w:rPr>
          <w:rFonts w:ascii="Calibri" w:hAnsi="Calibri" w:eastAsia="Microsoft YaHei"/>
          <w:color w:val="2E74B5"/>
          <w:sz w:val="26"/>
        </w:rPr>
        <w:t>11.4 Pilot measurement plan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0D5DD"/>
          <w:left w:val="single" w:sz="6" w:space="0" w:color="D0D5DD"/>
          <w:bottom w:val="single" w:sz="6" w:space="0" w:color="D0D5DD"/>
          <w:right w:val="single" w:sz="6" w:space="0" w:color="D0D5DD"/>
          <w:insideH w:val="single" w:sz="6" w:space="0" w:color="D0D5DD"/>
          <w:insideV w:val="single" w:sz="6" w:space="0" w:color="D0D5DD"/>
        </w:tblBorders>
      </w:tblPr>
      <w:tblGrid>
        <w:gridCol w:w="3120"/>
        <w:gridCol w:w="3120"/>
        <w:gridCol w:w="3120"/>
      </w:tblGrid>
      <w:tr>
        <w:trPr>
          <w:cantSplit/>
          <w:tblHeader w:val="true"/>
        </w:trPr>
        <w:tc>
          <w:tcPr>
            <w:tcW w:type="dxa" w:w="168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163A5F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b/>
                <w:color w:val="FFFFFF"/>
                <w:sz w:val="17"/>
              </w:rPr>
              <w:t>Pilot stream</w:t>
            </w:r>
          </w:p>
        </w:tc>
        <w:tc>
          <w:tcPr>
            <w:tcW w:type="dxa" w:w="402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163A5F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b/>
                <w:color w:val="FFFFFF"/>
                <w:sz w:val="17"/>
              </w:rPr>
              <w:t>测什么</w:t>
            </w:r>
          </w:p>
        </w:tc>
        <w:tc>
          <w:tcPr>
            <w:tcW w:type="dxa" w:w="365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163A5F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b/>
                <w:color w:val="FFFFFF"/>
                <w:sz w:val="17"/>
              </w:rPr>
              <w:t>输出变量，不提前填值</w:t>
            </w:r>
          </w:p>
        </w:tc>
      </w:tr>
      <w:tr>
        <w:trPr>
          <w:cantSplit/>
        </w:trPr>
        <w:tc>
          <w:tcPr>
            <w:tcW w:type="dxa" w:w="168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7"/>
              </w:rPr>
              <w:t>Authoring / acceptance</w:t>
            </w:r>
          </w:p>
        </w:tc>
        <w:tc>
          <w:tcPr>
            <w:tcW w:type="dxa" w:w="402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7"/>
              </w:rPr>
              <w:t>每 stratum 从 proposed→implemented→validated→accepted 的 transition、rework 与 rejection reason</w:t>
            </w:r>
          </w:p>
        </w:tc>
        <w:tc>
          <w:tcPr>
            <w:tcW w:type="dxa" w:w="365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onsolas" w:hAnsi="Consolas" w:eastAsia="Microsoft YaHei"/>
                <w:color w:val="1F4D78"/>
                <w:sz w:val="16"/>
              </w:rPr>
              <w:t>yield[s]</w:t>
            </w:r>
            <w:r>
              <w:rPr>
                <w:rFonts w:ascii="Calibri" w:hAnsi="Calibri" w:eastAsia="Microsoft YaHei"/>
                <w:color w:val="243447"/>
                <w:sz w:val="17"/>
              </w:rPr>
              <w:t>、authoring/engineering/review effort distributions</w:t>
            </w:r>
          </w:p>
        </w:tc>
      </w:tr>
      <w:tr>
        <w:trPr>
          <w:cantSplit/>
        </w:trPr>
        <w:tc>
          <w:tcPr>
            <w:tcW w:type="dxa" w:w="168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7"/>
              </w:rPr>
              <w:t>Run reliability</w:t>
            </w:r>
          </w:p>
        </w:tc>
        <w:tc>
          <w:tcPr>
            <w:tcW w:type="dxa" w:w="402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7"/>
              </w:rPr>
              <w:t>重复运行、provider outage、environment/tool failures、infra invalid 与 score variance</w:t>
            </w:r>
          </w:p>
        </w:tc>
        <w:tc>
          <w:tcPr>
            <w:tcW w:type="dxa" w:w="365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onsolas" w:hAnsi="Consolas" w:eastAsia="Microsoft YaHei"/>
                <w:color w:val="1F4D78"/>
                <w:sz w:val="16"/>
              </w:rPr>
              <w:t>run_variance[s]</w:t>
            </w:r>
            <w:r>
              <w:rPr>
                <w:rFonts w:ascii="Calibri" w:hAnsi="Calibri" w:eastAsia="Microsoft YaHei"/>
                <w:color w:val="243447"/>
                <w:sz w:val="17"/>
              </w:rPr>
              <w:t>、</w:t>
            </w:r>
            <w:r>
              <w:rPr>
                <w:rFonts w:ascii="Consolas" w:hAnsi="Consolas" w:eastAsia="Microsoft YaHei"/>
                <w:color w:val="1F4D78"/>
                <w:sz w:val="16"/>
              </w:rPr>
              <w:t>p_infra_invalid[s]</w:t>
            </w:r>
            <w:r>
              <w:rPr>
                <w:rFonts w:ascii="Calibri" w:hAnsi="Calibri" w:eastAsia="Microsoft YaHei"/>
                <w:color w:val="243447"/>
                <w:sz w:val="17"/>
              </w:rPr>
              <w:t>、rerun evidence</w:t>
            </w:r>
          </w:p>
        </w:tc>
      </w:tr>
      <w:tr>
        <w:trPr>
          <w:cantSplit/>
        </w:trPr>
        <w:tc>
          <w:tcPr>
            <w:tcW w:type="dxa" w:w="168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7"/>
              </w:rPr>
              <w:t>Evaluator validity</w:t>
            </w:r>
          </w:p>
        </w:tc>
        <w:tc>
          <w:tcPr>
            <w:tcW w:type="dxa" w:w="402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7"/>
              </w:rPr>
              <w:t>known-good/bad、alternate-correct、metamorphic、exploit fixtures、human disagreement</w:t>
            </w:r>
          </w:p>
        </w:tc>
        <w:tc>
          <w:tcPr>
            <w:tcW w:type="dxa" w:w="365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7"/>
              </w:rPr>
              <w:t>false accept/reject evidence、disagreement、materiality classes</w:t>
            </w:r>
          </w:p>
        </w:tc>
      </w:tr>
      <w:tr>
        <w:trPr>
          <w:cantSplit/>
        </w:trPr>
        <w:tc>
          <w:tcPr>
            <w:tcW w:type="dxa" w:w="168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7"/>
              </w:rPr>
              <w:t>Contamination detectors</w:t>
            </w:r>
          </w:p>
        </w:tc>
        <w:tc>
          <w:tcPr>
            <w:tcW w:type="dxa" w:w="402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7"/>
              </w:rPr>
              <w:t>exact/semantic/file/graph/canary/membership 的 blind labeled set</w:t>
            </w:r>
          </w:p>
        </w:tc>
        <w:tc>
          <w:tcPr>
            <w:tcW w:type="dxa" w:w="365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7"/>
              </w:rPr>
              <w:t>precision/recall/FPR/FNR/coverage 与 not-assessable regions</w:t>
            </w:r>
          </w:p>
        </w:tc>
      </w:tr>
      <w:tr>
        <w:trPr>
          <w:cantSplit/>
        </w:trPr>
        <w:tc>
          <w:tcPr>
            <w:tcW w:type="dxa" w:w="168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7"/>
              </w:rPr>
              <w:t>Hill climbing</w:t>
            </w:r>
          </w:p>
        </w:tc>
        <w:tc>
          <w:tcPr>
            <w:tcW w:type="dxa" w:w="402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7"/>
              </w:rPr>
              <w:t>query×granularity×delay×identity regimes 的 red-team</w:t>
            </w:r>
          </w:p>
        </w:tc>
        <w:tc>
          <w:tcPr>
            <w:tcW w:type="dxa" w:w="365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7"/>
              </w:rPr>
              <w:t>information leakage proxy、iteration gain、legitimate developer friction</w:t>
            </w:r>
          </w:p>
        </w:tc>
      </w:tr>
      <w:tr>
        <w:trPr>
          <w:cantSplit/>
        </w:trPr>
        <w:tc>
          <w:tcPr>
            <w:tcW w:type="dxa" w:w="168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7"/>
              </w:rPr>
              <w:t>Pool/release comparability</w:t>
            </w:r>
          </w:p>
        </w:tc>
        <w:tc>
          <w:tcPr>
            <w:tcW w:type="dxa" w:w="402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7"/>
              </w:rPr>
              <w:t>common-agent public/validation/native-final/linking-anchor paired runs；不把 emergency reserve 当 bridge</w:t>
            </w:r>
          </w:p>
        </w:tc>
        <w:tc>
          <w:tcPr>
            <w:tcW w:type="dxa" w:w="365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7"/>
              </w:rPr>
              <w:t>directional gaps、composition effects、rank stability、coverage</w:t>
            </w:r>
          </w:p>
        </w:tc>
      </w:tr>
      <w:tr>
        <w:trPr>
          <w:cantSplit/>
        </w:trPr>
        <w:tc>
          <w:tcPr>
            <w:tcW w:type="dxa" w:w="168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7"/>
              </w:rPr>
              <w:t>Refresh / reserve</w:t>
            </w:r>
          </w:p>
        </w:tc>
        <w:tc>
          <w:tcPr>
            <w:tcW w:type="dxa" w:w="402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7"/>
              </w:rPr>
              <w:t>observed defect, drift, license, contamination, safety, obsolescence incidents</w:t>
            </w:r>
          </w:p>
        </w:tc>
        <w:tc>
          <w:tcPr>
            <w:tcW w:type="dxa" w:w="365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7"/>
              </w:rPr>
              <w:t>attrition/burn-rate distribution 与 planning scenarios</w:t>
            </w:r>
          </w:p>
        </w:tc>
      </w:tr>
      <w:tr>
        <w:trPr>
          <w:cantSplit/>
        </w:trPr>
        <w:tc>
          <w:tcPr>
            <w:tcW w:type="dxa" w:w="168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7"/>
              </w:rPr>
              <w:t>Operations / rights</w:t>
            </w:r>
          </w:p>
        </w:tc>
        <w:tc>
          <w:tcPr>
            <w:tcW w:type="dxa" w:w="402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7"/>
              </w:rPr>
              <w:t>IAM approval/revoke、EaaS queue、audit/appeal、data retention、vendor/legal review</w:t>
            </w:r>
          </w:p>
        </w:tc>
        <w:tc>
          <w:tcPr>
            <w:tcW w:type="dxa" w:w="365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7"/>
              </w:rPr>
              <w:t>access-ops burden、rights constraints、evidence retention feasibility</w:t>
            </w:r>
          </w:p>
        </w:tc>
      </w:tr>
    </w:tbl>
    <w:p>
      <w:pPr>
        <w:widowControl/>
      </w:pPr>
      <w:r>
        <w:rPr>
          <w:rFonts w:ascii="Calibri" w:hAnsi="Calibri" w:eastAsia="Microsoft YaHei"/>
          <w:color w:val="243447"/>
          <w:sz w:val="22"/>
        </w:rPr>
        <w:t>Pilot 后做情景分析，而不是单点配额：例如 transparency-priority、integrity-priority、customer-isolation-priority 三种 objective weights，输出 feasible ranges、binding constraints、sensitivity 和哪些变量改变会切换 policy。</w:t>
      </w:r>
    </w:p>
    <w:p>
      <w:pPr>
        <w:pStyle w:val="Heading1"/>
        <w:pageBreakBefore/>
      </w:pPr>
      <w:r>
        <w:rPr>
          <w:rFonts w:ascii="Calibri" w:hAnsi="Calibri" w:eastAsia="Microsoft YaHei"/>
          <w:color w:val="2E74B5"/>
          <w:sz w:val="32"/>
        </w:rPr>
        <w:t>12. 三种 release-policy options（不预设比例）</w:t>
      </w:r>
    </w:p>
    <w:p>
      <w:pPr>
        <w:pStyle w:val="Heading2"/>
      </w:pPr>
      <w:r>
        <w:rPr>
          <w:rFonts w:ascii="Calibri" w:hAnsi="Calibri" w:eastAsia="Microsoft YaHei"/>
          <w:color w:val="2E74B5"/>
          <w:sz w:val="26"/>
        </w:rPr>
        <w:t>Option A — Open-core + sealed final</w:t>
      </w:r>
    </w:p>
    <w:p>
      <w:pPr>
        <w:pStyle w:val="ListBullet"/>
      </w:pPr>
      <w:r>
        <w:rPr>
          <w:rFonts w:ascii="Calibri" w:hAnsi="Calibri" w:eastAsia="Microsoft YaHei"/>
          <w:b/>
          <w:color w:val="243447"/>
          <w:sz w:val="21"/>
        </w:rPr>
        <w:t>架构：</w:t>
      </w:r>
      <w:r>
        <w:rPr>
          <w:rFonts w:ascii="Calibri" w:hAnsi="Calibri" w:eastAsia="Microsoft YaHei"/>
          <w:color w:val="243447"/>
          <w:sz w:val="21"/>
        </w:rPr>
        <w:t xml:space="preserve"> 公开 dev/demo corpus 与 harness/evaluator contract；注册用户使用 restricted validation；sealed private final；unqueried reserve。</w:t>
      </w:r>
    </w:p>
    <w:p>
      <w:pPr>
        <w:pStyle w:val="ListBullet"/>
      </w:pPr>
      <w:r>
        <w:rPr>
          <w:rFonts w:ascii="Calibri" w:hAnsi="Calibri" w:eastAsia="Microsoft YaHei"/>
          <w:b/>
          <w:color w:val="243447"/>
          <w:sz w:val="21"/>
        </w:rPr>
        <w:t>适用：</w:t>
      </w:r>
      <w:r>
        <w:rPr>
          <w:rFonts w:ascii="Calibri" w:hAnsi="Calibri" w:eastAsia="Microsoft YaHei"/>
          <w:color w:val="243447"/>
          <w:sz w:val="21"/>
        </w:rPr>
        <w:t xml:space="preserve"> 生态 adoption、复现、外部方法审计和人才/供应商接入重要。</w:t>
      </w:r>
    </w:p>
    <w:p>
      <w:pPr>
        <w:pStyle w:val="ListBullet"/>
      </w:pPr>
      <w:r>
        <w:rPr>
          <w:rFonts w:ascii="Calibri" w:hAnsi="Calibri" w:eastAsia="Microsoft YaHei"/>
          <w:b/>
          <w:color w:val="243447"/>
          <w:sz w:val="21"/>
        </w:rPr>
        <w:t>优势：</w:t>
      </w:r>
      <w:r>
        <w:rPr>
          <w:rFonts w:ascii="Calibri" w:hAnsi="Calibri" w:eastAsia="Microsoft YaHei"/>
          <w:color w:val="243447"/>
          <w:sz w:val="21"/>
        </w:rPr>
        <w:t xml:space="preserve"> 开发体验与公开 audit 最强；private final 仍保留最终决策面。</w:t>
      </w:r>
    </w:p>
    <w:p>
      <w:pPr>
        <w:pStyle w:val="ListBullet"/>
      </w:pPr>
      <w:r>
        <w:rPr>
          <w:rFonts w:ascii="Calibri" w:hAnsi="Calibri" w:eastAsia="Microsoft YaHei"/>
          <w:b/>
          <w:color w:val="243447"/>
          <w:sz w:val="21"/>
        </w:rPr>
        <w:t>残余风险：</w:t>
      </w:r>
      <w:r>
        <w:rPr>
          <w:rFonts w:ascii="Calibri" w:hAnsi="Calibri" w:eastAsia="Microsoft YaHei"/>
          <w:color w:val="243447"/>
          <w:sz w:val="21"/>
        </w:rPr>
        <w:t xml:space="preserve"> public family optimization 可迁移；validation 仍会 adaptive；需 family gate、反馈预算、reserve 与 bridge。</w:t>
      </w:r>
    </w:p>
    <w:p>
      <w:pPr>
        <w:pStyle w:val="ListBullet"/>
      </w:pPr>
      <w:r>
        <w:rPr>
          <w:rFonts w:ascii="Calibri" w:hAnsi="Calibri" w:eastAsia="Microsoft YaHei"/>
          <w:b/>
          <w:color w:val="243447"/>
          <w:sz w:val="21"/>
        </w:rPr>
        <w:t>客户必须选：</w:t>
      </w:r>
      <w:r>
        <w:rPr>
          <w:rFonts w:ascii="Calibri" w:hAnsi="Calibri" w:eastAsia="Microsoft YaHei"/>
          <w:color w:val="243447"/>
          <w:sz w:val="21"/>
        </w:rPr>
        <w:t xml:space="preserve"> 哪些 construct/strata 必须公开审计；何时 private→public；public solution policy；independent auditor 权限。</w:t>
      </w:r>
    </w:p>
    <w:p>
      <w:pPr>
        <w:pStyle w:val="Heading2"/>
      </w:pPr>
      <w:r>
        <w:rPr>
          <w:rFonts w:ascii="Calibri" w:hAnsi="Calibri" w:eastAsia="Microsoft YaHei"/>
          <w:color w:val="2E74B5"/>
          <w:sz w:val="26"/>
        </w:rPr>
        <w:t>Option B — Managed evaluation service</w:t>
      </w:r>
    </w:p>
    <w:p>
      <w:pPr>
        <w:pStyle w:val="ListBullet"/>
      </w:pPr>
      <w:r>
        <w:rPr>
          <w:rFonts w:ascii="Calibri" w:hAnsi="Calibri" w:eastAsia="Microsoft YaHei"/>
          <w:b/>
          <w:color w:val="243447"/>
          <w:sz w:val="21"/>
        </w:rPr>
        <w:t>架构：</w:t>
      </w:r>
      <w:r>
        <w:rPr>
          <w:rFonts w:ascii="Calibri" w:hAnsi="Calibri" w:eastAsia="Microsoft YaHei"/>
          <w:color w:val="243447"/>
          <w:sz w:val="21"/>
        </w:rPr>
        <w:t xml:space="preserve"> 仅 integration kit/schema simulator 公开；restricted/final 由服务端执行；身份、query/feedback budget、日志、attested manifest、独立审计与 appeal。</w:t>
      </w:r>
    </w:p>
    <w:p>
      <w:pPr>
        <w:pStyle w:val="ListBullet"/>
      </w:pPr>
      <w:r>
        <w:rPr>
          <w:rFonts w:ascii="Calibri" w:hAnsi="Calibri" w:eastAsia="Microsoft YaHei"/>
          <w:b/>
          <w:color w:val="243447"/>
          <w:sz w:val="21"/>
        </w:rPr>
        <w:t>适用：</w:t>
      </w:r>
      <w:r>
        <w:rPr>
          <w:rFonts w:ascii="Calibri" w:hAnsi="Calibri" w:eastAsia="Microsoft YaHei"/>
          <w:color w:val="243447"/>
          <w:sz w:val="21"/>
        </w:rPr>
        <w:t xml:space="preserve"> final-decision integrity、reference/evaluator secrecy、统一环境或 rights 控制占主导。</w:t>
      </w:r>
    </w:p>
    <w:p>
      <w:pPr>
        <w:pStyle w:val="ListBullet"/>
      </w:pPr>
      <w:r>
        <w:rPr>
          <w:rFonts w:ascii="Calibri" w:hAnsi="Calibri" w:eastAsia="Microsoft YaHei"/>
          <w:b/>
          <w:color w:val="243447"/>
          <w:sz w:val="21"/>
        </w:rPr>
        <w:t>优势：</w:t>
      </w:r>
      <w:r>
        <w:rPr>
          <w:rFonts w:ascii="Calibri" w:hAnsi="Calibri" w:eastAsia="Microsoft YaHei"/>
          <w:color w:val="243447"/>
          <w:sz w:val="21"/>
        </w:rPr>
        <w:t xml:space="preserve"> 原始 secret 副本最少；run environment 与 evidence 集中。</w:t>
      </w:r>
    </w:p>
    <w:p>
      <w:pPr>
        <w:pStyle w:val="ListBullet"/>
      </w:pPr>
      <w:r>
        <w:rPr>
          <w:rFonts w:ascii="Calibri" w:hAnsi="Calibri" w:eastAsia="Microsoft YaHei"/>
          <w:b/>
          <w:color w:val="243447"/>
          <w:sz w:val="21"/>
        </w:rPr>
        <w:t>残余风险：</w:t>
      </w:r>
      <w:r>
        <w:rPr>
          <w:rFonts w:ascii="Calibri" w:hAnsi="Calibri" w:eastAsia="Microsoft YaHei"/>
          <w:color w:val="243447"/>
          <w:sz w:val="21"/>
        </w:rPr>
        <w:t xml:space="preserve"> Operator/service 单点、black-box bias、内部权限、日志泄漏、availability、IP/data residency；私有服务仍可能 hill-climb。</w:t>
      </w:r>
    </w:p>
    <w:p>
      <w:pPr>
        <w:pStyle w:val="ListBullet"/>
      </w:pPr>
      <w:r>
        <w:rPr>
          <w:rFonts w:ascii="Calibri" w:hAnsi="Calibri" w:eastAsia="Microsoft YaHei"/>
          <w:b/>
          <w:color w:val="243447"/>
          <w:sz w:val="21"/>
        </w:rPr>
        <w:t>客户必须选：</w:t>
      </w:r>
      <w:r>
        <w:rPr>
          <w:rFonts w:ascii="Calibri" w:hAnsi="Calibri" w:eastAsia="Microsoft YaHei"/>
          <w:color w:val="243447"/>
          <w:sz w:val="21"/>
        </w:rPr>
        <w:t xml:space="preserve"> 可接受的 operator trust、模型交付方式、数据驻留、network realism、evidence return、service outage treatment。</w:t>
      </w:r>
    </w:p>
    <w:p>
      <w:pPr>
        <w:pStyle w:val="Heading2"/>
      </w:pPr>
      <w:r>
        <w:rPr>
          <w:rFonts w:ascii="Calibri" w:hAnsi="Calibri" w:eastAsia="Microsoft YaHei"/>
          <w:color w:val="2E74B5"/>
          <w:sz w:val="26"/>
        </w:rPr>
        <w:t>Option C — Federated customer-private releases</w:t>
      </w:r>
    </w:p>
    <w:p>
      <w:pPr>
        <w:pStyle w:val="ListBullet"/>
      </w:pPr>
      <w:r>
        <w:rPr>
          <w:rFonts w:ascii="Calibri" w:hAnsi="Calibri" w:eastAsia="Microsoft YaHei"/>
          <w:b/>
          <w:color w:val="243447"/>
          <w:sz w:val="21"/>
        </w:rPr>
        <w:t>架构：</w:t>
      </w:r>
      <w:r>
        <w:rPr>
          <w:rFonts w:ascii="Calibri" w:hAnsi="Calibri" w:eastAsia="Microsoft YaHei"/>
          <w:color w:val="243447"/>
          <w:sz w:val="21"/>
        </w:rPr>
        <w:t xml:space="preserve"> 公共方法/harness；每客户独立 private instances/environments/ACL；另设受控 anchor/bridge surface；不把 raw customer data 合并成 universal pool。</w:t>
      </w:r>
    </w:p>
    <w:p>
      <w:pPr>
        <w:pStyle w:val="ListBullet"/>
      </w:pPr>
      <w:r>
        <w:rPr>
          <w:rFonts w:ascii="Calibri" w:hAnsi="Calibri" w:eastAsia="Microsoft YaHei"/>
          <w:b/>
          <w:color w:val="243447"/>
          <w:sz w:val="21"/>
        </w:rPr>
        <w:t>适用：</w:t>
      </w:r>
      <w:r>
        <w:rPr>
          <w:rFonts w:ascii="Calibri" w:hAnsi="Calibri" w:eastAsia="Microsoft YaHei"/>
          <w:color w:val="243447"/>
          <w:sz w:val="21"/>
        </w:rPr>
        <w:t xml:space="preserve"> Confidential、regulated 或高度客户特定的专业 workflows。</w:t>
      </w:r>
    </w:p>
    <w:p>
      <w:pPr>
        <w:pStyle w:val="ListBullet"/>
      </w:pPr>
      <w:r>
        <w:rPr>
          <w:rFonts w:ascii="Calibri" w:hAnsi="Calibri" w:eastAsia="Microsoft YaHei"/>
          <w:b/>
          <w:color w:val="243447"/>
          <w:sz w:val="21"/>
        </w:rPr>
        <w:t>优势：</w:t>
      </w:r>
      <w:r>
        <w:rPr>
          <w:rFonts w:ascii="Calibri" w:hAnsi="Calibri" w:eastAsia="Microsoft YaHei"/>
          <w:color w:val="243447"/>
          <w:sz w:val="21"/>
        </w:rPr>
        <w:t xml:space="preserve"> 客户隔离、rights 和现实流程贴合度强；降低跨客户泄漏。</w:t>
      </w:r>
    </w:p>
    <w:p>
      <w:pPr>
        <w:pStyle w:val="ListBullet"/>
      </w:pPr>
      <w:r>
        <w:rPr>
          <w:rFonts w:ascii="Calibri" w:hAnsi="Calibri" w:eastAsia="Microsoft YaHei"/>
          <w:b/>
          <w:color w:val="243447"/>
          <w:sz w:val="21"/>
        </w:rPr>
        <w:t>残余风险：</w:t>
      </w:r>
      <w:r>
        <w:rPr>
          <w:rFonts w:ascii="Calibri" w:hAnsi="Calibri" w:eastAsia="Microsoft YaHei"/>
          <w:color w:val="243447"/>
          <w:sz w:val="21"/>
        </w:rPr>
        <w:t xml:space="preserve"> 版本/运维复杂，通用排行榜意义弱，anchor 也可能暴露/漂移；结果必须 customer/release scoped。</w:t>
      </w:r>
    </w:p>
    <w:p>
      <w:pPr>
        <w:pStyle w:val="ListBullet"/>
      </w:pPr>
      <w:r>
        <w:rPr>
          <w:rFonts w:ascii="Calibri" w:hAnsi="Calibri" w:eastAsia="Microsoft YaHei"/>
          <w:b/>
          <w:color w:val="243447"/>
          <w:sz w:val="21"/>
        </w:rPr>
        <w:t>客户必须选：</w:t>
      </w:r>
      <w:r>
        <w:rPr>
          <w:rFonts w:ascii="Calibri" w:hAnsi="Calibri" w:eastAsia="Microsoft YaHei"/>
          <w:color w:val="243447"/>
          <w:sz w:val="21"/>
        </w:rPr>
        <w:t xml:space="preserve"> 是否需要 global ranking；跨客户 family/anchor 允许范围；谁托管评测；客户离场后的 archive/regrade/retention。</w:t>
      </w:r>
    </w:p>
    <w:p>
      <w:pPr>
        <w:pStyle w:val="Heading1"/>
        <w:pageBreakBefore/>
      </w:pPr>
      <w:r>
        <w:rPr>
          <w:rFonts w:ascii="Calibri" w:hAnsi="Calibri" w:eastAsia="Microsoft YaHei"/>
          <w:color w:val="2E74B5"/>
          <w:sz w:val="32"/>
        </w:rPr>
        <w:t>13. 可直接采用的项目建议</w:t>
      </w:r>
    </w:p>
    <w:p>
      <w:pPr>
        <w:pStyle w:val="Heading2"/>
      </w:pPr>
      <w:r>
        <w:rPr>
          <w:rFonts w:ascii="Calibri" w:hAnsi="Calibri" w:eastAsia="Microsoft YaHei"/>
          <w:color w:val="2E74B5"/>
          <w:sz w:val="26"/>
        </w:rPr>
        <w:t>13.1 Minimum viable governance</w:t>
      </w:r>
    </w:p>
    <w:p>
      <w:pPr>
        <w:pStyle w:val="ListNumber"/>
      </w:pPr>
      <w:r>
        <w:rPr>
          <w:rFonts w:ascii="Calibri" w:hAnsi="Calibri" w:eastAsia="Microsoft YaHei"/>
          <w:b/>
          <w:color w:val="243447"/>
          <w:sz w:val="21"/>
        </w:rPr>
        <w:t>[P]</w:t>
      </w:r>
      <w:r>
        <w:rPr>
          <w:rFonts w:ascii="Calibri" w:hAnsi="Calibri" w:eastAsia="Microsoft YaHei"/>
          <w:color w:val="243447"/>
          <w:sz w:val="21"/>
        </w:rPr>
        <w:t xml:space="preserve"> 建立 immutable/event-sourced registry，分开存 lifecycle、pool purpose、access class、release membership、version/lineage、actor-relative exposure、rights 和 incident；禁止复合 </w:t>
      </w:r>
      <w:r>
        <w:rPr>
          <w:rFonts w:ascii="Consolas" w:hAnsi="Consolas" w:eastAsia="Microsoft YaHei"/>
          <w:color w:val="1F4D78"/>
          <w:sz w:val="19"/>
        </w:rPr>
        <w:t>release_state</w:t>
      </w:r>
      <w:r>
        <w:rPr>
          <w:rFonts w:ascii="Calibri" w:hAnsi="Calibri" w:eastAsia="Microsoft YaHei"/>
          <w:color w:val="243447"/>
          <w:sz w:val="21"/>
        </w:rPr>
        <w:t>。</w:t>
      </w:r>
    </w:p>
    <w:p>
      <w:pPr>
        <w:pStyle w:val="ListNumber"/>
      </w:pPr>
      <w:r>
        <w:rPr>
          <w:rFonts w:ascii="Calibri" w:hAnsi="Calibri" w:eastAsia="Microsoft YaHei"/>
          <w:b/>
          <w:color w:val="243447"/>
          <w:sz w:val="21"/>
        </w:rPr>
        <w:t>[P]</w:t>
      </w:r>
      <w:r>
        <w:rPr>
          <w:rFonts w:ascii="Calibri" w:hAnsi="Calibri" w:eastAsia="Microsoft YaHei"/>
          <w:color w:val="243447"/>
          <w:sz w:val="21"/>
        </w:rPr>
        <w:t xml:space="preserve"> 从 authoring 开始给 workflow family、concrete instance、input/reference/evaluator/environment 各自 stable internal ID 与 hash；外部 ID 使用 scoped pseudonym。</w:t>
      </w:r>
    </w:p>
    <w:p>
      <w:pPr>
        <w:pStyle w:val="ListNumber"/>
      </w:pPr>
      <w:r>
        <w:rPr>
          <w:rFonts w:ascii="Calibri" w:hAnsi="Calibri" w:eastAsia="Microsoft YaHei"/>
          <w:b/>
          <w:color w:val="243447"/>
          <w:sz w:val="21"/>
        </w:rPr>
        <w:t>[P]</w:t>
      </w:r>
      <w:r>
        <w:rPr>
          <w:rFonts w:ascii="Calibri" w:hAnsi="Calibri" w:eastAsia="Microsoft YaHei"/>
          <w:color w:val="243447"/>
          <w:sz w:val="21"/>
        </w:rPr>
        <w:t xml:space="preserve"> </w:t>
      </w:r>
      <w:r>
        <w:rPr>
          <w:rFonts w:ascii="Consolas" w:hAnsi="Consolas" w:eastAsia="Microsoft YaHei"/>
          <w:color w:val="1F4D78"/>
          <w:sz w:val="19"/>
        </w:rPr>
        <w:t>active-public/private</w:t>
      </w:r>
      <w:r>
        <w:rPr>
          <w:rFonts w:ascii="Calibri" w:hAnsi="Calibri" w:eastAsia="Microsoft YaHei"/>
          <w:color w:val="243447"/>
          <w:sz w:val="21"/>
        </w:rPr>
        <w:t>、</w:t>
      </w:r>
      <w:r>
        <w:rPr>
          <w:rFonts w:ascii="Consolas" w:hAnsi="Consolas" w:eastAsia="Microsoft YaHei"/>
          <w:color w:val="1F4D78"/>
          <w:sz w:val="19"/>
        </w:rPr>
        <w:t>rotation</w:t>
      </w:r>
      <w:r>
        <w:rPr>
          <w:rFonts w:ascii="Calibri" w:hAnsi="Calibri" w:eastAsia="Microsoft YaHei"/>
          <w:color w:val="243447"/>
          <w:sz w:val="21"/>
        </w:rPr>
        <w:t>、</w:t>
      </w:r>
      <w:r>
        <w:rPr>
          <w:rFonts w:ascii="Consolas" w:hAnsi="Consolas" w:eastAsia="Microsoft YaHei"/>
          <w:color w:val="1F4D78"/>
          <w:sz w:val="19"/>
        </w:rPr>
        <w:t>replaced</w:t>
      </w:r>
      <w:r>
        <w:rPr>
          <w:rFonts w:ascii="Calibri" w:hAnsi="Calibri" w:eastAsia="Microsoft YaHei"/>
          <w:color w:val="243447"/>
          <w:sz w:val="21"/>
        </w:rPr>
        <w:t xml:space="preserve"> 只作为可审计 derived views；accepted inventory 不自动等于 current release/private holdout。</w:t>
      </w:r>
    </w:p>
    <w:p>
      <w:pPr>
        <w:pStyle w:val="ListNumber"/>
      </w:pPr>
      <w:r>
        <w:rPr>
          <w:rFonts w:ascii="Calibri" w:hAnsi="Calibri" w:eastAsia="Microsoft YaHei"/>
          <w:b/>
          <w:color w:val="243447"/>
          <w:sz w:val="21"/>
        </w:rPr>
        <w:t>[P]</w:t>
      </w:r>
      <w:r>
        <w:rPr>
          <w:rFonts w:ascii="Calibri" w:hAnsi="Calibri" w:eastAsia="Microsoft YaHei"/>
          <w:color w:val="243447"/>
          <w:sz w:val="21"/>
        </w:rPr>
        <w:t xml:space="preserve"> Public 主功能由 intended decision 决定；restricted-validation 明确为 adaptive；private-final 不作为调试器；rotation 使用 contact class 与 burn/disposition rule。</w:t>
      </w:r>
    </w:p>
    <w:p>
      <w:pPr>
        <w:pStyle w:val="ListNumber"/>
      </w:pPr>
      <w:r>
        <w:rPr>
          <w:rFonts w:ascii="Calibri" w:hAnsi="Calibri" w:eastAsia="Microsoft YaHei"/>
          <w:b/>
          <w:color w:val="243447"/>
          <w:sz w:val="21"/>
        </w:rPr>
        <w:t>[P]</w:t>
      </w:r>
      <w:r>
        <w:rPr>
          <w:rFonts w:ascii="Calibri" w:hAnsi="Calibri" w:eastAsia="Microsoft YaHei"/>
          <w:color w:val="243447"/>
          <w:sz w:val="21"/>
        </w:rPr>
        <w:t xml:space="preserve"> Family 跨池实施强制 checklist：new input/reference、multimodal near-dup、new/segregated evaluator secret、clean environment、non-joinable IDs、purpose ACL、pilot discrimination。</w:t>
      </w:r>
    </w:p>
    <w:p>
      <w:pPr>
        <w:pStyle w:val="ListNumber"/>
      </w:pPr>
      <w:r>
        <w:rPr>
          <w:rFonts w:ascii="Calibri" w:hAnsi="Calibri" w:eastAsia="Microsoft YaHei"/>
          <w:b/>
          <w:color w:val="243447"/>
          <w:sz w:val="21"/>
        </w:rPr>
        <w:t>[P]</w:t>
      </w:r>
      <w:r>
        <w:rPr>
          <w:rFonts w:ascii="Calibri" w:hAnsi="Calibri" w:eastAsia="Microsoft YaHei"/>
          <w:color w:val="243447"/>
          <w:sz w:val="21"/>
        </w:rPr>
        <w:t xml:space="preserve"> 用 gated EaaS + </w:t>
      </w:r>
      <w:r>
        <w:rPr>
          <w:rFonts w:ascii="Calibri" w:hAnsi="Calibri" w:eastAsia="Microsoft YaHei"/>
          <w:b/>
          <w:color w:val="243447"/>
          <w:sz w:val="21"/>
        </w:rPr>
        <w:t>agent/scoring 两个 trust domains</w:t>
      </w:r>
      <w:r>
        <w:rPr>
          <w:rFonts w:ascii="Calibri" w:hAnsi="Calibri" w:eastAsia="Microsoft YaHei"/>
          <w:color w:val="243447"/>
          <w:sz w:val="21"/>
        </w:rPr>
        <w:t xml:space="preserve"> + controlled network + identity/model-lineage feedback controls + tamper-evident logs + 分型传感器 + independent audit/appeal。</w:t>
      </w:r>
    </w:p>
    <w:p>
      <w:pPr>
        <w:pStyle w:val="ListNumber"/>
      </w:pPr>
      <w:r>
        <w:rPr>
          <w:rFonts w:ascii="Calibri" w:hAnsi="Calibri" w:eastAsia="Microsoft YaHei"/>
          <w:b/>
          <w:color w:val="243447"/>
          <w:sz w:val="21"/>
        </w:rPr>
        <w:t>[P]</w:t>
      </w:r>
      <w:r>
        <w:rPr>
          <w:rFonts w:ascii="Calibri" w:hAnsi="Calibri" w:eastAsia="Microsoft YaHei"/>
          <w:color w:val="243447"/>
          <w:sz w:val="21"/>
        </w:rPr>
        <w:t xml:space="preserve"> 在上线前预建 quarantine、broken-task disclosure、submission_pause/unpause、repair/replacement、score-treatment matrix 和 false-positive/no_change path。</w:t>
      </w:r>
    </w:p>
    <w:p>
      <w:pPr>
        <w:pStyle w:val="ListNumber"/>
      </w:pPr>
      <w:r>
        <w:rPr>
          <w:rFonts w:ascii="Calibri" w:hAnsi="Calibri" w:eastAsia="Microsoft YaHei"/>
          <w:b/>
          <w:color w:val="243447"/>
          <w:sz w:val="21"/>
        </w:rPr>
        <w:t>[P]</w:t>
      </w:r>
      <w:r>
        <w:rPr>
          <w:rFonts w:ascii="Calibri" w:hAnsi="Calibri" w:eastAsia="Microsoft YaHei"/>
          <w:color w:val="243447"/>
          <w:sz w:val="21"/>
        </w:rPr>
        <w:t xml:space="preserve"> 保存 raw artifact/trace/log 与 old graders，用于 bounded regrade；无法保留时预先声明 </w:t>
      </w:r>
      <w:r>
        <w:rPr>
          <w:rFonts w:ascii="Consolas" w:hAnsi="Consolas" w:eastAsia="Microsoft YaHei"/>
          <w:color w:val="1F4D78"/>
          <w:sz w:val="19"/>
        </w:rPr>
        <w:t>not_regradable</w:t>
      </w:r>
      <w:r>
        <w:rPr>
          <w:rFonts w:ascii="Calibri" w:hAnsi="Calibri" w:eastAsia="Microsoft YaHei"/>
          <w:color w:val="243447"/>
          <w:sz w:val="21"/>
        </w:rPr>
        <w:t>。</w:t>
      </w:r>
    </w:p>
    <w:p>
      <w:pPr>
        <w:pStyle w:val="ListNumber"/>
      </w:pPr>
      <w:r>
        <w:rPr>
          <w:rFonts w:ascii="Calibri" w:hAnsi="Calibri" w:eastAsia="Microsoft YaHei"/>
          <w:b/>
          <w:color w:val="243447"/>
          <w:sz w:val="21"/>
        </w:rPr>
        <w:t>[P]</w:t>
      </w:r>
      <w:r>
        <w:rPr>
          <w:rFonts w:ascii="Calibri" w:hAnsi="Calibri" w:eastAsia="Microsoft YaHei"/>
          <w:color w:val="243447"/>
          <w:sz w:val="21"/>
        </w:rPr>
        <w:t xml:space="preserve"> 每个 release 先做 common-agent paired bridge；native score 始终 primary，linked estimate 始终 secondary；证据不够就 </w:t>
      </w:r>
      <w:r>
        <w:rPr>
          <w:rFonts w:ascii="Consolas" w:hAnsi="Consolas" w:eastAsia="Microsoft YaHei"/>
          <w:color w:val="1F4D78"/>
          <w:sz w:val="19"/>
        </w:rPr>
        <w:t>not comparable</w:t>
      </w:r>
      <w:r>
        <w:rPr>
          <w:rFonts w:ascii="Calibri" w:hAnsi="Calibri" w:eastAsia="Microsoft YaHei"/>
          <w:color w:val="243447"/>
          <w:sz w:val="21"/>
        </w:rPr>
        <w:t>。</w:t>
      </w:r>
    </w:p>
    <w:p>
      <w:pPr>
        <w:pStyle w:val="ListNumber"/>
      </w:pPr>
      <w:r>
        <w:rPr>
          <w:rFonts w:ascii="Calibri" w:hAnsi="Calibri" w:eastAsia="Microsoft YaHei"/>
          <w:b/>
          <w:color w:val="243447"/>
          <w:sz w:val="21"/>
        </w:rPr>
        <w:t>[P]</w:t>
      </w:r>
      <w:r>
        <w:rPr>
          <w:rFonts w:ascii="Calibri" w:hAnsi="Calibri" w:eastAsia="Microsoft YaHei"/>
          <w:color w:val="243447"/>
          <w:sz w:val="21"/>
        </w:rPr>
        <w:t xml:space="preserve"> 同时维护 historical snapshot、current live、bridge analysis；corrected/alternate/bridge 视图分离；coverage 不完整不重排全榜。</w:t>
      </w:r>
    </w:p>
    <w:p>
      <w:pPr>
        <w:pStyle w:val="ListNumber"/>
      </w:pPr>
      <w:r>
        <w:rPr>
          <w:rFonts w:ascii="Calibri" w:hAnsi="Calibri" w:eastAsia="Microsoft YaHei"/>
          <w:b/>
          <w:color w:val="243447"/>
          <w:sz w:val="21"/>
        </w:rPr>
        <w:t>[P]</w:t>
      </w:r>
      <w:r>
        <w:rPr>
          <w:rFonts w:ascii="Calibri" w:hAnsi="Calibri" w:eastAsia="Microsoft YaHei"/>
          <w:color w:val="243447"/>
          <w:sz w:val="21"/>
        </w:rPr>
        <w:t xml:space="preserve"> 定期 review saturation、discrimination、contamination、environment、license、grader、obsolescence、client change、safety；所有 operational thresholds 由客户/pilot 冻结。</w:t>
      </w:r>
    </w:p>
    <w:p>
      <w:pPr>
        <w:pStyle w:val="ListNumber"/>
      </w:pPr>
      <w:r>
        <w:rPr>
          <w:rFonts w:ascii="Calibri" w:hAnsi="Calibri" w:eastAsia="Microsoft YaHei"/>
          <w:b/>
          <w:color w:val="243447"/>
          <w:sz w:val="21"/>
        </w:rPr>
        <w:t>[P]</w:t>
      </w:r>
      <w:r>
        <w:rPr>
          <w:rFonts w:ascii="Calibri" w:hAnsi="Calibri" w:eastAsia="Microsoft YaHei"/>
          <w:color w:val="243447"/>
          <w:sz w:val="21"/>
        </w:rPr>
        <w:t xml:space="preserve"> 私有集提供受控独立 audit 与不泄漏 oracle 的 defect appeal；secrecy 不能成为拒绝 validity audit 的理由。</w:t>
      </w:r>
    </w:p>
    <w:p>
      <w:pPr>
        <w:pStyle w:val="Heading2"/>
      </w:pPr>
      <w:r>
        <w:rPr>
          <w:rFonts w:ascii="Calibri" w:hAnsi="Calibri" w:eastAsia="Microsoft YaHei"/>
          <w:color w:val="2E74B5"/>
          <w:sz w:val="26"/>
        </w:rPr>
        <w:t>13.2 最小数据对象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5" w:space="0" w:color="D9E2EC"/>
          <w:left w:val="single" w:sz="5" w:space="0" w:color="D9E2EC"/>
          <w:bottom w:val="single" w:sz="5" w:space="0" w:color="D9E2EC"/>
          <w:right w:val="single" w:sz="5" w:space="0" w:color="D9E2EC"/>
          <w:insideH w:val="single" w:sz="5" w:space="0" w:color="D9E2EC"/>
          <w:insideV w:val="single" w:sz="5" w:space="0" w:color="D9E2EC"/>
        </w:tblBorders>
      </w:tblPr>
      <w:tblGrid>
        <w:gridCol w:w="9360"/>
      </w:tblGrid>
      <w:tr>
        <w:tc>
          <w:tcPr>
            <w:tcW w:type="dxa" w:w="9360"/>
            <w:shd w:fill="F7F9FC"/>
            <w:tcMar>
              <w:top w:w="120" w:type="dxa"/>
              <w:start w:w="150" w:type="dxa"/>
              <w:bottom w:w="120" w:type="dxa"/>
              <w:end w:w="15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YaHei"/>
                <w:color w:val="243447"/>
                <w:sz w:val="14"/>
              </w:rPr>
              <w:t>workflow_family_id: wf_...</w:t>
              <w:br/>
            </w:r>
            <w:r>
              <w:rPr>
                <w:rFonts w:ascii="Consolas" w:hAnsi="Consolas" w:eastAsia="Microsoft YaHei"/>
                <w:color w:val="243447"/>
                <w:sz w:val="14"/>
              </w:rPr>
              <w:t>asset_id: inst_...</w:t>
              <w:br/>
            </w:r>
            <w:r>
              <w:rPr>
                <w:rFonts w:ascii="Consolas" w:hAnsi="Consolas" w:eastAsia="Microsoft YaHei"/>
                <w:color w:val="243447"/>
                <w:sz w:val="14"/>
              </w:rPr>
              <w:t>asset_version_id: inst_...@v...</w:t>
              <w:br/>
            </w:r>
            <w:r>
              <w:rPr>
                <w:rFonts w:ascii="Consolas" w:hAnsi="Consolas" w:eastAsia="Microsoft YaHei"/>
                <w:color w:val="243447"/>
                <w:sz w:val="14"/>
              </w:rPr>
              <w:t>asset_lifecycle_status: proposed|implemented|validated|accepted|quarantined|repaired|retired</w:t>
              <w:br/>
            </w:r>
            <w:r>
              <w:rPr>
                <w:rFonts w:ascii="Consolas" w:hAnsi="Consolas" w:eastAsia="Microsoft YaHei"/>
                <w:color w:val="243447"/>
                <w:sz w:val="14"/>
              </w:rPr>
              <w:t>pool_assignment:</w:t>
              <w:br/>
            </w:r>
            <w:r>
              <w:rPr>
                <w:rFonts w:ascii="Consolas" w:hAnsi="Consolas" w:eastAsia="Microsoft YaHei"/>
                <w:color w:val="243447"/>
                <w:sz w:val="14"/>
              </w:rPr>
              <w:t xml:space="preserve">  purpose: development_demo|restricted_validation|private_final|rotation_reserve|training</w:t>
              <w:br/>
            </w:r>
            <w:r>
              <w:rPr>
                <w:rFonts w:ascii="Consolas" w:hAnsi="Consolas" w:eastAsia="Microsoft YaHei"/>
                <w:color w:val="243447"/>
                <w:sz w:val="14"/>
              </w:rPr>
              <w:t xml:space="preserve">  effective_from: ...</w:t>
              <w:br/>
            </w:r>
            <w:r>
              <w:rPr>
                <w:rFonts w:ascii="Consolas" w:hAnsi="Consolas" w:eastAsia="Microsoft YaHei"/>
                <w:color w:val="243447"/>
                <w:sz w:val="14"/>
              </w:rPr>
              <w:t xml:space="preserve">  effective_to: null</w:t>
              <w:br/>
            </w:r>
            <w:r>
              <w:rPr>
                <w:rFonts w:ascii="Consolas" w:hAnsi="Consolas" w:eastAsia="Microsoft YaHei"/>
                <w:color w:val="243447"/>
                <w:sz w:val="14"/>
              </w:rPr>
              <w:t>access_class: public|identity_gated|private_service|audit_only</w:t>
              <w:br/>
            </w:r>
            <w:r>
              <w:rPr>
                <w:rFonts w:ascii="Consolas" w:hAnsi="Consolas" w:eastAsia="Microsoft YaHei"/>
                <w:color w:val="243447"/>
                <w:sz w:val="14"/>
              </w:rPr>
              <w:t>release_memberships:</w:t>
              <w:br/>
            </w:r>
            <w:r>
              <w:rPr>
                <w:rFonts w:ascii="Consolas" w:hAnsi="Consolas" w:eastAsia="Microsoft YaHei"/>
                <w:color w:val="243447"/>
                <w:sz w:val="14"/>
              </w:rPr>
              <w:t xml:space="preserve">  - {release_id: ..., role: native_unseen_core|linking_anchor|public_dev|validation, effective_from: ..., effective_to: ...}</w:t>
              <w:br/>
            </w:r>
            <w:r>
              <w:rPr>
                <w:rFonts w:ascii="Consolas" w:hAnsi="Consolas" w:eastAsia="Microsoft YaHei"/>
                <w:color w:val="243447"/>
                <w:sz w:val="14"/>
              </w:rPr>
              <w:t>manifest_hash: sha256:...</w:t>
              <w:br/>
            </w:r>
            <w:r>
              <w:rPr>
                <w:rFonts w:ascii="Consolas" w:hAnsi="Consolas" w:eastAsia="Microsoft YaHei"/>
                <w:color w:val="243447"/>
                <w:sz w:val="14"/>
              </w:rPr>
              <w:t>input_bundle_hash: sha256:...</w:t>
              <w:br/>
            </w:r>
            <w:r>
              <w:rPr>
                <w:rFonts w:ascii="Consolas" w:hAnsi="Consolas" w:eastAsia="Microsoft YaHei"/>
                <w:color w:val="243447"/>
                <w:sz w:val="14"/>
              </w:rPr>
              <w:t>reference_version: ...</w:t>
              <w:br/>
            </w:r>
            <w:r>
              <w:rPr>
                <w:rFonts w:ascii="Consolas" w:hAnsi="Consolas" w:eastAsia="Microsoft YaHei"/>
                <w:color w:val="243447"/>
                <w:sz w:val="14"/>
              </w:rPr>
              <w:t>evaluator_version: ...</w:t>
              <w:br/>
            </w:r>
            <w:r>
              <w:rPr>
                <w:rFonts w:ascii="Consolas" w:hAnsi="Consolas" w:eastAsia="Microsoft YaHei"/>
                <w:color w:val="243447"/>
                <w:sz w:val="14"/>
              </w:rPr>
              <w:t>environment_version: ...</w:t>
              <w:br/>
            </w:r>
            <w:r>
              <w:rPr>
                <w:rFonts w:ascii="Consolas" w:hAnsi="Consolas" w:eastAsia="Microsoft YaHei"/>
                <w:color w:val="243447"/>
                <w:sz w:val="14"/>
              </w:rPr>
              <w:t>license_snapshot: ...</w:t>
              <w:br/>
            </w:r>
            <w:r>
              <w:rPr>
                <w:rFonts w:ascii="Consolas" w:hAnsi="Consolas" w:eastAsia="Microsoft YaHei"/>
                <w:color w:val="243447"/>
                <w:sz w:val="14"/>
              </w:rPr>
              <w:t>exposure_relations:</w:t>
              <w:br/>
            </w:r>
            <w:r>
              <w:rPr>
                <w:rFonts w:ascii="Consolas" w:hAnsi="Consolas" w:eastAsia="Microsoft YaHei"/>
                <w:color w:val="243447"/>
                <w:sz w:val="14"/>
              </w:rPr>
              <w:t xml:space="preserve">  - {surface: ..., actor_org: ..., model_lineage: ..., first_known_time: ..., evidence_strength: ...}</w:t>
              <w:br/>
            </w:r>
            <w:r>
              <w:rPr>
                <w:rFonts w:ascii="Consolas" w:hAnsi="Consolas" w:eastAsia="Microsoft YaHei"/>
                <w:color w:val="243447"/>
                <w:sz w:val="14"/>
              </w:rPr>
              <w:t>global_eligibility_decision: ...</w:t>
              <w:br/>
            </w:r>
            <w:r>
              <w:rPr>
                <w:rFonts w:ascii="Consolas" w:hAnsi="Consolas" w:eastAsia="Microsoft YaHei"/>
                <w:color w:val="243447"/>
                <w:sz w:val="14"/>
              </w:rPr>
              <w:t>validation_evidence: []</w:t>
              <w:br/>
            </w:r>
            <w:r>
              <w:rPr>
                <w:rFonts w:ascii="Consolas" w:hAnsi="Consolas" w:eastAsia="Microsoft YaHei"/>
                <w:color w:val="243447"/>
                <w:sz w:val="14"/>
              </w:rPr>
              <w:t>incident_ids: []</w:t>
              <w:br/>
            </w:r>
            <w:r>
              <w:rPr>
                <w:rFonts w:ascii="Consolas" w:hAnsi="Consolas" w:eastAsia="Microsoft YaHei"/>
                <w:color w:val="243447"/>
                <w:sz w:val="14"/>
              </w:rPr>
              <w:t>lineage_edges:</w:t>
              <w:br/>
            </w:r>
            <w:r>
              <w:rPr>
                <w:rFonts w:ascii="Consolas" w:hAnsi="Consolas" w:eastAsia="Microsoft YaHei"/>
                <w:color w:val="243447"/>
                <w:sz w:val="14"/>
              </w:rPr>
              <w:t xml:space="preserve">  - type: repairs|supersedes|replaces|derived_from</w:t>
              <w:br/>
            </w:r>
            <w:r>
              <w:rPr>
                <w:rFonts w:ascii="Consolas" w:hAnsi="Consolas" w:eastAsia="Microsoft YaHei"/>
                <w:color w:val="243447"/>
                <w:sz w:val="14"/>
              </w:rPr>
              <w:t xml:space="preserve">    from_asset_id: ...</w:t>
              <w:br/>
            </w:r>
            <w:r>
              <w:rPr>
                <w:rFonts w:ascii="Consolas" w:hAnsi="Consolas" w:eastAsia="Microsoft YaHei"/>
                <w:color w:val="243447"/>
                <w:sz w:val="14"/>
              </w:rPr>
              <w:t xml:space="preserve">    from_asset_version_id: ...</w:t>
              <w:br/>
            </w:r>
            <w:r>
              <w:rPr>
                <w:rFonts w:ascii="Consolas" w:hAnsi="Consolas" w:eastAsia="Microsoft YaHei"/>
                <w:color w:val="243447"/>
                <w:sz w:val="14"/>
              </w:rPr>
              <w:t xml:space="preserve">    to_asset_id: ...</w:t>
              <w:br/>
            </w:r>
            <w:r>
              <w:rPr>
                <w:rFonts w:ascii="Consolas" w:hAnsi="Consolas" w:eastAsia="Microsoft YaHei"/>
                <w:color w:val="243447"/>
                <w:sz w:val="14"/>
              </w:rPr>
              <w:t xml:space="preserve">    to_asset_version_id: ...</w:t>
              <w:br/>
            </w:r>
            <w:r>
              <w:rPr>
                <w:rFonts w:ascii="Consolas" w:hAnsi="Consolas" w:eastAsia="Microsoft YaHei"/>
                <w:color w:val="243447"/>
                <w:sz w:val="14"/>
              </w:rPr>
              <w:t xml:space="preserve">    exception_authority: null</w:t>
              <w:br/>
            </w:r>
            <w:r>
              <w:rPr>
                <w:rFonts w:ascii="Consolas" w:hAnsi="Consolas" w:eastAsia="Microsoft YaHei"/>
                <w:color w:val="243447"/>
                <w:sz w:val="14"/>
              </w:rPr>
              <w:t xml:space="preserve">    exception_reason: null</w:t>
              <w:br/>
            </w:r>
            <w:r>
              <w:rPr>
                <w:rFonts w:ascii="Consolas" w:hAnsi="Consolas" w:eastAsia="Microsoft YaHei"/>
                <w:color w:val="243447"/>
                <w:sz w:val="14"/>
              </w:rPr>
              <w:t>archive_disposition: null</w:t>
              <w:br/>
            </w:r>
            <w:r>
              <w:rPr>
                <w:rFonts w:ascii="Consolas" w:hAnsi="Consolas" w:eastAsia="Microsoft YaHei"/>
                <w:color w:val="243447"/>
                <w:sz w:val="14"/>
              </w:rPr>
              <w:t>proposal_disposition: null</w:t>
              <w:br/>
            </w:r>
            <w:r>
              <w:rPr>
                <w:rFonts w:ascii="Consolas" w:hAnsi="Consolas" w:eastAsia="Microsoft YaHei"/>
                <w:color w:val="243447"/>
                <w:sz w:val="14"/>
              </w:rPr>
              <w:t>change_record:</w:t>
              <w:br/>
            </w:r>
            <w:r>
              <w:rPr>
                <w:rFonts w:ascii="Consolas" w:hAnsi="Consolas" w:eastAsia="Microsoft YaHei"/>
                <w:color w:val="243447"/>
                <w:sz w:val="14"/>
              </w:rPr>
              <w:t xml:space="preserve">  actor: ...</w:t>
              <w:br/>
            </w:r>
            <w:r>
              <w:rPr>
                <w:rFonts w:ascii="Consolas" w:hAnsi="Consolas" w:eastAsia="Microsoft YaHei"/>
                <w:color w:val="243447"/>
                <w:sz w:val="14"/>
              </w:rPr>
              <w:t xml:space="preserve">  timestamp: ...</w:t>
              <w:br/>
            </w:r>
            <w:r>
              <w:rPr>
                <w:rFonts w:ascii="Consolas" w:hAnsi="Consolas" w:eastAsia="Microsoft YaHei"/>
                <w:color w:val="243447"/>
                <w:sz w:val="14"/>
              </w:rPr>
              <w:t xml:space="preserve">  reason: ...</w:t>
              <w:br/>
            </w:r>
            <w:r>
              <w:rPr>
                <w:rFonts w:ascii="Consolas" w:hAnsi="Consolas" w:eastAsia="Microsoft YaHei"/>
                <w:color w:val="243447"/>
                <w:sz w:val="14"/>
              </w:rPr>
              <w:t xml:space="preserve">  approved_by: ...</w:t>
            </w:r>
          </w:p>
        </w:tc>
      </w:tr>
    </w:tbl>
    <w:p>
      <w:pPr>
        <w:pStyle w:val="Heading2"/>
      </w:pPr>
      <w:r>
        <w:rPr>
          <w:rFonts w:ascii="Calibri" w:hAnsi="Calibri" w:eastAsia="Microsoft YaHei"/>
          <w:color w:val="2E74B5"/>
          <w:sz w:val="26"/>
        </w:rPr>
        <w:t>13.3 Candidate implementation deliverables for a client-defined window</w:t>
      </w:r>
    </w:p>
    <w:p>
      <w:pPr>
        <w:widowControl/>
      </w:pPr>
      <w:r>
        <w:rPr>
          <w:rFonts w:ascii="Calibri" w:hAnsi="Calibri" w:eastAsia="Microsoft YaHei"/>
          <w:color w:val="243447"/>
          <w:sz w:val="22"/>
        </w:rPr>
        <w:t>本报告不承诺 90-day 或任何日历窗口。只有客户明确给出时间约束、依赖、审批/采购 lead time，并用 pilot 测得 effort、acceptance/rework 和 throughput 后，才能产出 full/partial/infeasible scope scenarios 与 stop/rescope conditions。</w:t>
      </w:r>
    </w:p>
    <w:p>
      <w:pPr>
        <w:pStyle w:val="ListBullet"/>
      </w:pPr>
      <w:r>
        <w:rPr>
          <w:rFonts w:ascii="Calibri" w:hAnsi="Calibri" w:eastAsia="Microsoft YaHei"/>
          <w:b/>
          <w:color w:val="243447"/>
          <w:sz w:val="21"/>
        </w:rPr>
        <w:t>Governance package：</w:t>
      </w:r>
      <w:r>
        <w:rPr>
          <w:rFonts w:ascii="Calibri" w:hAnsi="Calibri" w:eastAsia="Microsoft YaHei"/>
          <w:color w:val="243447"/>
          <w:sz w:val="21"/>
        </w:rPr>
        <w:t xml:space="preserve"> pool policy、state machine、RACI/authority、version vector、change/incident/disclosure templates。</w:t>
      </w:r>
    </w:p>
    <w:p>
      <w:pPr>
        <w:pStyle w:val="ListBullet"/>
      </w:pPr>
      <w:r>
        <w:rPr>
          <w:rFonts w:ascii="Calibri" w:hAnsi="Calibri" w:eastAsia="Microsoft YaHei"/>
          <w:b/>
          <w:color w:val="243447"/>
          <w:sz w:val="21"/>
        </w:rPr>
        <w:t>Registry prototype：</w:t>
      </w:r>
      <w:r>
        <w:rPr>
          <w:rFonts w:ascii="Calibri" w:hAnsi="Calibri" w:eastAsia="Microsoft YaHei"/>
          <w:color w:val="243447"/>
          <w:sz w:val="21"/>
        </w:rPr>
        <w:t xml:space="preserve"> assets、families、exposure、access、runs、scores、incidents 的 append-only schema；manifest/hash/signature workflow。</w:t>
      </w:r>
    </w:p>
    <w:p>
      <w:pPr>
        <w:pStyle w:val="ListBullet"/>
      </w:pPr>
      <w:r>
        <w:rPr>
          <w:rFonts w:ascii="Calibri" w:hAnsi="Calibri" w:eastAsia="Microsoft YaHei"/>
          <w:b/>
          <w:color w:val="243447"/>
          <w:sz w:val="21"/>
        </w:rPr>
        <w:t>Control pilot：</w:t>
      </w:r>
      <w:r>
        <w:rPr>
          <w:rFonts w:ascii="Calibri" w:hAnsi="Calibri" w:eastAsia="Microsoft YaHei"/>
          <w:color w:val="243447"/>
          <w:sz w:val="21"/>
        </w:rPr>
        <w:t xml:space="preserve"> EaaS、network modes、feedback regimes、logging/canary、appeal/audit 的最小 end-to-end run。</w:t>
      </w:r>
    </w:p>
    <w:p>
      <w:pPr>
        <w:pStyle w:val="ListBullet"/>
      </w:pPr>
      <w:r>
        <w:rPr>
          <w:rFonts w:ascii="Calibri" w:hAnsi="Calibri" w:eastAsia="Microsoft YaHei"/>
          <w:b/>
          <w:color w:val="243447"/>
          <w:sz w:val="21"/>
        </w:rPr>
        <w:t>Measurement pilot：</w:t>
      </w:r>
      <w:r>
        <w:rPr>
          <w:rFonts w:ascii="Calibri" w:hAnsi="Calibri" w:eastAsia="Microsoft YaHei"/>
          <w:color w:val="243447"/>
          <w:sz w:val="21"/>
        </w:rPr>
        <w:t xml:space="preserve"> 分层 authoring/acceptance、grader validation、run variance、near-dup/detector、bridge/rank-stability、reserve attrition variables。</w:t>
      </w:r>
    </w:p>
    <w:p>
      <w:pPr>
        <w:pStyle w:val="ListBullet"/>
      </w:pPr>
      <w:r>
        <w:rPr>
          <w:rFonts w:ascii="Calibri" w:hAnsi="Calibri" w:eastAsia="Microsoft YaHei"/>
          <w:b/>
          <w:color w:val="243447"/>
          <w:sz w:val="21"/>
        </w:rPr>
        <w:t>Release decision：</w:t>
      </w:r>
      <w:r>
        <w:rPr>
          <w:rFonts w:ascii="Calibri" w:hAnsi="Calibri" w:eastAsia="Microsoft YaHei"/>
          <w:color w:val="243447"/>
          <w:sz w:val="21"/>
        </w:rPr>
        <w:t xml:space="preserve"> 用 measured variables比较三种 policy；明确 binding constraints、remaining uncertainty、stop/rescope conditions。</w:t>
      </w:r>
    </w:p>
    <w:p>
      <w:pPr>
        <w:pStyle w:val="Heading2"/>
      </w:pPr>
      <w:r>
        <w:rPr>
          <w:rFonts w:ascii="Calibri" w:hAnsi="Calibri" w:eastAsia="Microsoft YaHei"/>
          <w:color w:val="2E74B5"/>
          <w:sz w:val="26"/>
        </w:rPr>
        <w:t>13.4 Policy-spec release-gate tests</w:t>
      </w:r>
    </w:p>
    <w:p>
      <w:pPr>
        <w:widowControl/>
      </w:pPr>
      <w:r>
        <w:rPr>
          <w:rFonts w:ascii="Calibri" w:hAnsi="Calibri" w:eastAsia="Microsoft YaHei"/>
          <w:color w:val="243447"/>
          <w:sz w:val="22"/>
        </w:rPr>
        <w:t>修订版包含五个</w:t>
      </w:r>
      <w:r>
        <w:rPr>
          <w:rFonts w:ascii="Calibri" w:hAnsi="Calibri" w:eastAsia="Microsoft YaHei"/>
          <w:b/>
          <w:color w:val="243447"/>
          <w:sz w:val="22"/>
        </w:rPr>
        <w:t>规范逻辑</w:t>
      </w:r>
      <w:r>
        <w:rPr>
          <w:rFonts w:ascii="Calibri" w:hAnsi="Calibri" w:eastAsia="Microsoft YaHei"/>
          <w:color w:val="243447"/>
          <w:sz w:val="22"/>
        </w:rPr>
        <w:t xml:space="preserve">桌面测试：reference leak 不能靠 regrade 恢复 unseen；agent/scoring worker trust domains 分离；public anchor/private unseen/reserve 可无歧义并存；false-positive contamination 可 no_change/unpause；repair 创建新 version 且旧 version 身份与状态不被覆写。测试记录见 release-gate tests。这不等于生产 IAM/EaaS/registry/leaderboard 已实现或通过 penetration test；实现验证仍为 </w:t>
      </w:r>
      <w:r>
        <w:rPr>
          <w:rFonts w:ascii="Calibri" w:hAnsi="Calibri" w:eastAsia="Microsoft YaHei"/>
          <w:b/>
          <w:color w:val="B42318"/>
          <w:sz w:val="21"/>
        </w:rPr>
        <w:t>[V]</w:t>
      </w:r>
      <w:r>
        <w:rPr>
          <w:rFonts w:ascii="Calibri" w:hAnsi="Calibri" w:eastAsia="Microsoft YaHei"/>
          <w:color w:val="243447"/>
          <w:sz w:val="22"/>
        </w:rPr>
        <w:t>。</w:t>
      </w:r>
    </w:p>
    <w:p>
      <w:pPr>
        <w:pStyle w:val="Heading1"/>
        <w:pageBreakBefore/>
      </w:pPr>
      <w:r>
        <w:rPr>
          <w:rFonts w:ascii="Calibri" w:hAnsi="Calibri" w:eastAsia="Microsoft YaHei"/>
          <w:color w:val="2E74B5"/>
          <w:sz w:val="32"/>
        </w:rPr>
        <w:t>14. 必须由客户确认的问题</w:t>
      </w:r>
    </w:p>
    <w:p>
      <w:pPr>
        <w:pStyle w:val="Heading2"/>
      </w:pPr>
      <w:r>
        <w:rPr>
          <w:rFonts w:ascii="Calibri" w:hAnsi="Calibri" w:eastAsia="Microsoft YaHei"/>
          <w:color w:val="2E74B5"/>
          <w:sz w:val="26"/>
        </w:rPr>
        <w:t>14.1 Decision 与 unit</w:t>
      </w:r>
    </w:p>
    <w:p>
      <w:pPr>
        <w:pStyle w:val="ListNumber"/>
      </w:pPr>
      <w:r>
        <w:rPr>
          <w:rFonts w:ascii="Calibri" w:hAnsi="Calibri" w:eastAsia="Microsoft YaHei"/>
          <w:color w:val="243447"/>
          <w:sz w:val="21"/>
        </w:rPr>
        <w:t>最终 score 将授权什么：研发方向、供应商选择、客户 acceptance、采购、安全 assurance，还是对外 leaderboard？可接受 false ranking/false confidence 风险是什么？</w:t>
      </w:r>
    </w:p>
    <w:p>
      <w:pPr>
        <w:pStyle w:val="ListNumber"/>
      </w:pPr>
      <w:r>
        <w:rPr>
          <w:rFonts w:ascii="Calibri" w:hAnsi="Calibri" w:eastAsia="Microsoft YaHei"/>
          <w:color w:val="243447"/>
          <w:sz w:val="21"/>
        </w:rPr>
        <w:t>“1,000 assets”究竟是 workflow families、workflows、accepted concrete runnable instances，还是合同定义的 mixture？是否排除 proposed、rejected、quarantined、retired、重复 run 和 submission？</w:t>
      </w:r>
    </w:p>
    <w:p>
      <w:pPr>
        <w:pStyle w:val="ListNumber"/>
      </w:pPr>
      <w:r>
        <w:rPr>
          <w:rFonts w:ascii="Calibri" w:hAnsi="Calibri" w:eastAsia="Microsoft YaHei"/>
          <w:color w:val="243447"/>
          <w:sz w:val="21"/>
        </w:rPr>
        <w:t>目标 claim 是首次处理未知 workflow、同 family 新实例泛化、允许开放互联网的真实执行，还是在公开任务上的工程优化？</w:t>
      </w:r>
    </w:p>
    <w:p>
      <w:pPr>
        <w:pStyle w:val="Heading2"/>
      </w:pPr>
      <w:r>
        <w:rPr>
          <w:rFonts w:ascii="Calibri" w:hAnsi="Calibri" w:eastAsia="Microsoft YaHei"/>
          <w:color w:val="2E74B5"/>
          <w:sz w:val="26"/>
        </w:rPr>
        <w:t>14.2 Pool 与 access</w:t>
      </w:r>
    </w:p>
    <w:p>
      <w:pPr>
        <w:pStyle w:val="ListNumber"/>
      </w:pPr>
      <w:r>
        <w:rPr>
          <w:rFonts w:ascii="Calibri" w:hAnsi="Calibri" w:eastAsia="Microsoft YaHei"/>
          <w:color w:val="243447"/>
          <w:sz w:val="21"/>
        </w:rPr>
        <w:t>Public subset 的主功能优先级：example、developer practice、harness integration、debug、external audit、representativeness check？哪些不能同时满足？</w:t>
      </w:r>
    </w:p>
    <w:p>
      <w:pPr>
        <w:pStyle w:val="ListNumber"/>
      </w:pPr>
      <w:r>
        <w:rPr>
          <w:rFonts w:ascii="Calibri" w:hAnsi="Calibri" w:eastAsia="Microsoft YaHei"/>
          <w:color w:val="243447"/>
          <w:sz w:val="21"/>
        </w:rPr>
        <w:t>Private final 的主功能：frontier discrimination、customer acceptance、unseen generalization、安全/合规 assurance，还是 procurement decision？</w:t>
      </w:r>
    </w:p>
    <w:p>
      <w:pPr>
        <w:pStyle w:val="ListNumber"/>
      </w:pPr>
      <w:r>
        <w:rPr>
          <w:rFonts w:ascii="Calibri" w:hAnsi="Calibri" w:eastAsia="Microsoft YaHei"/>
          <w:color w:val="243447"/>
          <w:sz w:val="21"/>
        </w:rPr>
        <w:t>哪些角色/客户/供应商需要 dev、validation、final、reserve、archive access？哪些角色必须分权？</w:t>
      </w:r>
    </w:p>
    <w:p>
      <w:pPr>
        <w:pStyle w:val="ListNumber"/>
      </w:pPr>
      <w:r>
        <w:rPr>
          <w:rFonts w:ascii="Calibri" w:hAnsi="Calibri" w:eastAsia="Microsoft YaHei"/>
          <w:color w:val="243447"/>
          <w:sz w:val="21"/>
        </w:rPr>
        <w:t>模型以 API、container、weights、remote agent 哪种方式进入 EaaS？IP、data residency、export、subprocessor、network 和 credentials 限制是什么？</w:t>
      </w:r>
    </w:p>
    <w:p>
      <w:pPr>
        <w:pStyle w:val="ListNumber"/>
      </w:pPr>
      <w:r>
        <w:rPr>
          <w:rFonts w:ascii="Calibri" w:hAnsi="Calibri" w:eastAsia="Microsoft YaHei"/>
          <w:color w:val="243447"/>
          <w:sz w:val="21"/>
        </w:rPr>
        <w:t>Private/raw evidence 对 independent auditor、researcher 和 appeal 可开放到什么层级？NDA、redaction、retention 和解封条件是什么？</w:t>
      </w:r>
    </w:p>
    <w:p>
      <w:pPr>
        <w:pStyle w:val="Heading2"/>
      </w:pPr>
      <w:r>
        <w:rPr>
          <w:rFonts w:ascii="Calibri" w:hAnsi="Calibri" w:eastAsia="Microsoft YaHei"/>
          <w:color w:val="2E74B5"/>
          <w:sz w:val="26"/>
        </w:rPr>
        <w:t>14.3 Feedback、污染与 incident</w:t>
      </w:r>
    </w:p>
    <w:p>
      <w:pPr>
        <w:pStyle w:val="ListNumber"/>
      </w:pPr>
      <w:r>
        <w:rPr>
          <w:rFonts w:ascii="Calibri" w:hAnsi="Calibri" w:eastAsia="Microsoft YaHei"/>
          <w:color w:val="243447"/>
          <w:sz w:val="21"/>
        </w:rPr>
        <w:t>Query budget 绑定个人、组织、model lineage、harness、customer program 还是组合？需要何种合法 debug、reliability repeat、exception 和 appeal？</w:t>
      </w:r>
    </w:p>
    <w:p>
      <w:pPr>
        <w:pStyle w:val="ListNumber"/>
      </w:pPr>
      <w:r>
        <w:rPr>
          <w:rFonts w:ascii="Calibri" w:hAnsi="Calibri" w:eastAsia="Microsoft YaHei"/>
          <w:color w:val="243447"/>
          <w:sz w:val="21"/>
        </w:rPr>
        <w:t>Public/restricted/final 分别可返回 task-level score、pass/fail、error、trace、rank、aggregate score 到什么粒度和延迟？</w:t>
      </w:r>
    </w:p>
    <w:p>
      <w:pPr>
        <w:pStyle w:val="ListNumber"/>
      </w:pPr>
      <w:r>
        <w:rPr>
          <w:rFonts w:ascii="Calibri" w:hAnsi="Calibri" w:eastAsia="Microsoft YaHei"/>
          <w:color w:val="243447"/>
          <w:sz w:val="21"/>
        </w:rPr>
        <w:t>Open web、allowlist、controlled mirror、offline 哪种模式符合 target construct？允许 enterprise KB、shared memory、human escalation 吗？</w:t>
      </w:r>
    </w:p>
    <w:p>
      <w:pPr>
        <w:pStyle w:val="ListNumber"/>
      </w:pPr>
      <w:r>
        <w:rPr>
          <w:rFonts w:ascii="Calibri" w:hAnsi="Calibri" w:eastAsia="Microsoft YaHei"/>
          <w:color w:val="243447"/>
          <w:sz w:val="21"/>
        </w:rPr>
        <w:t>Threat actors 包括哪些：模型供应商、外部参评者、内部员工、专家、数据/工程 vendor、平台管理员？风险容忍和通知对象是谁？</w:t>
      </w:r>
    </w:p>
    <w:p>
      <w:pPr>
        <w:pStyle w:val="ListNumber"/>
      </w:pPr>
      <w:r>
        <w:rPr>
          <w:rFonts w:ascii="Calibri" w:hAnsi="Calibri" w:eastAsia="Microsoft YaHei"/>
          <w:color w:val="243447"/>
          <w:sz w:val="21"/>
        </w:rPr>
        <w:t>Canary/watermark 的 modality、可接受 utility 影响、key custody、per-recipient marking 合法性、trigger confidence 和 false-positive workflow 是什么？</w:t>
      </w:r>
    </w:p>
    <w:p>
      <w:pPr>
        <w:pStyle w:val="ListNumber"/>
      </w:pPr>
      <w:r>
        <w:rPr>
          <w:rFonts w:ascii="Calibri" w:hAnsi="Calibri" w:eastAsia="Microsoft YaHei"/>
          <w:color w:val="243447"/>
          <w:sz w:val="21"/>
        </w:rPr>
        <w:t>Incident 的 freeze authority、严重度、通知时限、证据保留、legal/safety redaction、appeal authority 和公开 disclosure 边界是什么？</w:t>
      </w:r>
    </w:p>
    <w:p>
      <w:pPr>
        <w:pStyle w:val="Heading2"/>
      </w:pPr>
      <w:r>
        <w:rPr>
          <w:rFonts w:ascii="Calibri" w:hAnsi="Calibri" w:eastAsia="Microsoft YaHei"/>
          <w:color w:val="2E74B5"/>
          <w:sz w:val="26"/>
        </w:rPr>
        <w:t>14.4 Lifecycle、metrics 与 comparability</w:t>
      </w:r>
    </w:p>
    <w:p>
      <w:pPr>
        <w:pStyle w:val="ListNumber"/>
      </w:pPr>
      <w:r>
        <w:rPr>
          <w:rFonts w:ascii="Calibri" w:hAnsi="Calibri" w:eastAsia="Microsoft YaHei"/>
          <w:color w:val="243447"/>
          <w:sz w:val="21"/>
        </w:rPr>
        <w:t>谁拥有 proposed→accepted、activation、quarantine、repair、retire、replace、unfreeze 的 decision rights？作者能否批准自己的 asset？</w:t>
      </w:r>
    </w:p>
    <w:p>
      <w:pPr>
        <w:pStyle w:val="ListNumber"/>
      </w:pPr>
      <w:r>
        <w:rPr>
          <w:rFonts w:ascii="Calibri" w:hAnsi="Calibri" w:eastAsia="Microsoft YaHei"/>
          <w:color w:val="243447"/>
          <w:sz w:val="21"/>
        </w:rPr>
        <w:t>哪些 evaluator/environment 变化仍算 compatible repair，哪些必须 new ID/major release？</w:t>
      </w:r>
    </w:p>
    <w:p>
      <w:pPr>
        <w:pStyle w:val="ListNumber"/>
      </w:pPr>
      <w:r>
        <w:rPr>
          <w:rFonts w:ascii="Calibri" w:hAnsi="Calibri" w:eastAsia="Microsoft YaHei"/>
          <w:color w:val="243447"/>
          <w:sz w:val="21"/>
        </w:rPr>
        <w:t>Historical regrade 需要保留哪些 artifacts/logs；最低 coverage；missing submissions 如何处理；original/corrected 谁是 current official？</w:t>
      </w:r>
    </w:p>
    <w:p>
      <w:pPr>
        <w:pStyle w:val="ListNumber"/>
      </w:pPr>
      <w:r>
        <w:rPr>
          <w:rFonts w:ascii="Calibri" w:hAnsi="Calibri" w:eastAsia="Microsoft YaHei"/>
          <w:color w:val="243447"/>
          <w:sz w:val="21"/>
        </w:rPr>
        <w:t>Metric 的 reporting unit、workflow/domain weighting、partial credit、full pass、invalid/timeout/infra/broken handling、repeat aggregation、tie/uncertainty policy 是什么？</w:t>
      </w:r>
    </w:p>
    <w:p>
      <w:pPr>
        <w:pStyle w:val="ListNumber"/>
      </w:pPr>
      <w:r>
        <w:rPr>
          <w:rFonts w:ascii="Calibri" w:hAnsi="Calibri" w:eastAsia="Microsoft YaHei"/>
          <w:color w:val="243447"/>
          <w:sz w:val="21"/>
        </w:rPr>
        <w:t>Anchor 的 coverage、保密期、reuse、退出条件；common agents、repeats、bridge model、linked-estimate acceptance 与有效期是什么？</w:t>
      </w:r>
    </w:p>
    <w:p>
      <w:pPr>
        <w:pStyle w:val="ListNumber"/>
      </w:pPr>
      <w:r>
        <w:rPr>
          <w:rFonts w:ascii="Calibri" w:hAnsi="Calibri" w:eastAsia="Microsoft YaHei"/>
          <w:color w:val="243447"/>
          <w:sz w:val="21"/>
        </w:rPr>
        <w:t xml:space="preserve">哪些情况允许正式结论为 </w:t>
      </w:r>
      <w:r>
        <w:rPr>
          <w:rFonts w:ascii="Consolas" w:hAnsi="Consolas" w:eastAsia="Microsoft YaHei"/>
          <w:color w:val="1F4D78"/>
          <w:sz w:val="19"/>
        </w:rPr>
        <w:t>not comparable</w:t>
      </w:r>
      <w:r>
        <w:rPr>
          <w:rFonts w:ascii="Calibri" w:hAnsi="Calibri" w:eastAsia="Microsoft YaHei"/>
          <w:color w:val="243447"/>
          <w:sz w:val="21"/>
        </w:rPr>
        <w:t>，而不是业务强制生成趋势线？</w:t>
      </w:r>
    </w:p>
    <w:p>
      <w:pPr>
        <w:pStyle w:val="Heading2"/>
      </w:pPr>
      <w:r>
        <w:rPr>
          <w:rFonts w:ascii="Calibri" w:hAnsi="Calibri" w:eastAsia="Microsoft YaHei"/>
          <w:color w:val="2E74B5"/>
          <w:sz w:val="26"/>
        </w:rPr>
        <w:t>14.5 Rights、change 与 reserve</w:t>
      </w:r>
    </w:p>
    <w:p>
      <w:pPr>
        <w:pStyle w:val="ListNumber"/>
      </w:pPr>
      <w:r>
        <w:rPr>
          <w:rFonts w:ascii="Calibri" w:hAnsi="Calibri" w:eastAsia="Microsoft YaHei"/>
          <w:color w:val="243447"/>
          <w:sz w:val="21"/>
        </w:rPr>
        <w:t>哪些 assets 可公开、训练、第三方 audit、客户特定评测？客户/第三方数据能否进入 archive、regrade 或未来 research？</w:t>
      </w:r>
    </w:p>
    <w:p>
      <w:pPr>
        <w:pStyle w:val="ListNumber"/>
      </w:pPr>
      <w:r>
        <w:rPr>
          <w:rFonts w:ascii="Calibri" w:hAnsi="Calibri" w:eastAsia="Microsoft YaHei"/>
          <w:color w:val="243447"/>
          <w:sz w:val="21"/>
        </w:rPr>
        <w:t>目标 workflow、法律/许可、app/API/OS、模型供应商和客户需求的 change owner/authoritative source 是什么？</w:t>
      </w:r>
    </w:p>
    <w:p>
      <w:pPr>
        <w:pStyle w:val="ListNumber"/>
      </w:pPr>
      <w:r>
        <w:rPr>
          <w:rFonts w:ascii="Calibri" w:hAnsi="Calibri" w:eastAsia="Microsoft YaHei"/>
          <w:color w:val="243447"/>
          <w:sz w:val="21"/>
        </w:rPr>
        <w:t>Reserve 要覆盖怎样的 planning horizon 和 risk scenarios？Emergency promotion 与普通 promotion 的 gate 有何不同？</w:t>
      </w:r>
    </w:p>
    <w:p>
      <w:pPr>
        <w:pStyle w:val="ListNumber"/>
      </w:pPr>
      <w:r>
        <w:rPr>
          <w:rFonts w:ascii="Calibri" w:hAnsi="Calibri" w:eastAsia="Microsoft YaHei"/>
          <w:color w:val="243447"/>
          <w:sz w:val="21"/>
        </w:rPr>
        <w:t>客户离场、合同终止、license 撤回、data deletion 或 safety incident 时，payload、tombstone、logs、leaderboard、regrade evidence 如何处理？</w:t>
      </w:r>
    </w:p>
    <w:p>
      <w:pPr>
        <w:pStyle w:val="Heading1"/>
        <w:pageBreakBefore/>
      </w:pPr>
      <w:r>
        <w:rPr>
          <w:rFonts w:ascii="Calibri" w:hAnsi="Calibri" w:eastAsia="Microsoft YaHei"/>
          <w:color w:val="2E74B5"/>
          <w:sz w:val="32"/>
        </w:rPr>
        <w:t>15. 反方证据、失败案例与回应</w:t>
      </w:r>
    </w:p>
    <w:p>
      <w:pPr>
        <w:pStyle w:val="Heading2"/>
      </w:pPr>
      <w:r>
        <w:rPr>
          <w:rFonts w:ascii="Calibri" w:hAnsi="Calibri" w:eastAsia="Microsoft YaHei"/>
          <w:color w:val="2E74B5"/>
          <w:sz w:val="26"/>
        </w:rPr>
        <w:t>15.1 “完全开放更容易审计，私有集制造黑箱”</w:t>
      </w:r>
    </w:p>
    <w:p>
      <w:pPr>
        <w:widowControl/>
      </w:pPr>
      <w:r>
        <w:rPr>
          <w:rFonts w:ascii="Calibri" w:hAnsi="Calibri" w:eastAsia="Microsoft YaHei"/>
          <w:b/>
          <w:color w:val="243447"/>
          <w:sz w:val="22"/>
        </w:rPr>
        <w:t>[E]</w:t>
      </w:r>
      <w:r>
        <w:rPr>
          <w:rFonts w:ascii="Calibri" w:hAnsi="Calibri" w:eastAsia="Microsoft YaHei"/>
          <w:color w:val="243447"/>
          <w:sz w:val="22"/>
        </w:rPr>
        <w:t xml:space="preserve"> Public benchmark surfaces enable direct third-party inspection and reproduction in their released scope. </w:t>
      </w:r>
      <w:r>
        <w:rPr>
          <w:rFonts w:ascii="Calibri" w:hAnsi="Calibri" w:eastAsia="Microsoft YaHei"/>
          <w:b/>
          <w:color w:val="243447"/>
          <w:sz w:val="22"/>
        </w:rPr>
        <w:t>[I]</w:t>
      </w:r>
      <w:r>
        <w:rPr>
          <w:rFonts w:ascii="Calibri" w:hAnsi="Calibri" w:eastAsia="Microsoft YaHei"/>
          <w:color w:val="243447"/>
          <w:sz w:val="22"/>
        </w:rPr>
        <w:t xml:space="preserve"> 因此完全保密会增加 bias/representativeness、grader defect、appeal 对 operator 的依赖；强 gating 也增加参与门槛。</w:t>
      </w:r>
      <w:r>
        <w:rPr>
          <w:rFonts w:ascii="Calibri" w:hAnsi="Calibri" w:eastAsia="Microsoft YaHei"/>
          <w:b/>
          <w:color w:val="243447"/>
          <w:sz w:val="22"/>
        </w:rPr>
        <w:t>[P] 回应：</w:t>
      </w:r>
      <w:r>
        <w:rPr>
          <w:rFonts w:ascii="Calibri" w:hAnsi="Calibri" w:eastAsia="Microsoft YaHei"/>
          <w:color w:val="243447"/>
          <w:sz w:val="22"/>
        </w:rPr>
        <w:t xml:space="preserve"> 采用 tiered transparency：公开 construct、taxonomy、method、aggregate stats、version history、synthetic/examples；受控 independent audit raw surface；提供不泄漏 oracle 的 appeal；退役后按风险延迟披露。</w:t>
      </w:r>
    </w:p>
    <w:p>
      <w:pPr>
        <w:pStyle w:val="Heading2"/>
      </w:pPr>
      <w:r>
        <w:rPr>
          <w:rFonts w:ascii="Calibri" w:hAnsi="Calibri" w:eastAsia="Microsoft YaHei"/>
          <w:color w:val="2E74B5"/>
          <w:sz w:val="26"/>
        </w:rPr>
        <w:t>15.2 “Private/EaaS 已经解决污染”</w:t>
      </w:r>
    </w:p>
    <w:p>
      <w:pPr>
        <w:widowControl/>
      </w:pPr>
      <w:r>
        <w:rPr>
          <w:rFonts w:ascii="Calibri" w:hAnsi="Calibri" w:eastAsia="Microsoft YaHei"/>
          <w:b/>
          <w:color w:val="243447"/>
          <w:sz w:val="22"/>
        </w:rPr>
        <w:t>[E]</w:t>
      </w:r>
      <w:r>
        <w:rPr>
          <w:rFonts w:ascii="Calibri" w:hAnsi="Calibri" w:eastAsia="Microsoft YaHei"/>
          <w:color w:val="243447"/>
          <w:sz w:val="22"/>
        </w:rPr>
        <w:t xml:space="preserve"> Reusable-holdout/Ladder 类方法在其假设下证明 repeated feedback 可产生 adaptive overfitting。</w:t>
      </w:r>
      <w:r>
        <w:rPr>
          <w:rFonts w:ascii="Calibri" w:hAnsi="Calibri" w:eastAsia="Microsoft YaHei"/>
          <w:b/>
          <w:color w:val="243447"/>
          <w:sz w:val="22"/>
        </w:rPr>
        <w:t>[I]</w:t>
      </w:r>
      <w:r>
        <w:rPr>
          <w:rFonts w:ascii="Calibri" w:hAnsi="Calibri" w:eastAsia="Microsoft YaHei"/>
          <w:color w:val="243447"/>
          <w:sz w:val="22"/>
        </w:rPr>
        <w:t xml:space="preserve"> 因而 ALE-style private EaaS 不能仅凭“raw task 未公开”宣称免疫；服务还引入 admin、worker、error、artifact export 与 logs 风险。</w:t>
      </w:r>
      <w:r>
        <w:rPr>
          <w:rFonts w:ascii="Calibri" w:hAnsi="Calibri" w:eastAsia="Microsoft YaHei"/>
          <w:b/>
          <w:color w:val="243447"/>
          <w:sz w:val="22"/>
        </w:rPr>
        <w:t>[P] 回应：</w:t>
      </w:r>
      <w:r>
        <w:rPr>
          <w:rFonts w:ascii="Calibri" w:hAnsi="Calibri" w:eastAsia="Microsoft YaHei"/>
          <w:color w:val="243447"/>
          <w:sz w:val="22"/>
        </w:rPr>
        <w:t xml:space="preserve"> 使用多维 feedback-risk ledger、身份/model-lineage linkage、delay/granularity、双 trust domains、fresh final 与 independent audit。</w:t>
      </w:r>
    </w:p>
    <w:p>
      <w:pPr>
        <w:pStyle w:val="Heading2"/>
      </w:pPr>
      <w:r>
        <w:rPr>
          <w:rFonts w:ascii="Calibri" w:hAnsi="Calibri" w:eastAsia="Microsoft YaHei"/>
          <w:color w:val="2E74B5"/>
          <w:sz w:val="26"/>
        </w:rPr>
        <w:t>15.3 “Fresh/rotating 就是 contamination-free”</w:t>
      </w:r>
    </w:p>
    <w:p>
      <w:pPr>
        <w:widowControl/>
      </w:pPr>
      <w:r>
        <w:rPr>
          <w:rFonts w:ascii="Calibri" w:hAnsi="Calibri" w:eastAsia="Microsoft YaHei"/>
          <w:b/>
          <w:color w:val="243447"/>
          <w:sz w:val="22"/>
        </w:rPr>
        <w:t>[C]</w:t>
      </w:r>
      <w:r>
        <w:rPr>
          <w:rFonts w:ascii="Calibri" w:hAnsi="Calibri" w:eastAsia="Microsoft YaHei"/>
          <w:color w:val="243447"/>
          <w:sz w:val="22"/>
        </w:rPr>
        <w:t xml:space="preserve"> 部分 benchmark creators 把 fresh/rolling collection 描述为降低 contamination 的方法。</w:t>
      </w:r>
      <w:r>
        <w:rPr>
          <w:rFonts w:ascii="Calibri" w:hAnsi="Calibri" w:eastAsia="Microsoft YaHei"/>
          <w:b/>
          <w:color w:val="243447"/>
          <w:sz w:val="22"/>
        </w:rPr>
        <w:t>[I]</w:t>
      </w:r>
      <w:r>
        <w:rPr>
          <w:rFonts w:ascii="Calibri" w:hAnsi="Calibri" w:eastAsia="Microsoft YaHei"/>
          <w:color w:val="243447"/>
          <w:sz w:val="22"/>
        </w:rPr>
        <w:t xml:space="preserve"> 这不等于 clean：新任务仍可能 near-duplicate、公开可搜、内部泄漏、grader 弱或环境漂移；理论工作还显示 sequential dynamic benchmark 可能停滞或在 label noise 下损害 representativeness。R24 </w:t>
      </w:r>
      <w:r>
        <w:rPr>
          <w:rFonts w:ascii="Calibri" w:hAnsi="Calibri" w:eastAsia="Microsoft YaHei"/>
          <w:b/>
          <w:color w:val="243447"/>
          <w:sz w:val="22"/>
        </w:rPr>
        <w:t>[P] 回应：</w:t>
      </w:r>
      <w:r>
        <w:rPr>
          <w:rFonts w:ascii="Calibri" w:hAnsi="Calibri" w:eastAsia="Microsoft YaHei"/>
          <w:color w:val="243447"/>
          <w:sz w:val="22"/>
        </w:rPr>
        <w:t xml:space="preserve"> 每次 release 仍做 exposure、near-dup、distribution、grader/environment QA 与 limitations。</w:t>
      </w:r>
    </w:p>
    <w:p>
      <w:pPr>
        <w:pStyle w:val="Heading2"/>
      </w:pPr>
      <w:r>
        <w:rPr>
          <w:rFonts w:ascii="Calibri" w:hAnsi="Calibri" w:eastAsia="Microsoft YaHei"/>
          <w:color w:val="2E74B5"/>
          <w:sz w:val="26"/>
        </w:rPr>
        <w:t>15.4 “Canary 未触发证明 clean”</w:t>
      </w:r>
    </w:p>
    <w:p>
      <w:pPr>
        <w:widowControl/>
      </w:pPr>
      <w:r>
        <w:rPr>
          <w:rFonts w:ascii="Calibri" w:hAnsi="Calibri" w:eastAsia="Microsoft YaHei"/>
          <w:b/>
          <w:color w:val="243447"/>
          <w:sz w:val="22"/>
        </w:rPr>
        <w:t>[I] 不成立。</w:t>
      </w:r>
      <w:r>
        <w:rPr>
          <w:rFonts w:ascii="Calibri" w:hAnsi="Calibri" w:eastAsia="Microsoft YaHei"/>
          <w:color w:val="243447"/>
          <w:sz w:val="22"/>
        </w:rPr>
        <w:t xml:space="preserve"> Marker 可被删除、转写、翻译、稀释，或没有足够 statistical power；false negative 不代表无暴露。</w:t>
      </w:r>
      <w:r>
        <w:rPr>
          <w:rFonts w:ascii="Calibri" w:hAnsi="Calibri" w:eastAsia="Microsoft YaHei"/>
          <w:b/>
          <w:color w:val="243447"/>
          <w:sz w:val="22"/>
        </w:rPr>
        <w:t>[P] 回应：</w:t>
      </w:r>
      <w:r>
        <w:rPr>
          <w:rFonts w:ascii="Calibri" w:hAnsi="Calibri" w:eastAsia="Microsoft YaHei"/>
          <w:color w:val="243447"/>
          <w:sz w:val="22"/>
        </w:rPr>
        <w:t xml:space="preserve"> Canary 只作为 pre-registered sensor，和 provenance、搜索、membership/behavioral evidence、clean rerun 组合。</w:t>
      </w:r>
    </w:p>
    <w:p>
      <w:pPr>
        <w:pStyle w:val="Heading2"/>
      </w:pPr>
      <w:r>
        <w:rPr>
          <w:rFonts w:ascii="Calibri" w:hAnsi="Calibri" w:eastAsia="Microsoft YaHei"/>
          <w:color w:val="2E74B5"/>
          <w:sz w:val="26"/>
        </w:rPr>
        <w:t>15.5 “Refresh 后只需把新旧分数放一起”</w:t>
      </w:r>
    </w:p>
    <w:p>
      <w:pPr>
        <w:widowControl/>
      </w:pPr>
      <w:r>
        <w:rPr>
          <w:rFonts w:ascii="Calibri" w:hAnsi="Calibri" w:eastAsia="Microsoft YaHei"/>
          <w:b/>
          <w:color w:val="243447"/>
          <w:sz w:val="22"/>
        </w:rPr>
        <w:t>[E]</w:t>
      </w:r>
      <w:r>
        <w:rPr>
          <w:rFonts w:ascii="Calibri" w:hAnsi="Calibri" w:eastAsia="Microsoft YaHei"/>
          <w:color w:val="243447"/>
          <w:sz w:val="22"/>
        </w:rPr>
        <w:t xml:space="preserve"> Dynabench 文档承认不同 release 分数可能不可比；测试标准要求实质变化时提供新 scale/警告；独立 regrade audits 观察到 rank 变化。</w:t>
      </w:r>
      <w:r>
        <w:rPr>
          <w:rFonts w:ascii="Calibri" w:hAnsi="Calibri" w:eastAsia="Microsoft YaHei"/>
          <w:b/>
          <w:color w:val="243447"/>
          <w:sz w:val="22"/>
        </w:rPr>
        <w:t>[I]</w:t>
      </w:r>
      <w:r>
        <w:rPr>
          <w:rFonts w:ascii="Calibri" w:hAnsi="Calibri" w:eastAsia="Microsoft YaHei"/>
          <w:color w:val="243447"/>
          <w:sz w:val="22"/>
        </w:rPr>
        <w:t xml:space="preserve"> 因而 ALE-style native scores 在 content、environment、grader/metric 变化后不能默认共用标尺。</w:t>
      </w:r>
      <w:r>
        <w:rPr>
          <w:rFonts w:ascii="Calibri" w:hAnsi="Calibri" w:eastAsia="Microsoft YaHei"/>
          <w:b/>
          <w:color w:val="243447"/>
          <w:sz w:val="22"/>
        </w:rPr>
        <w:t>[P] 回应：</w:t>
      </w:r>
      <w:r>
        <w:rPr>
          <w:rFonts w:ascii="Calibri" w:hAnsi="Calibri" w:eastAsia="Microsoft YaHei"/>
          <w:color w:val="243447"/>
          <w:sz w:val="22"/>
        </w:rPr>
        <w:t xml:space="preserve"> Historical native series + conditional bridge；没有 invariance/coverage/uncertainty 就 </w:t>
      </w:r>
      <w:r>
        <w:rPr>
          <w:rFonts w:ascii="Consolas" w:hAnsi="Consolas" w:eastAsia="Microsoft YaHei"/>
          <w:color w:val="1F4D78"/>
          <w:sz w:val="20"/>
        </w:rPr>
        <w:t>not comparable</w:t>
      </w:r>
      <w:r>
        <w:rPr>
          <w:rFonts w:ascii="Calibri" w:hAnsi="Calibri" w:eastAsia="Microsoft YaHei"/>
          <w:color w:val="243447"/>
          <w:sz w:val="22"/>
        </w:rPr>
        <w:t>。</w:t>
      </w:r>
    </w:p>
    <w:p>
      <w:pPr>
        <w:pStyle w:val="Heading2"/>
      </w:pPr>
      <w:r>
        <w:rPr>
          <w:rFonts w:ascii="Calibri" w:hAnsi="Calibri" w:eastAsia="Microsoft YaHei"/>
          <w:color w:val="2E74B5"/>
          <w:sz w:val="26"/>
        </w:rPr>
        <w:t>15.6 “用新 grader 覆写历史更干净”</w:t>
      </w:r>
    </w:p>
    <w:p>
      <w:pPr>
        <w:widowControl/>
      </w:pPr>
      <w:r>
        <w:rPr>
          <w:rFonts w:ascii="Calibri" w:hAnsi="Calibri" w:eastAsia="Microsoft YaHei"/>
          <w:b/>
          <w:color w:val="243447"/>
          <w:sz w:val="22"/>
        </w:rPr>
        <w:t>[E]</w:t>
      </w:r>
      <w:r>
        <w:rPr>
          <w:rFonts w:ascii="Calibri" w:hAnsi="Calibri" w:eastAsia="Microsoft YaHei"/>
          <w:color w:val="243447"/>
          <w:sz w:val="22"/>
        </w:rPr>
        <w:t xml:space="preserve"> Independent audits 观察到新 parser/tests 可改变历史 score/rank。</w:t>
      </w:r>
      <w:r>
        <w:rPr>
          <w:rFonts w:ascii="Calibri" w:hAnsi="Calibri" w:eastAsia="Microsoft YaHei"/>
          <w:b/>
          <w:color w:val="243447"/>
          <w:sz w:val="22"/>
        </w:rPr>
        <w:t>[I]</w:t>
      </w:r>
      <w:r>
        <w:rPr>
          <w:rFonts w:ascii="Calibri" w:hAnsi="Calibri" w:eastAsia="Microsoft YaHei"/>
          <w:color w:val="243447"/>
          <w:sz w:val="22"/>
        </w:rPr>
        <w:t xml:space="preserve"> Regrade 回答旧 artifact 在新 scorer 下的结果，不一定重建当时运行，更不能恢复泄漏后的 unseen status。</w:t>
      </w:r>
      <w:r>
        <w:rPr>
          <w:rFonts w:ascii="Calibri" w:hAnsi="Calibri" w:eastAsia="Microsoft YaHei"/>
          <w:b/>
          <w:color w:val="243447"/>
          <w:sz w:val="22"/>
        </w:rPr>
        <w:t>[P] 回应：</w:t>
      </w:r>
      <w:r>
        <w:rPr>
          <w:rFonts w:ascii="Calibri" w:hAnsi="Calibri" w:eastAsia="Microsoft YaHei"/>
          <w:color w:val="243447"/>
          <w:sz w:val="22"/>
        </w:rPr>
        <w:t xml:space="preserve"> Append-only corrected/alternate view；不能 regrade 时 common-agent rerun；披露 coverage/missingness/rank delta。</w:t>
      </w:r>
    </w:p>
    <w:p>
      <w:pPr>
        <w:pStyle w:val="Heading2"/>
      </w:pPr>
      <w:r>
        <w:rPr>
          <w:rFonts w:ascii="Calibri" w:hAnsi="Calibri" w:eastAsia="Microsoft YaHei"/>
          <w:color w:val="2E74B5"/>
          <w:sz w:val="26"/>
        </w:rPr>
        <w:t>15.7 “日志越多越安全”</w:t>
      </w:r>
    </w:p>
    <w:p>
      <w:pPr>
        <w:widowControl/>
      </w:pPr>
      <w:r>
        <w:rPr>
          <w:rFonts w:ascii="Calibri" w:hAnsi="Calibri" w:eastAsia="Microsoft YaHei"/>
          <w:b/>
          <w:color w:val="243447"/>
          <w:sz w:val="22"/>
        </w:rPr>
        <w:t>[E]</w:t>
      </w:r>
      <w:r>
        <w:rPr>
          <w:rFonts w:ascii="Calibri" w:hAnsi="Calibri" w:eastAsia="Microsoft YaHei"/>
          <w:color w:val="243447"/>
          <w:sz w:val="22"/>
        </w:rPr>
        <w:t xml:space="preserve"> NIST 要求组织选择必要事件并保护 audit information。</w:t>
      </w:r>
      <w:r>
        <w:rPr>
          <w:rFonts w:ascii="Calibri" w:hAnsi="Calibri" w:eastAsia="Microsoft YaHei"/>
          <w:b/>
          <w:color w:val="243447"/>
          <w:sz w:val="22"/>
        </w:rPr>
        <w:t>[I]</w:t>
      </w:r>
      <w:r>
        <w:rPr>
          <w:rFonts w:ascii="Calibri" w:hAnsi="Calibri" w:eastAsia="Microsoft YaHei"/>
          <w:color w:val="243447"/>
          <w:sz w:val="22"/>
        </w:rPr>
        <w:t xml:space="preserve"> Raw logs 可能包含 private prompt、reference、客户数据和可利用 error，因此“越多越安全”不能成立。</w:t>
      </w:r>
      <w:r>
        <w:rPr>
          <w:rFonts w:ascii="Calibri" w:hAnsi="Calibri" w:eastAsia="Microsoft YaHei"/>
          <w:b/>
          <w:color w:val="243447"/>
          <w:sz w:val="22"/>
        </w:rPr>
        <w:t>[P] 回应：</w:t>
      </w:r>
      <w:r>
        <w:rPr>
          <w:rFonts w:ascii="Calibri" w:hAnsi="Calibri" w:eastAsia="Microsoft YaHei"/>
          <w:color w:val="243447"/>
          <w:sz w:val="22"/>
        </w:rPr>
        <w:t xml:space="preserve"> Data minimization、分层保留、受限索引、完整性保护、review owner 和 legal hold。</w:t>
      </w:r>
    </w:p>
    <w:p>
      <w:pPr>
        <w:pStyle w:val="Heading2"/>
      </w:pPr>
      <w:r>
        <w:rPr>
          <w:rFonts w:ascii="Calibri" w:hAnsi="Calibri" w:eastAsia="Microsoft YaHei"/>
          <w:color w:val="2E74B5"/>
          <w:sz w:val="26"/>
        </w:rPr>
        <w:t>15.8 “Detector 没命中就没有训练污染”</w:t>
      </w:r>
    </w:p>
    <w:p>
      <w:pPr>
        <w:widowControl/>
      </w:pPr>
      <w:r>
        <w:rPr>
          <w:rFonts w:ascii="Calibri" w:hAnsi="Calibri" w:eastAsia="Microsoft YaHei"/>
          <w:b/>
          <w:color w:val="243447"/>
          <w:sz w:val="22"/>
        </w:rPr>
        <w:t>[E]</w:t>
      </w:r>
      <w:r>
        <w:rPr>
          <w:rFonts w:ascii="Calibri" w:hAnsi="Calibri" w:eastAsia="Microsoft YaHei"/>
          <w:color w:val="243447"/>
          <w:sz w:val="22"/>
        </w:rPr>
        <w:t xml:space="preserve"> Duan et al. 在其多个 LLM/domain 设置中观察到多种 membership-inference attack 接近随机，并显示 distribution shift 可制造 apparent success。R22 </w:t>
      </w:r>
      <w:r>
        <w:rPr>
          <w:rFonts w:ascii="Calibri" w:hAnsi="Calibri" w:eastAsia="Microsoft YaHei"/>
          <w:b/>
          <w:color w:val="243447"/>
          <w:sz w:val="22"/>
        </w:rPr>
        <w:t>[I]</w:t>
      </w:r>
      <w:r>
        <w:rPr>
          <w:rFonts w:ascii="Calibri" w:hAnsi="Calibri" w:eastAsia="Microsoft YaHei"/>
          <w:color w:val="243447"/>
          <w:sz w:val="22"/>
        </w:rPr>
        <w:t xml:space="preserve"> 因此 Min-K/MIA 命中或未命中都不能单独决定 contamination。</w:t>
      </w:r>
      <w:r>
        <w:rPr>
          <w:rFonts w:ascii="Calibri" w:hAnsi="Calibri" w:eastAsia="Microsoft YaHei"/>
          <w:b/>
          <w:color w:val="243447"/>
          <w:sz w:val="22"/>
        </w:rPr>
        <w:t>[P]</w:t>
      </w:r>
      <w:r>
        <w:rPr>
          <w:rFonts w:ascii="Calibri" w:hAnsi="Calibri" w:eastAsia="Microsoft YaHei"/>
          <w:color w:val="243447"/>
          <w:sz w:val="22"/>
        </w:rPr>
        <w:t xml:space="preserve"> 预注册 access assumptions、calibration、FPR/FNR、not-assessable region，并与 corpus search、canary、behavior、clean rerun 组合。</w:t>
      </w:r>
    </w:p>
    <w:p>
      <w:pPr>
        <w:pStyle w:val="Heading2"/>
      </w:pPr>
      <w:r>
        <w:rPr>
          <w:rFonts w:ascii="Calibri" w:hAnsi="Calibri" w:eastAsia="Microsoft YaHei"/>
          <w:color w:val="2E74B5"/>
          <w:sz w:val="26"/>
        </w:rPr>
        <w:t>15.9 “有动态采集或 judgment pool 就能保持代表性”</w:t>
      </w:r>
    </w:p>
    <w:p>
      <w:pPr>
        <w:widowControl/>
      </w:pPr>
      <w:r>
        <w:rPr>
          <w:rFonts w:ascii="Calibri" w:hAnsi="Calibri" w:eastAsia="Microsoft YaHei"/>
          <w:b/>
          <w:color w:val="243447"/>
          <w:sz w:val="22"/>
        </w:rPr>
        <w:t>[E]</w:t>
      </w:r>
      <w:r>
        <w:rPr>
          <w:rFonts w:ascii="Calibri" w:hAnsi="Calibri" w:eastAsia="Microsoft YaHei"/>
          <w:color w:val="243447"/>
          <w:sz w:val="22"/>
        </w:rPr>
        <w:t xml:space="preserve"> Dynamic-benchmark theory 展示 sequential process 的 stall/noise failure；NIST/TREC 研究展示 pooling 在大集合中可出现系统性 bias。R24 R25 </w:t>
      </w:r>
      <w:r>
        <w:rPr>
          <w:rFonts w:ascii="Calibri" w:hAnsi="Calibri" w:eastAsia="Microsoft YaHei"/>
          <w:b/>
          <w:color w:val="243447"/>
          <w:sz w:val="22"/>
        </w:rPr>
        <w:t>[I]</w:t>
      </w:r>
      <w:r>
        <w:rPr>
          <w:rFonts w:ascii="Calibri" w:hAnsi="Calibri" w:eastAsia="Microsoft YaHei"/>
          <w:color w:val="243447"/>
          <w:sz w:val="22"/>
        </w:rPr>
        <w:t xml:space="preserve"> 这些不是 ALE effect size，但足以反驳自动保证。</w:t>
      </w:r>
      <w:r>
        <w:rPr>
          <w:rFonts w:ascii="Calibri" w:hAnsi="Calibri" w:eastAsia="Microsoft YaHei"/>
          <w:b/>
          <w:color w:val="243447"/>
          <w:sz w:val="22"/>
        </w:rPr>
        <w:t>[P]</w:t>
      </w:r>
      <w:r>
        <w:rPr>
          <w:rFonts w:ascii="Calibri" w:hAnsi="Calibri" w:eastAsia="Microsoft YaHei"/>
          <w:color w:val="243447"/>
          <w:sz w:val="22"/>
        </w:rPr>
        <w:t xml:space="preserve"> 代表性必须通过 sampling blueprint、missing strata、new-system counter-audit、measurement uncertainty 和 external review验证。</w:t>
      </w:r>
    </w:p>
    <w:p>
      <w:pPr>
        <w:pStyle w:val="Heading2"/>
      </w:pPr>
      <w:r>
        <w:rPr>
          <w:rFonts w:ascii="Calibri" w:hAnsi="Calibri" w:eastAsia="Microsoft YaHei"/>
          <w:color w:val="2E74B5"/>
          <w:sz w:val="26"/>
        </w:rPr>
        <w:t>15.10 False flag / denial-of-evaluation</w:t>
      </w:r>
    </w:p>
    <w:p>
      <w:pPr>
        <w:widowControl/>
      </w:pPr>
      <w:r>
        <w:rPr>
          <w:rFonts w:ascii="Calibri" w:hAnsi="Calibri" w:eastAsia="Microsoft YaHei"/>
          <w:b/>
          <w:color w:val="243447"/>
          <w:sz w:val="22"/>
        </w:rPr>
        <w:t>[I] Threat hypothesis：</w:t>
      </w:r>
      <w:r>
        <w:rPr>
          <w:rFonts w:ascii="Calibri" w:hAnsi="Calibri" w:eastAsia="Microsoft YaHei"/>
          <w:color w:val="243447"/>
          <w:sz w:val="22"/>
        </w:rPr>
        <w:t xml:space="preserve"> 竞争者或无关第三方可能公开 task、伪造 marker signal、构造 trap false positive，以迫使结果下架。</w:t>
      </w:r>
      <w:r>
        <w:rPr>
          <w:rFonts w:ascii="Calibri" w:hAnsi="Calibri" w:eastAsia="Microsoft YaHei"/>
          <w:b/>
          <w:color w:val="243447"/>
          <w:sz w:val="22"/>
        </w:rPr>
        <w:t>[P]</w:t>
      </w:r>
      <w:r>
        <w:rPr>
          <w:rFonts w:ascii="Calibri" w:hAnsi="Calibri" w:eastAsia="Microsoft YaHei"/>
          <w:color w:val="243447"/>
          <w:sz w:val="22"/>
        </w:rPr>
        <w:t xml:space="preserve"> Signal 只触发 evidence-grade review 与最小 scope containment；必须保留 false-positive/no_change、independent appeal 和 notice lineage，不把 signal 当 guilt。</w:t>
      </w:r>
    </w:p>
    <w:p>
      <w:pPr>
        <w:pStyle w:val="Heading1"/>
        <w:pageBreakBefore/>
      </w:pPr>
      <w:r>
        <w:rPr>
          <w:rFonts w:ascii="Calibri" w:hAnsi="Calibri" w:eastAsia="Microsoft YaHei"/>
          <w:color w:val="2E74B5"/>
          <w:sz w:val="32"/>
        </w:rPr>
        <w:t>16. 适用边界</w:t>
      </w:r>
    </w:p>
    <w:p>
      <w:pPr>
        <w:pStyle w:val="ListBullet"/>
      </w:pPr>
      <w:r>
        <w:rPr>
          <w:rFonts w:ascii="Calibri" w:hAnsi="Calibri" w:eastAsia="Microsoft YaHei"/>
          <w:b/>
          <w:color w:val="243447"/>
          <w:sz w:val="21"/>
        </w:rPr>
        <w:t>[I]</w:t>
      </w:r>
      <w:r>
        <w:rPr>
          <w:rFonts w:ascii="Calibri" w:hAnsi="Calibri" w:eastAsia="Microsoft YaHei"/>
          <w:color w:val="243447"/>
          <w:sz w:val="21"/>
        </w:rPr>
        <w:t xml:space="preserve"> 大量 contamination 实验来自 text QA、translation、code benchmark；其效应大小不能直接量化迁移到 ALE-style GUI/CLI、长程、多文件、多模态 artifact workflows。</w:t>
      </w:r>
    </w:p>
    <w:p>
      <w:pPr>
        <w:pStyle w:val="ListBullet"/>
      </w:pPr>
      <w:r>
        <w:rPr>
          <w:rFonts w:ascii="Calibri" w:hAnsi="Calibri" w:eastAsia="Microsoft YaHei"/>
          <w:b/>
          <w:color w:val="243447"/>
          <w:sz w:val="21"/>
        </w:rPr>
        <w:t>[I]</w:t>
      </w:r>
      <w:r>
        <w:rPr>
          <w:rFonts w:ascii="Calibri" w:hAnsi="Calibri" w:eastAsia="Microsoft YaHei"/>
          <w:color w:val="243447"/>
          <w:sz w:val="21"/>
        </w:rPr>
        <w:t xml:space="preserve"> NIST/W3C/WIPO/供应链标准支持 confidentiality、accountability、provenance 与 incident handling，不自动证明 task representativeness、construct validity、grader correctness 或跨版本 equivalence。</w:t>
      </w:r>
    </w:p>
    <w:p>
      <w:pPr>
        <w:pStyle w:val="ListBullet"/>
      </w:pPr>
      <w:r>
        <w:rPr>
          <w:rFonts w:ascii="Calibri" w:hAnsi="Calibri" w:eastAsia="Microsoft YaHei"/>
          <w:b/>
          <w:color w:val="243447"/>
          <w:sz w:val="21"/>
        </w:rPr>
        <w:t>[I]</w:t>
      </w:r>
      <w:r>
        <w:rPr>
          <w:rFonts w:ascii="Calibri" w:hAnsi="Calibri" w:eastAsia="Microsoft YaHei"/>
          <w:color w:val="243447"/>
          <w:sz w:val="21"/>
        </w:rPr>
        <w:t xml:space="preserve"> Education psychometrics 的 anchor/linking 提供原则；agent tasks 异质、交互、部分计分、环境依赖且运行随机，因此默认只作 conditional bridge。</w:t>
      </w:r>
    </w:p>
    <w:p>
      <w:pPr>
        <w:pStyle w:val="ListBullet"/>
      </w:pPr>
      <w:r>
        <w:rPr>
          <w:rFonts w:ascii="Calibri" w:hAnsi="Calibri" w:eastAsia="Microsoft YaHei"/>
          <w:b/>
          <w:color w:val="243447"/>
          <w:sz w:val="21"/>
        </w:rPr>
        <w:t>[I]</w:t>
      </w:r>
      <w:r>
        <w:rPr>
          <w:rFonts w:ascii="Calibri" w:hAnsi="Calibri" w:eastAsia="Microsoft YaHei"/>
          <w:color w:val="243447"/>
          <w:sz w:val="21"/>
        </w:rPr>
        <w:t xml:space="preserve"> Gating、EaaS、delayed feedback、logging 和 watermark 都有 privacy、cost、participation、reproducibility 和 appeal trade-offs；不存在通用最优组合。</w:t>
      </w:r>
    </w:p>
    <w:p>
      <w:pPr>
        <w:pStyle w:val="ListBullet"/>
      </w:pPr>
      <w:r>
        <w:rPr>
          <w:rFonts w:ascii="Calibri" w:hAnsi="Calibri" w:eastAsia="Microsoft YaHei"/>
          <w:b/>
          <w:color w:val="243447"/>
          <w:sz w:val="21"/>
        </w:rPr>
        <w:t>[I]</w:t>
      </w:r>
      <w:r>
        <w:rPr>
          <w:rFonts w:ascii="Calibri" w:hAnsi="Calibri" w:eastAsia="Microsoft YaHei"/>
          <w:color w:val="243447"/>
          <w:sz w:val="21"/>
        </w:rPr>
        <w:t xml:space="preserve"> ALE 作者提出的 private/rotation 方向与冻结 code/data surface 是研究基线，不是本项目比例、零污染或生产 throughput 的证据。</w:t>
      </w:r>
    </w:p>
    <w:p>
      <w:pPr>
        <w:pStyle w:val="ListBullet"/>
      </w:pPr>
      <w:r>
        <w:rPr>
          <w:rFonts w:ascii="Calibri" w:hAnsi="Calibri" w:eastAsia="Microsoft YaHei"/>
          <w:b/>
          <w:color w:val="243447"/>
          <w:sz w:val="21"/>
        </w:rPr>
        <w:t>[P]</w:t>
      </w:r>
      <w:r>
        <w:rPr>
          <w:rFonts w:ascii="Calibri" w:hAnsi="Calibri" w:eastAsia="Microsoft YaHei"/>
          <w:color w:val="243447"/>
          <w:sz w:val="21"/>
        </w:rPr>
        <w:t xml:space="preserve"> 所有缺乏三类独立来源直接支持的 ALE-specific 发生率、效果、阈值、quota、yield、周期和比例，统一标 </w:t>
      </w:r>
      <w:r>
        <w:rPr>
          <w:rFonts w:ascii="Consolas" w:hAnsi="Consolas" w:eastAsia="Microsoft YaHei"/>
          <w:color w:val="1F4D78"/>
          <w:sz w:val="19"/>
        </w:rPr>
        <w:t>evidence insufficient / pilot required</w:t>
      </w:r>
      <w:r>
        <w:rPr>
          <w:rFonts w:ascii="Calibri" w:hAnsi="Calibri" w:eastAsia="Microsoft YaHei"/>
          <w:color w:val="243447"/>
          <w:sz w:val="21"/>
        </w:rPr>
        <w:t>。</w:t>
      </w:r>
    </w:p>
    <w:p>
      <w:pPr>
        <w:pStyle w:val="Heading1"/>
        <w:pageBreakBefore/>
      </w:pPr>
      <w:r>
        <w:rPr>
          <w:rFonts w:ascii="Calibri" w:hAnsi="Calibri" w:eastAsia="Microsoft YaHei"/>
          <w:color w:val="2E74B5"/>
          <w:sz w:val="32"/>
        </w:rPr>
        <w:t>17. 来源表</w:t>
      </w:r>
    </w:p>
    <w:p>
      <w:pPr>
        <w:widowControl/>
      </w:pPr>
      <w:r>
        <w:rPr>
          <w:rFonts w:ascii="Calibri" w:hAnsi="Calibri" w:eastAsia="Microsoft YaHei"/>
          <w:b/>
          <w:color w:val="243447"/>
          <w:sz w:val="22"/>
        </w:rPr>
        <w:t>标签说明：</w:t>
      </w:r>
      <w:r>
        <w:rPr>
          <w:rFonts w:ascii="Calibri" w:hAnsi="Calibri" w:eastAsia="Microsoft YaHei"/>
          <w:color w:val="243447"/>
          <w:sz w:val="22"/>
        </w:rPr>
        <w:t xml:space="preserve"> “来源与版本/类型”是 </w:t>
      </w:r>
      <w:r>
        <w:rPr>
          <w:rFonts w:ascii="Calibri" w:hAnsi="Calibri" w:eastAsia="Microsoft YaHei"/>
          <w:b/>
          <w:color w:val="243447"/>
          <w:sz w:val="22"/>
        </w:rPr>
        <w:t>[E] 本轮核验的来源元数据</w:t>
      </w:r>
      <w:r>
        <w:rPr>
          <w:rFonts w:ascii="Calibri" w:hAnsi="Calibri" w:eastAsia="Microsoft YaHei"/>
          <w:color w:val="243447"/>
          <w:sz w:val="22"/>
        </w:rPr>
        <w:t xml:space="preserve">；“本报告用途/主要边界”是 </w:t>
      </w:r>
      <w:r>
        <w:rPr>
          <w:rFonts w:ascii="Calibri" w:hAnsi="Calibri" w:eastAsia="Microsoft YaHei"/>
          <w:b/>
          <w:color w:val="243447"/>
          <w:sz w:val="22"/>
        </w:rPr>
        <w:t>[I] 研究者对证据适用范围的判断</w:t>
      </w:r>
      <w:r>
        <w:rPr>
          <w:rFonts w:ascii="Calibri" w:hAnsi="Calibri" w:eastAsia="Microsoft YaHei"/>
          <w:color w:val="243447"/>
          <w:sz w:val="22"/>
        </w:rPr>
        <w:t>。供应商/平台材料仅作为 operational practice clue。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0D5DD"/>
          <w:left w:val="single" w:sz="6" w:space="0" w:color="D0D5DD"/>
          <w:bottom w:val="single" w:sz="6" w:space="0" w:color="D0D5DD"/>
          <w:right w:val="single" w:sz="6" w:space="0" w:color="D0D5DD"/>
          <w:insideH w:val="single" w:sz="6" w:space="0" w:color="D0D5DD"/>
          <w:insideV w:val="single" w:sz="6" w:space="0" w:color="D0D5DD"/>
        </w:tblBorders>
      </w:tblPr>
      <w:tblGrid>
        <w:gridCol w:w="1872"/>
        <w:gridCol w:w="1872"/>
        <w:gridCol w:w="1872"/>
        <w:gridCol w:w="1872"/>
        <w:gridCol w:w="1872"/>
      </w:tblGrid>
      <w:tr>
        <w:trPr>
          <w:cantSplit/>
          <w:tblHeader w:val="true"/>
        </w:trPr>
        <w:tc>
          <w:tcPr>
            <w:tcW w:type="dxa" w:w="84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163A5F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b/>
                <w:color w:val="FFFFFF"/>
                <w:sz w:val="15"/>
              </w:rPr>
              <w:t>ID</w:t>
            </w:r>
          </w:p>
        </w:tc>
        <w:tc>
          <w:tcPr>
            <w:tcW w:type="dxa" w:w="234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163A5F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b/>
                <w:color w:val="FFFFFF"/>
                <w:sz w:val="15"/>
              </w:rPr>
              <w:t>来源与版本</w:t>
            </w:r>
          </w:p>
        </w:tc>
        <w:tc>
          <w:tcPr>
            <w:tcW w:type="dxa" w:w="149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163A5F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b/>
                <w:color w:val="FFFFFF"/>
                <w:sz w:val="15"/>
              </w:rPr>
              <w:t>类型</w:t>
            </w:r>
          </w:p>
        </w:tc>
        <w:tc>
          <w:tcPr>
            <w:tcW w:type="dxa" w:w="262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163A5F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b/>
                <w:color w:val="FFFFFF"/>
                <w:sz w:val="15"/>
              </w:rPr>
              <w:t>本报告用途</w:t>
            </w:r>
          </w:p>
        </w:tc>
        <w:tc>
          <w:tcPr>
            <w:tcW w:type="dxa" w:w="205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163A5F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b/>
                <w:color w:val="FFFFFF"/>
                <w:sz w:val="15"/>
              </w:rPr>
              <w:t>主要边界</w:t>
            </w:r>
          </w:p>
        </w:tc>
      </w:tr>
      <w:tr>
        <w:trPr>
          <w:cantSplit/>
        </w:trPr>
        <w:tc>
          <w:tcPr>
            <w:tcW w:type="dxa" w:w="84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5"/>
              </w:rPr>
              <w:t>R01</w:t>
            </w:r>
          </w:p>
        </w:tc>
        <w:tc>
          <w:tcPr>
            <w:tcW w:type="dxa" w:w="234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5"/>
              </w:rPr>
              <w:t>ALE arXiv v2</w:t>
            </w:r>
          </w:p>
        </w:tc>
        <w:tc>
          <w:tcPr>
            <w:tcW w:type="dxa" w:w="149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5"/>
              </w:rPr>
              <w:t>冻结论文</w:t>
            </w:r>
          </w:p>
        </w:tc>
        <w:tc>
          <w:tcPr>
            <w:tcW w:type="dxa" w:w="262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5"/>
              </w:rPr>
              <w:t>public/private、hidden reference、rotation 的作者设计</w:t>
            </w:r>
          </w:p>
        </w:tc>
        <w:tc>
          <w:tcPr>
            <w:tcW w:type="dxa" w:w="205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5"/>
              </w:rPr>
              <w:t>不是项目比例或实际治理成效证明</w:t>
            </w:r>
          </w:p>
        </w:tc>
      </w:tr>
      <w:tr>
        <w:trPr>
          <w:cantSplit/>
        </w:trPr>
        <w:tc>
          <w:tcPr>
            <w:tcW w:type="dxa" w:w="84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5"/>
              </w:rPr>
              <w:t>R02</w:t>
            </w:r>
          </w:p>
        </w:tc>
        <w:tc>
          <w:tcPr>
            <w:tcW w:type="dxa" w:w="234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5"/>
              </w:rPr>
              <w:t>ALE GitHub pinned</w:t>
            </w:r>
          </w:p>
        </w:tc>
        <w:tc>
          <w:tcPr>
            <w:tcW w:type="dxa" w:w="149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5"/>
              </w:rPr>
              <w:t>官方代码/commit</w:t>
            </w:r>
          </w:p>
        </w:tc>
        <w:tc>
          <w:tcPr>
            <w:tcW w:type="dxa" w:w="262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5"/>
              </w:rPr>
              <w:t>framework、run/evaluator surface、版本冻结</w:t>
            </w:r>
          </w:p>
        </w:tc>
        <w:tc>
          <w:tcPr>
            <w:tcW w:type="dxa" w:w="205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5"/>
              </w:rPr>
              <w:t>只代表该 commit</w:t>
            </w:r>
          </w:p>
        </w:tc>
      </w:tr>
      <w:tr>
        <w:trPr>
          <w:cantSplit/>
        </w:trPr>
        <w:tc>
          <w:tcPr>
            <w:tcW w:type="dxa" w:w="84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5"/>
              </w:rPr>
              <w:t>R03</w:t>
            </w:r>
          </w:p>
        </w:tc>
        <w:tc>
          <w:tcPr>
            <w:tcW w:type="dxa" w:w="234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5"/>
              </w:rPr>
              <w:t>ALE HF pinned</w:t>
            </w:r>
          </w:p>
        </w:tc>
        <w:tc>
          <w:tcPr>
            <w:tcW w:type="dxa" w:w="149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5"/>
              </w:rPr>
              <w:t>官方 dataset revision</w:t>
            </w:r>
          </w:p>
        </w:tc>
        <w:tc>
          <w:tcPr>
            <w:tcW w:type="dxa" w:w="262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5"/>
              </w:rPr>
              <w:t>冻结公开数据面与字段</w:t>
            </w:r>
          </w:p>
        </w:tc>
        <w:tc>
          <w:tcPr>
            <w:tcW w:type="dxa" w:w="205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5"/>
              </w:rPr>
              <w:t>不代表完整私有 taxonomy/库存</w:t>
            </w:r>
          </w:p>
        </w:tc>
      </w:tr>
      <w:tr>
        <w:trPr>
          <w:cantSplit/>
        </w:trPr>
        <w:tc>
          <w:tcPr>
            <w:tcW w:type="dxa" w:w="84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5"/>
              </w:rPr>
              <w:t>R04</w:t>
            </w:r>
          </w:p>
        </w:tc>
        <w:tc>
          <w:tcPr>
            <w:tcW w:type="dxa" w:w="234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5"/>
              </w:rPr>
              <w:t>ALE grader hardening PR</w:t>
            </w:r>
          </w:p>
        </w:tc>
        <w:tc>
          <w:tcPr>
            <w:tcW w:type="dxa" w:w="149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5"/>
              </w:rPr>
              <w:t>官方 code change</w:t>
            </w:r>
          </w:p>
        </w:tc>
        <w:tc>
          <w:tcPr>
            <w:tcW w:type="dxa" w:w="262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5"/>
              </w:rPr>
              <w:t>evaluator defect/attack surface 的操作证据</w:t>
            </w:r>
          </w:p>
        </w:tc>
        <w:tc>
          <w:tcPr>
            <w:tcW w:type="dxa" w:w="205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5"/>
              </w:rPr>
              <w:t>不能外推 defect rate</w:t>
            </w:r>
          </w:p>
        </w:tc>
      </w:tr>
      <w:tr>
        <w:trPr>
          <w:cantSplit/>
        </w:trPr>
        <w:tc>
          <w:tcPr>
            <w:tcW w:type="dxa" w:w="84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5"/>
              </w:rPr>
              <w:t>R05</w:t>
            </w:r>
          </w:p>
        </w:tc>
        <w:tc>
          <w:tcPr>
            <w:tcW w:type="dxa" w:w="234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5"/>
              </w:rPr>
              <w:t>NIST AI RMF</w:t>
            </w:r>
          </w:p>
        </w:tc>
        <w:tc>
          <w:tcPr>
            <w:tcW w:type="dxa" w:w="149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5"/>
              </w:rPr>
              <w:t>政府框架</w:t>
            </w:r>
          </w:p>
        </w:tc>
        <w:tc>
          <w:tcPr>
            <w:tcW w:type="dxa" w:w="262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5"/>
              </w:rPr>
              <w:t>monitor、change、incident、decommission</w:t>
            </w:r>
          </w:p>
        </w:tc>
        <w:tc>
          <w:tcPr>
            <w:tcW w:type="dxa" w:w="205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5"/>
              </w:rPr>
              <w:t>非 benchmark-specific implementation</w:t>
            </w:r>
          </w:p>
        </w:tc>
      </w:tr>
      <w:tr>
        <w:trPr>
          <w:cantSplit/>
        </w:trPr>
        <w:tc>
          <w:tcPr>
            <w:tcW w:type="dxa" w:w="84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5"/>
              </w:rPr>
              <w:t>R06</w:t>
            </w:r>
          </w:p>
        </w:tc>
        <w:tc>
          <w:tcPr>
            <w:tcW w:type="dxa" w:w="234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5"/>
              </w:rPr>
              <w:t>NIST CAISI cheating</w:t>
            </w:r>
          </w:p>
        </w:tc>
        <w:tc>
          <w:tcPr>
            <w:tcW w:type="dxa" w:w="149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5"/>
              </w:rPr>
              <w:t>政府案例/方法</w:t>
            </w:r>
          </w:p>
        </w:tc>
        <w:tc>
          <w:tcPr>
            <w:tcW w:type="dxa" w:w="262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5"/>
              </w:rPr>
              <w:t>search/grader/environment cheating 与 trace review</w:t>
            </w:r>
          </w:p>
        </w:tc>
        <w:tc>
          <w:tcPr>
            <w:tcW w:type="dxa" w:w="205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5"/>
              </w:rPr>
              <w:t>案例不提供本项目发生率</w:t>
            </w:r>
          </w:p>
        </w:tc>
      </w:tr>
      <w:tr>
        <w:trPr>
          <w:cantSplit/>
        </w:trPr>
        <w:tc>
          <w:tcPr>
            <w:tcW w:type="dxa" w:w="84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5"/>
              </w:rPr>
              <w:t>R07</w:t>
            </w:r>
          </w:p>
        </w:tc>
        <w:tc>
          <w:tcPr>
            <w:tcW w:type="dxa" w:w="234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5"/>
              </w:rPr>
              <w:t>NIST SP 800-61r3</w:t>
            </w:r>
          </w:p>
        </w:tc>
        <w:tc>
          <w:tcPr>
            <w:tcW w:type="dxa" w:w="149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5"/>
              </w:rPr>
              <w:t>政府标准/指南</w:t>
            </w:r>
          </w:p>
        </w:tc>
        <w:tc>
          <w:tcPr>
            <w:tcW w:type="dxa" w:w="262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5"/>
              </w:rPr>
              <w:t>incident prepare/respond/recover/improve</w:t>
            </w:r>
          </w:p>
        </w:tc>
        <w:tc>
          <w:tcPr>
            <w:tcW w:type="dxa" w:w="205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5"/>
              </w:rPr>
              <w:t>Score policy 为本项目扩展</w:t>
            </w:r>
          </w:p>
        </w:tc>
      </w:tr>
      <w:tr>
        <w:trPr>
          <w:cantSplit/>
        </w:trPr>
        <w:tc>
          <w:tcPr>
            <w:tcW w:type="dxa" w:w="84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5"/>
              </w:rPr>
              <w:t>R08</w:t>
            </w:r>
          </w:p>
        </w:tc>
        <w:tc>
          <w:tcPr>
            <w:tcW w:type="dxa" w:w="234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5"/>
              </w:rPr>
              <w:t>W3C PROV-DM</w:t>
            </w:r>
          </w:p>
        </w:tc>
        <w:tc>
          <w:tcPr>
            <w:tcW w:type="dxa" w:w="149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5"/>
              </w:rPr>
              <w:t>标准</w:t>
            </w:r>
          </w:p>
        </w:tc>
        <w:tc>
          <w:tcPr>
            <w:tcW w:type="dxa" w:w="262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5"/>
              </w:rPr>
              <w:t>entity/activity/agent、revision/replacement lineage</w:t>
            </w:r>
          </w:p>
        </w:tc>
        <w:tc>
          <w:tcPr>
            <w:tcW w:type="dxa" w:w="205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5"/>
              </w:rPr>
              <w:t>不验证记录真实性</w:t>
            </w:r>
          </w:p>
        </w:tc>
      </w:tr>
      <w:tr>
        <w:trPr>
          <w:cantSplit/>
        </w:trPr>
        <w:tc>
          <w:tcPr>
            <w:tcW w:type="dxa" w:w="84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5"/>
              </w:rPr>
              <w:t>R09</w:t>
            </w:r>
          </w:p>
        </w:tc>
        <w:tc>
          <w:tcPr>
            <w:tcW w:type="dxa" w:w="234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5"/>
              </w:rPr>
              <w:t>LiveBench v2</w:t>
            </w:r>
          </w:p>
        </w:tc>
        <w:tc>
          <w:tcPr>
            <w:tcW w:type="dxa" w:w="149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5"/>
              </w:rPr>
              <w:t>Peer-reviewed benchmark</w:t>
            </w:r>
          </w:p>
        </w:tc>
        <w:tc>
          <w:tcPr>
            <w:tcW w:type="dxa" w:w="262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5"/>
              </w:rPr>
              <w:t>recurring/public refresh 实例</w:t>
            </w:r>
          </w:p>
        </w:tc>
        <w:tc>
          <w:tcPr>
            <w:tcW w:type="dxa" w:w="205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5"/>
              </w:rPr>
              <w:t>Creator evaluation；公开题会暴露</w:t>
            </w:r>
          </w:p>
        </w:tc>
      </w:tr>
      <w:tr>
        <w:trPr>
          <w:cantSplit/>
        </w:trPr>
        <w:tc>
          <w:tcPr>
            <w:tcW w:type="dxa" w:w="84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5"/>
              </w:rPr>
              <w:t>R10</w:t>
            </w:r>
          </w:p>
        </w:tc>
        <w:tc>
          <w:tcPr>
            <w:tcW w:type="dxa" w:w="234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5"/>
              </w:rPr>
              <w:t>SWE-rebench</w:t>
            </w:r>
          </w:p>
        </w:tc>
        <w:tc>
          <w:tcPr>
            <w:tcW w:type="dxa" w:w="149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5"/>
              </w:rPr>
              <w:t>Peer-reviewed benchmark</w:t>
            </w:r>
          </w:p>
        </w:tc>
        <w:tc>
          <w:tcPr>
            <w:tcW w:type="dxa" w:w="262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5"/>
              </w:rPr>
              <w:t>fresh collection 与 train/eval 分层线索</w:t>
            </w:r>
          </w:p>
        </w:tc>
        <w:tc>
          <w:tcPr>
            <w:tcW w:type="dxa" w:w="205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5"/>
              </w:rPr>
              <w:t>自动化 QA 有 trade-off</w:t>
            </w:r>
          </w:p>
        </w:tc>
      </w:tr>
      <w:tr>
        <w:trPr>
          <w:cantSplit/>
        </w:trPr>
        <w:tc>
          <w:tcPr>
            <w:tcW w:type="dxa" w:w="84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5"/>
              </w:rPr>
              <w:t>R11</w:t>
            </w:r>
          </w:p>
        </w:tc>
        <w:tc>
          <w:tcPr>
            <w:tcW w:type="dxa" w:w="234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5"/>
              </w:rPr>
              <w:t>Dynabench</w:t>
            </w:r>
          </w:p>
        </w:tc>
        <w:tc>
          <w:tcPr>
            <w:tcW w:type="dxa" w:w="149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5"/>
              </w:rPr>
              <w:t>Peer-reviewed method</w:t>
            </w:r>
          </w:p>
        </w:tc>
        <w:tc>
          <w:tcPr>
            <w:tcW w:type="dxa" w:w="262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5"/>
              </w:rPr>
              <w:t>dynamic rounds、human/model loop</w:t>
            </w:r>
          </w:p>
        </w:tc>
        <w:tc>
          <w:tcPr>
            <w:tcW w:type="dxa" w:w="205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5"/>
              </w:rPr>
              <w:t>Release comparability 受限</w:t>
            </w:r>
          </w:p>
        </w:tc>
      </w:tr>
      <w:tr>
        <w:trPr>
          <w:cantSplit/>
        </w:trPr>
        <w:tc>
          <w:tcPr>
            <w:tcW w:type="dxa" w:w="84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5"/>
              </w:rPr>
              <w:t>R12</w:t>
            </w:r>
          </w:p>
        </w:tc>
        <w:tc>
          <w:tcPr>
            <w:tcW w:type="dxa" w:w="234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5"/>
              </w:rPr>
              <w:t>The Ladder</w:t>
            </w:r>
          </w:p>
        </w:tc>
        <w:tc>
          <w:tcPr>
            <w:tcW w:type="dxa" w:w="149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5"/>
              </w:rPr>
              <w:t>Peer-reviewed method</w:t>
            </w:r>
          </w:p>
        </w:tc>
        <w:tc>
          <w:tcPr>
            <w:tcW w:type="dxa" w:w="262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5"/>
              </w:rPr>
              <w:t>adaptive leaderboard/feedback risk</w:t>
            </w:r>
          </w:p>
        </w:tc>
        <w:tc>
          <w:tcPr>
            <w:tcW w:type="dxa" w:w="205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5"/>
              </w:rPr>
              <w:t>具体参数不可直接迁移</w:t>
            </w:r>
          </w:p>
        </w:tc>
      </w:tr>
      <w:tr>
        <w:trPr>
          <w:cantSplit/>
        </w:trPr>
        <w:tc>
          <w:tcPr>
            <w:tcW w:type="dxa" w:w="84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5"/>
              </w:rPr>
              <w:t>R13</w:t>
            </w:r>
          </w:p>
        </w:tc>
        <w:tc>
          <w:tcPr>
            <w:tcW w:type="dxa" w:w="234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5"/>
              </w:rPr>
              <w:t>MS MARCO leaks</w:t>
            </w:r>
          </w:p>
        </w:tc>
        <w:tc>
          <w:tcPr>
            <w:tcW w:type="dxa" w:w="149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5"/>
              </w:rPr>
              <w:t>Independent empirical study</w:t>
            </w:r>
          </w:p>
        </w:tc>
        <w:tc>
          <w:tcPr>
            <w:tcW w:type="dxa" w:w="262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5"/>
              </w:rPr>
              <w:t>hidden test/repeated submission 泄漏与 overfit</w:t>
            </w:r>
          </w:p>
        </w:tc>
        <w:tc>
          <w:tcPr>
            <w:tcW w:type="dxa" w:w="205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5"/>
              </w:rPr>
              <w:t>领域与 ALE 不同</w:t>
            </w:r>
          </w:p>
        </w:tc>
      </w:tr>
      <w:tr>
        <w:trPr>
          <w:cantSplit/>
        </w:trPr>
        <w:tc>
          <w:tcPr>
            <w:tcW w:type="dxa" w:w="84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5"/>
              </w:rPr>
              <w:t>R14</w:t>
            </w:r>
          </w:p>
        </w:tc>
        <w:tc>
          <w:tcPr>
            <w:tcW w:type="dxa" w:w="234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5"/>
              </w:rPr>
              <w:t>MLCommons governed evaluation</w:t>
            </w:r>
          </w:p>
        </w:tc>
        <w:tc>
          <w:tcPr>
            <w:tcW w:type="dxa" w:w="149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5"/>
              </w:rPr>
              <w:t>官方 rules/practice</w:t>
            </w:r>
          </w:p>
        </w:tc>
        <w:tc>
          <w:tcPr>
            <w:tcW w:type="dxa" w:w="262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5"/>
              </w:rPr>
              <w:t>manifest、audit、benchmark detection restrictions</w:t>
            </w:r>
          </w:p>
        </w:tc>
        <w:tc>
          <w:tcPr>
            <w:tcW w:type="dxa" w:w="205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5"/>
              </w:rPr>
              <w:t>行业实践，不独立证明 validity</w:t>
            </w:r>
          </w:p>
        </w:tc>
      </w:tr>
      <w:tr>
        <w:trPr>
          <w:cantSplit/>
        </w:trPr>
        <w:tc>
          <w:tcPr>
            <w:tcW w:type="dxa" w:w="84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5"/>
              </w:rPr>
              <w:t>R15</w:t>
            </w:r>
          </w:p>
        </w:tc>
        <w:tc>
          <w:tcPr>
            <w:tcW w:type="dxa" w:w="234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5"/>
              </w:rPr>
              <w:t>GAIA private answers</w:t>
            </w:r>
          </w:p>
        </w:tc>
        <w:tc>
          <w:tcPr>
            <w:tcW w:type="dxa" w:w="149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5"/>
              </w:rPr>
              <w:t>Benchmark practice</w:t>
            </w:r>
          </w:p>
        </w:tc>
        <w:tc>
          <w:tcPr>
            <w:tcW w:type="dxa" w:w="262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5"/>
              </w:rPr>
              <w:t>hidden-answer pattern 与局限</w:t>
            </w:r>
          </w:p>
        </w:tc>
        <w:tc>
          <w:tcPr>
            <w:tcW w:type="dxa" w:w="205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5"/>
              </w:rPr>
              <w:t>隐藏答案不是完整保密</w:t>
            </w:r>
          </w:p>
        </w:tc>
      </w:tr>
      <w:tr>
        <w:trPr>
          <w:cantSplit/>
        </w:trPr>
        <w:tc>
          <w:tcPr>
            <w:tcW w:type="dxa" w:w="84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5"/>
              </w:rPr>
              <w:t>R16</w:t>
            </w:r>
          </w:p>
        </w:tc>
        <w:tc>
          <w:tcPr>
            <w:tcW w:type="dxa" w:w="234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5"/>
              </w:rPr>
              <w:t>HAL verified runs</w:t>
            </w:r>
          </w:p>
        </w:tc>
        <w:tc>
          <w:tcPr>
            <w:tcW w:type="dxa" w:w="149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5"/>
              </w:rPr>
              <w:t>Benchmark platform practice</w:t>
            </w:r>
          </w:p>
        </w:tc>
        <w:tc>
          <w:tcPr>
            <w:tcW w:type="dxa" w:w="262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5"/>
              </w:rPr>
              <w:t>run evidence/verified execution 线索</w:t>
            </w:r>
          </w:p>
        </w:tc>
        <w:tc>
          <w:tcPr>
            <w:tcW w:type="dxa" w:w="205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5"/>
              </w:rPr>
              <w:t>平台主张需独立 audit</w:t>
            </w:r>
          </w:p>
        </w:tc>
      </w:tr>
      <w:tr>
        <w:trPr>
          <w:cantSplit/>
        </w:trPr>
        <w:tc>
          <w:tcPr>
            <w:tcW w:type="dxa" w:w="84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5"/>
              </w:rPr>
              <w:t>R17</w:t>
            </w:r>
          </w:p>
        </w:tc>
        <w:tc>
          <w:tcPr>
            <w:tcW w:type="dxa" w:w="234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5"/>
              </w:rPr>
              <w:t>Reusable Holdout</w:t>
            </w:r>
          </w:p>
        </w:tc>
        <w:tc>
          <w:tcPr>
            <w:tcW w:type="dxa" w:w="149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5"/>
              </w:rPr>
              <w:t>Peer-reviewed theory</w:t>
            </w:r>
          </w:p>
        </w:tc>
        <w:tc>
          <w:tcPr>
            <w:tcW w:type="dxa" w:w="262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5"/>
              </w:rPr>
              <w:t>adaptive reuse 风险与受控反馈</w:t>
            </w:r>
          </w:p>
        </w:tc>
        <w:tc>
          <w:tcPr>
            <w:tcW w:type="dxa" w:w="205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5"/>
              </w:rPr>
              <w:t>假设/机制不能直接给 quota</w:t>
            </w:r>
          </w:p>
        </w:tc>
      </w:tr>
      <w:tr>
        <w:trPr>
          <w:cantSplit/>
        </w:trPr>
        <w:tc>
          <w:tcPr>
            <w:tcW w:type="dxa" w:w="84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5"/>
              </w:rPr>
              <w:t>R18</w:t>
            </w:r>
          </w:p>
        </w:tc>
        <w:tc>
          <w:tcPr>
            <w:tcW w:type="dxa" w:w="234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5"/>
              </w:rPr>
              <w:t>NIST AI 800-2 draft</w:t>
            </w:r>
          </w:p>
        </w:tc>
        <w:tc>
          <w:tcPr>
            <w:tcW w:type="dxa" w:w="149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5"/>
              </w:rPr>
              <w:t>政府 draft guidance</w:t>
            </w:r>
          </w:p>
        </w:tc>
        <w:tc>
          <w:tcPr>
            <w:tcW w:type="dxa" w:w="262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5"/>
              </w:rPr>
              <w:t>objective、protocol、log、QA、version、qualified claims</w:t>
            </w:r>
          </w:p>
        </w:tc>
        <w:tc>
          <w:tcPr>
            <w:tcW w:type="dxa" w:w="205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5"/>
              </w:rPr>
              <w:t>Initial public draft，需 refresh</w:t>
            </w:r>
          </w:p>
        </w:tc>
      </w:tr>
      <w:tr>
        <w:trPr>
          <w:cantSplit/>
        </w:trPr>
        <w:tc>
          <w:tcPr>
            <w:tcW w:type="dxa" w:w="84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5"/>
              </w:rPr>
              <w:t>R19</w:t>
            </w:r>
          </w:p>
        </w:tc>
        <w:tc>
          <w:tcPr>
            <w:tcW w:type="dxa" w:w="234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5"/>
              </w:rPr>
              <w:t>NIST AI 800-3</w:t>
            </w:r>
          </w:p>
        </w:tc>
        <w:tc>
          <w:tcPr>
            <w:tcW w:type="dxa" w:w="149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5"/>
              </w:rPr>
              <w:t>政府测量方法</w:t>
            </w:r>
          </w:p>
        </w:tc>
        <w:tc>
          <w:tcPr>
            <w:tcW w:type="dxa" w:w="262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5"/>
              </w:rPr>
              <w:t>sampling/randomness/uncertainty 与 comparisons</w:t>
            </w:r>
          </w:p>
        </w:tc>
        <w:tc>
          <w:tcPr>
            <w:tcW w:type="dxa" w:w="205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5"/>
              </w:rPr>
              <w:t>非 ALE-specific</w:t>
            </w:r>
          </w:p>
        </w:tc>
      </w:tr>
      <w:tr>
        <w:trPr>
          <w:cantSplit/>
        </w:trPr>
        <w:tc>
          <w:tcPr>
            <w:tcW w:type="dxa" w:w="84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5"/>
              </w:rPr>
              <w:t>R20</w:t>
            </w:r>
          </w:p>
        </w:tc>
        <w:tc>
          <w:tcPr>
            <w:tcW w:type="dxa" w:w="234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5"/>
              </w:rPr>
              <w:t>NIST AITE</w:t>
            </w:r>
          </w:p>
        </w:tc>
        <w:tc>
          <w:tcPr>
            <w:tcW w:type="dxa" w:w="149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5"/>
              </w:rPr>
              <w:t>政府 operational program</w:t>
            </w:r>
          </w:p>
        </w:tc>
        <w:tc>
          <w:tcPr>
            <w:tcW w:type="dxa" w:w="262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5"/>
              </w:rPr>
              <w:t>Sequestered blind EaaS 实例</w:t>
            </w:r>
          </w:p>
        </w:tc>
        <w:tc>
          <w:tcPr>
            <w:tcW w:type="dxa" w:w="205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5"/>
              </w:rPr>
              <w:t>Early phase，不是成熟效果证明</w:t>
            </w:r>
          </w:p>
        </w:tc>
      </w:tr>
      <w:tr>
        <w:trPr>
          <w:cantSplit/>
        </w:trPr>
        <w:tc>
          <w:tcPr>
            <w:tcW w:type="dxa" w:w="84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5"/>
              </w:rPr>
              <w:t>R21</w:t>
            </w:r>
          </w:p>
        </w:tc>
        <w:tc>
          <w:tcPr>
            <w:tcW w:type="dxa" w:w="234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5"/>
              </w:rPr>
              <w:t>NIST TREC</w:t>
            </w:r>
          </w:p>
        </w:tc>
        <w:tc>
          <w:tcPr>
            <w:tcW w:type="dxa" w:w="149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5"/>
              </w:rPr>
              <w:t>政府长期 benchmark</w:t>
            </w:r>
          </w:p>
        </w:tc>
        <w:tc>
          <w:tcPr>
            <w:tcW w:type="dxa" w:w="262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5"/>
              </w:rPr>
              <w:t>annual tracks、blind runs、archive、test-collection reuse</w:t>
            </w:r>
          </w:p>
        </w:tc>
        <w:tc>
          <w:tcPr>
            <w:tcW w:type="dxa" w:w="205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5"/>
              </w:rPr>
              <w:t>IR 任务与 agent workflow 不同</w:t>
            </w:r>
          </w:p>
        </w:tc>
      </w:tr>
      <w:tr>
        <w:trPr>
          <w:cantSplit/>
        </w:trPr>
        <w:tc>
          <w:tcPr>
            <w:tcW w:type="dxa" w:w="84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5"/>
              </w:rPr>
              <w:t>R22</w:t>
            </w:r>
          </w:p>
        </w:tc>
        <w:tc>
          <w:tcPr>
            <w:tcW w:type="dxa" w:w="234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5"/>
              </w:rPr>
              <w:t>MIA failure modes</w:t>
            </w:r>
          </w:p>
        </w:tc>
        <w:tc>
          <w:tcPr>
            <w:tcW w:type="dxa" w:w="149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5"/>
              </w:rPr>
              <w:t>Independent empirical study</w:t>
            </w:r>
          </w:p>
        </w:tc>
        <w:tc>
          <w:tcPr>
            <w:tcW w:type="dxa" w:w="262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5"/>
              </w:rPr>
              <w:t>Detector near-random/distribution-shift 反证</w:t>
            </w:r>
          </w:p>
        </w:tc>
        <w:tc>
          <w:tcPr>
            <w:tcW w:type="dxa" w:w="205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5"/>
              </w:rPr>
              <w:t>不证明所有 detectors 失败</w:t>
            </w:r>
          </w:p>
        </w:tc>
      </w:tr>
      <w:tr>
        <w:trPr>
          <w:cantSplit/>
        </w:trPr>
        <w:tc>
          <w:tcPr>
            <w:tcW w:type="dxa" w:w="84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5"/>
              </w:rPr>
              <w:t>R23</w:t>
            </w:r>
          </w:p>
        </w:tc>
        <w:tc>
          <w:tcPr>
            <w:tcW w:type="dxa" w:w="234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5"/>
              </w:rPr>
              <w:t>Shaky Ladder</w:t>
            </w:r>
          </w:p>
        </w:tc>
        <w:tc>
          <w:tcPr>
            <w:tcW w:type="dxa" w:w="149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5"/>
              </w:rPr>
              <w:t>Peer-reviewed method/counterexample</w:t>
            </w:r>
          </w:p>
        </w:tc>
        <w:tc>
          <w:tcPr>
            <w:tcW w:type="dxa" w:w="262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5"/>
              </w:rPr>
              <w:t>Adaptive leaderboard attack 与持续 red-team</w:t>
            </w:r>
          </w:p>
        </w:tc>
        <w:tc>
          <w:tcPr>
            <w:tcW w:type="dxa" w:w="205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5"/>
              </w:rPr>
              <w:t>不提供项目 quota</w:t>
            </w:r>
          </w:p>
        </w:tc>
      </w:tr>
      <w:tr>
        <w:trPr>
          <w:cantSplit/>
        </w:trPr>
        <w:tc>
          <w:tcPr>
            <w:tcW w:type="dxa" w:w="84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5"/>
              </w:rPr>
              <w:t>R24</w:t>
            </w:r>
          </w:p>
        </w:tc>
        <w:tc>
          <w:tcPr>
            <w:tcW w:type="dxa" w:w="234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5"/>
              </w:rPr>
              <w:t>Dynamic benchmark theory</w:t>
            </w:r>
          </w:p>
        </w:tc>
        <w:tc>
          <w:tcPr>
            <w:tcW w:type="dxa" w:w="149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5"/>
              </w:rPr>
              <w:t>Peer-reviewed theory</w:t>
            </w:r>
          </w:p>
        </w:tc>
        <w:tc>
          <w:tcPr>
            <w:tcW w:type="dxa" w:w="262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5"/>
              </w:rPr>
              <w:t>Stall/noise/representativeness 反证</w:t>
            </w:r>
          </w:p>
        </w:tc>
        <w:tc>
          <w:tcPr>
            <w:tcW w:type="dxa" w:w="205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5"/>
              </w:rPr>
              <w:t>形式模型，不是 ALE measurement</w:t>
            </w:r>
          </w:p>
        </w:tc>
      </w:tr>
      <w:tr>
        <w:trPr>
          <w:cantSplit/>
        </w:trPr>
        <w:tc>
          <w:tcPr>
            <w:tcW w:type="dxa" w:w="84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5"/>
              </w:rPr>
              <w:t>R25</w:t>
            </w:r>
          </w:p>
        </w:tc>
        <w:tc>
          <w:tcPr>
            <w:tcW w:type="dxa" w:w="234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5"/>
              </w:rPr>
              <w:t>NIST pooling bias</w:t>
            </w:r>
          </w:p>
        </w:tc>
        <w:tc>
          <w:tcPr>
            <w:tcW w:type="dxa" w:w="149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5"/>
              </w:rPr>
              <w:t>Government-hosted empirical method</w:t>
            </w:r>
          </w:p>
        </w:tc>
        <w:tc>
          <w:tcPr>
            <w:tcW w:type="dxa" w:w="262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5"/>
              </w:rPr>
              <w:t>Judgment-pool representativeness 反证</w:t>
            </w:r>
          </w:p>
        </w:tc>
        <w:tc>
          <w:tcPr>
            <w:tcW w:type="dxa" w:w="205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5"/>
              </w:rPr>
              <w:t>IR evidence，不能外推 effect size</w:t>
            </w:r>
          </w:p>
        </w:tc>
      </w:tr>
      <w:tr>
        <w:trPr>
          <w:cantSplit/>
        </w:trPr>
        <w:tc>
          <w:tcPr>
            <w:tcW w:type="dxa" w:w="84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5"/>
              </w:rPr>
              <w:t>C02</w:t>
            </w:r>
          </w:p>
        </w:tc>
        <w:tc>
          <w:tcPr>
            <w:tcW w:type="dxa" w:w="234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5"/>
              </w:rPr>
              <w:t>Rephrased samples</w:t>
            </w:r>
          </w:p>
        </w:tc>
        <w:tc>
          <w:tcPr>
            <w:tcW w:type="dxa" w:w="149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5"/>
              </w:rPr>
              <w:t>Peer-reviewed/preprint empirical</w:t>
            </w:r>
          </w:p>
        </w:tc>
        <w:tc>
          <w:tcPr>
            <w:tcW w:type="dxa" w:w="262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5"/>
              </w:rPr>
              <w:t>paraphrase/translation near-duplicate 风险</w:t>
            </w:r>
          </w:p>
        </w:tc>
        <w:tc>
          <w:tcPr>
            <w:tcW w:type="dxa" w:w="205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5"/>
              </w:rPr>
              <w:t>文本为主</w:t>
            </w:r>
          </w:p>
        </w:tc>
      </w:tr>
      <w:tr>
        <w:trPr>
          <w:cantSplit/>
        </w:trPr>
        <w:tc>
          <w:tcPr>
            <w:tcW w:type="dxa" w:w="84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5"/>
              </w:rPr>
              <w:t>C03</w:t>
            </w:r>
          </w:p>
        </w:tc>
        <w:tc>
          <w:tcPr>
            <w:tcW w:type="dxa" w:w="234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5"/>
              </w:rPr>
              <w:t>Search-time contamination</w:t>
            </w:r>
          </w:p>
        </w:tc>
        <w:tc>
          <w:tcPr>
            <w:tcW w:type="dxa" w:w="149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5"/>
              </w:rPr>
              <w:t>2026 preprint</w:t>
            </w:r>
          </w:p>
        </w:tc>
        <w:tc>
          <w:tcPr>
            <w:tcW w:type="dxa" w:w="262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5"/>
              </w:rPr>
              <w:t>evaluation-time retrieval threat</w:t>
            </w:r>
          </w:p>
        </w:tc>
        <w:tc>
          <w:tcPr>
            <w:tcW w:type="dxa" w:w="205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5"/>
              </w:rPr>
              <w:t>单篇新研究；ALE-specific evidence insufficient</w:t>
            </w:r>
          </w:p>
        </w:tc>
      </w:tr>
      <w:tr>
        <w:trPr>
          <w:cantSplit/>
        </w:trPr>
        <w:tc>
          <w:tcPr>
            <w:tcW w:type="dxa" w:w="84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5"/>
              </w:rPr>
              <w:t>C04</w:t>
            </w:r>
          </w:p>
        </w:tc>
        <w:tc>
          <w:tcPr>
            <w:tcW w:type="dxa" w:w="234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5"/>
              </w:rPr>
              <w:t>Min-K membership detection</w:t>
            </w:r>
          </w:p>
        </w:tc>
        <w:tc>
          <w:tcPr>
            <w:tcW w:type="dxa" w:w="149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5"/>
              </w:rPr>
              <w:t>Peer-reviewed/preprint method</w:t>
            </w:r>
          </w:p>
        </w:tc>
        <w:tc>
          <w:tcPr>
            <w:tcW w:type="dxa" w:w="262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5"/>
              </w:rPr>
              <w:t>black-box exposure signal</w:t>
            </w:r>
          </w:p>
        </w:tc>
        <w:tc>
          <w:tcPr>
            <w:tcW w:type="dxa" w:w="205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5"/>
              </w:rPr>
              <w:t>概率 detector，不是 verdict</w:t>
            </w:r>
          </w:p>
        </w:tc>
      </w:tr>
      <w:tr>
        <w:trPr>
          <w:cantSplit/>
        </w:trPr>
        <w:tc>
          <w:tcPr>
            <w:tcW w:type="dxa" w:w="84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5"/>
              </w:rPr>
              <w:t>C05</w:t>
            </w:r>
          </w:p>
        </w:tc>
        <w:tc>
          <w:tcPr>
            <w:tcW w:type="dxa" w:w="234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5"/>
              </w:rPr>
              <w:t>Reusable holdout</w:t>
            </w:r>
          </w:p>
        </w:tc>
        <w:tc>
          <w:tcPr>
            <w:tcW w:type="dxa" w:w="149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5"/>
              </w:rPr>
              <w:t>Peer-reviewed theory</w:t>
            </w:r>
          </w:p>
        </w:tc>
        <w:tc>
          <w:tcPr>
            <w:tcW w:type="dxa" w:w="262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5"/>
              </w:rPr>
              <w:t>private repeated-query 风险</w:t>
            </w:r>
          </w:p>
        </w:tc>
        <w:tc>
          <w:tcPr>
            <w:tcW w:type="dxa" w:w="205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5"/>
              </w:rPr>
              <w:t>无项目阈值</w:t>
            </w:r>
          </w:p>
        </w:tc>
      </w:tr>
      <w:tr>
        <w:trPr>
          <w:cantSplit/>
        </w:trPr>
        <w:tc>
          <w:tcPr>
            <w:tcW w:type="dxa" w:w="84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5"/>
              </w:rPr>
              <w:t>C06</w:t>
            </w:r>
          </w:p>
        </w:tc>
        <w:tc>
          <w:tcPr>
            <w:tcW w:type="dxa" w:w="234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5"/>
              </w:rPr>
              <w:t>Ladder</w:t>
            </w:r>
          </w:p>
        </w:tc>
        <w:tc>
          <w:tcPr>
            <w:tcW w:type="dxa" w:w="149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5"/>
              </w:rPr>
              <w:t>Peer-reviewed theory</w:t>
            </w:r>
          </w:p>
        </w:tc>
        <w:tc>
          <w:tcPr>
            <w:tcW w:type="dxa" w:w="262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5"/>
              </w:rPr>
              <w:t>Feedback precision/adaptive leaderboard</w:t>
            </w:r>
          </w:p>
        </w:tc>
        <w:tc>
          <w:tcPr>
            <w:tcW w:type="dxa" w:w="205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5"/>
              </w:rPr>
              <w:t>小样本与攻击存在反证</w:t>
            </w:r>
          </w:p>
        </w:tc>
      </w:tr>
      <w:tr>
        <w:trPr>
          <w:cantSplit/>
        </w:trPr>
        <w:tc>
          <w:tcPr>
            <w:tcW w:type="dxa" w:w="84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5"/>
              </w:rPr>
              <w:t>C07</w:t>
            </w:r>
          </w:p>
        </w:tc>
        <w:tc>
          <w:tcPr>
            <w:tcW w:type="dxa" w:w="234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5"/>
              </w:rPr>
              <w:t>BIG-bench canary</w:t>
            </w:r>
          </w:p>
        </w:tc>
        <w:tc>
          <w:tcPr>
            <w:tcW w:type="dxa" w:w="149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5"/>
              </w:rPr>
              <w:t>官方 benchmark code</w:t>
            </w:r>
          </w:p>
        </w:tc>
        <w:tc>
          <w:tcPr>
            <w:tcW w:type="dxa" w:w="262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5"/>
              </w:rPr>
              <w:t>Canary exclusion/diagnostic practice</w:t>
            </w:r>
          </w:p>
        </w:tc>
        <w:tc>
          <w:tcPr>
            <w:tcW w:type="dxa" w:w="205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5"/>
              </w:rPr>
              <w:t>可删除；非强制 crawler control</w:t>
            </w:r>
          </w:p>
        </w:tc>
      </w:tr>
      <w:tr>
        <w:trPr>
          <w:cantSplit/>
        </w:trPr>
        <w:tc>
          <w:tcPr>
            <w:tcW w:type="dxa" w:w="84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5"/>
              </w:rPr>
              <w:t>C08</w:t>
            </w:r>
          </w:p>
        </w:tc>
        <w:tc>
          <w:tcPr>
            <w:tcW w:type="dxa" w:w="234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5"/>
              </w:rPr>
              <w:t>Watermark contamination</w:t>
            </w:r>
          </w:p>
        </w:tc>
        <w:tc>
          <w:tcPr>
            <w:tcW w:type="dxa" w:w="149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5"/>
              </w:rPr>
              <w:t>Research method</w:t>
            </w:r>
          </w:p>
        </w:tc>
        <w:tc>
          <w:tcPr>
            <w:tcW w:type="dxa" w:w="262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5"/>
              </w:rPr>
              <w:t>Statistical exposure attribution</w:t>
            </w:r>
          </w:p>
        </w:tc>
        <w:tc>
          <w:tcPr>
            <w:tcW w:type="dxa" w:w="205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5"/>
              </w:rPr>
              <w:t>Power/utility/false signals 需 pilot</w:t>
            </w:r>
          </w:p>
        </w:tc>
      </w:tr>
      <w:tr>
        <w:trPr>
          <w:cantSplit/>
        </w:trPr>
        <w:tc>
          <w:tcPr>
            <w:tcW w:type="dxa" w:w="84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5"/>
              </w:rPr>
              <w:t>C09</w:t>
            </w:r>
          </w:p>
        </w:tc>
        <w:tc>
          <w:tcPr>
            <w:tcW w:type="dxa" w:w="234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5"/>
              </w:rPr>
              <w:t>Publish without answers</w:t>
            </w:r>
          </w:p>
        </w:tc>
        <w:tc>
          <w:tcPr>
            <w:tcW w:type="dxa" w:w="149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5"/>
              </w:rPr>
              <w:t>Research/counterevidence</w:t>
            </w:r>
          </w:p>
        </w:tc>
        <w:tc>
          <w:tcPr>
            <w:tcW w:type="dxa" w:w="262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5"/>
              </w:rPr>
              <w:t>Private submissions 仍可 overfit</w:t>
            </w:r>
          </w:p>
        </w:tc>
        <w:tc>
          <w:tcPr>
            <w:tcW w:type="dxa" w:w="205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5"/>
              </w:rPr>
              <w:t>任务类型不同</w:t>
            </w:r>
          </w:p>
        </w:tc>
      </w:tr>
      <w:tr>
        <w:trPr>
          <w:cantSplit/>
        </w:trPr>
        <w:tc>
          <w:tcPr>
            <w:tcW w:type="dxa" w:w="84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5"/>
              </w:rPr>
              <w:t>C10</w:t>
            </w:r>
          </w:p>
        </w:tc>
        <w:tc>
          <w:tcPr>
            <w:tcW w:type="dxa" w:w="234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5"/>
              </w:rPr>
              <w:t>Codabench docs</w:t>
            </w:r>
          </w:p>
        </w:tc>
        <w:tc>
          <w:tcPr>
            <w:tcW w:type="dxa" w:w="149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5"/>
              </w:rPr>
              <w:t>官方平台文档</w:t>
            </w:r>
          </w:p>
        </w:tc>
        <w:tc>
          <w:tcPr>
            <w:tcW w:type="dxa" w:w="262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5"/>
              </w:rPr>
              <w:t>Gating、phases、submission history</w:t>
            </w:r>
          </w:p>
        </w:tc>
        <w:tc>
          <w:tcPr>
            <w:tcW w:type="dxa" w:w="205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5"/>
              </w:rPr>
              <w:t>技术能力不等于安全配置</w:t>
            </w:r>
          </w:p>
        </w:tc>
      </w:tr>
      <w:tr>
        <w:trPr>
          <w:cantSplit/>
        </w:trPr>
        <w:tc>
          <w:tcPr>
            <w:tcW w:type="dxa" w:w="84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5"/>
              </w:rPr>
              <w:t>C11</w:t>
            </w:r>
          </w:p>
        </w:tc>
        <w:tc>
          <w:tcPr>
            <w:tcW w:type="dxa" w:w="234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5"/>
              </w:rPr>
              <w:t>Kaggle rules</w:t>
            </w:r>
          </w:p>
        </w:tc>
        <w:tc>
          <w:tcPr>
            <w:tcW w:type="dxa" w:w="149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5"/>
              </w:rPr>
              <w:t>行业实践</w:t>
            </w:r>
          </w:p>
        </w:tc>
        <w:tc>
          <w:tcPr>
            <w:tcW w:type="dxa" w:w="262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5"/>
              </w:rPr>
              <w:t>Public/private leaderboard、submission limits</w:t>
            </w:r>
          </w:p>
        </w:tc>
        <w:tc>
          <w:tcPr>
            <w:tcW w:type="dxa" w:w="205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5"/>
              </w:rPr>
              <w:t>只能作为实践线索</w:t>
            </w:r>
          </w:p>
        </w:tc>
      </w:tr>
      <w:tr>
        <w:trPr>
          <w:cantSplit/>
        </w:trPr>
        <w:tc>
          <w:tcPr>
            <w:tcW w:type="dxa" w:w="84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5"/>
              </w:rPr>
              <w:t>C12</w:t>
            </w:r>
          </w:p>
        </w:tc>
        <w:tc>
          <w:tcPr>
            <w:tcW w:type="dxa" w:w="234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5"/>
              </w:rPr>
              <w:t>NIST SP 800-171r3</w:t>
            </w:r>
          </w:p>
        </w:tc>
        <w:tc>
          <w:tcPr>
            <w:tcW w:type="dxa" w:w="149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5"/>
              </w:rPr>
              <w:t>政府标准</w:t>
            </w:r>
          </w:p>
        </w:tc>
        <w:tc>
          <w:tcPr>
            <w:tcW w:type="dxa" w:w="262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5"/>
              </w:rPr>
              <w:t>Least privilege、protected audit</w:t>
            </w:r>
          </w:p>
        </w:tc>
        <w:tc>
          <w:tcPr>
            <w:tcW w:type="dxa" w:w="205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5"/>
              </w:rPr>
              <w:t>不是 measurement-validity 标准</w:t>
            </w:r>
          </w:p>
        </w:tc>
      </w:tr>
      <w:tr>
        <w:trPr>
          <w:cantSplit/>
        </w:trPr>
        <w:tc>
          <w:tcPr>
            <w:tcW w:type="dxa" w:w="84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5"/>
              </w:rPr>
              <w:t>C13</w:t>
            </w:r>
          </w:p>
        </w:tc>
        <w:tc>
          <w:tcPr>
            <w:tcW w:type="dxa" w:w="234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5"/>
              </w:rPr>
              <w:t>W3C PROV</w:t>
            </w:r>
          </w:p>
        </w:tc>
        <w:tc>
          <w:tcPr>
            <w:tcW w:type="dxa" w:w="149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5"/>
              </w:rPr>
              <w:t>标准</w:t>
            </w:r>
          </w:p>
        </w:tc>
        <w:tc>
          <w:tcPr>
            <w:tcW w:type="dxa" w:w="262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5"/>
              </w:rPr>
              <w:t>Provenance graph</w:t>
            </w:r>
          </w:p>
        </w:tc>
        <w:tc>
          <w:tcPr>
            <w:tcW w:type="dxa" w:w="205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5"/>
              </w:rPr>
              <w:t>不提供 tamper resistance</w:t>
            </w:r>
          </w:p>
        </w:tc>
      </w:tr>
      <w:tr>
        <w:trPr>
          <w:cantSplit/>
        </w:trPr>
        <w:tc>
          <w:tcPr>
            <w:tcW w:type="dxa" w:w="84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5"/>
              </w:rPr>
              <w:t>C14</w:t>
            </w:r>
          </w:p>
        </w:tc>
        <w:tc>
          <w:tcPr>
            <w:tcW w:type="dxa" w:w="234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5"/>
              </w:rPr>
              <w:t>WIPO trade-secret guidance</w:t>
            </w:r>
          </w:p>
        </w:tc>
        <w:tc>
          <w:tcPr>
            <w:tcW w:type="dxa" w:w="149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5"/>
              </w:rPr>
              <w:t>政府间机构实践</w:t>
            </w:r>
          </w:p>
        </w:tc>
        <w:tc>
          <w:tcPr>
            <w:tcW w:type="dxa" w:w="262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5"/>
              </w:rPr>
              <w:t>Need-to-know、copy tracking、access records</w:t>
            </w:r>
          </w:p>
        </w:tc>
        <w:tc>
          <w:tcPr>
            <w:tcW w:type="dxa" w:w="205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5"/>
              </w:rPr>
              <w:t>法律适用需客户法务确认</w:t>
            </w:r>
          </w:p>
        </w:tc>
      </w:tr>
      <w:tr>
        <w:trPr>
          <w:cantSplit/>
        </w:trPr>
        <w:tc>
          <w:tcPr>
            <w:tcW w:type="dxa" w:w="84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5"/>
              </w:rPr>
              <w:t>C15</w:t>
            </w:r>
          </w:p>
        </w:tc>
        <w:tc>
          <w:tcPr>
            <w:tcW w:type="dxa" w:w="234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5"/>
              </w:rPr>
              <w:t>MLCommons audit rules</w:t>
            </w:r>
          </w:p>
        </w:tc>
        <w:tc>
          <w:tcPr>
            <w:tcW w:type="dxa" w:w="149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5"/>
              </w:rPr>
              <w:t>官方规则</w:t>
            </w:r>
          </w:p>
        </w:tc>
        <w:tc>
          <w:tcPr>
            <w:tcW w:type="dxa" w:w="262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5"/>
              </w:rPr>
              <w:t>Independent audit、run restrictions</w:t>
            </w:r>
          </w:p>
        </w:tc>
        <w:tc>
          <w:tcPr>
            <w:tcW w:type="dxa" w:w="205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5"/>
              </w:rPr>
              <w:t>不能单独证明 benchmark validity</w:t>
            </w:r>
          </w:p>
        </w:tc>
      </w:tr>
      <w:tr>
        <w:trPr>
          <w:cantSplit/>
        </w:trPr>
        <w:tc>
          <w:tcPr>
            <w:tcW w:type="dxa" w:w="84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5"/>
              </w:rPr>
              <w:t>C16</w:t>
            </w:r>
          </w:p>
        </w:tc>
        <w:tc>
          <w:tcPr>
            <w:tcW w:type="dxa" w:w="234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5"/>
              </w:rPr>
              <w:t>MMLU-CF</w:t>
            </w:r>
          </w:p>
        </w:tc>
        <w:tc>
          <w:tcPr>
            <w:tcW w:type="dxa" w:w="149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5"/>
              </w:rPr>
              <w:t>Research benchmark</w:t>
            </w:r>
          </w:p>
        </w:tc>
        <w:tc>
          <w:tcPr>
            <w:tcW w:type="dxa" w:w="262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5"/>
              </w:rPr>
              <w:t>Public validation + closed test 模式</w:t>
            </w:r>
          </w:p>
        </w:tc>
        <w:tc>
          <w:tcPr>
            <w:tcW w:type="dxa" w:w="205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5"/>
              </w:rPr>
              <w:t>与 ALE task form 不同</w:t>
            </w:r>
          </w:p>
        </w:tc>
      </w:tr>
      <w:tr>
        <w:trPr>
          <w:cantSplit/>
        </w:trPr>
        <w:tc>
          <w:tcPr>
            <w:tcW w:type="dxa" w:w="84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5"/>
              </w:rPr>
              <w:t>C17</w:t>
            </w:r>
          </w:p>
        </w:tc>
        <w:tc>
          <w:tcPr>
            <w:tcW w:type="dxa" w:w="234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5"/>
              </w:rPr>
              <w:t>Open contamination report</w:t>
            </w:r>
          </w:p>
        </w:tc>
        <w:tc>
          <w:tcPr>
            <w:tcW w:type="dxa" w:w="149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5"/>
              </w:rPr>
              <w:t>Independent study</w:t>
            </w:r>
          </w:p>
        </w:tc>
        <w:tc>
          <w:tcPr>
            <w:tcW w:type="dxa" w:w="262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5"/>
              </w:rPr>
              <w:t>污染 effect 非统一的反证</w:t>
            </w:r>
          </w:p>
        </w:tc>
        <w:tc>
          <w:tcPr>
            <w:tcW w:type="dxa" w:w="205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5"/>
              </w:rPr>
              <w:t>不证明 ALE effect</w:t>
            </w:r>
          </w:p>
        </w:tc>
      </w:tr>
      <w:tr>
        <w:trPr>
          <w:cantSplit/>
        </w:trPr>
        <w:tc>
          <w:tcPr>
            <w:tcW w:type="dxa" w:w="84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5"/>
              </w:rPr>
              <w:t>C18</w:t>
            </w:r>
          </w:p>
        </w:tc>
        <w:tc>
          <w:tcPr>
            <w:tcW w:type="dxa" w:w="234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5"/>
              </w:rPr>
              <w:t>SWE-rebench fresh trade-off</w:t>
            </w:r>
          </w:p>
        </w:tc>
        <w:tc>
          <w:tcPr>
            <w:tcW w:type="dxa" w:w="149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5"/>
              </w:rPr>
              <w:t>Peer-reviewed benchmark</w:t>
            </w:r>
          </w:p>
        </w:tc>
        <w:tc>
          <w:tcPr>
            <w:tcW w:type="dxa" w:w="262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5"/>
              </w:rPr>
              <w:t>Freshness 与自动 QA trade-off</w:t>
            </w:r>
          </w:p>
        </w:tc>
        <w:tc>
          <w:tcPr>
            <w:tcW w:type="dxa" w:w="205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5"/>
              </w:rPr>
              <w:t>Creator claims 需 audit</w:t>
            </w:r>
          </w:p>
        </w:tc>
      </w:tr>
      <w:tr>
        <w:trPr>
          <w:cantSplit/>
        </w:trPr>
        <w:tc>
          <w:tcPr>
            <w:tcW w:type="dxa" w:w="84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5"/>
              </w:rPr>
              <w:t>C19</w:t>
            </w:r>
          </w:p>
        </w:tc>
        <w:tc>
          <w:tcPr>
            <w:tcW w:type="dxa" w:w="234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5"/>
              </w:rPr>
              <w:t>Controlled contamination impact</w:t>
            </w:r>
          </w:p>
        </w:tc>
        <w:tc>
          <w:tcPr>
            <w:tcW w:type="dxa" w:w="149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5"/>
              </w:rPr>
              <w:t>Peer-reviewed empirical</w:t>
            </w:r>
          </w:p>
        </w:tc>
        <w:tc>
          <w:tcPr>
            <w:tcW w:type="dxa" w:w="262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5"/>
              </w:rPr>
              <w:t>暴露内容/阶段影响 effect</w:t>
            </w:r>
          </w:p>
        </w:tc>
        <w:tc>
          <w:tcPr>
            <w:tcW w:type="dxa" w:w="205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5"/>
              </w:rPr>
              <w:t>非 agent artifact workflow</w:t>
            </w:r>
          </w:p>
        </w:tc>
      </w:tr>
      <w:tr>
        <w:trPr>
          <w:cantSplit/>
        </w:trPr>
        <w:tc>
          <w:tcPr>
            <w:tcW w:type="dxa" w:w="84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5"/>
              </w:rPr>
              <w:t>L04</w:t>
            </w:r>
          </w:p>
        </w:tc>
        <w:tc>
          <w:tcPr>
            <w:tcW w:type="dxa" w:w="234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5"/>
              </w:rPr>
              <w:t>Dynabench releases</w:t>
            </w:r>
          </w:p>
        </w:tc>
        <w:tc>
          <w:tcPr>
            <w:tcW w:type="dxa" w:w="149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5"/>
              </w:rPr>
              <w:t>Peer-reviewed method</w:t>
            </w:r>
          </w:p>
        </w:tc>
        <w:tc>
          <w:tcPr>
            <w:tcW w:type="dxa" w:w="262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5"/>
              </w:rPr>
              <w:t>Release-specific noncomparability</w:t>
            </w:r>
          </w:p>
        </w:tc>
        <w:tc>
          <w:tcPr>
            <w:tcW w:type="dxa" w:w="205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5"/>
              </w:rPr>
              <w:t>不能给 bridge 参数</w:t>
            </w:r>
          </w:p>
        </w:tc>
      </w:tr>
      <w:tr>
        <w:trPr>
          <w:cantSplit/>
        </w:trPr>
        <w:tc>
          <w:tcPr>
            <w:tcW w:type="dxa" w:w="84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5"/>
              </w:rPr>
              <w:t>L05</w:t>
            </w:r>
          </w:p>
        </w:tc>
        <w:tc>
          <w:tcPr>
            <w:tcW w:type="dxa" w:w="234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5"/>
              </w:rPr>
              <w:t>NIST AI 800-2 records</w:t>
            </w:r>
          </w:p>
        </w:tc>
        <w:tc>
          <w:tcPr>
            <w:tcW w:type="dxa" w:w="149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5"/>
              </w:rPr>
              <w:t>政府 draft</w:t>
            </w:r>
          </w:p>
        </w:tc>
        <w:tc>
          <w:tcPr>
            <w:tcW w:type="dxa" w:w="262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5"/>
              </w:rPr>
              <w:t>Precise versions、logs、QA、bugs</w:t>
            </w:r>
          </w:p>
        </w:tc>
        <w:tc>
          <w:tcPr>
            <w:tcW w:type="dxa" w:w="205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5"/>
              </w:rPr>
              <w:t>Draft</w:t>
            </w:r>
          </w:p>
        </w:tc>
      </w:tr>
      <w:tr>
        <w:trPr>
          <w:cantSplit/>
        </w:trPr>
        <w:tc>
          <w:tcPr>
            <w:tcW w:type="dxa" w:w="84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5"/>
              </w:rPr>
              <w:t>L06</w:t>
            </w:r>
          </w:p>
        </w:tc>
        <w:tc>
          <w:tcPr>
            <w:tcW w:type="dxa" w:w="234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5"/>
              </w:rPr>
              <w:t>NCES linking standard</w:t>
            </w:r>
          </w:p>
        </w:tc>
        <w:tc>
          <w:tcPr>
            <w:tcW w:type="dxa" w:w="149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5"/>
              </w:rPr>
              <w:t>政府统计标准</w:t>
            </w:r>
          </w:p>
        </w:tc>
        <w:tc>
          <w:tcPr>
            <w:tcW w:type="dxa" w:w="262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5"/>
              </w:rPr>
              <w:t>Linking design、error、invariance</w:t>
            </w:r>
          </w:p>
        </w:tc>
        <w:tc>
          <w:tcPr>
            <w:tcW w:type="dxa" w:w="205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5"/>
              </w:rPr>
              <w:t>教育测量迁移边界</w:t>
            </w:r>
          </w:p>
        </w:tc>
      </w:tr>
      <w:tr>
        <w:trPr>
          <w:cantSplit/>
        </w:trPr>
        <w:tc>
          <w:tcPr>
            <w:tcW w:type="dxa" w:w="84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5"/>
              </w:rPr>
              <w:t>L07</w:t>
            </w:r>
          </w:p>
        </w:tc>
        <w:tc>
          <w:tcPr>
            <w:tcW w:type="dxa" w:w="234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5"/>
              </w:rPr>
              <w:t>Testing Standards</w:t>
            </w:r>
          </w:p>
        </w:tc>
        <w:tc>
          <w:tcPr>
            <w:tcW w:type="dxa" w:w="149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5"/>
              </w:rPr>
              <w:t>专业标准</w:t>
            </w:r>
          </w:p>
        </w:tc>
        <w:tc>
          <w:tcPr>
            <w:tcW w:type="dxa" w:w="262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5"/>
              </w:rPr>
              <w:t>Anchor/common items、substantial change</w:t>
            </w:r>
          </w:p>
        </w:tc>
        <w:tc>
          <w:tcPr>
            <w:tcW w:type="dxa" w:w="205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5"/>
              </w:rPr>
              <w:t>非 agent-specific</w:t>
            </w:r>
          </w:p>
        </w:tc>
      </w:tr>
      <w:tr>
        <w:trPr>
          <w:cantSplit/>
        </w:trPr>
        <w:tc>
          <w:tcPr>
            <w:tcW w:type="dxa" w:w="84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5"/>
              </w:rPr>
              <w:t>L08</w:t>
            </w:r>
          </w:p>
        </w:tc>
        <w:tc>
          <w:tcPr>
            <w:tcW w:type="dxa" w:w="234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5"/>
              </w:rPr>
              <w:t>PISA bridge design</w:t>
            </w:r>
          </w:p>
        </w:tc>
        <w:tc>
          <w:tcPr>
            <w:tcW w:type="dxa" w:w="149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5"/>
              </w:rPr>
              <w:t>政府间技术方法</w:t>
            </w:r>
          </w:p>
        </w:tc>
        <w:tc>
          <w:tcPr>
            <w:tcW w:type="dxa" w:w="262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5"/>
              </w:rPr>
              <w:t>Cross-cycle/mode bridge</w:t>
            </w:r>
          </w:p>
        </w:tc>
        <w:tc>
          <w:tcPr>
            <w:tcW w:type="dxa" w:w="205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5"/>
              </w:rPr>
              <w:t>不能直接 equate agent scores</w:t>
            </w:r>
          </w:p>
        </w:tc>
      </w:tr>
      <w:tr>
        <w:trPr>
          <w:cantSplit/>
        </w:trPr>
        <w:tc>
          <w:tcPr>
            <w:tcW w:type="dxa" w:w="84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5"/>
              </w:rPr>
              <w:t>L09</w:t>
            </w:r>
          </w:p>
        </w:tc>
        <w:tc>
          <w:tcPr>
            <w:tcW w:type="dxa" w:w="234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5"/>
              </w:rPr>
              <w:t>NIST AI RMF monitor</w:t>
            </w:r>
          </w:p>
        </w:tc>
        <w:tc>
          <w:tcPr>
            <w:tcW w:type="dxa" w:w="149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5"/>
              </w:rPr>
              <w:t>政府治理</w:t>
            </w:r>
          </w:p>
        </w:tc>
        <w:tc>
          <w:tcPr>
            <w:tcW w:type="dxa" w:w="262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5"/>
              </w:rPr>
              <w:t>Monitor/change/decommission</w:t>
            </w:r>
          </w:p>
        </w:tc>
        <w:tc>
          <w:tcPr>
            <w:tcW w:type="dxa" w:w="205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5"/>
              </w:rPr>
              <w:t>Operationalization 为项目建议</w:t>
            </w:r>
          </w:p>
        </w:tc>
      </w:tr>
      <w:tr>
        <w:trPr>
          <w:cantSplit/>
        </w:trPr>
        <w:tc>
          <w:tcPr>
            <w:tcW w:type="dxa" w:w="84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5"/>
              </w:rPr>
              <w:t>L10</w:t>
            </w:r>
          </w:p>
        </w:tc>
        <w:tc>
          <w:tcPr>
            <w:tcW w:type="dxa" w:w="234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5"/>
              </w:rPr>
              <w:t>W3C PROV-O</w:t>
            </w:r>
          </w:p>
        </w:tc>
        <w:tc>
          <w:tcPr>
            <w:tcW w:type="dxa" w:w="149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5"/>
              </w:rPr>
              <w:t>标准</w:t>
            </w:r>
          </w:p>
        </w:tc>
        <w:tc>
          <w:tcPr>
            <w:tcW w:type="dxa" w:w="262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5"/>
              </w:rPr>
              <w:t>Immutable version/derivation model</w:t>
            </w:r>
          </w:p>
        </w:tc>
        <w:tc>
          <w:tcPr>
            <w:tcW w:type="dxa" w:w="205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5"/>
              </w:rPr>
              <w:t>不证明 content correctness</w:t>
            </w:r>
          </w:p>
        </w:tc>
      </w:tr>
      <w:tr>
        <w:trPr>
          <w:cantSplit/>
        </w:trPr>
        <w:tc>
          <w:tcPr>
            <w:tcW w:type="dxa" w:w="84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5"/>
              </w:rPr>
              <w:t>L11</w:t>
            </w:r>
          </w:p>
        </w:tc>
        <w:tc>
          <w:tcPr>
            <w:tcW w:type="dxa" w:w="234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5"/>
              </w:rPr>
              <w:t>NIST incident response</w:t>
            </w:r>
          </w:p>
        </w:tc>
        <w:tc>
          <w:tcPr>
            <w:tcW w:type="dxa" w:w="149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5"/>
              </w:rPr>
              <w:t>政府指南</w:t>
            </w:r>
          </w:p>
        </w:tc>
        <w:tc>
          <w:tcPr>
            <w:tcW w:type="dxa" w:w="262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5"/>
              </w:rPr>
              <w:t>Incident process</w:t>
            </w:r>
          </w:p>
        </w:tc>
        <w:tc>
          <w:tcPr>
            <w:tcW w:type="dxa" w:w="205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5"/>
              </w:rPr>
              <w:t>Leaderboard policy 非原文</w:t>
            </w:r>
          </w:p>
        </w:tc>
      </w:tr>
      <w:tr>
        <w:trPr>
          <w:cantSplit/>
        </w:trPr>
        <w:tc>
          <w:tcPr>
            <w:tcW w:type="dxa" w:w="84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5"/>
              </w:rPr>
              <w:t>L12</w:t>
            </w:r>
          </w:p>
        </w:tc>
        <w:tc>
          <w:tcPr>
            <w:tcW w:type="dxa" w:w="234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5"/>
              </w:rPr>
              <w:t>SWE-Bench+ audit</w:t>
            </w:r>
          </w:p>
        </w:tc>
        <w:tc>
          <w:tcPr>
            <w:tcW w:type="dxa" w:w="149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5"/>
              </w:rPr>
              <w:t>Independent audit</w:t>
            </w:r>
          </w:p>
        </w:tc>
        <w:tc>
          <w:tcPr>
            <w:tcW w:type="dxa" w:w="262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5"/>
              </w:rPr>
              <w:t>Solution/grader quality failure</w:t>
            </w:r>
          </w:p>
        </w:tc>
        <w:tc>
          <w:tcPr>
            <w:tcW w:type="dxa" w:w="205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5"/>
              </w:rPr>
              <w:t>不外推全体缺陷率</w:t>
            </w:r>
          </w:p>
        </w:tc>
      </w:tr>
      <w:tr>
        <w:trPr>
          <w:cantSplit/>
        </w:trPr>
        <w:tc>
          <w:tcPr>
            <w:tcW w:type="dxa" w:w="84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5"/>
              </w:rPr>
              <w:t>L13</w:t>
            </w:r>
          </w:p>
        </w:tc>
        <w:tc>
          <w:tcPr>
            <w:tcW w:type="dxa" w:w="234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5"/>
              </w:rPr>
              <w:t>UTBoost regrade</w:t>
            </w:r>
          </w:p>
        </w:tc>
        <w:tc>
          <w:tcPr>
            <w:tcW w:type="dxa" w:w="149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5"/>
              </w:rPr>
              <w:t>Peer-reviewed audit</w:t>
            </w:r>
          </w:p>
        </w:tc>
        <w:tc>
          <w:tcPr>
            <w:tcW w:type="dxa" w:w="262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5"/>
              </w:rPr>
              <w:t>Regrade 改变 score/rank</w:t>
            </w:r>
          </w:p>
        </w:tc>
        <w:tc>
          <w:tcPr>
            <w:tcW w:type="dxa" w:w="205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5"/>
              </w:rPr>
              <w:t>不能证明新 grader 是同一尺度</w:t>
            </w:r>
          </w:p>
        </w:tc>
      </w:tr>
      <w:tr>
        <w:trPr>
          <w:cantSplit/>
        </w:trPr>
        <w:tc>
          <w:tcPr>
            <w:tcW w:type="dxa" w:w="84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5"/>
              </w:rPr>
              <w:t>L14</w:t>
            </w:r>
          </w:p>
        </w:tc>
        <w:tc>
          <w:tcPr>
            <w:tcW w:type="dxa" w:w="234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5"/>
              </w:rPr>
              <w:t>SWE-bench-Live</w:t>
            </w:r>
          </w:p>
        </w:tc>
        <w:tc>
          <w:tcPr>
            <w:tcW w:type="dxa" w:w="149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5"/>
              </w:rPr>
              <w:t>官方 operational docs</w:t>
            </w:r>
          </w:p>
        </w:tc>
        <w:tc>
          <w:tcPr>
            <w:tcW w:type="dxa" w:w="262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5"/>
              </w:rPr>
              <w:t>Frozen/live split 实例</w:t>
            </w:r>
          </w:p>
        </w:tc>
        <w:tc>
          <w:tcPr>
            <w:tcW w:type="dxa" w:w="205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5"/>
              </w:rPr>
              <w:t>实践线索，不单独支撑政策</w:t>
            </w:r>
          </w:p>
        </w:tc>
      </w:tr>
      <w:tr>
        <w:trPr>
          <w:cantSplit/>
        </w:trPr>
        <w:tc>
          <w:tcPr>
            <w:tcW w:type="dxa" w:w="84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5"/>
              </w:rPr>
              <w:t>L15</w:t>
            </w:r>
          </w:p>
        </w:tc>
        <w:tc>
          <w:tcPr>
            <w:tcW w:type="dxa" w:w="234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5"/>
              </w:rPr>
              <w:t>TRUCE</w:t>
            </w:r>
          </w:p>
        </w:tc>
        <w:tc>
          <w:tcPr>
            <w:tcW w:type="dxa" w:w="149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5"/>
              </w:rPr>
              <w:t>Private-eval research</w:t>
            </w:r>
          </w:p>
        </w:tc>
        <w:tc>
          <w:tcPr>
            <w:tcW w:type="dxa" w:w="262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5"/>
              </w:rPr>
              <w:t>Privacy/auditability trade-off</w:t>
            </w:r>
          </w:p>
        </w:tc>
        <w:tc>
          <w:tcPr>
            <w:tcW w:type="dxa" w:w="205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5"/>
              </w:rPr>
              <w:t>仍需真实第三方 audit</w:t>
            </w:r>
          </w:p>
        </w:tc>
      </w:tr>
      <w:tr>
        <w:trPr>
          <w:cantSplit/>
        </w:trPr>
        <w:tc>
          <w:tcPr>
            <w:tcW w:type="dxa" w:w="84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5"/>
              </w:rPr>
              <w:t>L16</w:t>
            </w:r>
          </w:p>
        </w:tc>
        <w:tc>
          <w:tcPr>
            <w:tcW w:type="dxa" w:w="234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5"/>
              </w:rPr>
              <w:t>OpenAI retirement post</w:t>
            </w:r>
          </w:p>
        </w:tc>
        <w:tc>
          <w:tcPr>
            <w:tcW w:type="dxa" w:w="149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5"/>
              </w:rPr>
              <w:t>Vendor/creator case</w:t>
            </w:r>
          </w:p>
        </w:tc>
        <w:tc>
          <w:tcPr>
            <w:tcW w:type="dxa" w:w="262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5"/>
              </w:rPr>
              <w:t>Retirement/disclosure 示例</w:t>
            </w:r>
          </w:p>
        </w:tc>
        <w:tc>
          <w:tcPr>
            <w:tcW w:type="dxa" w:w="205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5"/>
              </w:rPr>
              <w:t>供应商材料不能单独支撑通用结论</w:t>
            </w:r>
          </w:p>
        </w:tc>
      </w:tr>
    </w:tbl>
    <w:p>
      <w:pPr>
        <w:pStyle w:val="Heading1"/>
        <w:pageBreakBefore/>
      </w:pPr>
      <w:r>
        <w:rPr>
          <w:rFonts w:ascii="Calibri" w:hAnsi="Calibri" w:eastAsia="Microsoft YaHei"/>
          <w:color w:val="2E74B5"/>
          <w:sz w:val="32"/>
        </w:rPr>
        <w:t>18. Refresh targets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0D5DD"/>
          <w:left w:val="single" w:sz="6" w:space="0" w:color="D0D5DD"/>
          <w:bottom w:val="single" w:sz="6" w:space="0" w:color="D0D5DD"/>
          <w:right w:val="single" w:sz="6" w:space="0" w:color="D0D5DD"/>
          <w:insideH w:val="single" w:sz="6" w:space="0" w:color="D0D5DD"/>
          <w:insideV w:val="single" w:sz="6" w:space="0" w:color="D0D5DD"/>
        </w:tblBorders>
      </w:tblPr>
      <w:tblGrid>
        <w:gridCol w:w="1872"/>
        <w:gridCol w:w="1872"/>
        <w:gridCol w:w="1872"/>
        <w:gridCol w:w="1872"/>
        <w:gridCol w:w="1872"/>
      </w:tblGrid>
      <w:tr>
        <w:trPr>
          <w:cantSplit/>
          <w:tblHeader w:val="true"/>
        </w:trPr>
        <w:tc>
          <w:tcPr>
            <w:tcW w:type="dxa" w:w="84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163A5F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b/>
                <w:color w:val="FFFFFF"/>
                <w:sz w:val="15"/>
              </w:rPr>
              <w:t>Target</w:t>
            </w:r>
          </w:p>
        </w:tc>
        <w:tc>
          <w:tcPr>
            <w:tcW w:type="dxa" w:w="234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163A5F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b/>
                <w:color w:val="FFFFFF"/>
                <w:sz w:val="15"/>
              </w:rPr>
              <w:t>为什么 mutable</w:t>
            </w:r>
          </w:p>
        </w:tc>
        <w:tc>
          <w:tcPr>
            <w:tcW w:type="dxa" w:w="149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163A5F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b/>
                <w:color w:val="FFFFFF"/>
                <w:sz w:val="15"/>
              </w:rPr>
              <w:t>何时触发 refresh</w:t>
            </w:r>
          </w:p>
        </w:tc>
        <w:tc>
          <w:tcPr>
            <w:tcW w:type="dxa" w:w="262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163A5F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b/>
                <w:color w:val="FFFFFF"/>
                <w:sz w:val="15"/>
              </w:rPr>
              <w:t>核验动作</w:t>
            </w:r>
          </w:p>
        </w:tc>
        <w:tc>
          <w:tcPr>
            <w:tcW w:type="dxa" w:w="205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163A5F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b/>
                <w:color w:val="FFFFFF"/>
                <w:sz w:val="15"/>
              </w:rPr>
              <w:t>Owner</w:t>
            </w:r>
          </w:p>
        </w:tc>
      </w:tr>
      <w:tr>
        <w:trPr>
          <w:cantSplit/>
        </w:trPr>
        <w:tc>
          <w:tcPr>
            <w:tcW w:type="dxa" w:w="84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5"/>
              </w:rPr>
              <w:t>ALE paper/code/HF frozen surfaces</w:t>
            </w:r>
          </w:p>
        </w:tc>
        <w:tc>
          <w:tcPr>
            <w:tcW w:type="dxa" w:w="234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5"/>
              </w:rPr>
              <w:t>后续 commit、revision、task/grader/license/runtime 可变化</w:t>
            </w:r>
          </w:p>
        </w:tc>
        <w:tc>
          <w:tcPr>
            <w:tcW w:type="dxa" w:w="149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5"/>
              </w:rPr>
              <w:t>新 release、grader fix、task removal、rotation、leaderboard archive</w:t>
            </w:r>
          </w:p>
        </w:tc>
        <w:tc>
          <w:tcPr>
            <w:tcW w:type="dxa" w:w="262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5"/>
              </w:rPr>
              <w:t>保留 frozen ledger；paper/code/HF 分别 diff，不回写旧事实</w:t>
            </w:r>
          </w:p>
        </w:tc>
        <w:tc>
          <w:tcPr>
            <w:tcW w:type="dxa" w:w="205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5"/>
              </w:rPr>
              <w:t>Benchmark research owner</w:t>
            </w:r>
          </w:p>
        </w:tc>
      </w:tr>
      <w:tr>
        <w:trPr>
          <w:cantSplit/>
        </w:trPr>
        <w:tc>
          <w:tcPr>
            <w:tcW w:type="dxa" w:w="84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5"/>
              </w:rPr>
              <w:t>NIST AI 800-2</w:t>
            </w:r>
          </w:p>
        </w:tc>
        <w:tc>
          <w:tcPr>
            <w:tcW w:type="dxa" w:w="234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5"/>
              </w:rPr>
              <w:t>Initial public draft</w:t>
            </w:r>
          </w:p>
        </w:tc>
        <w:tc>
          <w:tcPr>
            <w:tcW w:type="dxa" w:w="149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5"/>
              </w:rPr>
              <w:t>Final publication 或 major draft</w:t>
            </w:r>
          </w:p>
        </w:tc>
        <w:tc>
          <w:tcPr>
            <w:tcW w:type="dxa" w:w="262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5"/>
              </w:rPr>
              <w:t>对 objective/log/version/cheating/reporting 逐节 diff</w:t>
            </w:r>
          </w:p>
        </w:tc>
        <w:tc>
          <w:tcPr>
            <w:tcW w:type="dxa" w:w="205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5"/>
              </w:rPr>
              <w:t>Standards owner</w:t>
            </w:r>
          </w:p>
        </w:tc>
      </w:tr>
      <w:tr>
        <w:trPr>
          <w:cantSplit/>
        </w:trPr>
        <w:tc>
          <w:tcPr>
            <w:tcW w:type="dxa" w:w="84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5"/>
              </w:rPr>
              <w:t>NIST AITE</w:t>
            </w:r>
          </w:p>
        </w:tc>
        <w:tc>
          <w:tcPr>
            <w:tcW w:type="dxa" w:w="234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5"/>
              </w:rPr>
              <w:t>Early/evolving program</w:t>
            </w:r>
          </w:p>
        </w:tc>
        <w:tc>
          <w:tcPr>
            <w:tcW w:type="dxa" w:w="149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5"/>
              </w:rPr>
              <w:t>Operational rules、audit、blind-data/execution changes</w:t>
            </w:r>
          </w:p>
        </w:tc>
        <w:tc>
          <w:tcPr>
            <w:tcW w:type="dxa" w:w="262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5"/>
              </w:rPr>
              <w:t>更新 sequestered EaaS、evidence/appeal 边界</w:t>
            </w:r>
          </w:p>
        </w:tc>
        <w:tc>
          <w:tcPr>
            <w:tcW w:type="dxa" w:w="205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5"/>
              </w:rPr>
              <w:t>Evaluation-ops owner</w:t>
            </w:r>
          </w:p>
        </w:tc>
      </w:tr>
      <w:tr>
        <w:trPr>
          <w:cantSplit/>
        </w:trPr>
        <w:tc>
          <w:tcPr>
            <w:tcW w:type="dxa" w:w="84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5"/>
              </w:rPr>
              <w:t>MLPerf Endpoints / inference rules</w:t>
            </w:r>
          </w:p>
        </w:tc>
        <w:tc>
          <w:tcPr>
            <w:tcW w:type="dxa" w:w="234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5"/>
              </w:rPr>
              <w:t>v0.x、rolling roadmap、GitHub rules mutable</w:t>
            </w:r>
          </w:p>
        </w:tc>
        <w:tc>
          <w:tcPr>
            <w:tcW w:type="dxa" w:w="149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5"/>
              </w:rPr>
              <w:t>Tag/release/rules/audit/change log</w:t>
            </w:r>
          </w:p>
        </w:tc>
        <w:tc>
          <w:tcPr>
            <w:tcW w:type="dxa" w:w="262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5"/>
              </w:rPr>
              <w:t>Pin tag/commit；更新 manifest、audit、continuous-review evidence</w:t>
            </w:r>
          </w:p>
        </w:tc>
        <w:tc>
          <w:tcPr>
            <w:tcW w:type="dxa" w:w="205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5"/>
              </w:rPr>
              <w:t>Benchmark research owner</w:t>
            </w:r>
          </w:p>
        </w:tc>
      </w:tr>
      <w:tr>
        <w:trPr>
          <w:cantSplit/>
        </w:trPr>
        <w:tc>
          <w:tcPr>
            <w:tcW w:type="dxa" w:w="84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5"/>
              </w:rPr>
              <w:t>Codabench / Kaggle practice</w:t>
            </w:r>
          </w:p>
        </w:tc>
        <w:tc>
          <w:tcPr>
            <w:tcW w:type="dxa" w:w="234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5"/>
              </w:rPr>
              <w:t>Latest docs 与 competition-specific rules</w:t>
            </w:r>
          </w:p>
        </w:tc>
        <w:tc>
          <w:tcPr>
            <w:tcW w:type="dxa" w:w="149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5"/>
              </w:rPr>
              <w:t>Platform/rule/API/feedback policy change</w:t>
            </w:r>
          </w:p>
        </w:tc>
        <w:tc>
          <w:tcPr>
            <w:tcW w:type="dxa" w:w="262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5"/>
              </w:rPr>
              <w:t>保存 dated snapshot；不把平台能力当项目配置</w:t>
            </w:r>
          </w:p>
        </w:tc>
        <w:tc>
          <w:tcPr>
            <w:tcW w:type="dxa" w:w="205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5"/>
              </w:rPr>
              <w:t>Evaluation-ops owner</w:t>
            </w:r>
          </w:p>
        </w:tc>
      </w:tr>
      <w:tr>
        <w:trPr>
          <w:cantSplit/>
        </w:trPr>
        <w:tc>
          <w:tcPr>
            <w:tcW w:type="dxa" w:w="84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5"/>
              </w:rPr>
              <w:t>HAL / live leaderboard surfaces</w:t>
            </w:r>
          </w:p>
        </w:tc>
        <w:tc>
          <w:tcPr>
            <w:tcW w:type="dxa" w:w="234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5"/>
              </w:rPr>
              <w:t>Dynamic content、verified-run criteria 可变</w:t>
            </w:r>
          </w:p>
        </w:tc>
        <w:tc>
          <w:tcPr>
            <w:tcW w:type="dxa" w:w="149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5"/>
              </w:rPr>
              <w:t>Verification/schema/leaderboard change</w:t>
            </w:r>
          </w:p>
        </w:tc>
        <w:tc>
          <w:tcPr>
            <w:tcW w:type="dxa" w:w="262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5"/>
              </w:rPr>
              <w:t>保存 manifest/screenshot/hash 与访问日</w:t>
            </w:r>
          </w:p>
        </w:tc>
        <w:tc>
          <w:tcPr>
            <w:tcW w:type="dxa" w:w="205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5"/>
              </w:rPr>
              <w:t>Benchmark research owner</w:t>
            </w:r>
          </w:p>
        </w:tc>
      </w:tr>
      <w:tr>
        <w:trPr>
          <w:cantSplit/>
        </w:trPr>
        <w:tc>
          <w:tcPr>
            <w:tcW w:type="dxa" w:w="84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5"/>
              </w:rPr>
              <w:t>BIG-bench canary repo</w:t>
            </w:r>
          </w:p>
        </w:tc>
        <w:tc>
          <w:tcPr>
            <w:tcW w:type="dxa" w:w="234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5"/>
              </w:rPr>
              <w:t>Repository/root 引用可能变化</w:t>
            </w:r>
          </w:p>
        </w:tc>
        <w:tc>
          <w:tcPr>
            <w:tcW w:type="dxa" w:w="149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5"/>
              </w:rPr>
              <w:t>Commit/tag/canary text change</w:t>
            </w:r>
          </w:p>
        </w:tc>
        <w:tc>
          <w:tcPr>
            <w:tcW w:type="dxa" w:w="262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5"/>
              </w:rPr>
              <w:t>Pin commit；只用于 exclusion-notice 证据</w:t>
            </w:r>
          </w:p>
        </w:tc>
        <w:tc>
          <w:tcPr>
            <w:tcW w:type="dxa" w:w="205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5"/>
              </w:rPr>
              <w:t>Contamination-control owner</w:t>
            </w:r>
          </w:p>
        </w:tc>
      </w:tr>
      <w:tr>
        <w:trPr>
          <w:cantSplit/>
        </w:trPr>
        <w:tc>
          <w:tcPr>
            <w:tcW w:type="dxa" w:w="84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5"/>
              </w:rPr>
              <w:t>WIPO live guide / NIST live pages</w:t>
            </w:r>
          </w:p>
        </w:tc>
        <w:tc>
          <w:tcPr>
            <w:tcW w:type="dxa" w:w="234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5"/>
              </w:rPr>
              <w:t>Web content/法律实践更新</w:t>
            </w:r>
          </w:p>
        </w:tc>
        <w:tc>
          <w:tcPr>
            <w:tcW w:type="dxa" w:w="149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5"/>
              </w:rPr>
              <w:t>Updated page、law/guidance revision</w:t>
            </w:r>
          </w:p>
        </w:tc>
        <w:tc>
          <w:tcPr>
            <w:tcW w:type="dxa" w:w="262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5"/>
              </w:rPr>
              <w:t>Archive page/hash；交 legal/security review</w:t>
            </w:r>
          </w:p>
        </w:tc>
        <w:tc>
          <w:tcPr>
            <w:tcW w:type="dxa" w:w="205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5"/>
              </w:rPr>
              <w:t>Legal/security owner</w:t>
            </w:r>
          </w:p>
        </w:tc>
      </w:tr>
      <w:tr>
        <w:trPr>
          <w:cantSplit/>
        </w:trPr>
        <w:tc>
          <w:tcPr>
            <w:tcW w:type="dxa" w:w="84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5"/>
              </w:rPr>
              <w:t>LiveBench / SWE-rebench / SWE-bench-Live</w:t>
            </w:r>
          </w:p>
        </w:tc>
        <w:tc>
          <w:tcPr>
            <w:tcW w:type="dxa" w:w="234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5"/>
              </w:rPr>
              <w:t>Cohort、split、scoring、frozen/live policy 可变</w:t>
            </w:r>
          </w:p>
        </w:tc>
        <w:tc>
          <w:tcPr>
            <w:tcW w:type="dxa" w:w="149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5"/>
              </w:rPr>
              <w:t>新 cohort/release/retirement/correction</w:t>
            </w:r>
          </w:p>
        </w:tc>
        <w:tc>
          <w:tcPr>
            <w:tcW w:type="dxa" w:w="262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5"/>
              </w:rPr>
              <w:t>记录 release comparability、manifest 与 corrected views</w:t>
            </w:r>
          </w:p>
        </w:tc>
        <w:tc>
          <w:tcPr>
            <w:tcW w:type="dxa" w:w="205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5"/>
              </w:rPr>
              <w:t>Benchmark research owner</w:t>
            </w:r>
          </w:p>
        </w:tc>
      </w:tr>
      <w:tr>
        <w:trPr>
          <w:cantSplit/>
        </w:trPr>
        <w:tc>
          <w:tcPr>
            <w:tcW w:type="dxa" w:w="84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5"/>
              </w:rPr>
              <w:t>ALE independent audit</w:t>
            </w:r>
          </w:p>
        </w:tc>
        <w:tc>
          <w:tcPr>
            <w:tcW w:type="dxa" w:w="234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5"/>
              </w:rPr>
              <w:t>当前缺乏多源 ALE-specific audits</w:t>
            </w:r>
          </w:p>
        </w:tc>
        <w:tc>
          <w:tcPr>
            <w:tcW w:type="dxa" w:w="149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5"/>
              </w:rPr>
              <w:t>新 near-dup/provider/grader/environment/representativeness study</w:t>
            </w:r>
          </w:p>
        </w:tc>
        <w:tc>
          <w:tcPr>
            <w:tcW w:type="dxa" w:w="262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5"/>
              </w:rPr>
              <w:t>验证 creator claims；不外推单一 audit</w:t>
            </w:r>
          </w:p>
        </w:tc>
        <w:tc>
          <w:tcPr>
            <w:tcW w:type="dxa" w:w="205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5"/>
              </w:rPr>
              <w:t>Independent-review owner</w:t>
            </w:r>
          </w:p>
        </w:tc>
      </w:tr>
      <w:tr>
        <w:trPr>
          <w:cantSplit/>
        </w:trPr>
        <w:tc>
          <w:tcPr>
            <w:tcW w:type="dxa" w:w="84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5"/>
              </w:rPr>
              <w:t>Contamination detectors</w:t>
            </w:r>
          </w:p>
        </w:tc>
        <w:tc>
          <w:tcPr>
            <w:tcW w:type="dxa" w:w="234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5"/>
              </w:rPr>
              <w:t>Methods/counterevidence 快速变化</w:t>
            </w:r>
          </w:p>
        </w:tc>
        <w:tc>
          <w:tcPr>
            <w:tcW w:type="dxa" w:w="149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5"/>
              </w:rPr>
              <w:t>Detector validation/failure study</w:t>
            </w:r>
          </w:p>
        </w:tc>
        <w:tc>
          <w:tcPr>
            <w:tcW w:type="dxa" w:w="262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5"/>
              </w:rPr>
              <w:t>记录 assumptions、calibration、FPR/FNR、validity region</w:t>
            </w:r>
          </w:p>
        </w:tc>
        <w:tc>
          <w:tcPr>
            <w:tcW w:type="dxa" w:w="205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5"/>
              </w:rPr>
              <w:t>Contamination-control owner</w:t>
            </w:r>
          </w:p>
        </w:tc>
      </w:tr>
      <w:tr>
        <w:trPr>
          <w:cantSplit/>
        </w:trPr>
        <w:tc>
          <w:tcPr>
            <w:tcW w:type="dxa" w:w="84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5"/>
              </w:rPr>
              <w:t>Search-time contamination</w:t>
            </w:r>
          </w:p>
        </w:tc>
        <w:tc>
          <w:tcPr>
            <w:tcW w:type="dxa" w:w="234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5"/>
              </w:rPr>
              <w:t>新兴；ALE-specific 证据不足</w:t>
            </w:r>
          </w:p>
        </w:tc>
        <w:tc>
          <w:tcPr>
            <w:tcW w:type="dxa" w:w="149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5"/>
              </w:rPr>
              <w:t>多个独立研究、真实 traces、index changes</w:t>
            </w:r>
          </w:p>
        </w:tc>
        <w:tc>
          <w:tcPr>
            <w:tcW w:type="dxa" w:w="262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5"/>
              </w:rPr>
              <w:t>更新 threat model；controlled-network pilot</w:t>
            </w:r>
          </w:p>
        </w:tc>
        <w:tc>
          <w:tcPr>
            <w:tcW w:type="dxa" w:w="205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5"/>
              </w:rPr>
              <w:t>Contamination-control owner</w:t>
            </w:r>
          </w:p>
        </w:tc>
      </w:tr>
      <w:tr>
        <w:trPr>
          <w:cantSplit/>
        </w:trPr>
        <w:tc>
          <w:tcPr>
            <w:tcW w:type="dxa" w:w="84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5"/>
              </w:rPr>
              <w:t>Marker families</w:t>
            </w:r>
          </w:p>
        </w:tc>
        <w:tc>
          <w:tcPr>
            <w:tcW w:type="dxa" w:w="234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5"/>
              </w:rPr>
              <w:t>Notice/forensic/watermark/trap 的绕过与合法性变化</w:t>
            </w:r>
          </w:p>
        </w:tc>
        <w:tc>
          <w:tcPr>
            <w:tcW w:type="dxa" w:w="149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5"/>
              </w:rPr>
              <w:t>New modality/method、known bypass、law change</w:t>
            </w:r>
          </w:p>
        </w:tc>
        <w:tc>
          <w:tcPr>
            <w:tcW w:type="dxa" w:w="262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5"/>
              </w:rPr>
              <w:t>分型测 power、survivability、false signal、key custody</w:t>
            </w:r>
          </w:p>
        </w:tc>
        <w:tc>
          <w:tcPr>
            <w:tcW w:type="dxa" w:w="205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5"/>
              </w:rPr>
              <w:t>Security + legal owner</w:t>
            </w:r>
          </w:p>
        </w:tc>
      </w:tr>
      <w:tr>
        <w:trPr>
          <w:cantSplit/>
        </w:trPr>
        <w:tc>
          <w:tcPr>
            <w:tcW w:type="dxa" w:w="84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5"/>
              </w:rPr>
              <w:t>Anchor/bridge for agents</w:t>
            </w:r>
          </w:p>
        </w:tc>
        <w:tc>
          <w:tcPr>
            <w:tcW w:type="dxa" w:w="234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5"/>
              </w:rPr>
              <w:t>公开方法仍少；common agents 会消失/漂移</w:t>
            </w:r>
          </w:p>
        </w:tc>
        <w:tc>
          <w:tcPr>
            <w:tcW w:type="dxa" w:w="149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5"/>
              </w:rPr>
              <w:t>Linking/rank-stability research 或 pilot</w:t>
            </w:r>
          </w:p>
        </w:tc>
        <w:tc>
          <w:tcPr>
            <w:tcW w:type="dxa" w:w="262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5"/>
              </w:rPr>
              <w:t>验证 invariance、coverage、availability、uncertainty；允许 not comparable</w:t>
            </w:r>
          </w:p>
        </w:tc>
        <w:tc>
          <w:tcPr>
            <w:tcW w:type="dxa" w:w="205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5"/>
              </w:rPr>
              <w:t>Measurement owner</w:t>
            </w:r>
          </w:p>
        </w:tc>
      </w:tr>
      <w:tr>
        <w:trPr>
          <w:cantSplit/>
        </w:trPr>
        <w:tc>
          <w:tcPr>
            <w:tcW w:type="dxa" w:w="84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5"/>
              </w:rPr>
              <w:t>Environment/app/API/license</w:t>
            </w:r>
          </w:p>
        </w:tc>
        <w:tc>
          <w:tcPr>
            <w:tcW w:type="dxa" w:w="234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5"/>
              </w:rPr>
              <w:t>外部依赖与权利持续漂移</w:t>
            </w:r>
          </w:p>
        </w:tc>
        <w:tc>
          <w:tcPr>
            <w:tcW w:type="dxa" w:w="149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5"/>
              </w:rPr>
              <w:t>Health fail、vendor/API/license/contract notice</w:t>
            </w:r>
          </w:p>
        </w:tc>
        <w:tc>
          <w:tcPr>
            <w:tcW w:type="dxa" w:w="262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5"/>
              </w:rPr>
              <w:t>Freeze versions；reference/common-agent rerun；rights review</w:t>
            </w:r>
          </w:p>
        </w:tc>
        <w:tc>
          <w:tcPr>
            <w:tcW w:type="dxa" w:w="205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5"/>
              </w:rPr>
              <w:t>Environment + legal owner</w:t>
            </w:r>
          </w:p>
        </w:tc>
      </w:tr>
      <w:tr>
        <w:trPr>
          <w:cantSplit/>
        </w:trPr>
        <w:tc>
          <w:tcPr>
            <w:tcW w:type="dxa" w:w="84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5"/>
              </w:rPr>
              <w:t>Incident/repair precedents</w:t>
            </w:r>
          </w:p>
        </w:tc>
        <w:tc>
          <w:tcPr>
            <w:tcW w:type="dxa" w:w="234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5"/>
              </w:rPr>
              <w:t>新 leak/regrade/retirement 影响 policy</w:t>
            </w:r>
          </w:p>
        </w:tc>
        <w:tc>
          <w:tcPr>
            <w:tcW w:type="dxa" w:w="149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5"/>
              </w:rPr>
              <w:t>Postmortem、appeal、raw-artifact regrade</w:t>
            </w:r>
          </w:p>
        </w:tc>
        <w:tc>
          <w:tcPr>
            <w:tcW w:type="dxa" w:w="262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5"/>
              </w:rPr>
              <w:t>更新 score-treatment/disclosure/coverage/missingness</w:t>
            </w:r>
          </w:p>
        </w:tc>
        <w:tc>
          <w:tcPr>
            <w:tcW w:type="dxa" w:w="205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5"/>
              </w:rPr>
              <w:t>Governance owner</w:t>
            </w:r>
          </w:p>
        </w:tc>
      </w:tr>
    </w:tbl>
    <w:p>
      <w:pPr>
        <w:pStyle w:val="Heading1"/>
        <w:pageBreakBefore/>
      </w:pPr>
      <w:r>
        <w:rPr>
          <w:rFonts w:ascii="Calibri" w:hAnsi="Calibri" w:eastAsia="Microsoft YaHei"/>
          <w:color w:val="2E74B5"/>
          <w:sz w:val="32"/>
        </w:rPr>
        <w:t>19. 最终判断</w:t>
      </w:r>
    </w:p>
    <w:p>
      <w:pPr>
        <w:widowControl/>
      </w:pPr>
      <w:r>
        <w:rPr>
          <w:rFonts w:ascii="Calibri" w:hAnsi="Calibri" w:eastAsia="Microsoft YaHei"/>
          <w:b/>
          <w:color w:val="243447"/>
          <w:sz w:val="22"/>
        </w:rPr>
        <w:t>[P]</w:t>
      </w:r>
      <w:r>
        <w:rPr>
          <w:rFonts w:ascii="Calibri" w:hAnsi="Calibri" w:eastAsia="Microsoft YaHei"/>
          <w:color w:val="243447"/>
          <w:sz w:val="22"/>
        </w:rPr>
        <w:t xml:space="preserve"> 对 UniPat/ALE-style 1,000-asset 生产，最稳健的起点不是先填 public/private 百分比，而是先冻结：决策与 unit、lifecycle/pool/access/release membership/version-lineage 五轴、family 跨池 gate、anchor/reserve contact、八类污染 registry、双 trust-domain EaaS、incident score-treatment matrix、三视图 leaderboard，以及 pilot 测量字段。随后再用真实 acceptance、run、grader、contamination、refresh、rights 和 access-operations 数据求可行 allocation。</w:t>
      </w:r>
    </w:p>
    <w:p>
      <w:pPr>
        <w:widowControl/>
      </w:pPr>
      <w:r>
        <w:rPr>
          <w:rFonts w:ascii="Calibri" w:hAnsi="Calibri" w:eastAsia="Microsoft YaHei"/>
          <w:b/>
          <w:color w:val="243447"/>
          <w:sz w:val="22"/>
        </w:rPr>
        <w:t>[P]</w:t>
      </w:r>
      <w:r>
        <w:rPr>
          <w:rFonts w:ascii="Calibri" w:hAnsi="Calibri" w:eastAsia="Microsoft YaHei"/>
          <w:color w:val="243447"/>
          <w:sz w:val="22"/>
        </w:rPr>
        <w:t xml:space="preserve"> 不提供无条件默认 option。仅当客户已经确认 ecosystem adoption/open audit 是主约束、rights 允许公开、family-transfer risk 经 pilot 可接受时，才优先比较 Option A；当 final-integrity/operator-controlled execution 支配时比较 Option B；当客户隔离/regulated data 支配时比较 Option C。若这些约束未确认，三者并行做 feasible/Pareto analysis。</w:t>
      </w:r>
    </w:p>
    <w:p>
      <w:pPr>
        <w:widowControl/>
      </w:pPr>
      <w:r>
        <w:rPr>
          <w:rFonts w:ascii="Calibri" w:hAnsi="Calibri" w:eastAsia="Microsoft YaHei"/>
          <w:b/>
          <w:color w:val="243447"/>
          <w:sz w:val="22"/>
        </w:rPr>
        <w:t>[V]</w:t>
      </w:r>
      <w:r>
        <w:rPr>
          <w:rFonts w:ascii="Calibri" w:hAnsi="Calibri" w:eastAsia="Microsoft YaHei"/>
          <w:color w:val="243447"/>
          <w:sz w:val="22"/>
        </w:rPr>
        <w:t xml:space="preserve"> 在 customer decision loss、asset unit、feedback needs、rights、安全与 pilot 数据未确认前，任何人员、工时、成本、周期、throughput、acceptance yield、通过率、阈值、领域配额和 pool 比例都应保持为空变量。</w:t>
      </w:r>
    </w:p>
    <w:p>
      <w:pPr>
        <w:pStyle w:val="Heading1"/>
        <w:pageBreakBefore/>
      </w:pPr>
      <w:r>
        <w:rPr>
          <w:rFonts w:ascii="Calibri" w:hAnsi="Calibri" w:eastAsia="Microsoft YaHei"/>
          <w:color w:val="2E74B5"/>
          <w:sz w:val="32"/>
        </w:rPr>
        <w:t>Appendix A — Canonical source manifest</w:t>
      </w:r>
    </w:p>
    <w:p>
      <w:r>
        <w:rPr>
          <w:rFonts w:ascii="Calibri" w:hAnsi="Calibri" w:eastAsia="Microsoft YaHei"/>
          <w:color w:val="243447"/>
          <w:sz w:val="21"/>
        </w:rPr>
        <w:t>60 extraction cards are deduplicated by source_family_id. Mutable live surfaces are explicitly marked and assigned a refresh owner; ALE paper/code/HF frozen pins remain separate evidence surfaces but one institutional family.</w:t>
      </w:r>
    </w:p>
    <w:p>
      <w:pPr>
        <w:sectPr>
          <w:pgSz w:w="12240" w:h="15840"/>
          <w:pgMar w:top="1440" w:right="1440" w:bottom="1440" w:left="1440" w:header="708" w:footer="708" w:gutter="0"/>
          <w:cols w:space="720" w:num="1"/>
          <w:titlePg/>
          <w:docGrid w:linePitch="360"/>
        </w:sectP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0D5DD"/>
          <w:left w:val="single" w:sz="6" w:space="0" w:color="D0D5DD"/>
          <w:bottom w:val="single" w:sz="6" w:space="0" w:color="D0D5DD"/>
          <w:right w:val="single" w:sz="6" w:space="0" w:color="D0D5DD"/>
          <w:insideH w:val="single" w:sz="6" w:space="0" w:color="D0D5DD"/>
          <w:insideV w:val="single" w:sz="6" w:space="0" w:color="D0D5DD"/>
        </w:tblBorders>
      </w:tblPr>
      <w:tblGrid>
        <w:gridCol w:w="2016"/>
        <w:gridCol w:w="2016"/>
        <w:gridCol w:w="2016"/>
        <w:gridCol w:w="2016"/>
        <w:gridCol w:w="2016"/>
        <w:gridCol w:w="2016"/>
        <w:gridCol w:w="2016"/>
      </w:tblGrid>
      <w:tr>
        <w:trPr>
          <w:cantSplit/>
          <w:tblHeader w:val="true"/>
        </w:trPr>
        <w:tc>
          <w:tcPr>
            <w:tcW w:type="dxa" w:w="211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163A5F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b/>
                <w:color w:val="FFFFFF"/>
                <w:sz w:val="14"/>
              </w:rPr>
              <w:t>Card</w:t>
            </w:r>
          </w:p>
        </w:tc>
        <w:tc>
          <w:tcPr>
            <w:tcW w:type="dxa" w:w="199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163A5F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b/>
                <w:color w:val="FFFFFF"/>
                <w:sz w:val="14"/>
              </w:rPr>
              <w:t>Source family</w:t>
            </w:r>
          </w:p>
        </w:tc>
        <w:tc>
          <w:tcPr>
            <w:tcW w:type="dxa" w:w="199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163A5F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b/>
                <w:color w:val="FFFFFF"/>
                <w:sz w:val="14"/>
              </w:rPr>
              <w:t>Title</w:t>
            </w:r>
          </w:p>
        </w:tc>
        <w:tc>
          <w:tcPr>
            <w:tcW w:type="dxa" w:w="199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163A5F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b/>
                <w:color w:val="FFFFFF"/>
                <w:sz w:val="14"/>
              </w:rPr>
              <w:t>Canonical URL</w:t>
            </w:r>
          </w:p>
        </w:tc>
        <w:tc>
          <w:tcPr>
            <w:tcW w:type="dxa" w:w="199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163A5F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b/>
                <w:color w:val="FFFFFF"/>
                <w:sz w:val="14"/>
              </w:rPr>
              <w:t>Version / date</w:t>
            </w:r>
          </w:p>
        </w:tc>
        <w:tc>
          <w:tcPr>
            <w:tcW w:type="dxa" w:w="199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163A5F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b/>
                <w:color w:val="FFFFFF"/>
                <w:sz w:val="14"/>
              </w:rPr>
              <w:t>Mutable</w:t>
            </w:r>
          </w:p>
        </w:tc>
        <w:tc>
          <w:tcPr>
            <w:tcW w:type="dxa" w:w="199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163A5F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b/>
                <w:color w:val="FFFFFF"/>
                <w:sz w:val="14"/>
              </w:rPr>
              <w:t>Refresh owner</w:t>
            </w:r>
          </w:p>
        </w:tc>
      </w:tr>
      <w:tr>
        <w:trPr>
          <w:cantSplit/>
        </w:trPr>
        <w:tc>
          <w:tcPr>
            <w:tcW w:type="dxa" w:w="211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C01</w:t>
            </w:r>
          </w:p>
        </w:tc>
        <w:tc>
          <w:tcPr>
            <w:tcW w:type="dxa" w:w="199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ale_official</w:t>
            </w:r>
          </w:p>
        </w:tc>
        <w:tc>
          <w:tcPr>
            <w:tcW w:type="dxa" w:w="199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C01 — Agents’ Last Exam v2</w:t>
            </w:r>
          </w:p>
        </w:tc>
        <w:tc>
          <w:tcPr>
            <w:tcW w:type="dxa" w:w="199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https://arxiv.org/html/2606.05405v2</w:t>
            </w:r>
          </w:p>
        </w:tc>
        <w:tc>
          <w:tcPr>
            <w:tcW w:type="dxa" w:w="199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arXiv:2606.05405v2; 2026-06-11; accessed 2026-08-09</w:t>
            </w:r>
          </w:p>
        </w:tc>
        <w:tc>
          <w:tcPr>
            <w:tcW w:type="dxa" w:w="199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no_or_versioned</w:t>
            </w:r>
          </w:p>
        </w:tc>
        <w:tc>
          <w:tcPr>
            <w:tcW w:type="dxa" w:w="199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benchmark_research_owner</w:t>
            </w:r>
          </w:p>
        </w:tc>
      </w:tr>
      <w:tr>
        <w:trPr>
          <w:cantSplit/>
        </w:trPr>
        <w:tc>
          <w:tcPr>
            <w:tcW w:type="dxa" w:w="211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C02</w:t>
            </w:r>
          </w:p>
        </w:tc>
        <w:tc>
          <w:tcPr>
            <w:tcW w:type="dxa" w:w="199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rephrased_samples</w:t>
            </w:r>
          </w:p>
        </w:tc>
        <w:tc>
          <w:tcPr>
            <w:tcW w:type="dxa" w:w="199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C02 — Rephrased-sample contamination</w:t>
            </w:r>
          </w:p>
        </w:tc>
        <w:tc>
          <w:tcPr>
            <w:tcW w:type="dxa" w:w="199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https://arxiv.org/abs/2311.04850v2</w:t>
            </w:r>
          </w:p>
        </w:tc>
        <w:tc>
          <w:tcPr>
            <w:tcW w:type="dxa" w:w="199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v2, 2023-11-11; accessed 2026-08-09</w:t>
            </w:r>
          </w:p>
        </w:tc>
        <w:tc>
          <w:tcPr>
            <w:tcW w:type="dxa" w:w="199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no_or_versioned</w:t>
            </w:r>
          </w:p>
        </w:tc>
        <w:tc>
          <w:tcPr>
            <w:tcW w:type="dxa" w:w="199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research_evidence_owner</w:t>
            </w:r>
          </w:p>
        </w:tc>
      </w:tr>
      <w:tr>
        <w:trPr>
          <w:cantSplit/>
        </w:trPr>
        <w:tc>
          <w:tcPr>
            <w:tcW w:type="dxa" w:w="211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C03</w:t>
            </w:r>
          </w:p>
        </w:tc>
        <w:tc>
          <w:tcPr>
            <w:tcW w:type="dxa" w:w="199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wang_search_time_contamination</w:t>
            </w:r>
          </w:p>
        </w:tc>
        <w:tc>
          <w:tcPr>
            <w:tcW w:type="dxa" w:w="199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C03 — Search-time contamination in research agents</w:t>
            </w:r>
          </w:p>
        </w:tc>
        <w:tc>
          <w:tcPr>
            <w:tcW w:type="dxa" w:w="199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https://arxiv.org/abs/2606.05241v1</w:t>
            </w:r>
          </w:p>
        </w:tc>
        <w:tc>
          <w:tcPr>
            <w:tcW w:type="dxa" w:w="199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v1, 2026-06-03; accessed 2026-08-09</w:t>
            </w:r>
          </w:p>
        </w:tc>
        <w:tc>
          <w:tcPr>
            <w:tcW w:type="dxa" w:w="199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no_or_versioned</w:t>
            </w:r>
          </w:p>
        </w:tc>
        <w:tc>
          <w:tcPr>
            <w:tcW w:type="dxa" w:w="199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research_evidence_owner</w:t>
            </w:r>
          </w:p>
        </w:tc>
      </w:tr>
      <w:tr>
        <w:trPr>
          <w:cantSplit/>
        </w:trPr>
        <w:tc>
          <w:tcPr>
            <w:tcW w:type="dxa" w:w="211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C04</w:t>
            </w:r>
          </w:p>
        </w:tc>
        <w:tc>
          <w:tcPr>
            <w:tcW w:type="dxa" w:w="199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shi_min_k_pretraining_detection</w:t>
            </w:r>
          </w:p>
        </w:tc>
        <w:tc>
          <w:tcPr>
            <w:tcW w:type="dxa" w:w="199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C04 — Black-box pretraining membership detection</w:t>
            </w:r>
          </w:p>
        </w:tc>
        <w:tc>
          <w:tcPr>
            <w:tcW w:type="dxa" w:w="199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https://arxiv.org/abs/2310.16789</w:t>
            </w:r>
          </w:p>
        </w:tc>
        <w:tc>
          <w:tcPr>
            <w:tcW w:type="dxa" w:w="199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2023-10-25 initial release; accessed 2026-08-09</w:t>
            </w:r>
          </w:p>
        </w:tc>
        <w:tc>
          <w:tcPr>
            <w:tcW w:type="dxa" w:w="199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no_or_versioned</w:t>
            </w:r>
          </w:p>
        </w:tc>
        <w:tc>
          <w:tcPr>
            <w:tcW w:type="dxa" w:w="199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research_evidence_owner</w:t>
            </w:r>
          </w:p>
        </w:tc>
      </w:tr>
      <w:tr>
        <w:trPr>
          <w:cantSplit/>
        </w:trPr>
        <w:tc>
          <w:tcPr>
            <w:tcW w:type="dxa" w:w="211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C05</w:t>
            </w:r>
          </w:p>
        </w:tc>
        <w:tc>
          <w:tcPr>
            <w:tcW w:type="dxa" w:w="199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reusable_holdout</w:t>
            </w:r>
          </w:p>
        </w:tc>
        <w:tc>
          <w:tcPr>
            <w:tcW w:type="dxa" w:w="199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C05 — Adaptive holdout reuse</w:t>
            </w:r>
          </w:p>
        </w:tc>
        <w:tc>
          <w:tcPr>
            <w:tcW w:type="dxa" w:w="199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https://arxiv.org/abs/1506.02629</w:t>
            </w:r>
          </w:p>
        </w:tc>
        <w:tc>
          <w:tcPr>
            <w:tcW w:type="dxa" w:w="199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2015-06-08; accessed 2026-08-09</w:t>
            </w:r>
          </w:p>
        </w:tc>
        <w:tc>
          <w:tcPr>
            <w:tcW w:type="dxa" w:w="199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no_or_versioned</w:t>
            </w:r>
          </w:p>
        </w:tc>
        <w:tc>
          <w:tcPr>
            <w:tcW w:type="dxa" w:w="199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research_evidence_owner</w:t>
            </w:r>
          </w:p>
        </w:tc>
      </w:tr>
      <w:tr>
        <w:trPr>
          <w:cantSplit/>
        </w:trPr>
        <w:tc>
          <w:tcPr>
            <w:tcW w:type="dxa" w:w="211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C06</w:t>
            </w:r>
          </w:p>
        </w:tc>
        <w:tc>
          <w:tcPr>
            <w:tcW w:type="dxa" w:w="199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ladder_family</w:t>
            </w:r>
          </w:p>
        </w:tc>
        <w:tc>
          <w:tcPr>
            <w:tcW w:type="dxa" w:w="199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C06 — Leaderboard overfitting and the Ladder</w:t>
            </w:r>
          </w:p>
        </w:tc>
        <w:tc>
          <w:tcPr>
            <w:tcW w:type="dxa" w:w="199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https://arxiv.org/abs/1502.04585</w:t>
            </w:r>
          </w:p>
        </w:tc>
        <w:tc>
          <w:tcPr>
            <w:tcW w:type="dxa" w:w="199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2015-02-16; accessed 2026-08-09</w:t>
            </w:r>
          </w:p>
        </w:tc>
        <w:tc>
          <w:tcPr>
            <w:tcW w:type="dxa" w:w="199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no_or_versioned</w:t>
            </w:r>
          </w:p>
        </w:tc>
        <w:tc>
          <w:tcPr>
            <w:tcW w:type="dxa" w:w="199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research_evidence_owner</w:t>
            </w:r>
          </w:p>
        </w:tc>
      </w:tr>
      <w:tr>
        <w:trPr>
          <w:cantSplit/>
        </w:trPr>
        <w:tc>
          <w:tcPr>
            <w:tcW w:type="dxa" w:w="211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C07</w:t>
            </w:r>
          </w:p>
        </w:tc>
        <w:tc>
          <w:tcPr>
            <w:tcW w:type="dxa" w:w="199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bigbench_canary</w:t>
            </w:r>
          </w:p>
        </w:tc>
        <w:tc>
          <w:tcPr>
            <w:tcW w:type="dxa" w:w="199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C07 — BIG-bench canary comments</w:t>
            </w:r>
          </w:p>
        </w:tc>
        <w:tc>
          <w:tcPr>
            <w:tcW w:type="dxa" w:w="199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https://github.com/google/BIG-bench</w:t>
            </w:r>
          </w:p>
        </w:tc>
        <w:tc>
          <w:tcPr>
            <w:tcW w:type="dxa" w:w="199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Repository archived 2026-04-17; accessed 2026-08-09</w:t>
            </w:r>
          </w:p>
        </w:tc>
        <w:tc>
          <w:tcPr>
            <w:tcW w:type="dxa" w:w="199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yes</w:t>
            </w:r>
          </w:p>
        </w:tc>
        <w:tc>
          <w:tcPr>
            <w:tcW w:type="dxa" w:w="199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research_evidence_owner</w:t>
            </w:r>
          </w:p>
        </w:tc>
      </w:tr>
      <w:tr>
        <w:trPr>
          <w:cantSplit/>
        </w:trPr>
        <w:tc>
          <w:tcPr>
            <w:tcW w:type="dxa" w:w="211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C08</w:t>
            </w:r>
          </w:p>
        </w:tc>
        <w:tc>
          <w:tcPr>
            <w:tcW w:type="dxa" w:w="199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watermark_method</w:t>
            </w:r>
          </w:p>
        </w:tc>
        <w:tc>
          <w:tcPr>
            <w:tcW w:type="dxa" w:w="199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C08 — Benchmark watermarking and radioactivity</w:t>
            </w:r>
          </w:p>
        </w:tc>
        <w:tc>
          <w:tcPr>
            <w:tcW w:type="dxa" w:w="199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https://arxiv.org/abs/2502.17259</w:t>
            </w:r>
          </w:p>
        </w:tc>
        <w:tc>
          <w:tcPr>
            <w:tcW w:type="dxa" w:w="199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revised 2025-07-21; accessed 2026-08-09</w:t>
            </w:r>
          </w:p>
        </w:tc>
        <w:tc>
          <w:tcPr>
            <w:tcW w:type="dxa" w:w="199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no_or_versioned</w:t>
            </w:r>
          </w:p>
        </w:tc>
        <w:tc>
          <w:tcPr>
            <w:tcW w:type="dxa" w:w="199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research_evidence_owner</w:t>
            </w:r>
          </w:p>
        </w:tc>
      </w:tr>
      <w:tr>
        <w:trPr>
          <w:cantSplit/>
        </w:trPr>
        <w:tc>
          <w:tcPr>
            <w:tcW w:type="dxa" w:w="211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C09</w:t>
            </w:r>
          </w:p>
        </w:tc>
        <w:tc>
          <w:tcPr>
            <w:tcW w:type="dxa" w:w="199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ishida_publish_without_answers</w:t>
            </w:r>
          </w:p>
        </w:tc>
        <w:tc>
          <w:tcPr>
            <w:tcW w:type="dxa" w:w="199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C09 — Public evaluation without fully disclosed answers</w:t>
            </w:r>
          </w:p>
        </w:tc>
        <w:tc>
          <w:tcPr>
            <w:tcW w:type="dxa" w:w="199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https://arxiv.org/abs/2505.18102</w:t>
            </w:r>
          </w:p>
        </w:tc>
        <w:tc>
          <w:tcPr>
            <w:tcW w:type="dxa" w:w="199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v2, 2025; accessed 2026-08-09</w:t>
            </w:r>
          </w:p>
        </w:tc>
        <w:tc>
          <w:tcPr>
            <w:tcW w:type="dxa" w:w="199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no_or_versioned</w:t>
            </w:r>
          </w:p>
        </w:tc>
        <w:tc>
          <w:tcPr>
            <w:tcW w:type="dxa" w:w="199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research_evidence_owner</w:t>
            </w:r>
          </w:p>
        </w:tc>
      </w:tr>
      <w:tr>
        <w:trPr>
          <w:cantSplit/>
        </w:trPr>
        <w:tc>
          <w:tcPr>
            <w:tcW w:type="dxa" w:w="211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C10</w:t>
            </w:r>
          </w:p>
        </w:tc>
        <w:tc>
          <w:tcPr>
            <w:tcW w:type="dxa" w:w="199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codabench</w:t>
            </w:r>
          </w:p>
        </w:tc>
        <w:tc>
          <w:tcPr>
            <w:tcW w:type="dxa" w:w="199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C10 — Codabench gated submission and server evaluation</w:t>
            </w:r>
          </w:p>
        </w:tc>
        <w:tc>
          <w:tcPr>
            <w:tcW w:type="dxa" w:w="199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https://docs.codabench.org/latest/Participants/User_Participating-in-a-Competition/</w:t>
            </w:r>
          </w:p>
        </w:tc>
        <w:tc>
          <w:tcPr>
            <w:tcW w:type="dxa" w:w="199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latest documentation surface; accessed 2026-08-09</w:t>
            </w:r>
          </w:p>
        </w:tc>
        <w:tc>
          <w:tcPr>
            <w:tcW w:type="dxa" w:w="199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yes</w:t>
            </w:r>
          </w:p>
        </w:tc>
        <w:tc>
          <w:tcPr>
            <w:tcW w:type="dxa" w:w="199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research_evidence_owner</w:t>
            </w:r>
          </w:p>
        </w:tc>
      </w:tr>
      <w:tr>
        <w:trPr>
          <w:cantSplit/>
        </w:trPr>
        <w:tc>
          <w:tcPr>
            <w:tcW w:type="dxa" w:w="211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C11</w:t>
            </w:r>
          </w:p>
        </w:tc>
        <w:tc>
          <w:tcPr>
            <w:tcW w:type="dxa" w:w="199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kaggle_practice</w:t>
            </w:r>
          </w:p>
        </w:tc>
        <w:tc>
          <w:tcPr>
            <w:tcW w:type="dxa" w:w="199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C11 — Kaggle public/private leaderboard practice</w:t>
            </w:r>
          </w:p>
        </w:tc>
        <w:tc>
          <w:tcPr>
            <w:tcW w:type="dxa" w:w="199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https://www.kaggle.com/competitions/multi-task-optimization/rules</w:t>
            </w:r>
          </w:p>
        </w:tc>
        <w:tc>
          <w:tcPr>
            <w:tcW w:type="dxa" w:w="199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Competition-specific rules; accessed 2026-08-09</w:t>
            </w:r>
          </w:p>
        </w:tc>
        <w:tc>
          <w:tcPr>
            <w:tcW w:type="dxa" w:w="199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yes</w:t>
            </w:r>
          </w:p>
        </w:tc>
        <w:tc>
          <w:tcPr>
            <w:tcW w:type="dxa" w:w="199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research_evidence_owner</w:t>
            </w:r>
          </w:p>
        </w:tc>
      </w:tr>
      <w:tr>
        <w:trPr>
          <w:cantSplit/>
        </w:trPr>
        <w:tc>
          <w:tcPr>
            <w:tcW w:type="dxa" w:w="211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C12</w:t>
            </w:r>
          </w:p>
        </w:tc>
        <w:tc>
          <w:tcPr>
            <w:tcW w:type="dxa" w:w="199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nist_800171</w:t>
            </w:r>
          </w:p>
        </w:tc>
        <w:tc>
          <w:tcPr>
            <w:tcW w:type="dxa" w:w="199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C12 — Least privilege and protected audit records</w:t>
            </w:r>
          </w:p>
        </w:tc>
        <w:tc>
          <w:tcPr>
            <w:tcW w:type="dxa" w:w="199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https://nvlpubs.nist.gov/nistpubs/SpecialPublications/800-171r3/NIST.SP.800-171r3.html</w:t>
            </w:r>
          </w:p>
        </w:tc>
        <w:tc>
          <w:tcPr>
            <w:tcW w:type="dxa" w:w="199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Revision 3, May 2024; accessed 2026-08-09</w:t>
            </w:r>
          </w:p>
        </w:tc>
        <w:tc>
          <w:tcPr>
            <w:tcW w:type="dxa" w:w="199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no_or_versioned</w:t>
            </w:r>
          </w:p>
        </w:tc>
        <w:tc>
          <w:tcPr>
            <w:tcW w:type="dxa" w:w="199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research_evidence_owner</w:t>
            </w:r>
          </w:p>
        </w:tc>
      </w:tr>
      <w:tr>
        <w:trPr>
          <w:cantSplit/>
        </w:trPr>
        <w:tc>
          <w:tcPr>
            <w:tcW w:type="dxa" w:w="211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C13</w:t>
            </w:r>
          </w:p>
        </w:tc>
        <w:tc>
          <w:tcPr>
            <w:tcW w:type="dxa" w:w="199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w3c_prov</w:t>
            </w:r>
          </w:p>
        </w:tc>
        <w:tc>
          <w:tcPr>
            <w:tcW w:type="dxa" w:w="199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C13 — W3C provenance model</w:t>
            </w:r>
          </w:p>
        </w:tc>
        <w:tc>
          <w:tcPr>
            <w:tcW w:type="dxa" w:w="199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https://www.w3.org/TR/2013/REC-prov-dm-20130430/</w:t>
            </w:r>
          </w:p>
        </w:tc>
        <w:tc>
          <w:tcPr>
            <w:tcW w:type="dxa" w:w="199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W3C Recommendation, 2013-04-30; accessed 2026-08-09</w:t>
            </w:r>
          </w:p>
        </w:tc>
        <w:tc>
          <w:tcPr>
            <w:tcW w:type="dxa" w:w="199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no_or_versioned</w:t>
            </w:r>
          </w:p>
        </w:tc>
        <w:tc>
          <w:tcPr>
            <w:tcW w:type="dxa" w:w="199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data_governance_owner</w:t>
            </w:r>
          </w:p>
        </w:tc>
      </w:tr>
      <w:tr>
        <w:trPr>
          <w:cantSplit/>
        </w:trPr>
        <w:tc>
          <w:tcPr>
            <w:tcW w:type="dxa" w:w="211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C14</w:t>
            </w:r>
          </w:p>
        </w:tc>
        <w:tc>
          <w:tcPr>
            <w:tcW w:type="dxa" w:w="199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wipo_trade_secret</w:t>
            </w:r>
          </w:p>
        </w:tc>
        <w:tc>
          <w:tcPr>
            <w:tcW w:type="dxa" w:w="199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C14 — Need-to-know controls and leak management</w:t>
            </w:r>
          </w:p>
        </w:tc>
        <w:tc>
          <w:tcPr>
            <w:tcW w:type="dxa" w:w="199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https://www.wipo.int/web-publications/wipo-guide-to-trade-secrets-and-innovation/en/part-iv-trade-secret-management.html</w:t>
            </w:r>
          </w:p>
        </w:tc>
        <w:tc>
          <w:tcPr>
            <w:tcW w:type="dxa" w:w="199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Live guide; accessed 2026-08-09</w:t>
            </w:r>
          </w:p>
        </w:tc>
        <w:tc>
          <w:tcPr>
            <w:tcW w:type="dxa" w:w="199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yes</w:t>
            </w:r>
          </w:p>
        </w:tc>
        <w:tc>
          <w:tcPr>
            <w:tcW w:type="dxa" w:w="199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research_evidence_owner</w:t>
            </w:r>
          </w:p>
        </w:tc>
      </w:tr>
      <w:tr>
        <w:trPr>
          <w:cantSplit/>
        </w:trPr>
        <w:tc>
          <w:tcPr>
            <w:tcW w:type="dxa" w:w="211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C15</w:t>
            </w:r>
          </w:p>
        </w:tc>
        <w:tc>
          <w:tcPr>
            <w:tcW w:type="dxa" w:w="199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mlcommons_inference_rules_audit</w:t>
            </w:r>
          </w:p>
        </w:tc>
        <w:tc>
          <w:tcPr>
            <w:tcW w:type="dxa" w:w="199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C15 — Governed benchmark rules and audit</w:t>
            </w:r>
          </w:p>
        </w:tc>
        <w:tc>
          <w:tcPr>
            <w:tcW w:type="dxa" w:w="199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https://github.com/mlcommons/inference_policies/blob/master/inference_rules.adoc</w:t>
            </w:r>
          </w:p>
        </w:tc>
        <w:tc>
          <w:tcPr>
            <w:tcW w:type="dxa" w:w="199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 xml:space="preserve">Mutable </w:t>
            </w:r>
            <w:r>
              <w:rPr>
                <w:rFonts w:ascii="Consolas" w:hAnsi="Consolas" w:eastAsia="Microsoft YaHei"/>
                <w:color w:val="1F4D78"/>
                <w:sz w:val="16"/>
              </w:rPr>
              <w:t>master</w:t>
            </w:r>
            <w:r>
              <w:rPr>
                <w:rFonts w:ascii="Calibri" w:hAnsi="Calibri" w:eastAsia="Microsoft YaHei"/>
                <w:color w:val="243447"/>
                <w:sz w:val="14"/>
              </w:rPr>
              <w:t xml:space="preserve"> documentation surface; accessed 2026-08-09</w:t>
            </w:r>
          </w:p>
        </w:tc>
        <w:tc>
          <w:tcPr>
            <w:tcW w:type="dxa" w:w="199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yes</w:t>
            </w:r>
          </w:p>
        </w:tc>
        <w:tc>
          <w:tcPr>
            <w:tcW w:type="dxa" w:w="199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research_evidence_owner</w:t>
            </w:r>
          </w:p>
        </w:tc>
      </w:tr>
      <w:tr>
        <w:trPr>
          <w:cantSplit/>
        </w:trPr>
        <w:tc>
          <w:tcPr>
            <w:tcW w:type="dxa" w:w="211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C16</w:t>
            </w:r>
          </w:p>
        </w:tc>
        <w:tc>
          <w:tcPr>
            <w:tcW w:type="dxa" w:w="199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mmlu_cf</w:t>
            </w:r>
          </w:p>
        </w:tc>
        <w:tc>
          <w:tcPr>
            <w:tcW w:type="dxa" w:w="199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C16 — Public validation plus closed test</w:t>
            </w:r>
          </w:p>
        </w:tc>
        <w:tc>
          <w:tcPr>
            <w:tcW w:type="dxa" w:w="199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https://aclanthology.org/2025.acl-long.656/</w:t>
            </w:r>
          </w:p>
        </w:tc>
        <w:tc>
          <w:tcPr>
            <w:tcW w:type="dxa" w:w="199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ACL 2025 proceedings; accessed 2026-08-09</w:t>
            </w:r>
          </w:p>
        </w:tc>
        <w:tc>
          <w:tcPr>
            <w:tcW w:type="dxa" w:w="199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no_or_versioned</w:t>
            </w:r>
          </w:p>
        </w:tc>
        <w:tc>
          <w:tcPr>
            <w:tcW w:type="dxa" w:w="199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research_evidence_owner</w:t>
            </w:r>
          </w:p>
        </w:tc>
      </w:tr>
      <w:tr>
        <w:trPr>
          <w:cantSplit/>
        </w:trPr>
        <w:tc>
          <w:tcPr>
            <w:tcW w:type="dxa" w:w="211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C17</w:t>
            </w:r>
          </w:p>
        </w:tc>
        <w:tc>
          <w:tcPr>
            <w:tcW w:type="dxa" w:w="199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li_open_contamination_report_counterevidence</w:t>
            </w:r>
          </w:p>
        </w:tc>
        <w:tc>
          <w:tcPr>
            <w:tcW w:type="dxa" w:w="199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C17 — Contamination does not always inflate scores</w:t>
            </w:r>
          </w:p>
        </w:tc>
        <w:tc>
          <w:tcPr>
            <w:tcW w:type="dxa" w:w="199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https://aclanthology.org/2024.findings-emnlp.30/</w:t>
            </w:r>
          </w:p>
        </w:tc>
        <w:tc>
          <w:tcPr>
            <w:tcW w:type="dxa" w:w="199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Findings of EMNLP 2024; accessed 2026-08-09</w:t>
            </w:r>
          </w:p>
        </w:tc>
        <w:tc>
          <w:tcPr>
            <w:tcW w:type="dxa" w:w="199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no_or_versioned</w:t>
            </w:r>
          </w:p>
        </w:tc>
        <w:tc>
          <w:tcPr>
            <w:tcW w:type="dxa" w:w="199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research_evidence_owner</w:t>
            </w:r>
          </w:p>
        </w:tc>
      </w:tr>
      <w:tr>
        <w:trPr>
          <w:cantSplit/>
        </w:trPr>
        <w:tc>
          <w:tcPr>
            <w:tcW w:type="dxa" w:w="211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C18</w:t>
            </w:r>
          </w:p>
        </w:tc>
        <w:tc>
          <w:tcPr>
            <w:tcW w:type="dxa" w:w="199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swe_rebench</w:t>
            </w:r>
          </w:p>
        </w:tc>
        <w:tc>
          <w:tcPr>
            <w:tcW w:type="dxa" w:w="199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C18 — Continuous fresh-task collection</w:t>
            </w:r>
          </w:p>
        </w:tc>
        <w:tc>
          <w:tcPr>
            <w:tcW w:type="dxa" w:w="199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https://arxiv.org/abs/2505.20411v2</w:t>
            </w:r>
          </w:p>
        </w:tc>
        <w:tc>
          <w:tcPr>
            <w:tcW w:type="dxa" w:w="199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v2, 2025-11-04; NeurIPS 2025; accessed 2026-08-09</w:t>
            </w:r>
          </w:p>
        </w:tc>
        <w:tc>
          <w:tcPr>
            <w:tcW w:type="dxa" w:w="199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no_or_versioned</w:t>
            </w:r>
          </w:p>
        </w:tc>
        <w:tc>
          <w:tcPr>
            <w:tcW w:type="dxa" w:w="199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research_evidence_owner</w:t>
            </w:r>
          </w:p>
        </w:tc>
      </w:tr>
      <w:tr>
        <w:trPr>
          <w:cantSplit/>
        </w:trPr>
        <w:tc>
          <w:tcPr>
            <w:tcW w:type="dxa" w:w="211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C19</w:t>
            </w:r>
          </w:p>
        </w:tc>
        <w:tc>
          <w:tcPr>
            <w:tcW w:type="dxa" w:w="199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controlled_contamination</w:t>
            </w:r>
          </w:p>
        </w:tc>
        <w:tc>
          <w:tcPr>
            <w:tcW w:type="dxa" w:w="199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C19 — Controlled contamination effects depend on exposure form</w:t>
            </w:r>
          </w:p>
        </w:tc>
        <w:tc>
          <w:tcPr>
            <w:tcW w:type="dxa" w:w="199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https://proceedings.mlr.press/v267/kocyigit25a.html</w:t>
            </w:r>
          </w:p>
        </w:tc>
        <w:tc>
          <w:tcPr>
            <w:tcW w:type="dxa" w:w="199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PMLR 267, 2025; accessed 2026-08-09</w:t>
            </w:r>
          </w:p>
        </w:tc>
        <w:tc>
          <w:tcPr>
            <w:tcW w:type="dxa" w:w="199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no_or_versioned</w:t>
            </w:r>
          </w:p>
        </w:tc>
        <w:tc>
          <w:tcPr>
            <w:tcW w:type="dxa" w:w="199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research_evidence_owner</w:t>
            </w:r>
          </w:p>
        </w:tc>
      </w:tr>
      <w:tr>
        <w:trPr>
          <w:cantSplit/>
        </w:trPr>
        <w:tc>
          <w:tcPr>
            <w:tcW w:type="dxa" w:w="211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L01</w:t>
            </w:r>
          </w:p>
        </w:tc>
        <w:tc>
          <w:tcPr>
            <w:tcW w:type="dxa" w:w="199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ale_official</w:t>
            </w:r>
          </w:p>
        </w:tc>
        <w:tc>
          <w:tcPr>
            <w:tcW w:type="dxa" w:w="199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L01 — Agents’ Last Exam, frozen v2</w:t>
            </w:r>
          </w:p>
        </w:tc>
        <w:tc>
          <w:tcPr>
            <w:tcW w:type="dxa" w:w="199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https://arxiv.org/html/2606.05405v2</w:t>
            </w:r>
          </w:p>
        </w:tc>
        <w:tc>
          <w:tcPr>
            <w:tcW w:type="dxa" w:w="199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arXiv:2606.05405v2</w:t>
            </w:r>
          </w:p>
        </w:tc>
        <w:tc>
          <w:tcPr>
            <w:tcW w:type="dxa" w:w="199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no_or_versioned</w:t>
            </w:r>
          </w:p>
        </w:tc>
        <w:tc>
          <w:tcPr>
            <w:tcW w:type="dxa" w:w="199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benchmark_research_owner</w:t>
            </w:r>
          </w:p>
        </w:tc>
      </w:tr>
      <w:tr>
        <w:trPr>
          <w:cantSplit/>
        </w:trPr>
        <w:tc>
          <w:tcPr>
            <w:tcW w:type="dxa" w:w="211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L02</w:t>
            </w:r>
          </w:p>
        </w:tc>
        <w:tc>
          <w:tcPr>
            <w:tcW w:type="dxa" w:w="199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livebench</w:t>
            </w:r>
          </w:p>
        </w:tc>
        <w:tc>
          <w:tcPr>
            <w:tcW w:type="dxa" w:w="199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L02 — LiveBench v2: monthly refresh and explicit contamination limits</w:t>
            </w:r>
          </w:p>
        </w:tc>
        <w:tc>
          <w:tcPr>
            <w:tcW w:type="dxa" w:w="199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https://arxiv.org/abs/2406.19314v2</w:t>
            </w:r>
          </w:p>
        </w:tc>
        <w:tc>
          <w:tcPr>
            <w:tcW w:type="dxa" w:w="199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not archived; live surface</w:t>
            </w:r>
          </w:p>
        </w:tc>
        <w:tc>
          <w:tcPr>
            <w:tcW w:type="dxa" w:w="199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no_or_versioned</w:t>
            </w:r>
          </w:p>
        </w:tc>
        <w:tc>
          <w:tcPr>
            <w:tcW w:type="dxa" w:w="199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research_evidence_owner</w:t>
            </w:r>
          </w:p>
        </w:tc>
      </w:tr>
      <w:tr>
        <w:trPr>
          <w:cantSplit/>
        </w:trPr>
        <w:tc>
          <w:tcPr>
            <w:tcW w:type="dxa" w:w="211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L03</w:t>
            </w:r>
          </w:p>
        </w:tc>
        <w:tc>
          <w:tcPr>
            <w:tcW w:type="dxa" w:w="199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swe_rebench</w:t>
            </w:r>
          </w:p>
        </w:tc>
        <w:tc>
          <w:tcPr>
            <w:tcW w:type="dxa" w:w="199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L03 — SWE-rebench continuous collection</w:t>
            </w:r>
          </w:p>
        </w:tc>
        <w:tc>
          <w:tcPr>
            <w:tcW w:type="dxa" w:w="199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https://arxiv.org/abs/2505.20411v2</w:t>
            </w:r>
          </w:p>
        </w:tc>
        <w:tc>
          <w:tcPr>
            <w:tcW w:type="dxa" w:w="199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not archived; live surface</w:t>
            </w:r>
          </w:p>
        </w:tc>
        <w:tc>
          <w:tcPr>
            <w:tcW w:type="dxa" w:w="199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no_or_versioned</w:t>
            </w:r>
          </w:p>
        </w:tc>
        <w:tc>
          <w:tcPr>
            <w:tcW w:type="dxa" w:w="199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research_evidence_owner</w:t>
            </w:r>
          </w:p>
        </w:tc>
      </w:tr>
      <w:tr>
        <w:trPr>
          <w:cantSplit/>
        </w:trPr>
        <w:tc>
          <w:tcPr>
            <w:tcW w:type="dxa" w:w="211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L04</w:t>
            </w:r>
          </w:p>
        </w:tc>
        <w:tc>
          <w:tcPr>
            <w:tcW w:type="dxa" w:w="199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dynabench</w:t>
            </w:r>
          </w:p>
        </w:tc>
        <w:tc>
          <w:tcPr>
            <w:tcW w:type="dxa" w:w="199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L04 — Dynabench dynamic rounds and comparability objection</w:t>
            </w:r>
          </w:p>
        </w:tc>
        <w:tc>
          <w:tcPr>
            <w:tcW w:type="dxa" w:w="199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https://aclanthology.org/2021.naacl-main.324/</w:t>
            </w:r>
          </w:p>
        </w:tc>
        <w:tc>
          <w:tcPr>
            <w:tcW w:type="dxa" w:w="199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not archived; live surface</w:t>
            </w:r>
          </w:p>
        </w:tc>
        <w:tc>
          <w:tcPr>
            <w:tcW w:type="dxa" w:w="199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no_or_versioned</w:t>
            </w:r>
          </w:p>
        </w:tc>
        <w:tc>
          <w:tcPr>
            <w:tcW w:type="dxa" w:w="199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research_evidence_owner</w:t>
            </w:r>
          </w:p>
        </w:tc>
      </w:tr>
      <w:tr>
        <w:trPr>
          <w:cantSplit/>
        </w:trPr>
        <w:tc>
          <w:tcPr>
            <w:tcW w:type="dxa" w:w="211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L05</w:t>
            </w:r>
          </w:p>
        </w:tc>
        <w:tc>
          <w:tcPr>
            <w:tcW w:type="dxa" w:w="199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nist_ai8002</w:t>
            </w:r>
          </w:p>
        </w:tc>
        <w:tc>
          <w:tcPr>
            <w:tcW w:type="dxa" w:w="199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L05 — NIST AI 800-2 initial public draft</w:t>
            </w:r>
          </w:p>
        </w:tc>
        <w:tc>
          <w:tcPr>
            <w:tcW w:type="dxa" w:w="199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https://nvlpubs.nist.gov/nistpubs/ai/NIST.AI.800-2.ipd.pdf</w:t>
            </w:r>
          </w:p>
        </w:tc>
        <w:tc>
          <w:tcPr>
            <w:tcW w:type="dxa" w:w="199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not archived; live surface</w:t>
            </w:r>
          </w:p>
        </w:tc>
        <w:tc>
          <w:tcPr>
            <w:tcW w:type="dxa" w:w="199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no_or_versioned</w:t>
            </w:r>
          </w:p>
        </w:tc>
        <w:tc>
          <w:tcPr>
            <w:tcW w:type="dxa" w:w="199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standards_owner</w:t>
            </w:r>
          </w:p>
        </w:tc>
      </w:tr>
      <w:tr>
        <w:trPr>
          <w:cantSplit/>
        </w:trPr>
        <w:tc>
          <w:tcPr>
            <w:tcW w:type="dxa" w:w="211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L06</w:t>
            </w:r>
          </w:p>
        </w:tc>
        <w:tc>
          <w:tcPr>
            <w:tcW w:type="dxa" w:w="199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nces_linking</w:t>
            </w:r>
          </w:p>
        </w:tc>
        <w:tc>
          <w:tcPr>
            <w:tcW w:type="dxa" w:w="199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L06 — NCES Statistical Standard 2-6</w:t>
            </w:r>
          </w:p>
        </w:tc>
        <w:tc>
          <w:tcPr>
            <w:tcW w:type="dxa" w:w="199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https://nces.ed.gov/statprog/2002/std2_6.asp</w:t>
            </w:r>
          </w:p>
        </w:tc>
        <w:tc>
          <w:tcPr>
            <w:tcW w:type="dxa" w:w="199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not archived; live surface</w:t>
            </w:r>
          </w:p>
        </w:tc>
        <w:tc>
          <w:tcPr>
            <w:tcW w:type="dxa" w:w="199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no_or_versioned</w:t>
            </w:r>
          </w:p>
        </w:tc>
        <w:tc>
          <w:tcPr>
            <w:tcW w:type="dxa" w:w="199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research_evidence_owner</w:t>
            </w:r>
          </w:p>
        </w:tc>
      </w:tr>
      <w:tr>
        <w:trPr>
          <w:cantSplit/>
        </w:trPr>
        <w:tc>
          <w:tcPr>
            <w:tcW w:type="dxa" w:w="211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L07</w:t>
            </w:r>
          </w:p>
        </w:tc>
        <w:tc>
          <w:tcPr>
            <w:tcW w:type="dxa" w:w="199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testing_standards</w:t>
            </w:r>
          </w:p>
        </w:tc>
        <w:tc>
          <w:tcPr>
            <w:tcW w:type="dxa" w:w="199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L07 — Standards for Educational and Psychological Testing</w:t>
            </w:r>
          </w:p>
        </w:tc>
        <w:tc>
          <w:tcPr>
            <w:tcW w:type="dxa" w:w="199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https://www.testingstandards.net/uploads/7/6/6/4/76643089/standards_2014edition.pdf</w:t>
            </w:r>
          </w:p>
        </w:tc>
        <w:tc>
          <w:tcPr>
            <w:tcW w:type="dxa" w:w="199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not archived; live surface</w:t>
            </w:r>
          </w:p>
        </w:tc>
        <w:tc>
          <w:tcPr>
            <w:tcW w:type="dxa" w:w="199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no_or_versioned</w:t>
            </w:r>
          </w:p>
        </w:tc>
        <w:tc>
          <w:tcPr>
            <w:tcW w:type="dxa" w:w="199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research_evidence_owner</w:t>
            </w:r>
          </w:p>
        </w:tc>
      </w:tr>
      <w:tr>
        <w:trPr>
          <w:cantSplit/>
        </w:trPr>
        <w:tc>
          <w:tcPr>
            <w:tcW w:type="dxa" w:w="211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L08</w:t>
            </w:r>
          </w:p>
        </w:tc>
        <w:tc>
          <w:tcPr>
            <w:tcW w:type="dxa" w:w="199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pisa_bridge</w:t>
            </w:r>
          </w:p>
        </w:tc>
        <w:tc>
          <w:tcPr>
            <w:tcW w:type="dxa" w:w="199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L08 — OECD PISA 2015 technical linking implementation</w:t>
            </w:r>
          </w:p>
        </w:tc>
        <w:tc>
          <w:tcPr>
            <w:tcW w:type="dxa" w:w="199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https://www.oecd.org/content/dam/oecd/en/about/programmes/edu/pisa/publications/technical-report/PISA2015_TechRep_Final.pdf</w:t>
            </w:r>
          </w:p>
        </w:tc>
        <w:tc>
          <w:tcPr>
            <w:tcW w:type="dxa" w:w="199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not archived; live surface</w:t>
            </w:r>
          </w:p>
        </w:tc>
        <w:tc>
          <w:tcPr>
            <w:tcW w:type="dxa" w:w="199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no_or_versioned</w:t>
            </w:r>
          </w:p>
        </w:tc>
        <w:tc>
          <w:tcPr>
            <w:tcW w:type="dxa" w:w="199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research_evidence_owner</w:t>
            </w:r>
          </w:p>
        </w:tc>
      </w:tr>
      <w:tr>
        <w:trPr>
          <w:cantSplit/>
        </w:trPr>
        <w:tc>
          <w:tcPr>
            <w:tcW w:type="dxa" w:w="211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L09</w:t>
            </w:r>
          </w:p>
        </w:tc>
        <w:tc>
          <w:tcPr>
            <w:tcW w:type="dxa" w:w="199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nist_ai_rmf</w:t>
            </w:r>
          </w:p>
        </w:tc>
        <w:tc>
          <w:tcPr>
            <w:tcW w:type="dxa" w:w="199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L09 — NIST AI RMF Playbook: monitoring and change management</w:t>
            </w:r>
          </w:p>
        </w:tc>
        <w:tc>
          <w:tcPr>
            <w:tcW w:type="dxa" w:w="199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https://airc.nist.gov/airmf-resources/playbook/manage/</w:t>
            </w:r>
          </w:p>
        </w:tc>
        <w:tc>
          <w:tcPr>
            <w:tcW w:type="dxa" w:w="199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not archived; live surface</w:t>
            </w:r>
          </w:p>
        </w:tc>
        <w:tc>
          <w:tcPr>
            <w:tcW w:type="dxa" w:w="199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no_or_versioned</w:t>
            </w:r>
          </w:p>
        </w:tc>
        <w:tc>
          <w:tcPr>
            <w:tcW w:type="dxa" w:w="199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standards_owner</w:t>
            </w:r>
          </w:p>
        </w:tc>
      </w:tr>
      <w:tr>
        <w:trPr>
          <w:cantSplit/>
        </w:trPr>
        <w:tc>
          <w:tcPr>
            <w:tcW w:type="dxa" w:w="211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L10</w:t>
            </w:r>
          </w:p>
        </w:tc>
        <w:tc>
          <w:tcPr>
            <w:tcW w:type="dxa" w:w="199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w3c_prov</w:t>
            </w:r>
          </w:p>
        </w:tc>
        <w:tc>
          <w:tcPr>
            <w:tcW w:type="dxa" w:w="199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L10 — W3C PROV-O lineage model</w:t>
            </w:r>
          </w:p>
        </w:tc>
        <w:tc>
          <w:tcPr>
            <w:tcW w:type="dxa" w:w="199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https://www.w3.org/TR/prov-o/</w:t>
            </w:r>
          </w:p>
        </w:tc>
        <w:tc>
          <w:tcPr>
            <w:tcW w:type="dxa" w:w="199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not archived; live surface</w:t>
            </w:r>
          </w:p>
        </w:tc>
        <w:tc>
          <w:tcPr>
            <w:tcW w:type="dxa" w:w="199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no_or_versioned</w:t>
            </w:r>
          </w:p>
        </w:tc>
        <w:tc>
          <w:tcPr>
            <w:tcW w:type="dxa" w:w="199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data_governance_owner</w:t>
            </w:r>
          </w:p>
        </w:tc>
      </w:tr>
      <w:tr>
        <w:trPr>
          <w:cantSplit/>
        </w:trPr>
        <w:tc>
          <w:tcPr>
            <w:tcW w:type="dxa" w:w="211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L11</w:t>
            </w:r>
          </w:p>
        </w:tc>
        <w:tc>
          <w:tcPr>
            <w:tcW w:type="dxa" w:w="199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nist_sp80061</w:t>
            </w:r>
          </w:p>
        </w:tc>
        <w:tc>
          <w:tcPr>
            <w:tcW w:type="dxa" w:w="199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L11 — NIST SP 800-61 Rev. 3</w:t>
            </w:r>
          </w:p>
        </w:tc>
        <w:tc>
          <w:tcPr>
            <w:tcW w:type="dxa" w:w="199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https://csrc.nist.gov/pubs/sp/800/61/r3/final</w:t>
            </w:r>
          </w:p>
        </w:tc>
        <w:tc>
          <w:tcPr>
            <w:tcW w:type="dxa" w:w="199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not archived; live surface</w:t>
            </w:r>
          </w:p>
        </w:tc>
        <w:tc>
          <w:tcPr>
            <w:tcW w:type="dxa" w:w="199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no_or_versioned</w:t>
            </w:r>
          </w:p>
        </w:tc>
        <w:tc>
          <w:tcPr>
            <w:tcW w:type="dxa" w:w="199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security_governance_owner</w:t>
            </w:r>
          </w:p>
        </w:tc>
      </w:tr>
      <w:tr>
        <w:trPr>
          <w:cantSplit/>
        </w:trPr>
        <w:tc>
          <w:tcPr>
            <w:tcW w:type="dxa" w:w="211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L12</w:t>
            </w:r>
          </w:p>
        </w:tc>
        <w:tc>
          <w:tcPr>
            <w:tcW w:type="dxa" w:w="199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swebench_plus_audit</w:t>
            </w:r>
          </w:p>
        </w:tc>
        <w:tc>
          <w:tcPr>
            <w:tcW w:type="dxa" w:w="199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L12 — SWE-Bench+ independent leakage/evaluator audit</w:t>
            </w:r>
          </w:p>
        </w:tc>
        <w:tc>
          <w:tcPr>
            <w:tcW w:type="dxa" w:w="199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https://arxiv.org/abs/2410.06992v2</w:t>
            </w:r>
          </w:p>
        </w:tc>
        <w:tc>
          <w:tcPr>
            <w:tcW w:type="dxa" w:w="199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not archived; live surface</w:t>
            </w:r>
          </w:p>
        </w:tc>
        <w:tc>
          <w:tcPr>
            <w:tcW w:type="dxa" w:w="199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no_or_versioned</w:t>
            </w:r>
          </w:p>
        </w:tc>
        <w:tc>
          <w:tcPr>
            <w:tcW w:type="dxa" w:w="199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research_evidence_owner</w:t>
            </w:r>
          </w:p>
        </w:tc>
      </w:tr>
      <w:tr>
        <w:trPr>
          <w:cantSplit/>
        </w:trPr>
        <w:tc>
          <w:tcPr>
            <w:tcW w:type="dxa" w:w="211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L13</w:t>
            </w:r>
          </w:p>
        </w:tc>
        <w:tc>
          <w:tcPr>
            <w:tcW w:type="dxa" w:w="199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utboost_audit</w:t>
            </w:r>
          </w:p>
        </w:tc>
        <w:tc>
          <w:tcPr>
            <w:tcW w:type="dxa" w:w="199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L13 — UTBoost: grader changes alter historical rankings</w:t>
            </w:r>
          </w:p>
        </w:tc>
        <w:tc>
          <w:tcPr>
            <w:tcW w:type="dxa" w:w="199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https://aclanthology.org/2025.acl-long.189/</w:t>
            </w:r>
          </w:p>
        </w:tc>
        <w:tc>
          <w:tcPr>
            <w:tcW w:type="dxa" w:w="199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not archived; live surface</w:t>
            </w:r>
          </w:p>
        </w:tc>
        <w:tc>
          <w:tcPr>
            <w:tcW w:type="dxa" w:w="199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no_or_versioned</w:t>
            </w:r>
          </w:p>
        </w:tc>
        <w:tc>
          <w:tcPr>
            <w:tcW w:type="dxa" w:w="199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research_evidence_owner</w:t>
            </w:r>
          </w:p>
        </w:tc>
      </w:tr>
      <w:tr>
        <w:trPr>
          <w:cantSplit/>
        </w:trPr>
        <w:tc>
          <w:tcPr>
            <w:tcW w:type="dxa" w:w="211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L14</w:t>
            </w:r>
          </w:p>
        </w:tc>
        <w:tc>
          <w:tcPr>
            <w:tcW w:type="dxa" w:w="199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swebench_live</w:t>
            </w:r>
          </w:p>
        </w:tc>
        <w:tc>
          <w:tcPr>
            <w:tcW w:type="dxa" w:w="199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L14 — SWE-bench-Live: frozen subsets beside a changing test surface</w:t>
            </w:r>
          </w:p>
        </w:tc>
        <w:tc>
          <w:tcPr>
            <w:tcW w:type="dxa" w:w="199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https://swe-bench-live.github.io/</w:t>
            </w:r>
          </w:p>
        </w:tc>
        <w:tc>
          <w:tcPr>
            <w:tcW w:type="dxa" w:w="199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not archived; live surface</w:t>
            </w:r>
          </w:p>
        </w:tc>
        <w:tc>
          <w:tcPr>
            <w:tcW w:type="dxa" w:w="199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yes</w:t>
            </w:r>
          </w:p>
        </w:tc>
        <w:tc>
          <w:tcPr>
            <w:tcW w:type="dxa" w:w="199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research_evidence_owner</w:t>
            </w:r>
          </w:p>
        </w:tc>
      </w:tr>
      <w:tr>
        <w:trPr>
          <w:cantSplit/>
        </w:trPr>
        <w:tc>
          <w:tcPr>
            <w:tcW w:type="dxa" w:w="211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L15</w:t>
            </w:r>
          </w:p>
        </w:tc>
        <w:tc>
          <w:tcPr>
            <w:tcW w:type="dxa" w:w="199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truce_private_benchmark_audit_tradeoff</w:t>
            </w:r>
          </w:p>
        </w:tc>
        <w:tc>
          <w:tcPr>
            <w:tcW w:type="dxa" w:w="199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L15 — TRUCE private benchmarking and auditability trade-off</w:t>
            </w:r>
          </w:p>
        </w:tc>
        <w:tc>
          <w:tcPr>
            <w:tcW w:type="dxa" w:w="199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https://www.microsoft.com/en-us/research/publication/truce-private-benchmarking-to-prevent-contamination-and-improve-comparative-evaluation-of-llms/</w:t>
            </w:r>
          </w:p>
        </w:tc>
        <w:tc>
          <w:tcPr>
            <w:tcW w:type="dxa" w:w="199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not archived; live surface</w:t>
            </w:r>
          </w:p>
        </w:tc>
        <w:tc>
          <w:tcPr>
            <w:tcW w:type="dxa" w:w="199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no_or_versioned</w:t>
            </w:r>
          </w:p>
        </w:tc>
        <w:tc>
          <w:tcPr>
            <w:tcW w:type="dxa" w:w="199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research_evidence_owner</w:t>
            </w:r>
          </w:p>
        </w:tc>
      </w:tr>
      <w:tr>
        <w:trPr>
          <w:cantSplit/>
        </w:trPr>
        <w:tc>
          <w:tcPr>
            <w:tcW w:type="dxa" w:w="211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L16</w:t>
            </w:r>
          </w:p>
        </w:tc>
        <w:tc>
          <w:tcPr>
            <w:tcW w:type="dxa" w:w="199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openai_swe_bench_retirement_disclosure</w:t>
            </w:r>
          </w:p>
        </w:tc>
        <w:tc>
          <w:tcPr>
            <w:tcW w:type="dxa" w:w="199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L16 — Public retirement/disclosure of a benchmark surface</w:t>
            </w:r>
          </w:p>
        </w:tc>
        <w:tc>
          <w:tcPr>
            <w:tcW w:type="dxa" w:w="199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https://openai.com/index/why-we-no-longer-evaluate-swe-bench-verified/</w:t>
            </w:r>
          </w:p>
        </w:tc>
        <w:tc>
          <w:tcPr>
            <w:tcW w:type="dxa" w:w="199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not archived; live surface</w:t>
            </w:r>
          </w:p>
        </w:tc>
        <w:tc>
          <w:tcPr>
            <w:tcW w:type="dxa" w:w="199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yes</w:t>
            </w:r>
          </w:p>
        </w:tc>
        <w:tc>
          <w:tcPr>
            <w:tcW w:type="dxa" w:w="199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research_evidence_owner</w:t>
            </w:r>
          </w:p>
        </w:tc>
      </w:tr>
      <w:tr>
        <w:trPr>
          <w:cantSplit/>
        </w:trPr>
        <w:tc>
          <w:tcPr>
            <w:tcW w:type="dxa" w:w="211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R01</w:t>
            </w:r>
          </w:p>
        </w:tc>
        <w:tc>
          <w:tcPr>
            <w:tcW w:type="dxa" w:w="199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ale_official</w:t>
            </w:r>
          </w:p>
        </w:tc>
        <w:tc>
          <w:tcPr>
            <w:tcW w:type="dxa" w:w="199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R01 — Agents' Last Exam (paper)</w:t>
            </w:r>
          </w:p>
        </w:tc>
        <w:tc>
          <w:tcPr>
            <w:tcW w:type="dxa" w:w="199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https://arxiv.org/html/2606.05405v2</w:t>
            </w:r>
          </w:p>
        </w:tc>
        <w:tc>
          <w:tcPr>
            <w:tcW w:type="dxa" w:w="199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 xml:space="preserve">arXiv </w:t>
            </w:r>
            <w:r>
              <w:rPr>
                <w:rFonts w:ascii="Consolas" w:hAnsi="Consolas" w:eastAsia="Microsoft YaHei"/>
                <w:color w:val="1F4D78"/>
                <w:sz w:val="16"/>
              </w:rPr>
              <w:t>2606.05405v2</w:t>
            </w:r>
            <w:r>
              <w:rPr>
                <w:rFonts w:ascii="Calibri" w:hAnsi="Calibri" w:eastAsia="Microsoft YaHei"/>
                <w:color w:val="243447"/>
                <w:sz w:val="14"/>
              </w:rPr>
              <w:t>, 2026-06-11</w:t>
            </w:r>
          </w:p>
        </w:tc>
        <w:tc>
          <w:tcPr>
            <w:tcW w:type="dxa" w:w="199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no_or_versioned</w:t>
            </w:r>
          </w:p>
        </w:tc>
        <w:tc>
          <w:tcPr>
            <w:tcW w:type="dxa" w:w="199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benchmark_research_owner</w:t>
            </w:r>
          </w:p>
        </w:tc>
      </w:tr>
      <w:tr>
        <w:trPr>
          <w:cantSplit/>
        </w:trPr>
        <w:tc>
          <w:tcPr>
            <w:tcW w:type="dxa" w:w="211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R02</w:t>
            </w:r>
          </w:p>
        </w:tc>
        <w:tc>
          <w:tcPr>
            <w:tcW w:type="dxa" w:w="199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ale_official</w:t>
            </w:r>
          </w:p>
        </w:tc>
        <w:tc>
          <w:tcPr>
            <w:tcW w:type="dxa" w:w="199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R02 — ALE official repository at pinned commit</w:t>
            </w:r>
          </w:p>
        </w:tc>
        <w:tc>
          <w:tcPr>
            <w:tcW w:type="dxa" w:w="199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https://github.com/rdi-berkeley/agents-last-exam/tree/1e615e456de7cef57706680613cb80ee13c7fc76</w:t>
            </w:r>
          </w:p>
        </w:tc>
        <w:tc>
          <w:tcPr>
            <w:tcW w:type="dxa" w:w="199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GitHub commit 1e615e456de7cef57706680613cb80ee13c7fc76</w:t>
            </w:r>
          </w:p>
        </w:tc>
        <w:tc>
          <w:tcPr>
            <w:tcW w:type="dxa" w:w="199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yes</w:t>
            </w:r>
          </w:p>
        </w:tc>
        <w:tc>
          <w:tcPr>
            <w:tcW w:type="dxa" w:w="199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benchmark_research_owner</w:t>
            </w:r>
          </w:p>
        </w:tc>
      </w:tr>
      <w:tr>
        <w:trPr>
          <w:cantSplit/>
        </w:trPr>
        <w:tc>
          <w:tcPr>
            <w:tcW w:type="dxa" w:w="211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R03</w:t>
            </w:r>
          </w:p>
        </w:tc>
        <w:tc>
          <w:tcPr>
            <w:tcW w:type="dxa" w:w="199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ale_official</w:t>
            </w:r>
          </w:p>
        </w:tc>
        <w:tc>
          <w:tcPr>
            <w:tcW w:type="dxa" w:w="199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R03 — ALE Hugging Face metadata at pinned revision</w:t>
            </w:r>
          </w:p>
        </w:tc>
        <w:tc>
          <w:tcPr>
            <w:tcW w:type="dxa" w:w="199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https://huggingface.co/datasets/agents-last-exam/agents-last-exam/tree/a8c1fd174a1f6cfa76526572a2e3ebece1276be2</w:t>
            </w:r>
          </w:p>
        </w:tc>
        <w:tc>
          <w:tcPr>
            <w:tcW w:type="dxa" w:w="199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HF revision a8c1fd174a1f6cfa76526572a2e3ebece1276be2</w:t>
            </w:r>
          </w:p>
        </w:tc>
        <w:tc>
          <w:tcPr>
            <w:tcW w:type="dxa" w:w="199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yes</w:t>
            </w:r>
          </w:p>
        </w:tc>
        <w:tc>
          <w:tcPr>
            <w:tcW w:type="dxa" w:w="199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benchmark_research_owner</w:t>
            </w:r>
          </w:p>
        </w:tc>
      </w:tr>
      <w:tr>
        <w:trPr>
          <w:cantSplit/>
        </w:trPr>
        <w:tc>
          <w:tcPr>
            <w:tcW w:type="dxa" w:w="211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R04</w:t>
            </w:r>
          </w:p>
        </w:tc>
        <w:tc>
          <w:tcPr>
            <w:tcW w:type="dxa" w:w="199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ale_official</w:t>
            </w:r>
          </w:p>
        </w:tc>
        <w:tc>
          <w:tcPr>
            <w:tcW w:type="dxa" w:w="199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R04 — ALE grader repair pull request 64</w:t>
            </w:r>
          </w:p>
        </w:tc>
        <w:tc>
          <w:tcPr>
            <w:tcW w:type="dxa" w:w="199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https://github.com/rdi-berkeley/agents-last-exam/pull/64</w:t>
            </w:r>
          </w:p>
        </w:tc>
        <w:tc>
          <w:tcPr>
            <w:tcW w:type="dxa" w:w="199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not archived; live surface</w:t>
            </w:r>
          </w:p>
        </w:tc>
        <w:tc>
          <w:tcPr>
            <w:tcW w:type="dxa" w:w="199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yes</w:t>
            </w:r>
          </w:p>
        </w:tc>
        <w:tc>
          <w:tcPr>
            <w:tcW w:type="dxa" w:w="199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benchmark_research_owner</w:t>
            </w:r>
          </w:p>
        </w:tc>
      </w:tr>
      <w:tr>
        <w:trPr>
          <w:cantSplit/>
        </w:trPr>
        <w:tc>
          <w:tcPr>
            <w:tcW w:type="dxa" w:w="211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R05</w:t>
            </w:r>
          </w:p>
        </w:tc>
        <w:tc>
          <w:tcPr>
            <w:tcW w:type="dxa" w:w="199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nist_ai_rmf</w:t>
            </w:r>
          </w:p>
        </w:tc>
        <w:tc>
          <w:tcPr>
            <w:tcW w:type="dxa" w:w="199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R05 — NIST AI Risk Management Framework Core</w:t>
            </w:r>
          </w:p>
        </w:tc>
        <w:tc>
          <w:tcPr>
            <w:tcW w:type="dxa" w:w="199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https://airc.nist.gov/airmf-resources/airmf/5-sec-core/</w:t>
            </w:r>
          </w:p>
        </w:tc>
        <w:tc>
          <w:tcPr>
            <w:tcW w:type="dxa" w:w="199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AI RMF 1.0 core; page accessed 2026-08-09</w:t>
            </w:r>
          </w:p>
        </w:tc>
        <w:tc>
          <w:tcPr>
            <w:tcW w:type="dxa" w:w="199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no_or_versioned</w:t>
            </w:r>
          </w:p>
        </w:tc>
        <w:tc>
          <w:tcPr>
            <w:tcW w:type="dxa" w:w="199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standards_owner</w:t>
            </w:r>
          </w:p>
        </w:tc>
      </w:tr>
      <w:tr>
        <w:trPr>
          <w:cantSplit/>
        </w:trPr>
        <w:tc>
          <w:tcPr>
            <w:tcW w:type="dxa" w:w="211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R06</w:t>
            </w:r>
          </w:p>
        </w:tc>
        <w:tc>
          <w:tcPr>
            <w:tcW w:type="dxa" w:w="199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nist_caisi_evaluation_cheating</w:t>
            </w:r>
          </w:p>
        </w:tc>
        <w:tc>
          <w:tcPr>
            <w:tcW w:type="dxa" w:w="199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R06 — NIST CAISI: cheating on AI agent evaluations</w:t>
            </w:r>
          </w:p>
        </w:tc>
        <w:tc>
          <w:tcPr>
            <w:tcW w:type="dxa" w:w="199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https://www.nist.gov/caisi/cheating-ai-agent-evaluations</w:t>
            </w:r>
          </w:p>
        </w:tc>
        <w:tc>
          <w:tcPr>
            <w:tcW w:type="dxa" w:w="199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not archived; live surface</w:t>
            </w:r>
          </w:p>
        </w:tc>
        <w:tc>
          <w:tcPr>
            <w:tcW w:type="dxa" w:w="199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no_or_versioned</w:t>
            </w:r>
          </w:p>
        </w:tc>
        <w:tc>
          <w:tcPr>
            <w:tcW w:type="dxa" w:w="199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research_evidence_owner</w:t>
            </w:r>
          </w:p>
        </w:tc>
      </w:tr>
      <w:tr>
        <w:trPr>
          <w:cantSplit/>
        </w:trPr>
        <w:tc>
          <w:tcPr>
            <w:tcW w:type="dxa" w:w="211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R07</w:t>
            </w:r>
          </w:p>
        </w:tc>
        <w:tc>
          <w:tcPr>
            <w:tcW w:type="dxa" w:w="199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nist_sp80061</w:t>
            </w:r>
          </w:p>
        </w:tc>
        <w:tc>
          <w:tcPr>
            <w:tcW w:type="dxa" w:w="199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R07 — NIST SP 800-61 Revision 3</w:t>
            </w:r>
          </w:p>
        </w:tc>
        <w:tc>
          <w:tcPr>
            <w:tcW w:type="dxa" w:w="199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https://csrc.nist.gov/pubs/sp/800/61/r3/final</w:t>
            </w:r>
          </w:p>
        </w:tc>
        <w:tc>
          <w:tcPr>
            <w:tcW w:type="dxa" w:w="199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NIST SP 800-61r3, final April 2025</w:t>
            </w:r>
          </w:p>
        </w:tc>
        <w:tc>
          <w:tcPr>
            <w:tcW w:type="dxa" w:w="199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no_or_versioned</w:t>
            </w:r>
          </w:p>
        </w:tc>
        <w:tc>
          <w:tcPr>
            <w:tcW w:type="dxa" w:w="199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security_governance_owner</w:t>
            </w:r>
          </w:p>
        </w:tc>
      </w:tr>
      <w:tr>
        <w:trPr>
          <w:cantSplit/>
        </w:trPr>
        <w:tc>
          <w:tcPr>
            <w:tcW w:type="dxa" w:w="211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R08</w:t>
            </w:r>
          </w:p>
        </w:tc>
        <w:tc>
          <w:tcPr>
            <w:tcW w:type="dxa" w:w="199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w3c_prov</w:t>
            </w:r>
          </w:p>
        </w:tc>
        <w:tc>
          <w:tcPr>
            <w:tcW w:type="dxa" w:w="199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R08 — W3C PROV-DM</w:t>
            </w:r>
          </w:p>
        </w:tc>
        <w:tc>
          <w:tcPr>
            <w:tcW w:type="dxa" w:w="199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https://www.w3.org/TR/2013/REC-prov-dm-20130430/</w:t>
            </w:r>
          </w:p>
        </w:tc>
        <w:tc>
          <w:tcPr>
            <w:tcW w:type="dxa" w:w="199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W3C Recommendation, 2013-04-30</w:t>
            </w:r>
          </w:p>
        </w:tc>
        <w:tc>
          <w:tcPr>
            <w:tcW w:type="dxa" w:w="199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no_or_versioned</w:t>
            </w:r>
          </w:p>
        </w:tc>
        <w:tc>
          <w:tcPr>
            <w:tcW w:type="dxa" w:w="199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data_governance_owner</w:t>
            </w:r>
          </w:p>
        </w:tc>
      </w:tr>
      <w:tr>
        <w:trPr>
          <w:cantSplit/>
        </w:trPr>
        <w:tc>
          <w:tcPr>
            <w:tcW w:type="dxa" w:w="211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R09</w:t>
            </w:r>
          </w:p>
        </w:tc>
        <w:tc>
          <w:tcPr>
            <w:tcW w:type="dxa" w:w="199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livebench</w:t>
            </w:r>
          </w:p>
        </w:tc>
        <w:tc>
          <w:tcPr>
            <w:tcW w:type="dxa" w:w="199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R09 — LiveBench v2</w:t>
            </w:r>
          </w:p>
        </w:tc>
        <w:tc>
          <w:tcPr>
            <w:tcW w:type="dxa" w:w="199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https://proceedings.iclr.cc/paper_files/paper/2025/file/e4a46394ba5378b3f9a186a5b4c650d1-Paper-Conference.pdf</w:t>
            </w:r>
          </w:p>
        </w:tc>
        <w:tc>
          <w:tcPr>
            <w:tcW w:type="dxa" w:w="199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ICLR 2025; arXiv v2 dated 2025-04-18</w:t>
            </w:r>
          </w:p>
        </w:tc>
        <w:tc>
          <w:tcPr>
            <w:tcW w:type="dxa" w:w="199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no_or_versioned</w:t>
            </w:r>
          </w:p>
        </w:tc>
        <w:tc>
          <w:tcPr>
            <w:tcW w:type="dxa" w:w="199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research_evidence_owner</w:t>
            </w:r>
          </w:p>
        </w:tc>
      </w:tr>
      <w:tr>
        <w:trPr>
          <w:cantSplit/>
        </w:trPr>
        <w:tc>
          <w:tcPr>
            <w:tcW w:type="dxa" w:w="211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R10</w:t>
            </w:r>
          </w:p>
        </w:tc>
        <w:tc>
          <w:tcPr>
            <w:tcW w:type="dxa" w:w="199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swe_rebench</w:t>
            </w:r>
          </w:p>
        </w:tc>
        <w:tc>
          <w:tcPr>
            <w:tcW w:type="dxa" w:w="199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R10 — SWE-rebench</w:t>
            </w:r>
          </w:p>
        </w:tc>
        <w:tc>
          <w:tcPr>
            <w:tcW w:type="dxa" w:w="199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https://arxiv.org/abs/2505.20411</w:t>
            </w:r>
          </w:p>
        </w:tc>
        <w:tc>
          <w:tcPr>
            <w:tcW w:type="dxa" w:w="199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current arXiv record accessed 2026-08-09; first posted 2025-05-26</w:t>
            </w:r>
          </w:p>
        </w:tc>
        <w:tc>
          <w:tcPr>
            <w:tcW w:type="dxa" w:w="199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no_or_versioned</w:t>
            </w:r>
          </w:p>
        </w:tc>
        <w:tc>
          <w:tcPr>
            <w:tcW w:type="dxa" w:w="199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research_evidence_owner</w:t>
            </w:r>
          </w:p>
        </w:tc>
      </w:tr>
      <w:tr>
        <w:trPr>
          <w:cantSplit/>
        </w:trPr>
        <w:tc>
          <w:tcPr>
            <w:tcW w:type="dxa" w:w="211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R11</w:t>
            </w:r>
          </w:p>
        </w:tc>
        <w:tc>
          <w:tcPr>
            <w:tcW w:type="dxa" w:w="199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dynabench</w:t>
            </w:r>
          </w:p>
        </w:tc>
        <w:tc>
          <w:tcPr>
            <w:tcW w:type="dxa" w:w="199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R11 — Dynabench</w:t>
            </w:r>
          </w:p>
        </w:tc>
        <w:tc>
          <w:tcPr>
            <w:tcW w:type="dxa" w:w="199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https://arxiv.org/abs/2104.14337</w:t>
            </w:r>
          </w:p>
        </w:tc>
        <w:tc>
          <w:tcPr>
            <w:tcW w:type="dxa" w:w="199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arXiv 2021; accessed 2026-08-09</w:t>
            </w:r>
          </w:p>
        </w:tc>
        <w:tc>
          <w:tcPr>
            <w:tcW w:type="dxa" w:w="199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no_or_versioned</w:t>
            </w:r>
          </w:p>
        </w:tc>
        <w:tc>
          <w:tcPr>
            <w:tcW w:type="dxa" w:w="199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research_evidence_owner</w:t>
            </w:r>
          </w:p>
        </w:tc>
      </w:tr>
      <w:tr>
        <w:trPr>
          <w:cantSplit/>
        </w:trPr>
        <w:tc>
          <w:tcPr>
            <w:tcW w:type="dxa" w:w="211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R12</w:t>
            </w:r>
          </w:p>
        </w:tc>
        <w:tc>
          <w:tcPr>
            <w:tcW w:type="dxa" w:w="199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ladder_family</w:t>
            </w:r>
          </w:p>
        </w:tc>
        <w:tc>
          <w:tcPr>
            <w:tcW w:type="dxa" w:w="199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R12 — The Ladder: A Reliable Leaderboard for Machine Learning Competitions</w:t>
            </w:r>
          </w:p>
        </w:tc>
        <w:tc>
          <w:tcPr>
            <w:tcW w:type="dxa" w:w="199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https://proceedings.mlr.press/v37/blum15.html</w:t>
            </w:r>
          </w:p>
        </w:tc>
        <w:tc>
          <w:tcPr>
            <w:tcW w:type="dxa" w:w="199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ICML 2015</w:t>
            </w:r>
          </w:p>
        </w:tc>
        <w:tc>
          <w:tcPr>
            <w:tcW w:type="dxa" w:w="199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no_or_versioned</w:t>
            </w:r>
          </w:p>
        </w:tc>
        <w:tc>
          <w:tcPr>
            <w:tcW w:type="dxa" w:w="199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research_evidence_owner</w:t>
            </w:r>
          </w:p>
        </w:tc>
      </w:tr>
      <w:tr>
        <w:trPr>
          <w:cantSplit/>
        </w:trPr>
        <w:tc>
          <w:tcPr>
            <w:tcW w:type="dxa" w:w="211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R13</w:t>
            </w:r>
          </w:p>
        </w:tc>
        <w:tc>
          <w:tcPr>
            <w:tcW w:type="dxa" w:w="199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ms_marco_leaderboard_leaks</w:t>
            </w:r>
          </w:p>
        </w:tc>
        <w:tc>
          <w:tcPr>
            <w:tcW w:type="dxa" w:w="199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R13 — Fostering Coopetition While Plugging Leaks</w:t>
            </w:r>
          </w:p>
        </w:tc>
        <w:tc>
          <w:tcPr>
            <w:tcW w:type="dxa" w:w="199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https://www.microsoft.com/en-us/research/publication/fostering-coopetition-while-plugging-leaks-the-design-and-implementation-of-the-ms-marco-leaderboards/</w:t>
            </w:r>
          </w:p>
        </w:tc>
        <w:tc>
          <w:tcPr>
            <w:tcW w:type="dxa" w:w="199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SIGIR 2022</w:t>
            </w:r>
          </w:p>
        </w:tc>
        <w:tc>
          <w:tcPr>
            <w:tcW w:type="dxa" w:w="199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yes</w:t>
            </w:r>
          </w:p>
        </w:tc>
        <w:tc>
          <w:tcPr>
            <w:tcW w:type="dxa" w:w="199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research_evidence_owner</w:t>
            </w:r>
          </w:p>
        </w:tc>
      </w:tr>
      <w:tr>
        <w:trPr>
          <w:cantSplit/>
        </w:trPr>
        <w:tc>
          <w:tcPr>
            <w:tcW w:type="dxa" w:w="211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R14</w:t>
            </w:r>
          </w:p>
        </w:tc>
        <w:tc>
          <w:tcPr>
            <w:tcW w:type="dxa" w:w="199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mlcommons_governed_evaluation</w:t>
            </w:r>
          </w:p>
        </w:tc>
        <w:tc>
          <w:tcPr>
            <w:tcW w:type="dxa" w:w="199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R14 — MLCommons governed evaluation and audit pattern</w:t>
            </w:r>
          </w:p>
        </w:tc>
        <w:tc>
          <w:tcPr>
            <w:tcW w:type="dxa" w:w="199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https://mlcommons.org/benchmarks/endpoints/</w:t>
            </w:r>
          </w:p>
        </w:tc>
        <w:tc>
          <w:tcPr>
            <w:tcW w:type="dxa" w:w="199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mutable rules and results pages; accessed 2026-08-09</w:t>
            </w:r>
          </w:p>
        </w:tc>
        <w:tc>
          <w:tcPr>
            <w:tcW w:type="dxa" w:w="199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yes</w:t>
            </w:r>
          </w:p>
        </w:tc>
        <w:tc>
          <w:tcPr>
            <w:tcW w:type="dxa" w:w="199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research_evidence_owner</w:t>
            </w:r>
          </w:p>
        </w:tc>
      </w:tr>
      <w:tr>
        <w:trPr>
          <w:cantSplit/>
        </w:trPr>
        <w:tc>
          <w:tcPr>
            <w:tcW w:type="dxa" w:w="211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R15</w:t>
            </w:r>
          </w:p>
        </w:tc>
        <w:tc>
          <w:tcPr>
            <w:tcW w:type="dxa" w:w="199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gaia_private_answer_pattern</w:t>
            </w:r>
          </w:p>
        </w:tc>
        <w:tc>
          <w:tcPr>
            <w:tcW w:type="dxa" w:w="199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R15 — GAIA private-answer pattern</w:t>
            </w:r>
          </w:p>
        </w:tc>
        <w:tc>
          <w:tcPr>
            <w:tcW w:type="dxa" w:w="199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https://arxiv.org/abs/2311.12983v1</w:t>
            </w:r>
          </w:p>
        </w:tc>
        <w:tc>
          <w:tcPr>
            <w:tcW w:type="dxa" w:w="199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arXiv v1, 2023-11-21; ICLR 2024</w:t>
            </w:r>
          </w:p>
        </w:tc>
        <w:tc>
          <w:tcPr>
            <w:tcW w:type="dxa" w:w="199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no_or_versioned</w:t>
            </w:r>
          </w:p>
        </w:tc>
        <w:tc>
          <w:tcPr>
            <w:tcW w:type="dxa" w:w="199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research_evidence_owner</w:t>
            </w:r>
          </w:p>
        </w:tc>
      </w:tr>
      <w:tr>
        <w:trPr>
          <w:cantSplit/>
        </w:trPr>
        <w:tc>
          <w:tcPr>
            <w:tcW w:type="dxa" w:w="211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R16</w:t>
            </w:r>
          </w:p>
        </w:tc>
        <w:tc>
          <w:tcPr>
            <w:tcW w:type="dxa" w:w="199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hal_verified_runs</w:t>
            </w:r>
          </w:p>
        </w:tc>
        <w:tc>
          <w:tcPr>
            <w:tcW w:type="dxa" w:w="199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R16 — Princeton HAL verified-run pattern</w:t>
            </w:r>
          </w:p>
        </w:tc>
        <w:tc>
          <w:tcPr>
            <w:tcW w:type="dxa" w:w="199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https://hal.cs.princeton.edu/gaia</w:t>
            </w:r>
          </w:p>
        </w:tc>
        <w:tc>
          <w:tcPr>
            <w:tcW w:type="dxa" w:w="199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mutable leaderboard; accessed 2026-08-09</w:t>
            </w:r>
          </w:p>
        </w:tc>
        <w:tc>
          <w:tcPr>
            <w:tcW w:type="dxa" w:w="199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yes</w:t>
            </w:r>
          </w:p>
        </w:tc>
        <w:tc>
          <w:tcPr>
            <w:tcW w:type="dxa" w:w="199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research_evidence_owner</w:t>
            </w:r>
          </w:p>
        </w:tc>
      </w:tr>
      <w:tr>
        <w:trPr>
          <w:cantSplit/>
        </w:trPr>
        <w:tc>
          <w:tcPr>
            <w:tcW w:type="dxa" w:w="211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R17</w:t>
            </w:r>
          </w:p>
        </w:tc>
        <w:tc>
          <w:tcPr>
            <w:tcW w:type="dxa" w:w="199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reusable_holdout</w:t>
            </w:r>
          </w:p>
        </w:tc>
        <w:tc>
          <w:tcPr>
            <w:tcW w:type="dxa" w:w="199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R17 — The reusable holdout</w:t>
            </w:r>
          </w:p>
        </w:tc>
        <w:tc>
          <w:tcPr>
            <w:tcW w:type="dxa" w:w="199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https://pubmed.ncbi.nlm.nih.gov/26250683/</w:t>
            </w:r>
          </w:p>
        </w:tc>
        <w:tc>
          <w:tcPr>
            <w:tcW w:type="dxa" w:w="199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Science, 2015</w:t>
            </w:r>
          </w:p>
        </w:tc>
        <w:tc>
          <w:tcPr>
            <w:tcW w:type="dxa" w:w="199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no_or_versioned</w:t>
            </w:r>
          </w:p>
        </w:tc>
        <w:tc>
          <w:tcPr>
            <w:tcW w:type="dxa" w:w="199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research_evidence_owner</w:t>
            </w:r>
          </w:p>
        </w:tc>
      </w:tr>
      <w:tr>
        <w:trPr>
          <w:cantSplit/>
        </w:trPr>
        <w:tc>
          <w:tcPr>
            <w:tcW w:type="dxa" w:w="211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R18</w:t>
            </w:r>
          </w:p>
        </w:tc>
        <w:tc>
          <w:tcPr>
            <w:tcW w:type="dxa" w:w="199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nist_ai8002</w:t>
            </w:r>
          </w:p>
        </w:tc>
        <w:tc>
          <w:tcPr>
            <w:tcW w:type="dxa" w:w="199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R18 — NIST AI 800-2 initial public draft</w:t>
            </w:r>
          </w:p>
        </w:tc>
        <w:tc>
          <w:tcPr>
            <w:tcW w:type="dxa" w:w="199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https://nvlpubs.nist.gov/nistpubs/ai/NIST.AI.800-2.ipd.pdf</w:t>
            </w:r>
          </w:p>
        </w:tc>
        <w:tc>
          <w:tcPr>
            <w:tcW w:type="dxa" w:w="199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NIST AI 800-2 initial public draft, January 2026</w:t>
            </w:r>
          </w:p>
        </w:tc>
        <w:tc>
          <w:tcPr>
            <w:tcW w:type="dxa" w:w="199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no_or_versioned</w:t>
            </w:r>
          </w:p>
        </w:tc>
        <w:tc>
          <w:tcPr>
            <w:tcW w:type="dxa" w:w="199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standards_owner</w:t>
            </w:r>
          </w:p>
        </w:tc>
      </w:tr>
      <w:tr>
        <w:trPr>
          <w:cantSplit/>
        </w:trPr>
        <w:tc>
          <w:tcPr>
            <w:tcW w:type="dxa" w:w="211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R19</w:t>
            </w:r>
          </w:p>
        </w:tc>
        <w:tc>
          <w:tcPr>
            <w:tcW w:type="dxa" w:w="199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nist_ai8003</w:t>
            </w:r>
          </w:p>
        </w:tc>
        <w:tc>
          <w:tcPr>
            <w:tcW w:type="dxa" w:w="199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R19 — NIST AI 800-3 statistical measurement models</w:t>
            </w:r>
          </w:p>
        </w:tc>
        <w:tc>
          <w:tcPr>
            <w:tcW w:type="dxa" w:w="199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https://nvlpubs.nist.gov/nistpubs/ai/NIST.AI.800-3.pdf</w:t>
            </w:r>
          </w:p>
        </w:tc>
        <w:tc>
          <w:tcPr>
            <w:tcW w:type="dxa" w:w="199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NIST AI 800-3, February 2026</w:t>
            </w:r>
          </w:p>
        </w:tc>
        <w:tc>
          <w:tcPr>
            <w:tcW w:type="dxa" w:w="199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no_or_versioned</w:t>
            </w:r>
          </w:p>
        </w:tc>
        <w:tc>
          <w:tcPr>
            <w:tcW w:type="dxa" w:w="199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research_evidence_owner</w:t>
            </w:r>
          </w:p>
        </w:tc>
      </w:tr>
      <w:tr>
        <w:trPr>
          <w:cantSplit/>
        </w:trPr>
        <w:tc>
          <w:tcPr>
            <w:tcW w:type="dxa" w:w="211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R20</w:t>
            </w:r>
          </w:p>
        </w:tc>
        <w:tc>
          <w:tcPr>
            <w:tcW w:type="dxa" w:w="199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nist_aite_sequestered</w:t>
            </w:r>
          </w:p>
        </w:tc>
        <w:tc>
          <w:tcPr>
            <w:tcW w:type="dxa" w:w="199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R20 — NIST AI Technology Evaluation (AITE)</w:t>
            </w:r>
          </w:p>
        </w:tc>
        <w:tc>
          <w:tcPr>
            <w:tcW w:type="dxa" w:w="199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https://pages.nist.gov/ai-technology-evaluation/</w:t>
            </w:r>
          </w:p>
        </w:tc>
        <w:tc>
          <w:tcPr>
            <w:tcW w:type="dxa" w:w="199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initial phase; page last updated 2026-07-24</w:t>
            </w:r>
          </w:p>
        </w:tc>
        <w:tc>
          <w:tcPr>
            <w:tcW w:type="dxa" w:w="199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yes</w:t>
            </w:r>
          </w:p>
        </w:tc>
        <w:tc>
          <w:tcPr>
            <w:tcW w:type="dxa" w:w="199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research_evidence_owner</w:t>
            </w:r>
          </w:p>
        </w:tc>
      </w:tr>
      <w:tr>
        <w:trPr>
          <w:cantSplit/>
        </w:trPr>
        <w:tc>
          <w:tcPr>
            <w:tcW w:type="dxa" w:w="211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R21</w:t>
            </w:r>
          </w:p>
        </w:tc>
        <w:tc>
          <w:tcPr>
            <w:tcW w:type="dxa" w:w="199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nist_trec_governance</w:t>
            </w:r>
          </w:p>
        </w:tc>
        <w:tc>
          <w:tcPr>
            <w:tcW w:type="dxa" w:w="199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R21 — NIST TREC governance pattern</w:t>
            </w:r>
          </w:p>
        </w:tc>
        <w:tc>
          <w:tcPr>
            <w:tcW w:type="dxa" w:w="199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https://trec.nist.gov/howto.html</w:t>
            </w:r>
          </w:p>
        </w:tc>
        <w:tc>
          <w:tcPr>
            <w:tcW w:type="dxa" w:w="199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mutable program documentation; accessed 2026-08-09</w:t>
            </w:r>
          </w:p>
        </w:tc>
        <w:tc>
          <w:tcPr>
            <w:tcW w:type="dxa" w:w="199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yes</w:t>
            </w:r>
          </w:p>
        </w:tc>
        <w:tc>
          <w:tcPr>
            <w:tcW w:type="dxa" w:w="199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research_evidence_owner</w:t>
            </w:r>
          </w:p>
        </w:tc>
      </w:tr>
      <w:tr>
        <w:trPr>
          <w:cantSplit/>
        </w:trPr>
        <w:tc>
          <w:tcPr>
            <w:tcW w:type="dxa" w:w="211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R22</w:t>
            </w:r>
          </w:p>
        </w:tc>
        <w:tc>
          <w:tcPr>
            <w:tcW w:type="dxa" w:w="199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mia_failure_duan</w:t>
            </w:r>
          </w:p>
        </w:tc>
        <w:tc>
          <w:tcPr>
            <w:tcW w:type="dxa" w:w="199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R22 — Do Membership Inference Attacks Work on Large Language Models?</w:t>
            </w:r>
          </w:p>
        </w:tc>
        <w:tc>
          <w:tcPr>
            <w:tcW w:type="dxa" w:w="199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https://arxiv.org/abs/2402.07841</w:t>
            </w:r>
          </w:p>
        </w:tc>
        <w:tc>
          <w:tcPr>
            <w:tcW w:type="dxa" w:w="199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 xml:space="preserve">arXiv </w:t>
            </w:r>
            <w:r>
              <w:rPr>
                <w:rFonts w:ascii="Consolas" w:hAnsi="Consolas" w:eastAsia="Microsoft YaHei"/>
                <w:color w:val="1F4D78"/>
                <w:sz w:val="16"/>
              </w:rPr>
              <w:t>2402.07841</w:t>
            </w:r>
            <w:r>
              <w:rPr>
                <w:rFonts w:ascii="Calibri" w:hAnsi="Calibri" w:eastAsia="Microsoft YaHei"/>
                <w:color w:val="243447"/>
                <w:sz w:val="14"/>
              </w:rPr>
              <w:t>, 2024-02-12</w:t>
            </w:r>
          </w:p>
        </w:tc>
        <w:tc>
          <w:tcPr>
            <w:tcW w:type="dxa" w:w="199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no_or_versioned</w:t>
            </w:r>
          </w:p>
        </w:tc>
        <w:tc>
          <w:tcPr>
            <w:tcW w:type="dxa" w:w="199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research_evidence_owner</w:t>
            </w:r>
          </w:p>
        </w:tc>
      </w:tr>
      <w:tr>
        <w:trPr>
          <w:cantSplit/>
        </w:trPr>
        <w:tc>
          <w:tcPr>
            <w:tcW w:type="dxa" w:w="211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R23</w:t>
            </w:r>
          </w:p>
        </w:tc>
        <w:tc>
          <w:tcPr>
            <w:tcW w:type="dxa" w:w="199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shaky_ladder</w:t>
            </w:r>
          </w:p>
        </w:tc>
        <w:tc>
          <w:tcPr>
            <w:tcW w:type="dxa" w:w="199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R23 — Climbing a Shaky Ladder: Better Adaptive Risk Estimation</w:t>
            </w:r>
          </w:p>
        </w:tc>
        <w:tc>
          <w:tcPr>
            <w:tcW w:type="dxa" w:w="199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https://arxiv.org/abs/1706.02733</w:t>
            </w:r>
          </w:p>
        </w:tc>
        <w:tc>
          <w:tcPr>
            <w:tcW w:type="dxa" w:w="199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 xml:space="preserve">arXiv </w:t>
            </w:r>
            <w:r>
              <w:rPr>
                <w:rFonts w:ascii="Consolas" w:hAnsi="Consolas" w:eastAsia="Microsoft YaHei"/>
                <w:color w:val="1F4D78"/>
                <w:sz w:val="16"/>
              </w:rPr>
              <w:t>1706.02733</w:t>
            </w:r>
            <w:r>
              <w:rPr>
                <w:rFonts w:ascii="Calibri" w:hAnsi="Calibri" w:eastAsia="Microsoft YaHei"/>
                <w:color w:val="243447"/>
                <w:sz w:val="14"/>
              </w:rPr>
              <w:t>, 2017-06-08</w:t>
            </w:r>
          </w:p>
        </w:tc>
        <w:tc>
          <w:tcPr>
            <w:tcW w:type="dxa" w:w="199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no_or_versioned</w:t>
            </w:r>
          </w:p>
        </w:tc>
        <w:tc>
          <w:tcPr>
            <w:tcW w:type="dxa" w:w="199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research_evidence_owner</w:t>
            </w:r>
          </w:p>
        </w:tc>
      </w:tr>
      <w:tr>
        <w:trPr>
          <w:cantSplit/>
        </w:trPr>
        <w:tc>
          <w:tcPr>
            <w:tcW w:type="dxa" w:w="211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R24</w:t>
            </w:r>
          </w:p>
        </w:tc>
        <w:tc>
          <w:tcPr>
            <w:tcW w:type="dxa" w:w="199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dynamic_benchmark_theory</w:t>
            </w:r>
          </w:p>
        </w:tc>
        <w:tc>
          <w:tcPr>
            <w:tcW w:type="dxa" w:w="199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R24 — A Theory of Dynamic Benchmarks</w:t>
            </w:r>
          </w:p>
        </w:tc>
        <w:tc>
          <w:tcPr>
            <w:tcW w:type="dxa" w:w="199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https://openreview.net/forum?id=i8L9qoeZOS</w:t>
            </w:r>
          </w:p>
        </w:tc>
        <w:tc>
          <w:tcPr>
            <w:tcW w:type="dxa" w:w="199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ICLR 2023 poster; published 2023-02-01, modified 2023-03-01</w:t>
            </w:r>
          </w:p>
        </w:tc>
        <w:tc>
          <w:tcPr>
            <w:tcW w:type="dxa" w:w="199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no_or_versioned</w:t>
            </w:r>
          </w:p>
        </w:tc>
        <w:tc>
          <w:tcPr>
            <w:tcW w:type="dxa" w:w="199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research_evidence_owner</w:t>
            </w:r>
          </w:p>
        </w:tc>
      </w:tr>
      <w:tr>
        <w:trPr>
          <w:cantSplit/>
        </w:trPr>
        <w:tc>
          <w:tcPr>
            <w:tcW w:type="dxa" w:w="211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R25</w:t>
            </w:r>
          </w:p>
        </w:tc>
        <w:tc>
          <w:tcPr>
            <w:tcW w:type="dxa" w:w="199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nist_pooling_bias</w:t>
            </w:r>
          </w:p>
        </w:tc>
        <w:tc>
          <w:tcPr>
            <w:tcW w:type="dxa" w:w="199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R25 — Bias and the Limits of Pooling for Large Collections</w:t>
            </w:r>
          </w:p>
        </w:tc>
        <w:tc>
          <w:tcPr>
            <w:tcW w:type="dxa" w:w="199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https://www.nist.gov/publications/bias-and-limits-pooling-large-collections</w:t>
            </w:r>
          </w:p>
        </w:tc>
        <w:tc>
          <w:tcPr>
            <w:tcW w:type="dxa" w:w="199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Information Retrieval, 2007; NIST page updated 2021-10-12</w:t>
            </w:r>
          </w:p>
        </w:tc>
        <w:tc>
          <w:tcPr>
            <w:tcW w:type="dxa" w:w="199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no_or_versioned</w:t>
            </w:r>
          </w:p>
        </w:tc>
        <w:tc>
          <w:tcPr>
            <w:tcW w:type="dxa" w:w="199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AFC"/>
          </w:tcPr>
          <w:p>
            <w:pPr>
              <w:spacing w:after="0" w:line="247" w:lineRule="auto"/>
            </w:pPr>
            <w:r>
              <w:rPr>
                <w:rFonts w:ascii="Calibri" w:hAnsi="Calibri" w:eastAsia="Microsoft YaHei"/>
                <w:color w:val="243447"/>
                <w:sz w:val="14"/>
              </w:rPr>
              <w:t>research_evidence_owner</w:t>
            </w:r>
          </w:p>
        </w:tc>
      </w:tr>
    </w:tbl>
    <w:sectPr w:rsidR="00FC693F" w:rsidRPr="0006063C" w:rsidSect="00034616">
      <w:pgSz w:w="15840" w:h="12240" w:orient="landscape"/>
      <w:pgMar w:top="864" w:right="864" w:bottom="864" w:left="864" w:header="708" w:footer="708" w:gutter="0"/>
      <w:cols w:space="720" w:num="1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eastAsia="Microsoft YaHei"/>
        <w:color w:val="667085"/>
        <w:sz w:val="16"/>
      </w:rPr>
      <w:t xml:space="preserve">Evidence frozen 2026-08-09  •  </w:t>
    </w:r>
    <w: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right"/>
    </w:pPr>
    <w:r>
      <w:rPr>
        <w:rFonts w:ascii="Calibri" w:hAnsi="Calibri" w:eastAsia="Microsoft YaHei"/>
        <w:b/>
        <w:color w:val="667085"/>
        <w:sz w:val="16"/>
      </w:rPr>
      <w:t>ALE-STYLE LIVING BENCHMARK GOVERNANCE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Calibri" w:hAnsi="Calibri" w:eastAsia="Microsoft YaHei"/>
      <w:color w:val="24344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40" w:line="240" w:lineRule="auto" w:before="0"/>
      <w:contextualSpacing/>
    </w:pPr>
    <w:rPr>
      <w:rFonts w:asciiTheme="majorHAnsi" w:eastAsiaTheme="majorEastAsia" w:hAnsiTheme="majorHAnsi" w:cstheme="majorBidi" w:ascii="Calibri" w:hAnsi="Calibri" w:eastAsia="Microsoft YaHei"/>
      <w:b/>
      <w:color w:val="163A5F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100" w:line="264" w:lineRule="auto"/>
      <w:ind w:left="360" w:hanging="360"/>
      <w:contextualSpacing/>
    </w:pPr>
    <w:rPr>
      <w:rFonts w:ascii="Calibri" w:hAnsi="Calibri" w:eastAsia="Microsoft YaHei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100" w:line="264" w:lineRule="auto"/>
      <w:ind w:left="360" w:hanging="360"/>
      <w:contextualSpacing/>
    </w:pPr>
    <w:rPr>
      <w:rFonts w:ascii="Calibri" w:hAnsi="Calibri" w:eastAsia="Microsoft YaHei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image" Target="media/image1.png"/><Relationship Id="rId13" Type="http://schemas.openxmlformats.org/officeDocument/2006/relationships/image" Target="media/image2.png"/><Relationship Id="rId14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ALE-style Living Benchmark Governance</dc:title>
  <dc:subject>Release architecture, contamination control, lifecycle governance and versioning</dc:subject>
  <dc:creator>Research synthesis for UniPat interview assignment</dc:creator>
  <cp:keywords>ALE, living benchmark, contamination, lifecycle, leaderboard, governance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