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  <w:bookmarkStart w:id="0" w:name="_GoBack"/>
            <w:bookmarkEnd w:id="0"/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首款金额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1112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8F7AE4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37A60BA"/>
    <w:rsid w:val="076313CF"/>
    <w:rsid w:val="10243551"/>
    <w:rsid w:val="13881AD7"/>
    <w:rsid w:val="233F4554"/>
    <w:rsid w:val="23A817C6"/>
    <w:rsid w:val="2940075B"/>
    <w:rsid w:val="2F337C4C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37800F2"/>
    <w:rsid w:val="74A71E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2016-07-27T07:14:15Z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