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keepNext/>
        <w:keepLines w:val="0"/>
        <w:spacing w:before="0" w:after="0" w:lineRule="exact" w:line="520"/>
        <w:ind w:left="0" w:right="0" w:firstLine="0"/>
        <w:jc w:val="center"/>
      </w:pPr>
      <w:r>
        <w:rPr>
          <w:rFonts w:ascii="Times New Roman" w:hAnsi="Times New Roman" w:eastAsia="Songti SC" w:cs="Times New Roman"/>
          <w:b/>
          <w:sz w:val="36"/>
        </w:rPr>
        <w:t>基于大模型步骤级诊断与动态变式验证的高中数学个性化学习系统研究</w:t>
      </w:r>
    </w:p>
    <w:p w14:paraId="105B3FD9">
      <w:pPr>
        <w:pStyle w:val="Heading1"/>
        <w:keepNext/>
        <w:keepLines w:val="0"/>
        <w:widowControl/>
        <w:suppressLineNumbers w:val="0"/>
        <w:spacing w:before="0" w:after="0" w:lineRule="exact" w:line="400"/>
        <w:ind w:left="0" w:right="0" w:firstLine="0"/>
        <w:jc w:val="left"/>
        <w:rPr>
          <w:rFonts w:hint="default" w:eastAsiaTheme="minorEastAsia"/>
          <w:lang w:val="en-US" w:eastAsia="zh-CN"/>
        </w:rPr>
      </w:pPr>
      <w:r>
        <w:rPr>
          <w:rFonts w:ascii="Times New Roman" w:hAnsi="Times New Roman" w:eastAsia="Songti SC" w:cs="Times New Roman"/>
          <w:b/>
          <w:sz w:val="21"/>
        </w:rPr>
        <w:t>1. 项目目的和意义</w:t>
      </w:r>
    </w:p>
    <w:p w14:paraId="710ABB81">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高考数学试题具有很强的结构性。考查内容集中在相对有限的主干知识上，同类问题所使用的解题方法和关键步骤具有可归纳、可复现的规律。本项目认为，90%以上的高考数学题目都可以从知识点、解题方法和关键步骤三个层面进行结构化分析。题目条件和设问虽然不断变化，但其背后的方法往往相通。因此，学生失分未必意味着“整道题都不会”：有的学生没有识别出适用的方法，有的只在某一步计算或推理中出现偏差，还有的能够重做原题，却无法独立完成同类变式。</w:t>
      </w:r>
    </w:p>
    <w:p w14:paraId="658B8CB7">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现有学习反馈主要呈现整题对错和最终得分，难以指出上述差异。学生知道自己失分，却未必知道应补足哪个知识点、哪种方法或哪一步操作。教师能够进行细致诊断，但班级教学需要优先处理共性问题；要持续记录每名学生的错误断点，并为其分别安排讲评和练习，所需时间远超教师能够承担的范围。生成式大模型为大规模提供这种细粒度反馈创造了条件。</w:t>
      </w:r>
    </w:p>
    <w:p w14:paraId="21FF924E">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本项目拟利用生成式大模型，建立知识点、解题步骤与可迁移解题方法之间的关联，对学生作答进行步骤级诊断，并通过母题、</w:t>
      </w:r>
      <w:r>
        <w:rPr>
          <w:rFonts w:hint="eastAsia" w:ascii="Times New Roman" w:hAnsi="Times New Roman" w:eastAsia="Songti SC" w:cs="Times New Roman"/>
          <w:sz w:val="21"/>
          <w:lang w:val="en-US" w:eastAsia="zh-CN"/>
        </w:rPr>
        <w:t>AI生成</w:t>
      </w:r>
      <w:r>
        <w:rPr>
          <w:rFonts w:ascii="Times New Roman" w:hAnsi="Times New Roman" w:eastAsia="Songti SC" w:cs="Times New Roman"/>
          <w:sz w:val="21"/>
        </w:rPr>
        <w:t>变式和后续复查，判断学生是记住了一道题，还是掌握了一类方法。系统将为学生指出具体薄弱环节，为教师汇总可追溯的个人与班级学情，支持针对性教学。</w:t>
      </w:r>
      <w:r>
        <w:rPr>
          <w:rFonts w:hint="eastAsia" w:ascii="Times New Roman" w:hAnsi="Times New Roman" w:eastAsia="Songti SC" w:cs="Times New Roman"/>
          <w:sz w:val="21"/>
          <w:lang w:val="en-US" w:eastAsia="zh-CN"/>
        </w:rPr>
        <w:t>预留MCP接口，并开发对应专属AI Agent，来承担助教的任务。远期还可以考虑扩展到全部学科。</w:t>
      </w:r>
      <w:r>
        <w:rPr>
          <w:rFonts w:ascii="Times New Roman" w:hAnsi="Times New Roman" w:eastAsia="Songti SC" w:cs="Times New Roman"/>
          <w:sz w:val="21"/>
        </w:rPr>
        <w:t>项目的社会价值在于降低个性化学习反馈的提供成本，使更多学生能够持续获得及时、具体的学习支持，缩小因家庭经济条件和教师时间有限而产生的反馈差距。</w:t>
      </w:r>
    </w:p>
    <w:p w14:paraId="4536116C">
      <w:pPr>
        <w:pStyle w:val="Heading1"/>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2. 国内外现状与发展动态</w:t>
      </w:r>
    </w:p>
    <w:p w14:paraId="7E756B1C">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国外已有较多关于数学解题、错误步骤识别和相似题生成的研究[1][2]，但研究对象多为英文应用题、竞赛题或模型训练数据。针对中文试题，尤其是高考数学解答题的命题习惯、书写规范和真实学生作答，研究相对较少。国内不少 AI 教育产品虽然提供讲题、批改和推题功能，但仍以通用模型加提示词驱动单点功能为主：各功能之间缺少统一的题目与作答标准，AI 输出也缺少稳定的格式和明确的判断依据。</w:t>
      </w:r>
    </w:p>
    <w:p w14:paraId="3EE91906">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以现在的大模型能力，做对许多高考数学题已不是最难的事。真正困难的是持续做对、讲对、改对。高考数学解答题重视关键步骤和推理过程，同一道题也可能有不同的正确解法；即使最终答案正确，中间的论证错误、跳步或条件遗漏仍会影响评价[3]。因此，高考场景需要的不是一段看起来合理的解析，而是能逐步核查、说明依据的答案与批改结果。</w:t>
      </w:r>
    </w:p>
    <w:p w14:paraId="7319212F">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现有练习推荐通常从知识点出发，但知识点对诊断学生错误来说太宽。同样是导数题，学生可能不会判断单调性，也可能只是在参数分类时出错；给他们继续推送“导数题”，未必能解决问题。本项目将从题目和解题步骤入手：先确定学生在哪一步遇到困难，再判断这道题使用了什么套路，随后用方法相近、条件变化的题目检查学生能否独立完成。这里的“相似题”，重点是解题方法和关键步骤相近，而不只是考查同一知识点或改动几个数字。已有从原题生成同构题的研究[2]，本项目要进一步研究这些题能否用于诊断错误和检验方法迁移。</w:t>
      </w:r>
    </w:p>
    <w:p w14:paraId="2707AF8C">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并且，以往的研究人员难以同时具备对高考题目的充分研究和大模型知识。然而，课题组成员（施棋智、杨瀚淳）高考数学均为满分，对高考题目和备考过程有直接经验，并且在AI Agent领域开展过研究，有开展学科交叉研究的能力。这些基础可以帮助项目制定题目、步骤和解答的标注标准；已有条件见第四部分，具体分工见第六部分。</w:t>
      </w:r>
    </w:p>
    <w:p w14:paraId="63D79BFF">
      <w:pPr>
        <w:pStyle w:val="Heading1"/>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3. 项目的理论部分主要内容、创新点和特色、主要完成人</w:t>
      </w:r>
    </w:p>
    <w:p w14:paraId="0B4B43B3">
      <w:pPr>
        <w:pStyle w:val="2"/>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3.1 主要内容</w:t>
      </w:r>
    </w:p>
    <w:p w14:paraId="6DB806D8">
      <w:pPr>
        <w:keepNext w:val="0"/>
        <w:keepLines w:val="0"/>
        <w:widowControl/>
        <w:suppressLineNumbers w:val="0"/>
        <w:spacing w:before="0" w:after="0" w:lineRule="exact" w:line="400"/>
        <w:ind w:left="0" w:right="0" w:firstLine="0"/>
        <w:jc w:val="left"/>
      </w:pPr>
      <w:r>
        <w:rPr>
          <w:rFonts w:ascii="Times New Roman" w:hAnsi="Times New Roman" w:eastAsia="Songti SC" w:cs="Times New Roman"/>
          <w:b/>
          <w:sz w:val="21"/>
        </w:rPr>
        <w:t>第一，建立高中数学解答题的步骤规范。</w:t>
      </w:r>
      <w:r>
        <w:rPr>
          <w:rFonts w:ascii="Times New Roman" w:hAnsi="Times New Roman" w:eastAsia="Songti SC" w:cs="Times New Roman"/>
          <w:b w:val="0"/>
          <w:sz w:val="21"/>
        </w:rPr>
        <w:t>项目将数学内容分为三个层次：知识点界定内容范围；题目是具体实例，套路是能够用于多道题的方法；步骤是解答中可以逐一检查的推理或操作。对每道母题，项目要整理题目条件、可用套路、关键步骤、必要的论证和常见错误。对于一题多解，分别保留合理的解法及其步骤，不强迫学生套用唯一的标准答案。</w:t>
      </w:r>
    </w:p>
    <w:p w14:paraId="4F09A570">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步骤规范要解决“怎样拆、怎样判”的问题：哪些推理应算作一个步骤，哪些中间结论必须写出，等价写法如何对应，计算错误、条件遗漏和思路错误如何区分。解题、批改和教学使用同一套步骤名称与判断标准，教师也能查看和修改具体的判定依据。</w:t>
      </w:r>
    </w:p>
    <w:p w14:paraId="427D873F">
      <w:pPr>
        <w:keepNext w:val="0"/>
        <w:keepLines w:val="0"/>
        <w:widowControl/>
        <w:suppressLineNumbers w:val="0"/>
        <w:bidi w:val="0"/>
        <w:spacing w:before="0" w:after="0" w:lineRule="exact" w:line="400"/>
        <w:ind w:left="0" w:right="0" w:firstLine="0"/>
        <w:jc w:val="center"/>
        <w:rPr>
          <w:rStyle w:val="10"/>
        </w:rPr>
      </w:pPr>
      <w:r>
        <w:rPr>
          <w:rFonts w:ascii="Times New Roman" w:hAnsi="Times New Roman" w:eastAsia="Songti SC" w:cs="Times New Roman"/>
          <w:b w:val="0"/>
          <w:sz w:val="21"/>
        </w:rPr>
        <w:t>知识点：内容范围</w:t>
      </w:r>
    </w:p>
    <w:p w14:paraId="3F5540F7">
      <w:pPr>
        <w:keepNext w:val="0"/>
        <w:keepLines w:val="0"/>
        <w:widowControl/>
        <w:suppressLineNumbers w:val="0"/>
        <w:bidi w:val="0"/>
        <w:spacing w:before="0" w:after="0" w:lineRule="exact" w:line="400"/>
        <w:ind w:left="0" w:right="0" w:firstLine="0"/>
        <w:jc w:val="center"/>
        <w:rPr>
          <w:rStyle w:val="10"/>
        </w:rPr>
      </w:pPr>
      <w:r>
        <w:rPr>
          <w:rFonts w:ascii="Times New Roman" w:hAnsi="Times New Roman" w:eastAsia="Songti SC" w:cs="Times New Roman"/>
          <w:b w:val="0"/>
          <w:sz w:val="21"/>
        </w:rPr>
        <w:t>↓</w:t>
      </w:r>
    </w:p>
    <w:p w14:paraId="0DB3EA22">
      <w:pPr>
        <w:keepNext w:val="0"/>
        <w:keepLines w:val="0"/>
        <w:widowControl/>
        <w:suppressLineNumbers w:val="0"/>
        <w:bidi w:val="0"/>
        <w:spacing w:before="0" w:after="0" w:lineRule="exact" w:line="400"/>
        <w:ind w:left="0" w:right="0" w:firstLine="0"/>
        <w:jc w:val="center"/>
        <w:rPr>
          <w:rStyle w:val="10"/>
        </w:rPr>
      </w:pPr>
      <w:r>
        <w:rPr>
          <w:rFonts w:ascii="Times New Roman" w:hAnsi="Times New Roman" w:eastAsia="Songti SC" w:cs="Times New Roman"/>
          <w:b w:val="0"/>
          <w:sz w:val="21"/>
        </w:rPr>
        <w:t>题目：具体实例  ↔  套路：跨题使用的方法</w:t>
      </w:r>
    </w:p>
    <w:p w14:paraId="6DB2F1E6">
      <w:pPr>
        <w:keepNext w:val="0"/>
        <w:keepLines w:val="0"/>
        <w:widowControl/>
        <w:suppressLineNumbers w:val="0"/>
        <w:bidi w:val="0"/>
        <w:spacing w:before="0" w:after="0" w:lineRule="exact" w:line="400"/>
        <w:ind w:left="0" w:right="0" w:firstLine="0"/>
        <w:jc w:val="center"/>
        <w:rPr>
          <w:rStyle w:val="10"/>
        </w:rPr>
      </w:pPr>
      <w:r>
        <w:rPr>
          <w:rFonts w:ascii="Times New Roman" w:hAnsi="Times New Roman" w:eastAsia="Songti SC" w:cs="Times New Roman"/>
          <w:b w:val="0"/>
          <w:sz w:val="21"/>
        </w:rPr>
        <w:t>↓</w:t>
      </w:r>
    </w:p>
    <w:p w14:paraId="18A3D2ED">
      <w:pPr>
        <w:keepNext w:val="0"/>
        <w:keepLines w:val="0"/>
        <w:widowControl/>
        <w:suppressLineNumbers w:val="0"/>
        <w:bidi w:val="0"/>
        <w:spacing w:before="0" w:after="0" w:lineRule="exact" w:line="400"/>
        <w:ind w:left="0" w:right="0" w:firstLine="0"/>
        <w:jc w:val="center"/>
      </w:pPr>
      <w:r>
        <w:rPr>
          <w:rFonts w:ascii="Times New Roman" w:hAnsi="Times New Roman" w:eastAsia="Songti SC" w:cs="Times New Roman"/>
          <w:b w:val="0"/>
          <w:sz w:val="21"/>
        </w:rPr>
        <w:t>规范化步骤：推理、操作与错误位置</w:t>
      </w:r>
    </w:p>
    <w:p w14:paraId="48E28438">
      <w:pPr>
        <w:keepNext w:val="0"/>
        <w:keepLines w:val="0"/>
        <w:widowControl/>
        <w:suppressLineNumbers w:val="0"/>
        <w:spacing w:before="0" w:after="0" w:lineRule="exact" w:line="400"/>
        <w:ind w:left="0" w:right="0" w:firstLine="0"/>
        <w:jc w:val="left"/>
      </w:pPr>
      <w:r>
        <w:rPr>
          <w:rFonts w:ascii="Times New Roman" w:hAnsi="Times New Roman" w:eastAsia="Songti SC" w:cs="Times New Roman"/>
          <w:b/>
          <w:sz w:val="21"/>
        </w:rPr>
        <w:t>第二，研究围绕母题和套路的六步循环法。</w:t>
      </w:r>
      <w:r>
        <w:rPr>
          <w:rFonts w:ascii="Times New Roman" w:hAnsi="Times New Roman" w:eastAsia="Songti SC" w:cs="Times New Roman"/>
          <w:b w:val="0"/>
          <w:sz w:val="21"/>
        </w:rPr>
        <w:t>六步依次为：独立尝试、标记断点、获得针对断点的提示、脱离答案重新解答、复述解题思路、完成至少两道同套路变式。变式出错时，学生回到相应断点再次练习；隔一段时间还要复查。</w:t>
      </w:r>
    </w:p>
    <w:p w14:paraId="1A34C38F">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这套方法的训练对象是一道具体题目所体现的</w:t>
      </w:r>
      <w:r>
        <w:rPr>
          <w:rStyle w:val="8"/>
          <w:rFonts w:ascii="Times New Roman" w:hAnsi="Times New Roman" w:eastAsia="Songti SC" w:cs="Times New Roman"/>
          <w:sz w:val="21"/>
        </w:rPr>
        <w:t>套路及其关键步骤</w:t>
      </w:r>
      <w:r>
        <w:rPr>
          <w:rFonts w:ascii="Times New Roman" w:hAnsi="Times New Roman" w:eastAsia="Songti SC" w:cs="Times New Roman"/>
          <w:sz w:val="21"/>
        </w:rPr>
        <w:t>。例如，学生会求导，却没有想到构造辅助函数，系统就应训练他识别并使用这一方法；如果方法已经选对，只在分类讨论时遗漏情况，就应针对该步骤练习。相比笼统地继续推送“导数题”，这种安排更能解决学生眼前的问题。系统据独立作答、提示使用、重做结果和变式表现更新掌握记录，不把看过答案后的做对直接记作掌握。</w:t>
      </w:r>
    </w:p>
    <w:p w14:paraId="6A0E4218">
      <w:pPr>
        <w:keepNext w:val="0"/>
        <w:keepLines w:val="0"/>
        <w:widowControl/>
        <w:suppressLineNumbers w:val="0"/>
        <w:spacing w:before="0" w:after="0" w:lineRule="exact" w:line="400"/>
        <w:ind w:left="0" w:right="0" w:firstLine="0"/>
        <w:jc w:val="left"/>
      </w:pPr>
      <w:r>
        <w:rPr>
          <w:rFonts w:ascii="Times New Roman" w:hAnsi="Times New Roman" w:eastAsia="Songti SC" w:cs="Times New Roman"/>
          <w:b/>
          <w:sz w:val="21"/>
        </w:rPr>
        <w:t>第三，建立符合高考要求的解题与批改方法。</w:t>
      </w:r>
      <w:r>
        <w:rPr>
          <w:rFonts w:ascii="Times New Roman" w:hAnsi="Times New Roman" w:eastAsia="Songti SC" w:cs="Times New Roman"/>
          <w:b w:val="0"/>
          <w:sz w:val="21"/>
        </w:rPr>
        <w:t>系统先形成候选解答，再检查数学推理与步骤是否完整，最后按统一格式输出。批改学生作答时，需要指出错误发生的位置及判断依据，处理合理的不同解法，并区分“结果算错但主要思路正确”与“答案碰巧正确但过程有误”。有争议的结果保留人工复核与修改记录。手写识别及手写笔采集的过程数据，后续也将接入同一套步骤规范。</w:t>
      </w:r>
    </w:p>
    <w:p w14:paraId="03F2C94D">
      <w:pPr>
        <w:keepNext w:val="0"/>
        <w:keepLines w:val="0"/>
        <w:widowControl/>
        <w:suppressLineNumbers w:val="0"/>
        <w:spacing w:before="0" w:after="0" w:lineRule="exact" w:line="400"/>
        <w:ind w:left="0" w:right="0" w:firstLine="0"/>
        <w:jc w:val="left"/>
      </w:pPr>
      <w:r>
        <w:rPr>
          <w:rFonts w:ascii="Times New Roman" w:hAnsi="Times New Roman" w:eastAsia="Songti SC" w:cs="Times New Roman"/>
          <w:b/>
          <w:sz w:val="21"/>
        </w:rPr>
        <w:t>第四，将评价从单题扩展到整张试卷。</w:t>
      </w:r>
      <w:r>
        <w:rPr>
          <w:rFonts w:ascii="Times New Roman" w:hAnsi="Times New Roman" w:eastAsia="Songti SC" w:cs="Times New Roman"/>
          <w:b w:val="0"/>
          <w:sz w:val="21"/>
        </w:rPr>
        <w:t>整卷评价包含两个对象。对教师编制的试卷，系统分析知识点和套路的覆盖情况、题目难度与分值分布、难度梯度，以及是否存在同类题重复或重要方法缺失，并结合教师设定的考试目标给出试卷质量评价。对学生完成的试卷，系统汇总逐题得分、错误步骤、所用套路和作答时间，判断失分主要发生在方法识别、具体操作还是时间安排上。两类报告共用题目和步骤标注，但分别回答“卷子出得怎么样”和“学生做得怎么样”。</w:t>
      </w:r>
    </w:p>
    <w:p w14:paraId="44B491BE">
      <w:pPr>
        <w:keepNext w:val="0"/>
        <w:keepLines w:val="0"/>
        <w:widowControl/>
        <w:suppressLineNumbers w:val="0"/>
        <w:spacing w:before="0" w:after="0" w:lineRule="exact" w:line="400"/>
        <w:ind w:left="0" w:right="0" w:firstLine="0"/>
        <w:jc w:val="left"/>
      </w:pPr>
      <w:r>
        <w:rPr>
          <w:rFonts w:ascii="Times New Roman" w:hAnsi="Times New Roman" w:eastAsia="Songti SC" w:cs="Times New Roman"/>
          <w:b/>
          <w:sz w:val="21"/>
        </w:rPr>
        <w:t>第五，为智能体调用预留统一能力。</w:t>
      </w:r>
      <w:r>
        <w:rPr>
          <w:rFonts w:ascii="Times New Roman" w:hAnsi="Times New Roman" w:eastAsia="Songti SC" w:cs="Times New Roman"/>
          <w:b w:val="0"/>
          <w:sz w:val="21"/>
        </w:rPr>
        <w:t>题目检索、母题与变式、批改、分步教学、整卷分析和学习规划都将整理成有明确输入、输出和权限要求的接口。后续的专用 Agent 可以按任务调用这些能力，例如根据一次改卷结果找到相关母题、安排变式和复查；教师端也可调用整卷分析及班级学情功能。项目将提供 API、MCP 调用示例，并让 RAG 优先使用审核过的数学内容。学生端、教师端及外部智能体使用同一套题目与步骤标准，调用过程保留记录。</w:t>
      </w:r>
    </w:p>
    <w:p w14:paraId="273AC831">
      <w:pPr>
        <w:keepNext w:val="0"/>
        <w:keepLines w:val="0"/>
        <w:widowControl/>
        <w:suppressLineNumbers w:val="0"/>
        <w:spacing w:before="0" w:after="0" w:lineRule="exact" w:line="400"/>
        <w:ind w:left="0" w:right="0" w:firstLine="0"/>
        <w:jc w:val="left"/>
        <w:rPr>
          <w:rFonts w:hint="default" w:eastAsiaTheme="minorEastAsia"/>
          <w:lang w:val="en-US" w:eastAsia="zh-CN"/>
        </w:rPr>
      </w:pPr>
      <w:r>
        <w:rPr>
          <w:rFonts w:ascii="Times New Roman" w:hAnsi="Times New Roman" w:eastAsia="Songti SC" w:cs="Times New Roman"/>
          <w:b/>
          <w:sz w:val="21"/>
        </w:rPr>
        <w:t>第六，</w:t>
      </w:r>
      <w:r>
        <w:rPr>
          <w:rFonts w:ascii="Times New Roman" w:hAnsi="Times New Roman" w:eastAsia="Songti SC" w:cs="Times New Roman"/>
          <w:b w:val="0"/>
          <w:sz w:val="21"/>
        </w:rPr>
        <w:t>编写对应benchmark，并测试MCP对AI Agent解答这些题目规范性的影响，并且和现有竞品进行比较。</w:t>
      </w:r>
    </w:p>
    <w:p w14:paraId="74FECCE1">
      <w:pPr>
        <w:pStyle w:val="2"/>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3.2 创新点和特色</w:t>
      </w:r>
    </w:p>
    <w:p w14:paraId="324C0F74">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本项目的重点是把</w:t>
      </w:r>
      <w:r>
        <w:rPr>
          <w:rStyle w:val="8"/>
          <w:rFonts w:ascii="Times New Roman" w:hAnsi="Times New Roman" w:eastAsia="Songti SC" w:cs="Times New Roman"/>
          <w:sz w:val="21"/>
        </w:rPr>
        <w:t>步骤规范、题目与套路的关系、学习过程</w:t>
      </w:r>
      <w:r>
        <w:rPr>
          <w:rFonts w:ascii="Times New Roman" w:hAnsi="Times New Roman" w:eastAsia="Songti SC" w:cs="Times New Roman"/>
          <w:sz w:val="21"/>
        </w:rPr>
        <w:t>放在一起研究。步骤用于准确定位错误，套路用于决定接下来练什么，母题和变式用于检查学生能否把方法用到另一道题上。</w:t>
      </w:r>
    </w:p>
    <w:p w14:paraId="05640459">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六步循环法为学习过程提供了明确的检查点：学生从哪里卡住、得到多少帮助、能否独立重做、能否完成变式，都有相应记录。这比只统计整题正确率更能说明学生学到了什么。</w:t>
      </w:r>
    </w:p>
    <w:p w14:paraId="79E2826B">
      <w:pPr>
        <w:keepNext w:val="0"/>
        <w:keepLines w:val="0"/>
        <w:widowControl/>
        <w:suppressLineNumbers w:val="0"/>
        <w:spacing w:before="0" w:after="0" w:lineRule="exact" w:line="400"/>
        <w:ind w:left="0" w:right="0" w:firstLine="0"/>
        <w:jc w:val="left"/>
      </w:pPr>
      <w:r>
        <w:rPr>
          <w:rFonts w:ascii="Times New Roman" w:hAnsi="Times New Roman" w:eastAsia="Songti SC" w:cs="Times New Roman"/>
          <w:kern w:val="0"/>
          <w:sz w:val="21"/>
          <w:szCs w:val="24"/>
          <w:lang w:val="en-US" w:eastAsia="zh-CN" w:bidi="ar"/>
        </w:rPr>
        <w:t>同一套题目与步骤规范将用于单题批改、试卷质量评价、学生整卷分析和 Agent 调用，使各项功能对同一道题的判断保持一致。</w:t>
      </w:r>
    </w:p>
    <w:p w14:paraId="58B4FC1A">
      <w:pPr>
        <w:pStyle w:val="2"/>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3.3 主要完成人</w:t>
      </w:r>
    </w:p>
    <w:p w14:paraId="1CBB62DE">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本部分由申请人 施棋智和项目成员 杨瀚淳 共同完成。两人均曾在高考数学中取得满分。具体工作安排在第六部分列明。</w:t>
      </w:r>
    </w:p>
    <w:p w14:paraId="540C08E9">
      <w:pPr>
        <w:pStyle w:val="Heading1"/>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4. 项目已有基础、实验条件及可行性分析</w:t>
      </w:r>
    </w:p>
    <w:p w14:paraId="354AB5C0">
      <w:pPr>
        <w:pStyle w:val="2"/>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4.1 现有系统</w:t>
      </w:r>
    </w:p>
    <w:p w14:paraId="2E06817E">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项目成员已自主开发一个可运行的高中数学学习系统原型</w:t>
      </w:r>
      <w:r>
        <w:rPr>
          <w:rFonts w:hint="eastAsia" w:ascii="Times New Roman" w:hAnsi="Times New Roman" w:eastAsia="Songti SC" w:cs="Times New Roman"/>
          <w:sz w:val="21"/>
          <w:lang w:eastAsia="zh-CN"/>
        </w:rPr>
        <w:t>，</w:t>
      </w:r>
      <w:r>
        <w:rPr>
          <w:rFonts w:hint="eastAsia" w:ascii="Times New Roman" w:hAnsi="Times New Roman" w:eastAsia="Songti SC" w:cs="Times New Roman"/>
          <w:sz w:val="21"/>
          <w:lang w:val="en-US" w:eastAsia="zh-CN"/>
        </w:rPr>
        <w:t>网址为150</w:t>
      </w:r>
      <w:r>
        <w:rPr>
          <w:rFonts w:hint="default" w:ascii="Times New Roman" w:hAnsi="Times New Roman" w:eastAsia="Songti SC" w:cs="Times New Roman"/>
          <w:sz w:val="21"/>
          <w:lang w:val="en-US" w:eastAsia="zh-CN"/>
        </w:rPr>
        <w:t>.chat,</w:t>
      </w:r>
      <w:r>
        <w:rPr>
          <w:rFonts w:hint="eastAsia" w:ascii="Times New Roman" w:hAnsi="Times New Roman" w:eastAsia="Songti SC" w:cs="Times New Roman"/>
          <w:sz w:val="21"/>
          <w:lang w:val="en-US" w:eastAsia="zh-CN"/>
        </w:rPr>
        <w:t xml:space="preserve"> github仓库为1314THER/study-agent</w:t>
      </w:r>
      <w:r>
        <w:rPr>
          <w:rFonts w:ascii="Times New Roman" w:hAnsi="Times New Roman" w:eastAsia="Songti SC" w:cs="Times New Roman"/>
          <w:sz w:val="21"/>
        </w:rPr>
        <w:t>。系统目前以学生个人使用为主，包含题目导入、解题分析、题库管理、单题批改、变式练习和学习规划等功能，已经具备开展后续研究的基本软件框架</w:t>
      </w:r>
      <w:r>
        <w:rPr>
          <w:rFonts w:hint="eastAsia" w:ascii="Times New Roman" w:hAnsi="Times New Roman" w:eastAsia="Songti SC" w:cs="Times New Roman"/>
          <w:sz w:val="21"/>
          <w:lang w:eastAsia="zh-CN"/>
        </w:rPr>
        <w:t>，</w:t>
      </w:r>
      <w:r>
        <w:rPr>
          <w:rFonts w:hint="eastAsia" w:ascii="Times New Roman" w:hAnsi="Times New Roman" w:eastAsia="Songti SC" w:cs="Times New Roman"/>
          <w:sz w:val="21"/>
          <w:lang w:val="en-US" w:eastAsia="zh-CN"/>
        </w:rPr>
        <w:t>但是安全性尚未确认</w:t>
      </w:r>
      <w:r>
        <w:rPr>
          <w:rFonts w:ascii="Times New Roman" w:hAnsi="Times New Roman" w:eastAsia="Songti SC" w:cs="Times New Roman"/>
          <w:sz w:val="21"/>
        </w:rPr>
        <w:t>。</w:t>
      </w:r>
    </w:p>
    <w:p w14:paraId="6C63F1FD">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在题目处理方面，系统可以从文字、图片及常见文档中提取题目。对于录入的题目，系统采用“求解—校验—整理”的流程生成解答，并记录知识点、解题步骤等信息。学生可以在个人题库中查看和管理题目；针对已做过的题目，系统能够生成变式，并尝试通过再次求解筛除有明显问题的生成结果。系统也已实现母题与套路关联、步骤提示、练习记录、关卡和复习日历的初步功能。</w:t>
      </w:r>
    </w:p>
    <w:p w14:paraId="4C2FDE77">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在作答反馈方面，系统支持文字形式的单题批改，也可以先识别手写作答图片，再由学生确认识别文字。目前，主观题批改主要依赖一次大模型调用和批改提示词，尚未形成稳定的步骤判分规范与独立复核流程。系统还支持从题库中人工选题、组卷并导出试卷，但尚不能评价一张试卷的套路分布、难度分布和整体质量，也不能结合学生的作答时间线生成整卷诊断报告。站内学习助手已有雏形，对外开放的智能体接口尚未开发。</w:t>
      </w:r>
    </w:p>
    <w:p w14:paraId="62A480C9">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目前的系统仍是单用户原型，数据库中录入的题目、套路及关联数据主要用于功能开发和联调，尚未经过系统审核，不能视为正式的教学内容库。教师端、用户登录与权限管理、多人数据管理、手写笔过程采集，以及独立的批改 Benchmark 均有待建设。</w:t>
      </w:r>
    </w:p>
    <w:p w14:paraId="562059D9">
      <w:pPr>
        <w:pStyle w:val="2"/>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4.2 研究积累与实验条件</w:t>
      </w:r>
    </w:p>
    <w:p w14:paraId="1DCADE63">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指导教师钱老师所在实验室的研究生龚晨正在对高中教育与AI Agent的交叉领域展开研究，他可以为我们提供技术上的支持。目前该实验室尚无可直接复用于本项目的研究成果或实验数据。本项目已有基础主要来自项目成员前期自主开发的系统原型及其初步录入的内容。后续研究所需的内容规范、评测数据和实验记录，需要在项目实施过程中建立。</w:t>
      </w:r>
    </w:p>
    <w:p w14:paraId="3035B769">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现有代码、开发环境和模型接口可以支持原型迭代与早期测试。项目组两位成员均取得过高考数学满分成绩，具备整理高考数学题目和解题方法的经验；但步骤判分标准、套路划分及题目质量仍需通过统一规范和人工审核确定，不能仅凭成员经验认定。</w:t>
      </w:r>
    </w:p>
    <w:p w14:paraId="3F0B7349">
      <w:pPr>
        <w:pStyle w:val="2"/>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4.3 可行性与主要难点</w:t>
      </w:r>
    </w:p>
    <w:p w14:paraId="0637BA9A">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项目已具备可运行的系统原型，后续工作可以围绕现有题库、解题和练习流程逐步展开。最主要的难点有三项：一是扩充套路和母题时保持划分一致、题目可靠；二是在存在多种正确解法的情况下，准确判断学生从哪一步开始出错，并避免批改结果自相矛盾；三是将当前单用户原型改造成支持学生与教师使用的系统，同时可靠记录整卷作答和手写笔过程。</w:t>
      </w:r>
    </w:p>
    <w:p w14:paraId="23466FAC">
      <w:pPr>
        <w:pStyle w:val="Heading1"/>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5. 项目实验部分的技术路线和具体方案设计</w:t>
      </w:r>
    </w:p>
    <w:p w14:paraId="4A5B9F83">
      <w:pPr>
        <w:pStyle w:val="2"/>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5.1 技术路线</w:t>
      </w:r>
    </w:p>
    <w:p w14:paraId="5E212FBA">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项目以“步骤—题目与套路—知识点”为内容组织层次。先确定本期研究的套路目录，为每种套路选取母题，标明适用条件、规范解题步骤、常见错因、难度及允许的其他解法；再围绕母题建立变式和学生作答样本。在此基础上，改进解题、批改和教学流程，并通过独立评测检验诊断结果是否准确，最后将经过检验的能力接入学生端、教师端和智能体接口。</w:t>
      </w:r>
    </w:p>
    <w:p w14:paraId="67BC5455">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现有题目库与掌握记录分存在两个本地数据库中。项目将先备份和核对原有数据，再建立统一的数据结构，明确用户、角色、题目族、套路、试卷、作答、批改结果和作答时间事件之间的关联。系统设置学生与教师两类账号：学生只能访问自己的作答和学习记录；教师可以查看其负责学生的报告，并对试卷分析和批改结果进行复核。多人试用前完成数据库迁移、登录鉴权和权限测试。</w:t>
      </w:r>
    </w:p>
    <w:p w14:paraId="50DBB2A9">
      <w:pPr>
        <w:pStyle w:val="2"/>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5.2 内容标注与步骤级批改</w:t>
      </w:r>
    </w:p>
    <w:p w14:paraId="7FBF3168">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内容建设先于大规模功能扩展。项目组将统一解答题的步骤划分和书写规范，明确哪些推理必须写出、哪些变形可以合并，以及不同正确解法如何对应评分点。每道进入正式内容库的母题应有题目来源、参考解答、关键步骤、关联套路、知识点、难度和审核记录。生成的变式除经过模型求解校验外，还需人工检查数学正确性、与母题的套路关系及题面是否发生实质变化。</w:t>
      </w:r>
    </w:p>
    <w:p w14:paraId="6CA69927">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批改系统将以现有单次模型判分作为基线。改进后的流程先识别学生作答采用的解法，再将其与相应的关键步骤和评分点对齐，判断首次出错的位置、后续步骤是否受该错误影响，并给出得分及理由。对正确异解、跳步、分类讨论不完整等容易误判的情况，增加独立校验；无法可靠判断时标记为待复核。解题、批改和手把手教学使用统一的术语、输出字段与版本记录，使同一份作答在不同页面得到可对应的评价。</w:t>
      </w:r>
    </w:p>
    <w:p w14:paraId="15138A46">
      <w:pPr>
        <w:pStyle w:val="2"/>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5.3 六步循环训练与变式检验</w:t>
      </w:r>
    </w:p>
    <w:p w14:paraId="6F3E8C30">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学生端将六步循环法落实为可记录的训练过程：独立尝试、标记断点、获得针对断点的提示、脱离答案重新解答、复述解题思路、完成至少两道同套路变式。系统记录每一步的作答、用时和提示使用情况。对于计算、条件转化、分类讨论等具体薄弱步骤，先提供针对该步骤的练习，再回到整题；受提示后完成的题目与独立完成的题目分别记录。</w:t>
      </w:r>
    </w:p>
    <w:p w14:paraId="09F08EC2">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变式分为两类：近变式保留主要解题结构，改变条件或数值；远变式改变题目呈现或设问方式，但仍考查同一套路。学生完成母题训练后，在无提示条件下作答未见过的变式，并在数日后复查。系统据此判断学生是记住了原题，还是能够独立识别并使用方法。</w:t>
      </w:r>
    </w:p>
    <w:p w14:paraId="1DB2EEE4">
      <w:pPr>
        <w:pStyle w:val="2"/>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5.4 试卷评价、师生端与手写笔接入</w:t>
      </w:r>
    </w:p>
    <w:p w14:paraId="5A013FEB">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整卷分析分为两个对象。</w:t>
      </w:r>
      <w:r>
        <w:rPr>
          <w:rStyle w:val="8"/>
          <w:rFonts w:ascii="Times New Roman" w:hAnsi="Times New Roman" w:eastAsia="Songti SC" w:cs="Times New Roman"/>
          <w:sz w:val="21"/>
        </w:rPr>
        <w:t>对教师所出的试卷</w:t>
      </w:r>
      <w:r>
        <w:rPr>
          <w:rFonts w:ascii="Times New Roman" w:hAnsi="Times New Roman" w:eastAsia="Songti SC" w:cs="Times New Roman"/>
          <w:sz w:val="21"/>
        </w:rPr>
        <w:t>，系统根据预设的考试范围和目标，统计题型、分值、知识点、套路及预计难度分布，指出重复考查或覆盖不足的部分，并允许教师修改题目标签和评价结论。</w:t>
      </w:r>
      <w:r>
        <w:rPr>
          <w:rStyle w:val="8"/>
          <w:rFonts w:ascii="Times New Roman" w:hAnsi="Times New Roman" w:eastAsia="Songti SC" w:cs="Times New Roman"/>
          <w:sz w:val="21"/>
        </w:rPr>
        <w:t>对学生的整卷作答</w:t>
      </w:r>
      <w:r>
        <w:rPr>
          <w:rFonts w:ascii="Times New Roman" w:hAnsi="Times New Roman" w:eastAsia="Songti SC" w:cs="Times New Roman"/>
          <w:sz w:val="21"/>
        </w:rPr>
        <w:t>，系统汇总逐题得分、关键错误步骤、相关套路和用时，展示答题、停顿、返回修改等时间事件，形成可追溯到原始作答的报告。</w:t>
      </w:r>
    </w:p>
    <w:p w14:paraId="736E23F7">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教师端先实现题目与试卷查看、组卷及质量评价、所教学生报告查看、批改复核四项基本功能。学生端贯通题库、作答、批改、六步训练、关卡、复习日历和整卷报告。手写笔先适配一种设备或输入方式，完成笔迹采集、时间戳记录、题号绑定、本地暂存和上传；手写识别结果由学生确认后再进入数学批改，分别评估识别错误与判分错误。</w:t>
      </w:r>
    </w:p>
    <w:p w14:paraId="54A3C3A3">
      <w:pPr>
        <w:keepNext w:val="0"/>
        <w:keepLines w:val="0"/>
        <w:widowControl/>
        <w:suppressLineNumbers w:val="0"/>
        <w:spacing w:before="0" w:after="0" w:lineRule="exact" w:line="400"/>
        <w:ind w:left="0" w:right="0" w:firstLine="0"/>
        <w:jc w:val="left"/>
        <w:rPr>
          <w:rFonts w:hint="default" w:eastAsiaTheme="minorEastAsia"/>
          <w:lang w:val="en-US" w:eastAsia="zh-CN"/>
        </w:rPr>
      </w:pPr>
      <w:r>
        <w:rPr>
          <w:rFonts w:ascii="Times New Roman" w:hAnsi="Times New Roman" w:eastAsia="Songti SC" w:cs="Times New Roman"/>
          <w:sz w:val="21"/>
        </w:rPr>
        <w:t>后期整理核心 API 和 MCP 调用示例，开发一个能够调用搜题、批改、教学及规划接口的专用智能体。使用 RAG 检索经过审核且获得授权共享的母题和教学材料，并保留所引用内容的来源与版本。并开发联网搜索功能，获取新的候选题目，经审核后再入库。</w:t>
      </w:r>
    </w:p>
    <w:p w14:paraId="34D7D12D">
      <w:pPr>
        <w:pStyle w:val="2"/>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5.5 评测与试用方案</w:t>
      </w:r>
    </w:p>
    <w:p w14:paraId="6DAF1822">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项目将编写 Benchmark 标注手册，收集正确作答、典型错误、正确异解和有争议的判分案例。样本按</w:t>
      </w:r>
      <w:r>
        <w:rPr>
          <w:rStyle w:val="8"/>
          <w:rFonts w:ascii="Times New Roman" w:hAnsi="Times New Roman" w:eastAsia="Songti SC" w:cs="Times New Roman"/>
          <w:sz w:val="21"/>
        </w:rPr>
        <w:t>题目族</w:t>
      </w:r>
      <w:r>
        <w:rPr>
          <w:rFonts w:ascii="Times New Roman" w:hAnsi="Times New Roman" w:eastAsia="Songti SC" w:cs="Times New Roman"/>
          <w:sz w:val="21"/>
        </w:rPr>
        <w:t>划分开发集与封存测试集：同一母题及其变式不得分散到两组，封存测试集不参与提示词修改或 RAG 检索。两名标注者交叉标注作答，对分歧保留记录并进行复核。</w:t>
      </w:r>
    </w:p>
    <w:p w14:paraId="47F2495A">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评测分三组进行。第一组比较现有批改方法与改进方法，考查判分偏差、首次关键错误定位、正确异解误判及需要人工复核的比例。第二组评价变式是否数学正确、是否保持目标套路，以及试卷报告的统计和判断是否符合人工核查结果。第三组检验学习方法：比较仅按知识点匹配练习与结合套路、步骤安排练习时，学生在未见变式中的关键步骤独立完成情况。试用采用前测、训练、即时变式和延迟复查的顺序；如暂不具备真人试用条件，先用获准使用的脱敏作答进行离线回放，分别报告两类实验的结果。另用同一批题目比较专用 Agent 在不调用工具与通过 MCP 调用系统能力时的解答步骤规范性，并记录与现有竞品公开功能的对照结果。</w:t>
      </w:r>
    </w:p>
    <w:p w14:paraId="247D5FD5">
      <w:pPr>
        <w:pStyle w:val="Heading1"/>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6. 项目进展计划及成员分工</w:t>
      </w:r>
    </w:p>
    <w:p>
      <w:pPr>
        <w:pStyle w:val="Caption"/>
        <w:keepNext/>
        <w:keepLines w:val="0"/>
        <w:spacing w:before="0" w:after="0" w:lineRule="exact" w:line="240"/>
        <w:ind w:left="0" w:right="0" w:firstLine="0"/>
        <w:jc w:val="center"/>
      </w:pPr>
      <w:r>
        <w:rPr>
          <w:rFonts w:ascii="Times New Roman" w:hAnsi="Times New Roman" w:eastAsia="Songti SC" w:cs="Times New Roman"/>
          <w:sz w:val="18"/>
        </w:rPr>
        <w:t>表1 项目进展计划</w:t>
      </w:r>
    </w:p>
    <w:tbl>
      <w:tblPr>
        <w:tblW w:w="0" w:type="auto"/>
        <w:jc w:val="center"/>
        <w:tblCellSpacing w:w="15" w:type="dxa"/>
        <w:tblInd w:w="0" w:type="dxa"/>
        <w:tblBorders>
          <w:top w:val="single" w:color="000000" w:sz="8" w:space="0"/>
          <w:left w:val="nil" w:color="auto" w:sz="0" w:space="0"/>
          <w:bottom w:val="single" w:color="000000" w:sz="8" w:space="0"/>
          <w:right w:val="nil" w:color="auto" w:sz="0" w:space="0"/>
          <w:insideH w:val="single" w:color="000000" w:sz="4" w:space="0"/>
          <w:insideV w:val="nil" w:color="auto" w:sz="0" w:space="0"/>
        </w:tblBorders>
        <w:shd w:val="clear"/>
        <w:tblLayout w:type="fixed"/>
        <w:tblCellMar>
          <w:top w:w="15" w:type="dxa"/>
          <w:left w:w="15" w:type="dxa"/>
          <w:bottom w:w="15" w:type="dxa"/>
          <w:right w:w="15" w:type="dxa"/>
        </w:tblCellMar>
      </w:tblPr>
      <w:tblGrid>
        <w:gridCol w:w="1219"/>
        <w:gridCol w:w="4535"/>
        <w:gridCol w:w="2557"/>
      </w:tblGrid>
      <w:tr w14:paraId="1E1F3312">
        <w:trPr>
          <w:tblHeader/>
          <w:tblCellSpacing w:w="15" w:type="dxa"/>
          <w:tblHeader w:val="true"/>
        </w:trPr>
        <w:tc>
          <w:tcPr>
            <w:tcW w:w="1219" w:type="dxa"/>
            <w:shd w:val="clear"/>
            <w:vAlign w:val="center"/>
            <w:tcMar>
              <w:top w:w="65" w:type="dxa"/>
              <w:left w:w="80" w:type="dxa"/>
              <w:bottom w:w="65" w:type="dxa"/>
              <w:right w:w="80" w:type="dxa"/>
            </w:tcMar>
          </w:tcPr>
          <w:p w14:paraId="253F87A7">
            <w:pPr>
              <w:keepNext w:val="0"/>
              <w:keepLines w:val="0"/>
              <w:widowControl/>
              <w:suppressLineNumbers w:val="0"/>
              <w:spacing w:before="0" w:after="0" w:lineRule="exact" w:line="320"/>
              <w:ind w:left="0" w:right="0" w:firstLine="0"/>
              <w:jc w:val="center"/>
              <w:rPr>
                <w:b/>
                <w:bCs/>
              </w:rPr>
            </w:pPr>
            <w:r>
              <w:rPr>
                <w:rFonts w:ascii="Times New Roman" w:hAnsi="Times New Roman" w:eastAsia="Songti SC" w:cs="Times New Roman"/>
                <w:b/>
                <w:bCs/>
                <w:kern w:val="0"/>
                <w:sz w:val="18"/>
                <w:szCs w:val="24"/>
                <w:lang w:val="en-US" w:eastAsia="zh-CN" w:bidi="ar"/>
              </w:rPr>
              <w:t>时间</w:t>
            </w:r>
          </w:p>
        </w:tc>
        <w:tc>
          <w:tcPr>
            <w:tcW w:w="4535" w:type="dxa"/>
            <w:shd w:val="clear"/>
            <w:vAlign w:val="center"/>
            <w:tcMar>
              <w:top w:w="65" w:type="dxa"/>
              <w:left w:w="80" w:type="dxa"/>
              <w:bottom w:w="65" w:type="dxa"/>
              <w:right w:w="80" w:type="dxa"/>
            </w:tcMar>
          </w:tcPr>
          <w:p w14:paraId="7D917F8F">
            <w:pPr>
              <w:keepNext w:val="0"/>
              <w:keepLines w:val="0"/>
              <w:widowControl/>
              <w:suppressLineNumbers w:val="0"/>
              <w:spacing w:before="0" w:after="0" w:lineRule="exact" w:line="320"/>
              <w:ind w:left="0" w:right="0" w:firstLine="0"/>
              <w:jc w:val="center"/>
              <w:rPr>
                <w:b/>
                <w:bCs/>
              </w:rPr>
            </w:pPr>
            <w:r>
              <w:rPr>
                <w:rFonts w:ascii="Times New Roman" w:hAnsi="Times New Roman" w:eastAsia="Songti SC" w:cs="Times New Roman"/>
                <w:b/>
                <w:bCs/>
                <w:kern w:val="0"/>
                <w:sz w:val="18"/>
                <w:szCs w:val="24"/>
                <w:lang w:val="en-US" w:eastAsia="zh-CN" w:bidi="ar"/>
              </w:rPr>
              <w:t>主要工作</w:t>
            </w:r>
          </w:p>
        </w:tc>
        <w:tc>
          <w:tcPr>
            <w:tcW w:w="2557" w:type="dxa"/>
            <w:shd w:val="clear"/>
            <w:vAlign w:val="center"/>
            <w:tcMar>
              <w:top w:w="65" w:type="dxa"/>
              <w:left w:w="80" w:type="dxa"/>
              <w:bottom w:w="65" w:type="dxa"/>
              <w:right w:w="80" w:type="dxa"/>
            </w:tcMar>
          </w:tcPr>
          <w:p w14:paraId="442C5693">
            <w:pPr>
              <w:keepNext w:val="0"/>
              <w:keepLines w:val="0"/>
              <w:widowControl/>
              <w:suppressLineNumbers w:val="0"/>
              <w:spacing w:before="0" w:after="0" w:lineRule="exact" w:line="320"/>
              <w:ind w:left="0" w:right="0" w:firstLine="0"/>
              <w:jc w:val="center"/>
              <w:rPr>
                <w:b/>
                <w:bCs/>
              </w:rPr>
            </w:pPr>
            <w:r>
              <w:rPr>
                <w:rFonts w:ascii="Times New Roman" w:hAnsi="Times New Roman" w:eastAsia="Songti SC" w:cs="Times New Roman"/>
                <w:b/>
                <w:bCs/>
                <w:kern w:val="0"/>
                <w:sz w:val="18"/>
                <w:szCs w:val="24"/>
                <w:lang w:val="en-US" w:eastAsia="zh-CN" w:bidi="ar"/>
              </w:rPr>
              <w:t>阶段成果</w:t>
            </w:r>
          </w:p>
        </w:tc>
      </w:tr>
      <w:tr w14:paraId="78C3DDA9">
        <w:trPr>
          <w:tblCellSpacing w:w="15" w:type="dxa"/>
        </w:trPr>
        <w:tc>
          <w:tcPr>
            <w:tcW w:w="1219" w:type="dxa"/>
            <w:shd w:val="clear"/>
            <w:vAlign w:val="center"/>
            <w:tcMar>
              <w:top w:w="65" w:type="dxa"/>
              <w:left w:w="80" w:type="dxa"/>
              <w:bottom w:w="65" w:type="dxa"/>
              <w:right w:w="80" w:type="dxa"/>
            </w:tcMar>
          </w:tcPr>
          <w:p w14:paraId="36CBA8EE">
            <w:pPr>
              <w:keepNext w:val="0"/>
              <w:keepLines w:val="0"/>
              <w:widowControl/>
              <w:suppressLineNumbers w:val="0"/>
              <w:spacing w:before="0" w:after="0" w:lineRule="exact" w:line="320"/>
              <w:ind w:left="0" w:right="0" w:firstLine="0"/>
              <w:jc w:val="center"/>
            </w:pPr>
            <w:r>
              <w:rPr>
                <w:rStyle w:val="8"/>
                <w:rFonts w:ascii="Times New Roman" w:hAnsi="Times New Roman" w:eastAsia="Songti SC" w:cs="Times New Roman"/>
                <w:b w:val="0"/>
                <w:kern w:val="0"/>
                <w:sz w:val="18"/>
                <w:szCs w:val="24"/>
                <w:lang w:val="en-US" w:eastAsia="zh-CN" w:bidi="ar"/>
              </w:rPr>
              <w:t>2026年10—11月</w:t>
            </w:r>
          </w:p>
        </w:tc>
        <w:tc>
          <w:tcPr>
            <w:tcW w:w="4535" w:type="dxa"/>
            <w:shd w:val="clear"/>
            <w:vAlign w:val="center"/>
            <w:tcMar>
              <w:top w:w="65" w:type="dxa"/>
              <w:left w:w="80" w:type="dxa"/>
              <w:bottom w:w="65" w:type="dxa"/>
              <w:right w:w="80" w:type="dxa"/>
            </w:tcMar>
          </w:tcPr>
          <w:p w14:paraId="4F7F5953">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sz w:val="18"/>
              </w:rPr>
              <w:t>完成文献阅读和研究问题细化；确定目标套路目录、步骤与错因规范，导入全部目标套路及母题并审核首批教学内容；统一解题、批改和教学提示词及输出格式；改进单题批改并接入手把手教学；设计数据库迁移和账号权限；贯通学生端主要流程，完成试卷质量评价和带时间事件的学生整卷报告原型</w:t>
            </w:r>
          </w:p>
        </w:tc>
        <w:tc>
          <w:tcPr>
            <w:tcW w:w="2557" w:type="dxa"/>
            <w:shd w:val="clear"/>
            <w:vAlign w:val="center"/>
            <w:tcMar>
              <w:top w:w="65" w:type="dxa"/>
              <w:left w:w="80" w:type="dxa"/>
              <w:bottom w:w="65" w:type="dxa"/>
              <w:right w:w="80" w:type="dxa"/>
            </w:tcMar>
          </w:tcPr>
          <w:p w14:paraId="6611D84A">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sz w:val="18"/>
              </w:rPr>
              <w:t>内容目录与标注规范、首批审核内容、学生端原型、账号登陆页面、两类整卷报告样例，网页为主</w:t>
            </w:r>
          </w:p>
        </w:tc>
      </w:tr>
      <w:tr w14:paraId="6E0A4554">
        <w:trPr>
          <w:tblCellSpacing w:w="15" w:type="dxa"/>
        </w:trPr>
        <w:tc>
          <w:tcPr>
            <w:tcW w:w="1219" w:type="dxa"/>
            <w:shd w:val="clear"/>
            <w:vAlign w:val="center"/>
            <w:tcMar>
              <w:top w:w="65" w:type="dxa"/>
              <w:left w:w="80" w:type="dxa"/>
              <w:bottom w:w="65" w:type="dxa"/>
              <w:right w:w="80" w:type="dxa"/>
            </w:tcMar>
          </w:tcPr>
          <w:p w14:paraId="149EB00E">
            <w:pPr>
              <w:keepNext w:val="0"/>
              <w:keepLines w:val="0"/>
              <w:widowControl/>
              <w:suppressLineNumbers w:val="0"/>
              <w:spacing w:before="0" w:after="0" w:lineRule="exact" w:line="320"/>
              <w:ind w:left="0" w:right="0" w:firstLine="0"/>
              <w:jc w:val="center"/>
            </w:pPr>
            <w:r>
              <w:rPr>
                <w:rStyle w:val="8"/>
                <w:rFonts w:ascii="Times New Roman" w:hAnsi="Times New Roman" w:eastAsia="Songti SC" w:cs="Times New Roman"/>
                <w:b w:val="0"/>
                <w:kern w:val="0"/>
                <w:sz w:val="18"/>
                <w:szCs w:val="24"/>
                <w:lang w:val="en-US" w:eastAsia="zh-CN" w:bidi="ar"/>
              </w:rPr>
              <w:t>2026年12月—2027年1月</w:t>
            </w:r>
          </w:p>
        </w:tc>
        <w:tc>
          <w:tcPr>
            <w:tcW w:w="4535" w:type="dxa"/>
            <w:shd w:val="clear"/>
            <w:vAlign w:val="center"/>
            <w:tcMar>
              <w:top w:w="65" w:type="dxa"/>
              <w:left w:w="80" w:type="dxa"/>
              <w:bottom w:w="65" w:type="dxa"/>
              <w:right w:w="80" w:type="dxa"/>
            </w:tcMar>
          </w:tcPr>
          <w:p w14:paraId="504FCEDA">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sz w:val="18"/>
              </w:rPr>
              <w:t>整理常见数学错误和判分分歧，完成 Benchmark 标注手册、开发集与封存测试集，运行批改基线；完成原有数据迁移、学生与教师登录及权限隔离；开发手写笔采集和客户端原型，将笔迹与题号、时间事件关联</w:t>
            </w:r>
          </w:p>
        </w:tc>
        <w:tc>
          <w:tcPr>
            <w:tcW w:w="2557" w:type="dxa"/>
            <w:shd w:val="clear"/>
            <w:vAlign w:val="center"/>
            <w:tcMar>
              <w:top w:w="65" w:type="dxa"/>
              <w:left w:w="80" w:type="dxa"/>
              <w:bottom w:w="65" w:type="dxa"/>
              <w:right w:w="80" w:type="dxa"/>
            </w:tcMar>
          </w:tcPr>
          <w:p w14:paraId="58E39D84">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sz w:val="18"/>
              </w:rPr>
              <w:t>Benchmark 首版及基线报告、可登录的多用户系统、可回放的手写作答样例，拓展到IOS APP</w:t>
            </w:r>
          </w:p>
        </w:tc>
      </w:tr>
      <w:tr w14:paraId="72F50898">
        <w:trPr>
          <w:tblCellSpacing w:w="15" w:type="dxa"/>
        </w:trPr>
        <w:tc>
          <w:tcPr>
            <w:tcW w:w="1219" w:type="dxa"/>
            <w:shd w:val="clear"/>
            <w:vAlign w:val="center"/>
            <w:tcMar>
              <w:top w:w="65" w:type="dxa"/>
              <w:left w:w="80" w:type="dxa"/>
              <w:bottom w:w="65" w:type="dxa"/>
              <w:right w:w="80" w:type="dxa"/>
            </w:tcMar>
          </w:tcPr>
          <w:p>
            <w:pPr>
              <w:keepNext w:val="0"/>
              <w:keepLines w:val="0"/>
              <w:spacing w:before="0" w:after="0" w:lineRule="exact" w:line="320"/>
              <w:ind w:left="0" w:right="0" w:firstLine="0"/>
              <w:jc w:val="center"/>
            </w:pPr>
            <w:r>
              <w:rPr>
                <w:rFonts w:ascii="Times New Roman" w:hAnsi="Times New Roman" w:eastAsia="Songti SC" w:cs="Times New Roman"/>
                <w:b w:val="0"/>
                <w:sz w:val="18"/>
              </w:rPr>
              <w:t>2027年2—4月</w:t>
            </w:r>
          </w:p>
        </w:tc>
        <w:tc>
          <w:tcPr>
            <w:tcW w:w="4535" w:type="dxa"/>
            <w:shd w:val="clear"/>
            <w:vAlign w:val="center"/>
            <w:tcMar>
              <w:top w:w="65" w:type="dxa"/>
              <w:left w:w="80" w:type="dxa"/>
              <w:bottom w:w="65" w:type="dxa"/>
              <w:right w:w="80" w:type="dxa"/>
            </w:tcMar>
          </w:tcPr>
          <w:p w14:paraId="7B923A2D">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sz w:val="18"/>
              </w:rPr>
              <w:t>根据评测结果完善批改、关卡和复习日历；完成教师端的组卷评价、学生报告查看与人工复核；整理 API 文档和 MCP 示例，开发专用智能体及基于审核内容的 RAG和联网搜索能力；在取得许可后开展小规模学习试用和教师反馈收集，或先进行脱敏作答离线回放</w:t>
            </w:r>
          </w:p>
        </w:tc>
        <w:tc>
          <w:tcPr>
            <w:tcW w:w="2557" w:type="dxa"/>
            <w:shd w:val="clear"/>
            <w:vAlign w:val="center"/>
            <w:tcMar>
              <w:top w:w="65" w:type="dxa"/>
              <w:left w:w="80" w:type="dxa"/>
              <w:bottom w:w="65" w:type="dxa"/>
              <w:right w:w="80" w:type="dxa"/>
            </w:tcMar>
          </w:tcPr>
          <w:p w14:paraId="76271AA5">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sz w:val="18"/>
              </w:rPr>
              <w:t>师生端基本功能、接口与智能体演示、小规模反馈或离线回放报告，拓展到全端APP</w:t>
            </w:r>
          </w:p>
        </w:tc>
      </w:tr>
      <w:tr w14:paraId="6B2BFAE0">
        <w:trPr>
          <w:tblCellSpacing w:w="15" w:type="dxa"/>
        </w:trPr>
        <w:tc>
          <w:tcPr>
            <w:tcW w:w="1219" w:type="dxa"/>
            <w:shd w:val="clear"/>
            <w:vAlign w:val="center"/>
            <w:tcMar>
              <w:top w:w="65" w:type="dxa"/>
              <w:left w:w="80" w:type="dxa"/>
              <w:bottom w:w="65" w:type="dxa"/>
              <w:right w:w="80" w:type="dxa"/>
            </w:tcMar>
          </w:tcPr>
          <w:p>
            <w:pPr>
              <w:keepNext w:val="0"/>
              <w:keepLines w:val="0"/>
              <w:spacing w:before="0" w:after="0" w:lineRule="exact" w:line="320"/>
              <w:ind w:left="0" w:right="0" w:firstLine="0"/>
              <w:jc w:val="center"/>
            </w:pPr>
            <w:r>
              <w:rPr>
                <w:rFonts w:ascii="Times New Roman" w:hAnsi="Times New Roman" w:eastAsia="Songti SC" w:cs="Times New Roman"/>
                <w:b w:val="0"/>
                <w:sz w:val="18"/>
              </w:rPr>
              <w:t>2027年5—6月</w:t>
            </w:r>
          </w:p>
        </w:tc>
        <w:tc>
          <w:tcPr>
            <w:tcW w:w="4535" w:type="dxa"/>
            <w:shd w:val="clear"/>
            <w:vAlign w:val="center"/>
            <w:tcMar>
              <w:top w:w="65" w:type="dxa"/>
              <w:left w:w="80" w:type="dxa"/>
              <w:bottom w:w="65" w:type="dxa"/>
              <w:right w:w="80" w:type="dxa"/>
            </w:tcMar>
          </w:tcPr>
          <w:p>
            <w:pPr>
              <w:keepNext w:val="0"/>
              <w:keepLines w:val="0"/>
              <w:spacing w:before="0" w:after="0" w:lineRule="exact" w:line="320"/>
              <w:ind w:left="0" w:right="0" w:firstLine="0"/>
              <w:jc w:val="left"/>
            </w:pPr>
            <w:r>
              <w:rPr>
                <w:rFonts w:ascii="Times New Roman" w:hAnsi="Times New Roman" w:eastAsia="Songti SC" w:cs="Times New Roman"/>
                <w:b w:val="0"/>
                <w:sz w:val="18"/>
              </w:rPr>
              <w:t>取得许可后开展师生真人试用；如条件不具备，进行脱敏作答离线回放，复跑封存测试集，分析批改准确性、变式迁移表现、教师评价及失败案例；固定演示版本，完成结题材料</w:t>
            </w:r>
          </w:p>
        </w:tc>
        <w:tc>
          <w:tcPr>
            <w:tcW w:w="2557" w:type="dxa"/>
            <w:shd w:val="clear"/>
            <w:vAlign w:val="center"/>
            <w:tcMar>
              <w:top w:w="65" w:type="dxa"/>
              <w:left w:w="80" w:type="dxa"/>
              <w:bottom w:w="65" w:type="dxa"/>
              <w:right w:w="80" w:type="dxa"/>
            </w:tcMar>
          </w:tcPr>
          <w:p w14:paraId="2EF581CA">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sz w:val="18"/>
              </w:rPr>
              <w:t>演示系统、实验结果、内容标注规范、可公开样例及结题报告，争取形成本科生科研论文</w:t>
            </w:r>
          </w:p>
        </w:tc>
      </w:tr>
    </w:tbl>
    <w:p>
      <w:pPr>
        <w:keepNext w:val="0"/>
        <w:keepLines w:val="0"/>
        <w:spacing w:before="0" w:after="0" w:lineRule="exact" w:line="400"/>
        <w:ind w:left="0" w:right="0" w:firstLine="0"/>
        <w:jc w:val="left"/>
      </w:pPr>
      <w:r>
        <w:rPr>
          <w:rFonts w:ascii="Times New Roman" w:hAnsi="Times New Roman" w:eastAsia="Songti SC" w:cs="Times New Roman"/>
          <w:sz w:val="21"/>
        </w:rPr>
        <w:t>施棋智主要负责代码结构，接口设计，AI调试；杨瀚淳主要负责母题与套路整理、六步循环法的训练设计、试卷评价规则和人工复核。两人共同参与实验数据标注与结果分析。</w:t>
      </w:r>
    </w:p>
    <w:p w14:paraId="31917CCA">
      <w:pPr>
        <w:pStyle w:val="Heading1"/>
        <w:keepNext/>
        <w:keepLines w:val="0"/>
        <w:widowControl/>
        <w:suppressLineNumbers w:val="0"/>
        <w:spacing w:before="0" w:after="0" w:lineRule="exact" w:line="400"/>
        <w:ind w:left="0" w:right="0" w:firstLine="0"/>
        <w:jc w:val="left"/>
      </w:pPr>
      <w:r>
        <w:rPr>
          <w:rFonts w:ascii="Times New Roman" w:hAnsi="Times New Roman" w:eastAsia="Songti SC" w:cs="Times New Roman"/>
          <w:b/>
          <w:sz w:val="21"/>
        </w:rPr>
        <w:t>7. 预期成果及其形式</w:t>
      </w:r>
    </w:p>
    <w:p w14:paraId="695A01C7">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本项目预计形成以下成果：</w:t>
      </w:r>
    </w:p>
    <w:p w14:paraId="6C5A9B61">
      <w:pPr>
        <w:keepNext w:val="0"/>
        <w:keepLines w:val="0"/>
        <w:widowControl/>
        <w:suppressLineNumbers w:val="0"/>
        <w:spacing w:before="0" w:after="0" w:lineRule="exact" w:line="400"/>
        <w:ind w:left="0" w:right="0" w:firstLine="0"/>
        <w:jc w:val="left"/>
      </w:pPr>
      <w:r>
        <w:rPr>
          <w:rFonts w:ascii="Times New Roman" w:hAnsi="Times New Roman" w:eastAsia="Songti SC" w:cs="Times New Roman"/>
          <w:b w:val="0"/>
          <w:sz w:val="21"/>
        </w:rPr>
        <w:t>（1）</w:t>
      </w:r>
      <w:r>
        <w:rPr>
          <w:rFonts w:ascii="Times New Roman" w:hAnsi="Times New Roman" w:eastAsia="Songti SC" w:cs="Times New Roman"/>
          <w:b/>
          <w:sz w:val="21"/>
        </w:rPr>
        <w:t>一套可演示的系统原型，网页版和APP两个版本</w:t>
      </w:r>
      <w:r>
        <w:rPr>
          <w:rFonts w:ascii="Times New Roman" w:hAnsi="Times New Roman" w:eastAsia="Songti SC" w:cs="Times New Roman"/>
          <w:b w:val="0"/>
          <w:sz w:val="21"/>
        </w:rPr>
        <w:t>。学生能够登录后完成作答、接受步骤级反馈、进行六步循环训练并查看整卷报告；教师能够登录后查看试卷质量分析、所教学生的作答报告并复核批改结果。系统提供一种手写笔输入方式，以及核心 API、MCP 示例和专用智能体演示。</w:t>
      </w:r>
    </w:p>
    <w:p w14:paraId="6DA54651">
      <w:pPr>
        <w:keepNext w:val="0"/>
        <w:keepLines w:val="0"/>
        <w:widowControl/>
        <w:suppressLineNumbers w:val="0"/>
        <w:spacing w:before="0" w:after="0" w:lineRule="exact" w:line="400"/>
        <w:ind w:left="0" w:right="0" w:firstLine="0"/>
        <w:jc w:val="left"/>
      </w:pPr>
      <w:r>
        <w:rPr>
          <w:rFonts w:ascii="Times New Roman" w:hAnsi="Times New Roman" w:eastAsia="Songti SC" w:cs="Times New Roman"/>
          <w:b w:val="0"/>
          <w:sz w:val="21"/>
        </w:rPr>
        <w:t>（2）</w:t>
      </w:r>
      <w:r>
        <w:rPr>
          <w:rFonts w:ascii="Times New Roman" w:hAnsi="Times New Roman" w:eastAsia="Songti SC" w:cs="Times New Roman"/>
          <w:b/>
          <w:sz w:val="21"/>
        </w:rPr>
        <w:t>一套经过审核的高中数学内容与标注规范。</w:t>
      </w:r>
      <w:r>
        <w:rPr>
          <w:rFonts w:ascii="Times New Roman" w:hAnsi="Times New Roman" w:eastAsia="Songti SC" w:cs="Times New Roman"/>
          <w:b w:val="0"/>
          <w:sz w:val="21"/>
        </w:rPr>
        <w:t>包括目标套路目录、母题与变式、解答题步骤规范、知识点和错因标注规则、难度判据及内容审核记录。</w:t>
      </w:r>
    </w:p>
    <w:p w14:paraId="482F21AE">
      <w:pPr>
        <w:keepNext w:val="0"/>
        <w:keepLines w:val="0"/>
        <w:widowControl/>
        <w:suppressLineNumbers w:val="0"/>
        <w:spacing w:before="0" w:after="0" w:lineRule="exact" w:line="400"/>
        <w:ind w:left="0" w:right="0" w:firstLine="0"/>
        <w:jc w:val="left"/>
      </w:pPr>
      <w:r>
        <w:rPr>
          <w:rFonts w:ascii="Times New Roman" w:hAnsi="Times New Roman" w:eastAsia="Songti SC" w:cs="Times New Roman"/>
          <w:b w:val="0"/>
          <w:sz w:val="21"/>
        </w:rPr>
        <w:t>（3）</w:t>
      </w:r>
      <w:r>
        <w:rPr>
          <w:rFonts w:ascii="Times New Roman" w:hAnsi="Times New Roman" w:eastAsia="Songti SC" w:cs="Times New Roman"/>
          <w:b/>
          <w:sz w:val="21"/>
        </w:rPr>
        <w:t>一个独立 Benchmark 及实验报告。</w:t>
      </w:r>
      <w:r>
        <w:rPr>
          <w:rFonts w:ascii="Times New Roman" w:hAnsi="Times New Roman" w:eastAsia="Songti SC" w:cs="Times New Roman"/>
          <w:b w:val="0"/>
          <w:sz w:val="21"/>
        </w:rPr>
        <w:t>包含标注手册、按题目族隔离的开发集与封存测试集、人工标注分歧记录，以及现有方法与改进方法的对照结果。</w:t>
      </w:r>
    </w:p>
    <w:p w14:paraId="40081A73">
      <w:pPr>
        <w:keepNext w:val="0"/>
        <w:keepLines w:val="0"/>
        <w:widowControl/>
        <w:suppressLineNumbers w:val="0"/>
        <w:spacing w:before="0" w:after="0" w:lineRule="exact" w:line="400"/>
        <w:ind w:left="0" w:right="0" w:firstLine="0"/>
        <w:jc w:val="left"/>
      </w:pPr>
      <w:r>
        <w:rPr>
          <w:rFonts w:ascii="Times New Roman" w:hAnsi="Times New Roman" w:eastAsia="Songti SC" w:cs="Times New Roman"/>
          <w:b w:val="0"/>
          <w:sz w:val="21"/>
        </w:rPr>
        <w:t>（4）</w:t>
      </w:r>
      <w:r>
        <w:rPr>
          <w:rFonts w:ascii="Times New Roman" w:hAnsi="Times New Roman" w:eastAsia="Songti SC" w:cs="Times New Roman"/>
          <w:b/>
          <w:sz w:val="21"/>
        </w:rPr>
        <w:t>结题与研究材料。</w:t>
      </w:r>
      <w:r>
        <w:rPr>
          <w:rFonts w:ascii="Times New Roman" w:hAnsi="Times New Roman" w:eastAsia="Songti SC" w:cs="Times New Roman"/>
          <w:b w:val="0"/>
          <w:sz w:val="21"/>
        </w:rPr>
        <w:t>包括教师和学生报告样例、试用或离线回放分析、结题报告，以及有条件形成的本科生科研论文。公开材料仅使用具有相应使用权限的题目和作答样例。</w:t>
      </w:r>
    </w:p>
    <w:p w14:paraId="1C8A2287">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拟采用以下指标验收；各项模型指标均在</w:t>
      </w:r>
      <w:r>
        <w:rPr>
          <w:rStyle w:val="8"/>
          <w:rFonts w:ascii="Times New Roman" w:hAnsi="Times New Roman" w:eastAsia="Songti SC" w:cs="Times New Roman"/>
          <w:sz w:val="21"/>
        </w:rPr>
        <w:t>封存测试集</w:t>
      </w:r>
      <w:r>
        <w:rPr>
          <w:rFonts w:ascii="Times New Roman" w:hAnsi="Times New Roman" w:eastAsia="Songti SC" w:cs="Times New Roman"/>
          <w:sz w:val="21"/>
        </w:rPr>
        <w:t>上计算，不以开发样例代替：</w:t>
      </w:r>
    </w:p>
    <w:p>
      <w:pPr>
        <w:pStyle w:val="Caption"/>
        <w:keepNext/>
        <w:keepLines w:val="0"/>
        <w:spacing w:before="0" w:after="0" w:lineRule="exact" w:line="240"/>
        <w:ind w:left="0" w:right="0" w:firstLine="0"/>
        <w:jc w:val="center"/>
      </w:pPr>
      <w:r>
        <w:rPr>
          <w:rFonts w:ascii="Times New Roman" w:hAnsi="Times New Roman" w:eastAsia="Songti SC" w:cs="Times New Roman"/>
          <w:sz w:val="18"/>
        </w:rPr>
        <w:t>表2 预期技术指标</w:t>
      </w:r>
    </w:p>
    <w:tbl>
      <w:tblPr>
        <w:tblW w:w="0" w:type="auto"/>
        <w:jc w:val="center"/>
        <w:tblCellSpacing w:w="15" w:type="dxa"/>
        <w:tblInd w:w="0" w:type="dxa"/>
        <w:tblBorders>
          <w:top w:val="single" w:color="000000" w:sz="8" w:space="0"/>
          <w:left w:val="nil" w:color="auto" w:sz="0" w:space="0"/>
          <w:bottom w:val="single" w:color="000000" w:sz="8" w:space="0"/>
          <w:right w:val="nil" w:color="auto" w:sz="0" w:space="0"/>
          <w:insideH w:val="single" w:color="000000" w:sz="4" w:space="0"/>
          <w:insideV w:val="nil" w:color="auto" w:sz="0" w:space="0"/>
        </w:tblBorders>
        <w:shd w:val="clear"/>
        <w:tblLayout w:type="fixed"/>
        <w:tblCellMar>
          <w:top w:w="15" w:type="dxa"/>
          <w:left w:w="15" w:type="dxa"/>
          <w:bottom w:w="15" w:type="dxa"/>
          <w:right w:w="15" w:type="dxa"/>
        </w:tblCellMar>
      </w:tblPr>
      <w:tblGrid>
        <w:gridCol w:w="1701"/>
        <w:gridCol w:w="6610"/>
      </w:tblGrid>
      <w:tr w14:paraId="52D49FC9">
        <w:trPr>
          <w:tblHeader/>
          <w:tblCellSpacing w:w="15" w:type="dxa"/>
          <w:tblHeader w:val="true"/>
        </w:trPr>
        <w:tc>
          <w:tcPr>
            <w:tcW w:w="1701" w:type="dxa"/>
            <w:shd w:val="clear"/>
            <w:vAlign w:val="center"/>
            <w:tcMar>
              <w:top w:w="65" w:type="dxa"/>
              <w:left w:w="80" w:type="dxa"/>
              <w:bottom w:w="65" w:type="dxa"/>
              <w:right w:w="80" w:type="dxa"/>
            </w:tcMar>
          </w:tcPr>
          <w:p w14:paraId="3A5FAE38">
            <w:pPr>
              <w:keepNext w:val="0"/>
              <w:keepLines w:val="0"/>
              <w:widowControl/>
              <w:suppressLineNumbers w:val="0"/>
              <w:spacing w:before="0" w:after="0" w:lineRule="exact" w:line="320"/>
              <w:ind w:left="0" w:right="0" w:firstLine="0"/>
              <w:jc w:val="center"/>
              <w:rPr>
                <w:b/>
                <w:bCs/>
              </w:rPr>
            </w:pPr>
            <w:r>
              <w:rPr>
                <w:rFonts w:ascii="Times New Roman" w:hAnsi="Times New Roman" w:eastAsia="Songti SC" w:cs="Times New Roman"/>
                <w:b/>
                <w:bCs/>
                <w:kern w:val="0"/>
                <w:sz w:val="18"/>
                <w:szCs w:val="24"/>
                <w:lang w:val="en-US" w:eastAsia="zh-CN" w:bidi="ar"/>
              </w:rPr>
              <w:t>类别</w:t>
            </w:r>
          </w:p>
        </w:tc>
        <w:tc>
          <w:tcPr>
            <w:tcW w:w="6610" w:type="dxa"/>
            <w:shd w:val="clear"/>
            <w:vAlign w:val="center"/>
            <w:tcMar>
              <w:top w:w="65" w:type="dxa"/>
              <w:left w:w="80" w:type="dxa"/>
              <w:bottom w:w="65" w:type="dxa"/>
              <w:right w:w="80" w:type="dxa"/>
            </w:tcMar>
          </w:tcPr>
          <w:p w14:paraId="75FEFEB7">
            <w:pPr>
              <w:keepNext w:val="0"/>
              <w:keepLines w:val="0"/>
              <w:widowControl/>
              <w:suppressLineNumbers w:val="0"/>
              <w:spacing w:before="0" w:after="0" w:lineRule="exact" w:line="320"/>
              <w:ind w:left="0" w:right="0" w:firstLine="0"/>
              <w:jc w:val="center"/>
              <w:rPr>
                <w:b/>
                <w:bCs/>
              </w:rPr>
            </w:pPr>
            <w:r>
              <w:rPr>
                <w:rFonts w:ascii="Times New Roman" w:hAnsi="Times New Roman" w:eastAsia="Songti SC" w:cs="Times New Roman"/>
                <w:b/>
                <w:bCs/>
                <w:kern w:val="0"/>
                <w:sz w:val="18"/>
                <w:szCs w:val="24"/>
                <w:lang w:val="en-US" w:eastAsia="zh-CN" w:bidi="ar"/>
              </w:rPr>
              <w:t>预期技术指标</w:t>
            </w:r>
          </w:p>
        </w:tc>
      </w:tr>
      <w:tr w14:paraId="0A1BBFFF">
        <w:trPr>
          <w:tblCellSpacing w:w="15" w:type="dxa"/>
        </w:trPr>
        <w:tc>
          <w:tcPr>
            <w:tcW w:w="1701" w:type="dxa"/>
            <w:shd w:val="clear"/>
            <w:vAlign w:val="center"/>
            <w:tcMar>
              <w:top w:w="65" w:type="dxa"/>
              <w:left w:w="80" w:type="dxa"/>
              <w:bottom w:w="65" w:type="dxa"/>
              <w:right w:w="80" w:type="dxa"/>
            </w:tcMar>
          </w:tcPr>
          <w:p w14:paraId="61B6FB65">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kern w:val="0"/>
                <w:sz w:val="18"/>
                <w:szCs w:val="24"/>
                <w:lang w:val="en-US" w:eastAsia="zh-CN" w:bidi="ar"/>
              </w:rPr>
              <w:t>内容建设</w:t>
            </w:r>
          </w:p>
        </w:tc>
        <w:tc>
          <w:tcPr>
            <w:tcW w:w="6610" w:type="dxa"/>
            <w:shd w:val="clear"/>
            <w:vAlign w:val="center"/>
            <w:tcMar>
              <w:top w:w="65" w:type="dxa"/>
              <w:left w:w="80" w:type="dxa"/>
              <w:bottom w:w="65" w:type="dxa"/>
              <w:right w:w="80" w:type="dxa"/>
            </w:tcMar>
          </w:tcPr>
          <w:p w14:paraId="0C9D9B47">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sz w:val="18"/>
              </w:rPr>
              <w:t>确定后的目标套路与母题目录导入率达到 100%；实际用于教学和评测的内容审核率达到 100%；用于六步训练的母题配备至少两道经审核的同套路变式</w:t>
            </w:r>
          </w:p>
        </w:tc>
      </w:tr>
      <w:tr w14:paraId="665DA437">
        <w:trPr>
          <w:tblCellSpacing w:w="15" w:type="dxa"/>
        </w:trPr>
        <w:tc>
          <w:tcPr>
            <w:tcW w:w="1701" w:type="dxa"/>
            <w:shd w:val="clear"/>
            <w:vAlign w:val="center"/>
            <w:tcMar>
              <w:top w:w="65" w:type="dxa"/>
              <w:left w:w="80" w:type="dxa"/>
              <w:bottom w:w="65" w:type="dxa"/>
              <w:right w:w="80" w:type="dxa"/>
            </w:tcMar>
          </w:tcPr>
          <w:p w14:paraId="76BF19C7">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kern w:val="0"/>
                <w:sz w:val="18"/>
                <w:szCs w:val="24"/>
                <w:lang w:val="en-US" w:eastAsia="zh-CN" w:bidi="ar"/>
              </w:rPr>
              <w:t>评测数据</w:t>
            </w:r>
          </w:p>
        </w:tc>
        <w:tc>
          <w:tcPr>
            <w:tcW w:w="6610" w:type="dxa"/>
            <w:shd w:val="clear"/>
            <w:vAlign w:val="center"/>
            <w:tcMar>
              <w:top w:w="65" w:type="dxa"/>
              <w:left w:w="80" w:type="dxa"/>
              <w:bottom w:w="65" w:type="dxa"/>
              <w:right w:w="80" w:type="dxa"/>
            </w:tcMar>
          </w:tcPr>
          <w:p w14:paraId="3B7A3507">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sz w:val="18"/>
              </w:rPr>
              <w:t>Benchmark 不少于 100个题目族、300份标注作答，覆盖解答题、正确异解与典型错误；封存测试集按题目族划分，不少于题目族总数的 20%</w:t>
            </w:r>
          </w:p>
        </w:tc>
      </w:tr>
      <w:tr w14:paraId="5FC0E810">
        <w:trPr>
          <w:tblCellSpacing w:w="15" w:type="dxa"/>
        </w:trPr>
        <w:tc>
          <w:tcPr>
            <w:tcW w:w="1701" w:type="dxa"/>
            <w:shd w:val="clear"/>
            <w:vAlign w:val="center"/>
            <w:tcMar>
              <w:top w:w="65" w:type="dxa"/>
              <w:left w:w="80" w:type="dxa"/>
              <w:bottom w:w="65" w:type="dxa"/>
              <w:right w:w="80" w:type="dxa"/>
            </w:tcMar>
          </w:tcPr>
          <w:p w14:paraId="7E7566D7">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kern w:val="0"/>
                <w:sz w:val="18"/>
                <w:szCs w:val="24"/>
                <w:lang w:val="en-US" w:eastAsia="zh-CN" w:bidi="ar"/>
              </w:rPr>
              <w:t>步骤批改</w:t>
            </w:r>
          </w:p>
        </w:tc>
        <w:tc>
          <w:tcPr>
            <w:tcW w:w="6610" w:type="dxa"/>
            <w:shd w:val="clear"/>
            <w:vAlign w:val="center"/>
            <w:tcMar>
              <w:top w:w="65" w:type="dxa"/>
              <w:left w:w="80" w:type="dxa"/>
              <w:bottom w:w="65" w:type="dxa"/>
              <w:right w:w="80" w:type="dxa"/>
            </w:tcMar>
          </w:tcPr>
          <w:p w14:paraId="26D4E4E5">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sz w:val="18"/>
              </w:rPr>
              <w:t>主观题评分与复核后人工评分的偏差不超过题目满分 5% 的样本比例达到 90%；首次关键错误步骤定位准确率达到 95%。同时单独报告正确异解误判和严重误判案例</w:t>
            </w:r>
          </w:p>
        </w:tc>
      </w:tr>
      <w:tr w14:paraId="5B9ED1EC">
        <w:trPr>
          <w:tblCellSpacing w:w="15" w:type="dxa"/>
        </w:trPr>
        <w:tc>
          <w:tcPr>
            <w:tcW w:w="1701" w:type="dxa"/>
            <w:shd w:val="clear"/>
            <w:vAlign w:val="center"/>
            <w:tcMar>
              <w:top w:w="65" w:type="dxa"/>
              <w:left w:w="80" w:type="dxa"/>
              <w:bottom w:w="65" w:type="dxa"/>
              <w:right w:w="80" w:type="dxa"/>
            </w:tcMar>
          </w:tcPr>
          <w:p w14:paraId="671492DC">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kern w:val="0"/>
                <w:sz w:val="18"/>
                <w:szCs w:val="24"/>
                <w:lang w:val="en-US" w:eastAsia="zh-CN" w:bidi="ar"/>
              </w:rPr>
              <w:t>数据与权限</w:t>
            </w:r>
          </w:p>
        </w:tc>
        <w:tc>
          <w:tcPr>
            <w:tcW w:w="6610" w:type="dxa"/>
            <w:shd w:val="clear"/>
            <w:vAlign w:val="center"/>
            <w:tcMar>
              <w:top w:w="65" w:type="dxa"/>
              <w:left w:w="80" w:type="dxa"/>
              <w:bottom w:w="65" w:type="dxa"/>
              <w:right w:w="80" w:type="dxa"/>
            </w:tcMar>
          </w:tcPr>
          <w:p w14:paraId="115A8871">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sz w:val="18"/>
              </w:rPr>
              <w:t>原有题目、母题关联和练习记录完成迁移核对；跨学生账号及非授权教师账号的数据访问阻断测试全部通过</w:t>
            </w:r>
          </w:p>
        </w:tc>
      </w:tr>
      <w:tr w14:paraId="11AA10E2">
        <w:trPr>
          <w:tblCellSpacing w:w="15" w:type="dxa"/>
        </w:trPr>
        <w:tc>
          <w:tcPr>
            <w:tcW w:w="1701" w:type="dxa"/>
            <w:shd w:val="clear"/>
            <w:vAlign w:val="center"/>
            <w:tcMar>
              <w:top w:w="65" w:type="dxa"/>
              <w:left w:w="80" w:type="dxa"/>
              <w:bottom w:w="65" w:type="dxa"/>
              <w:right w:w="80" w:type="dxa"/>
            </w:tcMar>
          </w:tcPr>
          <w:p w14:paraId="1E880326">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kern w:val="0"/>
                <w:sz w:val="18"/>
                <w:szCs w:val="24"/>
                <w:lang w:val="en-US" w:eastAsia="zh-CN" w:bidi="ar"/>
              </w:rPr>
              <w:t>整卷与过程记录</w:t>
            </w:r>
          </w:p>
        </w:tc>
        <w:tc>
          <w:tcPr>
            <w:tcW w:w="6610" w:type="dxa"/>
            <w:shd w:val="clear"/>
            <w:vAlign w:val="center"/>
            <w:tcMar>
              <w:top w:w="65" w:type="dxa"/>
              <w:left w:w="80" w:type="dxa"/>
              <w:bottom w:w="65" w:type="dxa"/>
              <w:right w:w="80" w:type="dxa"/>
            </w:tcMar>
          </w:tcPr>
          <w:p w14:paraId="1C3B7147">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sz w:val="18"/>
              </w:rPr>
              <w:t>试卷题型、分值、知识点、套路和难度分布均可追溯到具体题目；学生报告中的批改结论可追溯到作答及时间事件。至少完成一种手写笔输入方式的整卷采集、上传和回放</w:t>
            </w:r>
          </w:p>
        </w:tc>
      </w:tr>
      <w:tr w14:paraId="4C7E8484">
        <w:trPr>
          <w:tblCellSpacing w:w="15" w:type="dxa"/>
        </w:trPr>
        <w:tc>
          <w:tcPr>
            <w:tcW w:w="1701" w:type="dxa"/>
            <w:shd w:val="clear"/>
            <w:vAlign w:val="center"/>
            <w:tcMar>
              <w:top w:w="65" w:type="dxa"/>
              <w:left w:w="80" w:type="dxa"/>
              <w:bottom w:w="65" w:type="dxa"/>
              <w:right w:w="80" w:type="dxa"/>
            </w:tcMar>
          </w:tcPr>
          <w:p w14:paraId="65096798">
            <w:pPr>
              <w:keepNext w:val="0"/>
              <w:keepLines w:val="0"/>
              <w:widowControl/>
              <w:suppressLineNumbers w:val="0"/>
              <w:spacing w:before="0" w:after="0" w:lineRule="exact" w:line="320"/>
              <w:ind w:left="0" w:right="0" w:firstLine="0"/>
              <w:jc w:val="left"/>
            </w:pPr>
            <w:r>
              <w:rPr>
                <w:rFonts w:ascii="Times New Roman" w:hAnsi="Times New Roman" w:eastAsia="Songti SC" w:cs="Times New Roman"/>
                <w:b w:val="0"/>
                <w:kern w:val="0"/>
                <w:sz w:val="18"/>
                <w:szCs w:val="24"/>
                <w:lang w:val="en-US" w:eastAsia="zh-CN" w:bidi="ar"/>
              </w:rPr>
              <w:t>开放能力</w:t>
            </w:r>
          </w:p>
        </w:tc>
        <w:tc>
          <w:tcPr>
            <w:tcW w:w="6610" w:type="dxa"/>
            <w:shd w:val="clear"/>
            <w:vAlign w:val="center"/>
            <w:tcMar>
              <w:top w:w="65" w:type="dxa"/>
              <w:left w:w="80" w:type="dxa"/>
              <w:bottom w:w="65" w:type="dxa"/>
              <w:right w:w="80" w:type="dxa"/>
            </w:tcMar>
          </w:tcPr>
          <w:p>
            <w:pPr>
              <w:keepNext w:val="0"/>
              <w:keepLines w:val="0"/>
              <w:spacing w:before="0" w:after="0" w:lineRule="exact" w:line="320"/>
              <w:ind w:left="0" w:right="0" w:firstLine="0"/>
              <w:jc w:val="left"/>
            </w:pPr>
            <w:r>
              <w:rPr>
                <w:rFonts w:ascii="Times New Roman" w:hAnsi="Times New Roman" w:eastAsia="Songti SC" w:cs="Times New Roman"/>
                <w:b w:val="0"/>
                <w:sz w:val="18"/>
              </w:rPr>
              <w:t>核心接口具备请求、返回值及错误说明；MCP 示例和专用智能体能够演示一次从作答诊断到练习推荐的完整调用；RAG 引用能够定位到审核内容的具体版本；在封存题目上报告工具接入前后的步骤规范性及竞品对照结果</w:t>
            </w:r>
          </w:p>
        </w:tc>
      </w:tr>
    </w:tbl>
    <w:p w14:paraId="1239E2AF">
      <w:pPr>
        <w:keepNext w:val="0"/>
        <w:keepLines w:val="0"/>
        <w:widowControl/>
        <w:suppressLineNumbers w:val="0"/>
        <w:spacing w:before="0" w:after="0" w:lineRule="exact" w:line="400"/>
        <w:ind w:left="0" w:right="0" w:firstLine="0"/>
        <w:jc w:val="left"/>
      </w:pPr>
      <w:r>
        <w:rPr>
          <w:rFonts w:ascii="Times New Roman" w:hAnsi="Times New Roman" w:eastAsia="Songti SC" w:cs="Times New Roman"/>
          <w:sz w:val="21"/>
        </w:rPr>
        <w:t>这些指标用于检验系统是否实现了可靠的内容组织、批改和过程记录。学习试用另报告参与人数、练习时长、无提示变式表现、教师复核意见及失败案例，以判断该方法在真实使用中还有哪些问题。</w:t>
      </w:r>
    </w:p>
    <w:p>
      <w:pPr>
        <w:pStyle w:val="Heading1"/>
        <w:keepNext/>
        <w:keepLines w:val="0"/>
        <w:pageBreakBefore/>
        <w:spacing w:before="0" w:after="0" w:lineRule="exact" w:line="400"/>
        <w:ind w:left="0" w:right="0" w:firstLine="0"/>
        <w:jc w:val="center"/>
      </w:pPr>
      <w:r>
        <w:rPr>
          <w:rFonts w:ascii="Times New Roman" w:hAnsi="Times New Roman" w:eastAsia="Songti SC" w:cs="Times New Roman"/>
          <w:b/>
          <w:sz w:val="24"/>
        </w:rPr>
        <w:t>参考文献</w:t>
      </w:r>
    </w:p>
    <w:p>
      <w:pPr>
        <w:keepNext w:val="0"/>
        <w:keepLines/>
        <w:spacing w:before="0" w:after="0" w:lineRule="exact" w:line="400"/>
        <w:ind w:left="0" w:right="0" w:firstLine="0"/>
        <w:jc w:val="left"/>
      </w:pPr>
      <w:r>
        <w:rPr>
          <w:rFonts w:ascii="Times New Roman" w:hAnsi="Times New Roman" w:eastAsia="Songti SC" w:cs="Times New Roman"/>
          <w:sz w:val="21"/>
        </w:rPr>
        <w:t>[1] Daheim N, Macina J, Kapur M, et al. Stepwise Verification and Remediation of Student Reasoning Errors with Large Language Model Tutors[A]. Al-Onaizan Y, Bansal M, Chen Y N. Proceedings of the 2024 Conference on Empirical Methods in Natural Language Processing[C]. Miami: Association for Computational Linguistics, 2024: 8386-8411.</w:t>
      </w:r>
    </w:p>
    <w:p>
      <w:pPr>
        <w:keepNext w:val="0"/>
        <w:keepLines/>
        <w:spacing w:before="0" w:after="0" w:lineRule="exact" w:line="400"/>
        <w:ind w:left="0" w:right="0" w:firstLine="0"/>
        <w:jc w:val="left"/>
      </w:pPr>
      <w:r>
        <w:rPr>
          <w:rFonts w:ascii="Times New Roman" w:hAnsi="Times New Roman" w:eastAsia="Songti SC" w:cs="Times New Roman"/>
          <w:sz w:val="21"/>
        </w:rPr>
        <w:t>[2] Kim J H, Nam J, Jo G. Computational Blueprints: Generating Isomorphic Mathematics Problems with Large Language Models[A]. Potdar S, Rojas-Barahona L, Montella S. Proceedings of the 2025 Conference on Empirical Methods in Natural Language Processing: Industry Track[C]. Suzhou: Association for Computational Linguistics, 2025: 1389-1401.</w:t>
      </w:r>
    </w:p>
    <w:p>
      <w:pPr>
        <w:keepNext w:val="0"/>
        <w:keepLines/>
        <w:spacing w:before="0" w:after="0" w:lineRule="exact" w:line="400"/>
        <w:ind w:left="0" w:right="0" w:firstLine="0"/>
        <w:jc w:val="left"/>
      </w:pPr>
      <w:r>
        <w:rPr>
          <w:rFonts w:ascii="Times New Roman" w:hAnsi="Times New Roman" w:eastAsia="Songti SC" w:cs="Times New Roman"/>
          <w:sz w:val="21"/>
        </w:rPr>
        <w:t>[3] 赵琬微，周畅，吴振东. 全国高考开展网上评卷 多重保障确保打分公平[EB/OL]. (2018-06-17)[2026-09-25]. https://www.moe.gov.cn/jyb_xwfb/moe_2082/zl_2018n/2018_zl41/201806/t20180619_340242.html.</w:t>
      </w:r>
    </w:p>
    <w:sectPr>
      <w:pgSz w:w="11906" w:h="16838"/>
      <w:pgMar w:top="1440" w:right="1797" w:bottom="1440" w:left="1797" w:header="850" w:footer="992"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84FC6"/>
    <w:multiLevelType w:val="multilevel"/>
    <w:tmpl w:val="FBF84F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E7B0B8A"/>
    <w:rsid w:val="6EEF28B7"/>
    <w:rsid w:val="9E7B0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ascii="Times New Roman" w:hAnsi="Times New Roman" w:eastAsia="Songti SC" w:cs="Times New Roman"/>
      <w:b w:val="0"/>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Times New Roman" w:hAnsi="Times New Roman" w:eastAsia="Songti SC" w:cs="Times New Roman"/>
      <w:b/>
      <w:bCs/>
      <w:kern w:val="0"/>
      <w:sz w:val="21"/>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Times New Roman" w:hAnsi="Times New Roman" w:eastAsia="Songti SC" w:cs="Times New Roman"/>
      <w:b/>
      <w:bCs/>
      <w:kern w:val="0"/>
      <w:sz w:val="21"/>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 w:type="paragraph" w:customStyle="1" w:styleId="Title">
    <w:name w:val="Title"/>
    <w:rPr>
      <w:rFonts w:ascii="Times New Roman" w:hAnsi="Times New Roman" w:eastAsia="Songti SC" w:cs="Times New Roman"/>
      <w:b/>
      <w:sz w:val="36"/>
    </w:rPr>
  </w:style>
  <w:style w:type="paragraph" w:customStyle="1" w:styleId="Heading1">
    <w:name w:val="heading 1"/>
    <w:rPr>
      <w:rFonts w:ascii="Times New Roman" w:hAnsi="Times New Roman" w:eastAsia="Songti SC" w:cs="Times New Roman"/>
      <w:b/>
      <w:sz w:val="21"/>
    </w:rPr>
  </w:style>
  <w:style w:type="paragraph" w:customStyle="1" w:styleId="Caption">
    <w:name w:val="caption"/>
    <w:rPr>
      <w:rFonts w:ascii="Times New Roman" w:hAnsi="Times New Roman" w:eastAsia="Songti SC" w:cs="Times New Roman"/>
      <w:b w:val="0"/>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2026-09-25T02:44:00Z</dcterms:created>
  <dc:creator>蜻蜓点水</dc:creator>
  <cp:lastModifiedBy>蜻蜓点水</cp:lastModifiedBy>
  <dcterms:modified xsi:type="dcterms:W3CDTF">2026-09-25T04:14:16Z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848D9A86470A554A746FB56A44F6A40D_41</vt:lpwstr>
  </property>
</Properties>
</file>