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Visual Agent 实验执行计划</w:t>
      </w:r>
    </w:p>
    <w:p>
      <w:pPr>
        <w:pStyle w:val="Subtitle"/>
      </w:pPr>
      <w:r>
        <w:t>修订执行版  |  Qwen3-VL-8B + GroundingDINO / crop_zoom  |  2026.09.12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2"/>
            <w:shd w:fill="EDF3F5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6B73"/>
                <w:sz w:val="22"/>
              </w:rPr>
              <w:t>判断：方案可执行，但模块收益必须由对照实验决定。</w:t>
            </w:r>
          </w:p>
          <w:p>
            <w:pPr>
              <w:spacing w:after="80" w:line="259" w:lineRule="auto"/>
            </w:pPr>
            <w:r>
              <w:rPr>
                <w:rFonts w:ascii="Noto Sans CJK SC" w:hAnsi="Noto Sans CJK SC" w:eastAsia="Noto Sans CJK SC"/>
              </w:rPr>
              <w:t>先复用已有模型，确认工具增益与 Native 能力变化；不预设 Small SFT 必须做，也不预设双流一定有效。第一阶段不扩工具、不重造大数据、不叠加 Consistency / OPD。</w:t>
            </w:r>
          </w:p>
        </w:tc>
      </w:tr>
    </w:tbl>
    <w:p>
      <w:pPr>
        <w:spacing w:after="0"/>
      </w:pPr>
    </w:p>
    <w:p>
      <w:r>
        <w:rPr>
          <w:b/>
        </w:rPr>
        <w:t>执行顺序：</w:t>
      </w:r>
      <w:r>
        <w:t>基线复测 → 工具诊断 → 选择训练起点 → 单流/双流公平比较 → 按瓶颈选增强。</w:t>
      </w:r>
    </w:p>
    <w:p>
      <w:pPr>
        <w:pStyle w:val="Heading1"/>
      </w:pPr>
      <w:r>
        <w:t>Step 0｜登记已有模型，冻结评测与环境</w:t>
      </w:r>
    </w:p>
    <w:p>
      <w:r>
        <w:rPr>
          <w:b/>
        </w:rPr>
        <w:t xml:space="preserve">1. 先登记，不先重训。 </w:t>
      </w:r>
      <w:r>
        <w:t>B0＝原始后训练模型；B1＝已有 RL-only；B2＝旧版 56,874 SFT；B3＝mixed 56,874 SFT；B4＝mixed SFT+RL。已有文件先复用，缺失项留空。</w:t>
      </w:r>
    </w:p>
    <w:p>
      <w:r>
        <w:rPr>
          <w:b/>
        </w:rPr>
        <w:t xml:space="preserve">2. 核实训练血缘。 </w:t>
      </w:r>
      <w:r>
        <w:t>记录 model_path、revision、Instruct/Thinking、是否额外做过 Agent SFT、父 checkpoint。B1 的“RL-only”标签不能替代这些记录；本计划中的原始模型不是裸预训练模型。</w:t>
      </w:r>
    </w:p>
    <w:p>
      <w:r>
        <w:rPr>
          <w:b/>
        </w:rPr>
        <w:t xml:space="preserve">3. 固定三类数据。 </w:t>
      </w:r>
      <w:r>
        <w:t>train 用于训练、筛样与 archive；dev 用于工具诊断和选 checkpoint；test 只在方案锁定后正式报告。按原图及近重复内容去重，禁止把评测题回流到训练。</w:t>
      </w:r>
    </w:p>
    <w:p>
      <w:r>
        <w:rPr>
          <w:b/>
        </w:rPr>
        <w:t xml:space="preserve">4. 两种模式都测。 </w:t>
      </w:r>
      <w:r>
        <w:t>同一 checkpoint 分别以 Native（无工具）和 Agent（可工具、可直接答）评测。固定各模式 prompt、解码、整图分辨率、总输出预算和 grader。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ADF"/>
          <w:left w:val="single" w:sz="4" w:color="CEDADF"/>
          <w:bottom w:val="single" w:sz="4" w:color="CEDADF"/>
          <w:right w:val="single" w:sz="4" w:color="CEDADF"/>
          <w:insideH w:val="single" w:sz="4" w:color="CEDADF"/>
          <w:insideV w:val="single" w:sz="4" w:color="CEDADF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729"/>
        <w:gridCol w:w="8192"/>
      </w:tblGrid>
      <w:tr>
        <w:trPr>
          <w:tblHeader w:val="true"/>
          <w:cantSplit/>
        </w:trPr>
        <w:tc>
          <w:tcPr>
            <w:tcW w:type="dxa" w:w="1729"/>
            <w:shd w:fill="203C5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开跑验收</w:t>
            </w:r>
          </w:p>
        </w:tc>
        <w:tc>
          <w:tcPr>
            <w:tcW w:type="dxa" w:w="8192"/>
            <w:shd w:fill="203C5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具体检查</w:t>
            </w:r>
          </w:p>
        </w:tc>
      </w:tr>
      <w:tr>
        <w:trPr>
          <w:cantSplit/>
        </w:trPr>
        <w:tc>
          <w:tcPr>
            <w:tcW w:type="dxa" w:w="1729"/>
            <w:shd w:fill="F5F8F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多轮训练 mask [1]</w:t>
            </w:r>
          </w:p>
        </w:tc>
        <w:tc>
          <w:tcPr>
            <w:tcW w:type="dxa" w:w="8192"/>
            <w:shd w:fill="F5F8F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只优化模型生成的 reasoning / tool call / answer；工具返回和插入的视觉内容不作为预测目标。核对 response mask 与 rollout log-prob 的逐 token 对齐。</w:t>
            </w:r>
          </w:p>
        </w:tc>
      </w:tr>
      <w:tr>
        <w:trPr>
          <w:cantSplit/>
        </w:trPr>
        <w:tc>
          <w:tcPr>
            <w:tcW w:type="dxa" w:w="172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工具与坐标</w:t>
            </w:r>
          </w:p>
        </w:tc>
        <w:tc>
          <w:tcPr>
            <w:tcW w:type="dxa" w:w="8192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固定 detector 权重/阈值、crop 规则；每个 bbox 保存 image_id、坐标系和原图映射。超时、空检测、非法调用、预算截断分别记录。</w:t>
            </w:r>
          </w:p>
        </w:tc>
      </w:tr>
      <w:tr>
        <w:trPr>
          <w:cantSplit/>
        </w:trPr>
        <w:tc>
          <w:tcPr>
            <w:tcW w:type="dxa" w:w="1729"/>
            <w:shd w:fill="F5F8F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Native 禁用</w:t>
            </w:r>
          </w:p>
        </w:tc>
        <w:tc>
          <w:tcPr>
            <w:tcW w:type="dxa" w:w="8192"/>
            <w:shd w:fill="F5F8F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Native 不注册工具且 executor 不可达；意外 tool call 按预先约定的协议处理，不偷偷执行或改写生成文本。</w:t>
            </w:r>
          </w:p>
        </w:tc>
      </w:tr>
      <w:tr>
        <w:trPr>
          <w:cantSplit/>
        </w:trPr>
        <w:tc>
          <w:tcPr>
            <w:tcW w:type="dxa" w:w="172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统一评测</w:t>
            </w:r>
          </w:p>
        </w:tc>
        <w:tc>
          <w:tcPr>
            <w:tcW w:type="dxa" w:w="8192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沿用 VStar、HR-4K/8K；Native 泛化先固定 MMStar、POPE、CV-Bench。各分项独立保留，再计算预先定义的 Native Avg。</w:t>
            </w:r>
          </w:p>
        </w:tc>
      </w:tr>
    </w:tbl>
    <w:p>
      <w:pPr>
        <w:spacing w:after="0" w:line="240" w:lineRule="auto" w:before="0"/>
      </w:pPr>
      <w:r>
        <w:rPr>
          <w:sz w:val="2"/>
        </w:rPr>
      </w:r>
    </w:p>
    <w:p>
      <w:pPr>
        <w:pStyle w:val="Small"/>
      </w:pPr>
      <w:r>
        <w:rPr>
          <w:b/>
        </w:rPr>
        <w:t>产物：</w:t>
      </w:r>
      <w:r>
        <w:t>checkpoint_registry.csv、eval_config.yaml、split_manifest.json、基线逐题 predictions.jsonl。先做约 20 条环境冒烟测试；mask、坐标或回传有误时先修环境，不开新训练。</w:t>
      </w:r>
    </w:p>
    <w:p>
      <w:r>
        <w:br w:type="page"/>
      </w:r>
    </w:p>
    <w:p>
      <w:pPr>
        <w:pStyle w:val="Heading1"/>
      </w:pPr>
      <w:r>
        <w:t>Step 1｜用已有模型定位：工具到底帮在哪里？</w:t>
      </w:r>
    </w:p>
    <w:p>
      <w:r>
        <w:t>先选一个已跑通的 RL checkpoint，再配一个原始模型或 SFT 模型作对照。建议从独立 dev 预先抽约 200 题、每题每设置采样 4 次开始；这是试运行规模，不是充分统计量。边界结果扩大样本/重复数，禁止一轮采样就硬分“必须用工具”。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ADF"/>
          <w:left w:val="single" w:sz="4" w:color="CEDADF"/>
          <w:bottom w:val="single" w:sz="4" w:color="CEDADF"/>
          <w:right w:val="single" w:sz="4" w:color="CEDADF"/>
          <w:insideH w:val="single" w:sz="4" w:color="CEDADF"/>
          <w:insideV w:val="single" w:sz="4" w:color="CEDADF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757"/>
        <w:gridCol w:w="4876"/>
        <w:gridCol w:w="3288"/>
      </w:tblGrid>
      <w:tr>
        <w:trPr>
          <w:tblHeader w:val="true"/>
          <w:cantSplit/>
        </w:trPr>
        <w:tc>
          <w:tcPr>
            <w:tcW w:type="dxa" w:w="1757"/>
            <w:shd w:fill="203C5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设置</w:t>
            </w:r>
          </w:p>
        </w:tc>
        <w:tc>
          <w:tcPr>
            <w:tcW w:type="dxa" w:w="4876"/>
            <w:shd w:fill="203C5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如何运行</w:t>
            </w:r>
          </w:p>
        </w:tc>
        <w:tc>
          <w:tcPr>
            <w:tcW w:type="dxa" w:w="3288"/>
            <w:shd w:fill="203C5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回答的问题</w:t>
            </w:r>
          </w:p>
        </w:tc>
      </w:tr>
      <w:tr>
        <w:trPr>
          <w:cantSplit/>
        </w:trPr>
        <w:tc>
          <w:tcPr>
            <w:tcW w:type="dxa" w:w="1757"/>
            <w:shd w:fill="F5F8F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OFF</w:t>
            </w:r>
          </w:p>
        </w:tc>
        <w:tc>
          <w:tcPr>
            <w:tcW w:type="dxa" w:w="4876"/>
            <w:shd w:fill="F5F8F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原图 + 问题；不提供工具。</w:t>
            </w:r>
          </w:p>
        </w:tc>
        <w:tc>
          <w:tcPr>
            <w:tcW w:type="dxa" w:w="3288"/>
            <w:shd w:fill="F5F8F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原生答题水平。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ON</w:t>
            </w:r>
          </w:p>
        </w:tc>
        <w:tc>
          <w:tcPr>
            <w:tcW w:type="dxa" w:w="4876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相同原图和问题；保留现有工具链，允许直接答。</w:t>
            </w:r>
          </w:p>
        </w:tc>
        <w:tc>
          <w:tcPr>
            <w:tcW w:type="dxa" w:w="328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工具权限带来的整体净收益。</w:t>
            </w:r>
          </w:p>
        </w:tc>
      </w:tr>
      <w:tr>
        <w:trPr>
          <w:cantSplit/>
        </w:trPr>
        <w:tc>
          <w:tcPr>
            <w:tcW w:type="dxa" w:w="1757"/>
            <w:shd w:fill="F5F8F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确认正确的 ROI</w:t>
            </w:r>
          </w:p>
        </w:tc>
        <w:tc>
          <w:tcPr>
            <w:tcW w:type="dxa" w:w="4876"/>
            <w:shd w:fill="F5F8F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人工确认关键区域；原图 + ROI 给同一模型，不加答案提示。</w:t>
            </w:r>
          </w:p>
        </w:tc>
        <w:tc>
          <w:tcPr>
            <w:tcW w:type="dxa" w:w="3288"/>
            <w:shd w:fill="F5F8F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定位正确后，模型能否利用证据？仅作诊断，非正式 Agent 成绩。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正常 / 空 / 无关返回</w:t>
            </w:r>
          </w:p>
        </w:tc>
        <w:tc>
          <w:tcPr>
            <w:tcW w:type="dxa" w:w="4876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固定工具返回前的前缀；分别接正常返回、合法空结果、同图无关证据，重新生成后续。</w:t>
            </w:r>
          </w:p>
        </w:tc>
        <w:tc>
          <w:tcPr>
            <w:tcW w:type="dxa" w:w="328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某次 observation 的条件性贡献。</w:t>
            </w:r>
          </w:p>
        </w:tc>
      </w:tr>
    </w:tbl>
    <w:p>
      <w:pPr>
        <w:spacing w:after="0" w:line="240" w:lineRule="auto" w:before="0"/>
      </w:pPr>
      <w:r>
        <w:rPr>
          <w:sz w:val="2"/>
        </w:rPr>
      </w:r>
    </w:p>
    <w:p>
      <w:pPr>
        <w:pStyle w:val="Heading2"/>
      </w:pPr>
      <w:r>
        <w:t>1.1 整体工具收益：先算全体，再看分组</w:t>
      </w:r>
    </w:p>
    <w:p>
      <w:r>
        <w:t>按每题平均正确率计算 Δ_tool = p̂(ON) − p̂(OFF)。主结果包含预定集合的全部题，不只统计成功题；工具率的分母是全部题，有效调用率的分母是实际调用数。工具超时等失败也计入端到端表现，并单独报告。</w:t>
      </w:r>
    </w:p>
    <w:p>
      <w:r>
        <w:t>筛训练数据时，在 train 上另跑同样诊断；候选类别为 tool-beneficial、native-solvable、tool-harmful、uncertain/unsolved。暂保留混合采样，不立刻重加权；后续改采样必须单独对照。Δ_tool 是当前模型/预算下的差异，不是样本永久属性。[3]</w:t>
      </w:r>
    </w:p>
    <w:p>
      <w:pPr>
        <w:pStyle w:val="Heading2"/>
      </w:pPr>
      <w:r>
        <w:t>1.2 Observation 干预：必须重新生成后半段</w:t>
      </w:r>
    </w:p>
    <w:p>
      <w:r>
        <w:rPr>
          <w:b/>
        </w:rPr>
        <w:t xml:space="preserve">1. 预先选定干预点。 </w:t>
      </w:r>
      <w:r>
        <w:t>主实验可用“首个有效工具返回前”；纳入调用过工具的成功和失败轨迹，记录覆盖率。未调用样本不进入此条件分析，但仍保留在 ON/OFF 总表。</w:t>
      </w:r>
    </w:p>
    <w:p>
      <w:r>
        <w:rPr>
          <w:b/>
        </w:rPr>
        <w:t xml:space="preserve">2. 保持合法输入。 </w:t>
      </w:r>
      <w:r>
        <w:t>正常与无关 crop 使用一致的处理规则；同时替换与其绑定的 bbox / image_id，不能只换图却留下正确标签或坐标提示。空返回保持消息 schema 合法。</w:t>
      </w:r>
    </w:p>
    <w:p>
      <w:r>
        <w:rPr>
          <w:b/>
        </w:rPr>
        <w:t xml:space="preserve">3. 丢弃原后缀。 </w:t>
      </w:r>
      <w:r>
        <w:t>从相同前缀分别重新生成，禁止复用已经描述正确证据的旧 reasoning。只换单次返回时，结论仅针对该次 observation，不代表整条工具链。</w:t>
      </w:r>
    </w:p>
    <w:p>
      <w:pPr>
        <w:pStyle w:val="Small"/>
      </w:pPr>
      <w:r>
        <w:rPr>
          <w:b/>
        </w:rPr>
        <w:t>判断：</w:t>
      </w:r>
      <w:r>
        <w:t>ON &gt; OFF 且有稳定复现，才支持工具净收益；Wrong 导致下降只说明敏感性，不等于有用。正确 ROI 有增益而 ON 没有，优先修定位/调用策略；正确 ROI 也无增益，检查裁剪、上下文和证据理解。</w:t>
      </w:r>
    </w:p>
    <w:p>
      <w:pPr>
        <w:pStyle w:val="Heading2"/>
      </w:pPr>
      <w:r>
        <w:t>1.3 多轮先做评测，不新增训练模型</w:t>
      </w:r>
    </w:p>
    <w:p>
      <w:r>
        <w:t>同一 checkpoint 比较“1 个完整取证轮”与“3 个取证轮”。先保证一轮可完成现有的检测＋裁剪基础链；框架若按 API 限额，换算后再比较。分别记录 detector 次数、crop 次数和反馈后再决策的轮数，总生成预算保持一致。</w:t>
      </w:r>
    </w:p>
    <w:p>
      <w:pPr>
        <w:pStyle w:val="Small"/>
      </w:pPr>
      <w:r>
        <w:t>抽查约 50 条后续 query 是否利用上一轮 observation。报告全体结果；多轮子集需预先定义或在另一批题上建立，不能用同批“1 轮错、3 轮对”的题证明增益。产物：utility.jsonl、干预前缀与续写、multi_turn_audit.csv。</w:t>
      </w:r>
    </w:p>
    <w:p>
      <w:r>
        <w:br w:type="page"/>
      </w:r>
    </w:p>
    <w:p>
      <w:pPr>
        <w:pStyle w:val="Heading1"/>
      </w:pPr>
      <w:r>
        <w:t>Step 2｜选择训练起点，Small SFT 只作候选</w:t>
      </w:r>
    </w:p>
    <w:p>
      <w:r>
        <w:t>优先使用 Step 0–1 中表现稳定的已有 checkpoint。已有 RL-only 能稳定调用和利用工具时，可以直接进入 Step 3；不因其他论文做了 cold-start 就重复训练 SFT。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ADF"/>
          <w:left w:val="single" w:sz="4" w:color="CEDADF"/>
          <w:bottom w:val="single" w:sz="4" w:color="CEDADF"/>
          <w:right w:val="single" w:sz="4" w:color="CEDADF"/>
          <w:insideH w:val="single" w:sz="4" w:color="CEDADF"/>
          <w:insideV w:val="single" w:sz="4" w:color="CEDADF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2324"/>
        <w:gridCol w:w="4649"/>
        <w:gridCol w:w="2948"/>
      </w:tblGrid>
      <w:tr>
        <w:trPr>
          <w:tblHeader w:val="true"/>
          <w:cantSplit/>
        </w:trPr>
        <w:tc>
          <w:tcPr>
            <w:tcW w:type="dxa" w:w="2324"/>
            <w:shd w:fill="203C5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路线</w:t>
            </w:r>
          </w:p>
        </w:tc>
        <w:tc>
          <w:tcPr>
            <w:tcW w:type="dxa" w:w="4649"/>
            <w:shd w:fill="203C5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执行方式</w:t>
            </w:r>
          </w:p>
        </w:tc>
        <w:tc>
          <w:tcPr>
            <w:tcW w:type="dxa" w:w="2948"/>
            <w:shd w:fill="203C5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何时值得跑</w:t>
            </w:r>
          </w:p>
        </w:tc>
      </w:tr>
      <w:tr>
        <w:trPr>
          <w:cantSplit/>
        </w:trPr>
        <w:tc>
          <w:tcPr>
            <w:tcW w:type="dxa" w:w="2324"/>
            <w:shd w:fill="F5F8F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原始模型 → RL</w:t>
            </w:r>
          </w:p>
        </w:tc>
        <w:tc>
          <w:tcPr>
            <w:tcW w:type="dxa" w:w="4649"/>
            <w:shd w:fill="F5F8F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作为不增加 Agent SFT 的对照；已有对应 checkpoint 先复测。</w:t>
            </w:r>
          </w:p>
        </w:tc>
        <w:tc>
          <w:tcPr>
            <w:tcW w:type="dxa" w:w="2948"/>
            <w:shd w:fill="F5F8F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需要判断 Small SFT 是否必要时。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原始模型 → Small SFT → RL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仅新增一个轻量候选，再用相同 RL 设置比较。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原始起点协议失败多、探索难，或要检验更好的起点。</w:t>
            </w:r>
          </w:p>
        </w:tc>
      </w:tr>
      <w:tr>
        <w:trPr>
          <w:cantSplit/>
        </w:trPr>
        <w:tc>
          <w:tcPr>
            <w:tcW w:type="dxa" w:w="2324"/>
            <w:shd w:fill="F5F8F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Heavy SFT → RL</w:t>
            </w:r>
          </w:p>
        </w:tc>
        <w:tc>
          <w:tcPr>
            <w:tcW w:type="dxa" w:w="4649"/>
            <w:shd w:fill="F5F8F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复用旧/mixed SFT 及 RL 结果；必要时补匹配预算实验。</w:t>
            </w:r>
          </w:p>
        </w:tc>
        <w:tc>
          <w:tcPr>
            <w:tcW w:type="dxa" w:w="2948"/>
            <w:shd w:fill="F5F8F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检查重 SFT 起点是否仍有优势，不默认它已不可用。</w:t>
            </w:r>
          </w:p>
        </w:tc>
      </w:tr>
    </w:tbl>
    <w:p>
      <w:pPr>
        <w:spacing w:after="0" w:line="240" w:lineRule="auto" w:before="0"/>
      </w:pPr>
      <w:r>
        <w:rPr>
          <w:sz w:val="2"/>
        </w:rPr>
      </w:r>
    </w:p>
    <w:p>
      <w:pPr>
        <w:pStyle w:val="Heading2"/>
      </w:pPr>
      <w:r>
        <w:t>2.1 需要 Small SFT 时，按此执行</w:t>
      </w:r>
    </w:p>
    <w:p>
      <w:r>
        <w:rPr>
          <w:b/>
        </w:rPr>
        <w:t xml:space="preserve">1. 从已有数据筛选。 </w:t>
      </w:r>
      <w:r>
        <w:t>建议先取 3K–5K 总样本，含约 70–80% Agent 与 20–30% Native；这只是起始方案。保留可执行且证据支持答案的短轨迹，拒绝“答案正确但工具无关”；不为凑多轮增加调用。</w:t>
      </w:r>
    </w:p>
    <w:p>
      <w:r>
        <w:rPr>
          <w:b/>
        </w:rPr>
        <w:t xml:space="preserve">2. 保持接口与冻结范围一致。 </w:t>
      </w:r>
      <w:r>
        <w:t>使用现有 chat/tool 格式；沿用现有冻结视觉塔和 projector 的设置，登记学习率、有效 assistant token 数与更新步数。Native 样本不伪装成工具轨迹。</w:t>
      </w:r>
    </w:p>
    <w:p>
      <w:r>
        <w:rPr>
          <w:b/>
        </w:rPr>
        <w:t xml:space="preserve">3. 只做小试跑。 </w:t>
      </w:r>
      <w:r>
        <w:t>第一轮最多 1 epoch，按固定 dev 观察协议成功率与 Native 能力；不把训练 loss 下降当验收。保存 S0 及数据清单，再启动匹配的 RL 对照。</w:t>
      </w:r>
    </w:p>
    <w:p>
      <w:pPr>
        <w:pStyle w:val="Small"/>
      </w:pPr>
      <w:r>
        <w:rPr>
          <w:b/>
        </w:rPr>
        <w:t>解释边界：</w:t>
      </w:r>
      <w:r>
        <w:t>小样本、筛选质量、混合比例、epoch 同时变化时，只能说明“新 recipe 是否更好”。要解释 SFT 掉点原因，后续再做固定数据组成、仅改变训练 token 预算的单因素实验。</w:t>
      </w:r>
    </w:p>
    <w:p>
      <w:pPr>
        <w:pStyle w:val="Heading2"/>
      </w:pPr>
      <w:r>
        <w:t>2.2 公平对照必须先写进运行配置</w:t>
      </w:r>
    </w:p>
    <w:p>
      <w:r>
        <w:t>选定 θ_start 后分叉：A＝单流 Agent RL；D＝Agent＋Native 双流 RL。两支从同一权重开始，optimizer 同时重置或复制同一状态；reference 模型、KL、冻结范围、数据池和奖励基线一致。不能用“D 在 A 上多训一段”直接对比未继续训练的 A。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ADF"/>
          <w:left w:val="single" w:sz="4" w:color="CEDADF"/>
          <w:bottom w:val="single" w:sz="4" w:color="CEDADF"/>
          <w:right w:val="single" w:sz="4" w:color="CEDADF"/>
          <w:insideH w:val="single" w:sz="4" w:color="CEDADF"/>
          <w:insideV w:val="single" w:sz="4" w:color="CEDADF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984"/>
        <w:gridCol w:w="7937"/>
      </w:tblGrid>
      <w:tr>
        <w:trPr>
          <w:tblHeader w:val="true"/>
          <w:cantSplit/>
        </w:trPr>
        <w:tc>
          <w:tcPr>
            <w:tcW w:type="dxa" w:w="1984"/>
            <w:shd w:fill="203C5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固定项</w:t>
            </w:r>
          </w:p>
        </w:tc>
        <w:tc>
          <w:tcPr>
            <w:tcW w:type="dxa" w:w="7937"/>
            <w:shd w:fill="203C5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执行口径</w:t>
            </w:r>
          </w:p>
        </w:tc>
      </w:tr>
      <w:tr>
        <w:trPr>
          <w:cantSplit/>
        </w:trPr>
        <w:tc>
          <w:tcPr>
            <w:tcW w:type="dxa" w:w="1984"/>
            <w:shd w:fill="F5F8F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组大小 / 数据</w:t>
            </w:r>
          </w:p>
        </w:tc>
        <w:tc>
          <w:tcPr>
            <w:tcW w:type="dxa" w:w="7937"/>
            <w:shd w:fill="F5F8F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每个 group 的 K 一致（试跑可取 4）；使用相同 train 池。双流两组有额外开销，不把相同步数当等预算。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主比较预算</w:t>
            </w:r>
          </w:p>
        </w:tc>
        <w:tc>
          <w:tcPr>
            <w:tcW w:type="dxa" w:w="7937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建议同型号 GPU、等 GPU 小时，计入 rollout、工具等待和更新；同时记录生成 token、训练 token、GPU 小时和外部工具成本。按共同预算点比较。</w:t>
            </w:r>
          </w:p>
        </w:tc>
      </w:tr>
      <w:tr>
        <w:trPr>
          <w:cantSplit/>
        </w:trPr>
        <w:tc>
          <w:tcPr>
            <w:tcW w:type="dxa" w:w="1984"/>
            <w:shd w:fill="F5F8F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增量 / 总成本</w:t>
            </w:r>
          </w:p>
        </w:tc>
        <w:tc>
          <w:tcPr>
            <w:tcW w:type="dxa" w:w="7937"/>
            <w:shd w:fill="F5F8F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已有 checkpoint 上继续训练时报告增量预算；初始化路线比较另计 SFT 成本。一次性诊断、judge/teacher 费用单列。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结论复核</w:t>
            </w:r>
          </w:p>
        </w:tc>
        <w:tc>
          <w:tcPr>
            <w:tcW w:type="dxa" w:w="7937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关键赢家再换随机种子复跑。必要时补“相同 Agent rollout 曝光量”的比较，不能宣称它与等计算量对照是同一件事。</w:t>
            </w:r>
          </w:p>
        </w:tc>
      </w:tr>
    </w:tbl>
    <w:p>
      <w:pPr>
        <w:spacing w:after="0" w:line="240" w:lineRule="auto" w:before="0"/>
      </w:pPr>
      <w:r>
        <w:rPr>
          <w:sz w:val="2"/>
        </w:rPr>
      </w:r>
    </w:p>
    <w:p>
      <w:pPr>
        <w:pStyle w:val="Small"/>
      </w:pPr>
      <w:r>
        <w:t>产物：train_A.yaml、train_D.yaml、共享父 checkpoint、数据 hash、预算与选点规则。LR schedule 的推进口径也要预先固定，不能一支按步数、一支按 token 临时调整。</w:t>
      </w:r>
    </w:p>
    <w:p>
      <w:r>
        <w:br w:type="page"/>
      </w:r>
    </w:p>
    <w:p>
      <w:pPr>
        <w:pStyle w:val="Heading1"/>
      </w:pPr>
      <w:r>
        <w:t>Step 3｜实现单流 / 双流 GRPO 对照</w:t>
      </w:r>
    </w:p>
    <w:p>
      <w:r>
        <w:t>先跑通 A，再验证 D 的数据与梯度，但两条正式训练曲线都从同一 θ_start 分叉。第一版不加 Consistency、OPD 或新的工具奖励；主对照沿用已验证 reward，新建基线可先只用答案正确性。</w:t>
      </w:r>
    </w:p>
    <w:p>
      <w:pPr>
        <w:pStyle w:val="Heading2"/>
      </w:pPr>
      <w:r>
        <w:t>3.1 同一个模型，两个 rollout group</w:t>
      </w:r>
    </w:p>
    <w:p>
      <w:r>
        <w:rPr>
          <w:b/>
        </w:rPr>
        <w:t xml:space="preserve">1. 冻结本轮采样策略。 </w:t>
      </w:r>
      <w:r>
        <w:t>用同一 π_old 对问题 q 采 Agent 的 K 条轨迹；D 额外采 Native 的 K 条。Agent 可 0 次调用，也可在反馈后继续；Native 仅原图答题。两组采完前不更新参数。</w:t>
      </w:r>
    </w:p>
    <w:p>
      <w:r>
        <w:rPr>
          <w:b/>
        </w:rPr>
        <w:t xml:space="preserve">2. 分别算 advantage。 </w:t>
      </w:r>
      <w:r>
        <w:t>group_id 使用 (sample_id, stream_id, batch_id)，不得混合 Agent 与 Native 奖励统计。只在各组内减均值/按配置除标准差。[2]</w:t>
      </w:r>
    </w:p>
    <w:p>
      <w:r>
        <w:rPr>
          <w:b/>
        </w:rPr>
        <w:t xml:space="preserve">3. 分别聚合再合并。 </w:t>
      </w:r>
      <w:r>
        <w:t>两支沿用相同 loss aggregation；先各自得到 L_A、L_N，避免长 Agent 轨迹仅因 token 更多占更大权重。首轮可设 α = 1，保持总体尺度一致。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2"/>
            <w:shd w:fill="EDF3F5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6B73"/>
                <w:sz w:val="22"/>
              </w:rPr>
              <w:t>逻辑示意：不是现有框架的可直接执行 API</w:t>
            </w:r>
          </w:p>
          <w:p>
            <w:pPr>
              <w:spacing w:after="80" w:line="259" w:lineRule="auto"/>
            </w:pPr>
            <w:r>
              <w:rPr>
                <w:rFonts w:ascii="Noto Sans CJK SC" w:hAnsi="Noto Sans CJK SC" w:eastAsia="Noto Sans CJK SC"/>
              </w:rPr>
              <w:t>A_A = group_advantage(reward_A, group_id_A)</w:t>
              <w:br/>
              <w:t>A_N = group_advantage(reward_N, group_id_N)</w:t>
              <w:br/>
              <w:t>L_total = (L_A + α × L_N) / (1 + α)</w:t>
              <w:br/>
              <w:t>backward(L_total) → update(θ) → sync_rollout_weights(θ)</w:t>
            </w:r>
          </w:p>
        </w:tc>
      </w:tr>
    </w:tbl>
    <w:p>
      <w:pPr>
        <w:spacing w:after="0"/>
      </w:pPr>
    </w:p>
    <w:p>
      <w:r>
        <w:t>若框架暂不能合并，可用梯度累积后统一 step。1:1 交替更新仅作工程试通，需重新从当前策略采样；不要将它直接当作同一步合并 loss 的等价消融。</w:t>
      </w:r>
    </w:p>
    <w:p>
      <w:pPr>
        <w:pStyle w:val="Heading2"/>
      </w:pPr>
      <w:r>
        <w:t>3.2 三个必须监控的风险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ADF"/>
          <w:left w:val="single" w:sz="4" w:color="CEDADF"/>
          <w:bottom w:val="single" w:sz="4" w:color="CEDADF"/>
          <w:right w:val="single" w:sz="4" w:color="CEDADF"/>
          <w:insideH w:val="single" w:sz="4" w:color="CEDADF"/>
          <w:insideV w:val="single" w:sz="4" w:color="CEDADF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2211"/>
        <w:gridCol w:w="7710"/>
      </w:tblGrid>
      <w:tr>
        <w:trPr>
          <w:tblHeader w:val="true"/>
          <w:cantSplit/>
        </w:trPr>
        <w:tc>
          <w:tcPr>
            <w:tcW w:type="dxa" w:w="2211"/>
            <w:shd w:fill="203C5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7710"/>
            <w:shd w:fill="203C5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监控 / 处理</w:t>
            </w:r>
          </w:p>
        </w:tc>
      </w:tr>
      <w:tr>
        <w:trPr>
          <w:cantSplit/>
        </w:trPr>
        <w:tc>
          <w:tcPr>
            <w:tcW w:type="dxa" w:w="2211"/>
            <w:shd w:fill="F5F8F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Native 无答案学习信号</w:t>
            </w:r>
          </w:p>
        </w:tc>
        <w:tc>
          <w:tcPr>
            <w:tcW w:type="dxa" w:w="7710"/>
            <w:shd w:fill="F5F8F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记录 P(0 &lt; 组内正确数 &lt; K)，并分别看全对/全错比例。只有二值答案奖励时，组内全同会使该奖励的 advantage 为 0；KL 等其他项仍可能更新。[2]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小 cost 仍压制探索</w:t>
            </w:r>
          </w:p>
        </w:tc>
        <w:tc>
          <w:tcPr>
            <w:tcW w:type="dxa" w:w="771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首轮先监控调用数，不新加 cost。组内若只有 cost 有差异，标准差归一化可能抵消其“小系数”。后续 cost 必须独立消融，不把全错探索一律额外重罚。</w:t>
            </w:r>
          </w:p>
        </w:tc>
      </w:tr>
      <w:tr>
        <w:trPr>
          <w:cantSplit/>
        </w:trPr>
        <w:tc>
          <w:tcPr>
            <w:tcW w:type="dxa" w:w="2211"/>
            <w:shd w:fill="F5F8F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截断 / 环境失败混入</w:t>
            </w:r>
          </w:p>
        </w:tc>
        <w:tc>
          <w:tcPr>
            <w:tcW w:type="dxa" w:w="7710"/>
            <w:shd w:fill="F5F8F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分别标记 max-budget、timeout、invalid-call、normal-finish；预先规定训练保留/mask 规则，并报告过滤比例。端到端评测不悄悄移除失败题。</w:t>
            </w:r>
          </w:p>
        </w:tc>
      </w:tr>
    </w:tbl>
    <w:p>
      <w:pPr>
        <w:spacing w:after="0" w:line="240" w:lineRule="auto" w:before="0"/>
      </w:pPr>
      <w:r>
        <w:rPr>
          <w:sz w:val="2"/>
        </w:rPr>
      </w:r>
    </w:p>
    <w:p>
      <w:pPr>
        <w:pStyle w:val="Heading2"/>
      </w:pPr>
      <w:r>
        <w:t>3.3 通过与退出条件</w:t>
      </w:r>
    </w:p>
    <w:p>
      <w:r>
        <w:t>比较同一预算下的 Agent 准确率、Native 各分项、调用成本和置信区间。跑前指定主要 Agent 指标及可接受的 Native 退化范围；看配对逐题差异，不只看一个平均分。</w:t>
      </w:r>
    </w:p>
    <w:p>
      <w:r>
        <w:t>若 D 在成本可接受时改善两侧权衡，保留双流；若 A 已更好，保留单流也成立。若 D 无收益，先检查有效 group 比例、mask、采样与权重；一次失败不证明所有双流都无效，但无需继续无条件叠模块。</w:t>
      </w:r>
    </w:p>
    <w:p>
      <w:pPr>
        <w:pStyle w:val="Small"/>
      </w:pPr>
      <w:r>
        <w:t>保存：主要部署 checkpoint 始终是共享模型 θ；同时保存 processor/chat template/tool schema。断点续训另存 optimizer、scheduler、RNG 和采样状态。评测权重从固定 dev 规则选择，不从最终 test 挑。</w:t>
      </w:r>
    </w:p>
    <w:p>
      <w:r>
        <w:br w:type="page"/>
      </w:r>
    </w:p>
    <w:p>
      <w:pPr>
        <w:pStyle w:val="Heading1"/>
      </w:pPr>
      <w:r>
        <w:t>Step 4｜只按实际瓶颈，选择一个增强实验</w:t>
      </w:r>
    </w:p>
    <w:p>
      <w:r>
        <w:t>这一步不是必做顺序。Replay、Consistency、OPD 互为候选，不要求先做完 Consistency 才能尝试 OPD；每次从同一已选基线分叉，只改一个模块。下列实现是本项目建议，不是原论文已验证的 GroundingDINO recipe。</w:t>
      </w:r>
    </w:p>
    <w:p>
      <w:pPr>
        <w:pStyle w:val="Heading2"/>
      </w:pPr>
      <w:r>
        <w:t>4.1 Native 退化：先试有明确梯度的 Native replay</w:t>
      </w:r>
    </w:p>
    <w:p>
      <w:r>
        <w:t>从独立 train 取 general multimodal 数据，只走 Native；可先替换 Native batch 的约 20%，维持总预算而非直接加量。先检查组内答案奖励差异；若多数全对，单靠答案 GRPO 未必保护能力，应将 Native CE 回放或固定参考 KL 另立一个对照，不隐性叠加。</w:t>
      </w:r>
    </w:p>
    <w:p>
      <w:pPr>
        <w:pStyle w:val="Heading2"/>
      </w:pPr>
      <w:r>
        <w:t>4.2 Agent 证据可靠，但 Native 外显事实错误：Consistency</w:t>
      </w:r>
    </w:p>
    <w:p>
      <w:r>
        <w:rPr>
          <w:b/>
        </w:rPr>
        <w:t xml:space="preserve">1. 建立可信 reference。 </w:t>
      </w:r>
      <w:r>
        <w:t>仅在 train 保存答案正确、且关键 crop 确实支持答案的 Agent 轨迹；有 GT box 时用定位校验，无 GT 时先人工抽检或视觉核验。检测 confidence 不能替代真值。iVGR 原版用格式、答案和定位质量筛选参考。[4]</w:t>
      </w:r>
    </w:p>
    <w:p>
      <w:r>
        <w:rPr>
          <w:b/>
        </w:rPr>
        <w:t xml:space="preserve">2. 保存可追溯证据。 </w:t>
      </w:r>
      <w:r>
        <w:t>archive 记录 sample_id、source checkpoint、query、bbox、image/crop_id 与简短事实。summary 不得添加原 observation 未支持的结论；空间关系保留原图坐标/联合区域。</w:t>
      </w:r>
    </w:p>
    <w:p>
      <w:r>
        <w:rPr>
          <w:b/>
        </w:rPr>
        <w:t xml:space="preserve">3. 先离线校准 judge。 </w:t>
      </w:r>
      <w:r>
        <w:t>用约 50 条人工判例检查它是否只凭答案一致打高分。输入 question、已核验事实和 Native 外显回答；输出 entity/fact consistency 与 unsupported claims。文本 judge 不能证明视觉事实或内部注意正确。</w:t>
      </w:r>
    </w:p>
    <w:p>
      <w:r>
        <w:rPr>
          <w:b/>
        </w:rPr>
        <w:t xml:space="preserve">4. 通过后才进 reward。 </w:t>
      </w:r>
      <w:r>
        <w:t>无有效参考时 C=0；有参考时只评价必要事实，不要求长 CoT 或逐步模仿工具动作。可试 R_N=R_ans+β·I(ref有效)·I(Native答对)·C；这是本计划的保守门控，非原版公式。监控 reward 分量与组内排序，不能只靠“小 β”保证弱影响。</w:t>
      </w:r>
    </w:p>
    <w:p>
      <w:pPr>
        <w:pStyle w:val="Heading2"/>
      </w:pPr>
      <w:r>
        <w:t>4.3 crop 明显有益，目标是提高无工具能力：OPD</w:t>
      </w:r>
    </w:p>
    <w:p>
      <w:r>
        <w:t>先离线检验：同一模型看原图＋已核验 crop 是否持续优于仅原图。成立后，Native 自行 rollout；EMA teacher 看原图＋工具证据，在同一响应前缀上输出分布，JSD/KL 只反传主模型。按响应 token 对齐，不能按含不同数量图像 token 的输入绝对位置对齐。[5]</w:t>
      </w:r>
    </w:p>
    <w:p>
      <w:r>
        <w:t>Teacher 只作训练辅助，部署仍用 θ。关系题保留整图及 bbox 坐标/联合区域。蒸馏不保证恢复已被降采样丢失的细节；Native 没有信息时，应保留 Agent 模式，而非强求完全内化。</w:t>
      </w:r>
    </w:p>
    <w:p>
      <w:pPr>
        <w:pStyle w:val="Heading2"/>
      </w:pPr>
      <w:r>
        <w:t>记录与结论规则</w:t>
      </w:r>
    </w:p>
    <w:p>
      <w:r>
        <w:t>统一逐题日志：run_id、checkpoint、split/sample/image_id、mode、seed、final/correct、工具动作与返回、image_id/坐标映射、finish_reason、生成/视觉 token、耗时、reward 分项与 group_id。文件按 run_id 保存，训练数据清单和配置 hash 随 checkpoint 归档。</w:t>
      </w:r>
    </w:p>
    <w:p>
      <w:r>
        <w:t>VStar 总体、属性与位置关系分开看；HR-4K/8K、Native 分项与成本同时报告。VStar 只有 191 题，1 题约 0.52 个百分点；差值用按题配对 bootstrap，重复 rollout 仍按题聚类，不能当成独立新题。[6]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2"/>
            <w:shd w:fill="EDF3F5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6B73"/>
                <w:sz w:val="22"/>
              </w:rPr>
              <w:t>最终决策</w:t>
            </w:r>
          </w:p>
          <w:p>
            <w:pPr>
              <w:spacing w:after="80" w:line="259" w:lineRule="auto"/>
            </w:pPr>
            <w:r>
              <w:rPr>
                <w:rFonts w:ascii="Noto Sans CJK SC" w:hAnsi="Noto Sans CJK SC" w:eastAsia="Noto Sans CJK SC"/>
              </w:rPr>
              <w:t>若最强纯 RL 已兼顾两种模式，接受“不需要 Small SFT / 双流”的结果。研究结论应来自真实工具收益、可复现能力保持和公平对照；方法新颖性需要另行验证，不能由模块组合直接推出。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结果与配置记录表</w:t>
      </w:r>
    </w:p>
    <w:p>
      <w:pPr>
        <w:pStyle w:val="Small"/>
      </w:pPr>
      <w:r>
        <w:t>空白用于实际复测填写；不回填历史分数。B0–B4 定义见 Step 0；S0 为可选 Small SFT；A/D 为同一起点的单流/双流；X 为单项增强。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ADF"/>
          <w:left w:val="single" w:sz="4" w:color="CEDADF"/>
          <w:bottom w:val="single" w:sz="4" w:color="CEDADF"/>
          <w:right w:val="single" w:sz="4" w:color="CEDADF"/>
          <w:insideH w:val="single" w:sz="4" w:color="CEDADF"/>
          <w:insideV w:val="single" w:sz="4" w:color="CEDADF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680"/>
        <w:gridCol w:w="1389"/>
        <w:gridCol w:w="1389"/>
        <w:gridCol w:w="1247"/>
        <w:gridCol w:w="1247"/>
        <w:gridCol w:w="1446"/>
        <w:gridCol w:w="1219"/>
        <w:gridCol w:w="1304"/>
      </w:tblGrid>
      <w:tr>
        <w:trPr>
          <w:tblHeader w:val="true"/>
          <w:cantSplit/>
        </w:trPr>
        <w:tc>
          <w:tcPr>
            <w:tcW w:type="dxa" w:w="680"/>
            <w:shd w:fill="203C5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Run</w:t>
            </w:r>
          </w:p>
        </w:tc>
        <w:tc>
          <w:tcPr>
            <w:tcW w:type="dxa" w:w="1389"/>
            <w:shd w:fill="203C5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VStar</w:t>
              <w:br/>
              <w:t>Native</w:t>
            </w:r>
          </w:p>
        </w:tc>
        <w:tc>
          <w:tcPr>
            <w:tcW w:type="dxa" w:w="1389"/>
            <w:shd w:fill="203C5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VStar</w:t>
              <w:br/>
              <w:t>Agent</w:t>
            </w:r>
          </w:p>
        </w:tc>
        <w:tc>
          <w:tcPr>
            <w:tcW w:type="dxa" w:w="1247"/>
            <w:shd w:fill="203C5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HR-4K</w:t>
              <w:br/>
              <w:t>Agent</w:t>
            </w:r>
          </w:p>
        </w:tc>
        <w:tc>
          <w:tcPr>
            <w:tcW w:type="dxa" w:w="1247"/>
            <w:shd w:fill="203C5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HR-8K</w:t>
              <w:br/>
              <w:t>Agent</w:t>
            </w:r>
          </w:p>
        </w:tc>
        <w:tc>
          <w:tcPr>
            <w:tcW w:type="dxa" w:w="1446"/>
            <w:shd w:fill="203C5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Native</w:t>
              <w:br/>
              <w:t>Avg</w:t>
            </w:r>
          </w:p>
        </w:tc>
        <w:tc>
          <w:tcPr>
            <w:tcW w:type="dxa" w:w="1219"/>
            <w:shd w:fill="203C5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Tool</w:t>
              <w:br/>
              <w:t>Rate</w:t>
            </w:r>
          </w:p>
        </w:tc>
        <w:tc>
          <w:tcPr>
            <w:tcW w:type="dxa" w:w="1304"/>
            <w:shd w:fill="203C5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Avg</w:t>
              <w:br/>
              <w:t>Calls</w:t>
            </w:r>
          </w:p>
        </w:tc>
      </w:tr>
      <w:tr>
        <w:trPr>
          <w:trHeight w:val="374" w:hRule="atLeast"/>
          <w:cantSplit/>
        </w:trPr>
        <w:tc>
          <w:tcPr>
            <w:tcW w:type="dxa" w:w="68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B0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8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446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21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0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rPr>
          <w:trHeight w:val="374" w:hRule="atLeast"/>
          <w:cantSplit/>
        </w:trPr>
        <w:tc>
          <w:tcPr>
            <w:tcW w:type="dxa" w:w="68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B1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8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446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21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0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rPr>
          <w:trHeight w:val="374" w:hRule="atLeast"/>
          <w:cantSplit/>
        </w:trPr>
        <w:tc>
          <w:tcPr>
            <w:tcW w:type="dxa" w:w="68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B2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8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446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21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0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rPr>
          <w:trHeight w:val="374" w:hRule="atLeast"/>
          <w:cantSplit/>
        </w:trPr>
        <w:tc>
          <w:tcPr>
            <w:tcW w:type="dxa" w:w="68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B3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8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446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21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0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rPr>
          <w:trHeight w:val="374" w:hRule="atLeast"/>
          <w:cantSplit/>
        </w:trPr>
        <w:tc>
          <w:tcPr>
            <w:tcW w:type="dxa" w:w="68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B4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8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446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21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0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rPr>
          <w:trHeight w:val="374" w:hRule="atLeast"/>
          <w:cantSplit/>
        </w:trPr>
        <w:tc>
          <w:tcPr>
            <w:tcW w:type="dxa" w:w="68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S0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8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446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21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0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rPr>
          <w:trHeight w:val="374" w:hRule="atLeast"/>
          <w:cantSplit/>
        </w:trPr>
        <w:tc>
          <w:tcPr>
            <w:tcW w:type="dxa" w:w="68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A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8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446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21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0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rPr>
          <w:trHeight w:val="374" w:hRule="atLeast"/>
          <w:cantSplit/>
        </w:trPr>
        <w:tc>
          <w:tcPr>
            <w:tcW w:type="dxa" w:w="68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D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8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446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21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0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rPr>
          <w:trHeight w:val="374" w:hRule="atLeast"/>
          <w:cantSplit/>
        </w:trPr>
        <w:tc>
          <w:tcPr>
            <w:tcW w:type="dxa" w:w="68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X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8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446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219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30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</w:tbl>
    <w:p>
      <w:pPr>
        <w:spacing w:after="0" w:line="240" w:lineRule="auto" w:before="0"/>
      </w:pPr>
      <w:r>
        <w:rPr>
          <w:sz w:val="2"/>
        </w:rPr>
      </w:r>
    </w:p>
    <w:p>
      <w:pPr>
        <w:pStyle w:val="Small"/>
      </w:pPr>
      <w:r>
        <w:t>Native Avg 的 benchmark 列表/聚合规则先固定；CV-2D/3D 单列保留，避免平均分掩盖退化。详细分项留在逐题日志。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ADF"/>
          <w:left w:val="single" w:sz="4" w:color="CEDADF"/>
          <w:bottom w:val="single" w:sz="4" w:color="CEDADF"/>
          <w:right w:val="single" w:sz="4" w:color="CEDADF"/>
          <w:insideH w:val="single" w:sz="4" w:color="CEDADF"/>
          <w:insideV w:val="single" w:sz="4" w:color="CEDADF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928"/>
        <w:gridCol w:w="1276"/>
        <w:gridCol w:w="1276"/>
        <w:gridCol w:w="1191"/>
        <w:gridCol w:w="1417"/>
        <w:gridCol w:w="1417"/>
        <w:gridCol w:w="1417"/>
      </w:tblGrid>
      <w:tr>
        <w:trPr>
          <w:tblHeader w:val="true"/>
          <w:cantSplit/>
        </w:trPr>
        <w:tc>
          <w:tcPr>
            <w:tcW w:type="dxa" w:w="1928"/>
            <w:shd w:fill="203C5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模型 / 子集</w:t>
            </w:r>
          </w:p>
        </w:tc>
        <w:tc>
          <w:tcPr>
            <w:tcW w:type="dxa" w:w="1276"/>
            <w:shd w:fill="203C5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OFF</w:t>
            </w:r>
          </w:p>
        </w:tc>
        <w:tc>
          <w:tcPr>
            <w:tcW w:type="dxa" w:w="1276"/>
            <w:shd w:fill="203C5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ON</w:t>
            </w:r>
          </w:p>
        </w:tc>
        <w:tc>
          <w:tcPr>
            <w:tcW w:type="dxa" w:w="1191"/>
            <w:shd w:fill="203C5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Δ_tool</w:t>
            </w:r>
          </w:p>
        </w:tc>
        <w:tc>
          <w:tcPr>
            <w:tcW w:type="dxa" w:w="1417"/>
            <w:shd w:fill="203C5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正常返回</w:t>
            </w:r>
          </w:p>
        </w:tc>
        <w:tc>
          <w:tcPr>
            <w:tcW w:type="dxa" w:w="1417"/>
            <w:shd w:fill="203C5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空返回</w:t>
            </w:r>
          </w:p>
        </w:tc>
        <w:tc>
          <w:tcPr>
            <w:tcW w:type="dxa" w:w="1417"/>
            <w:shd w:fill="203C5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无关返回</w:t>
            </w:r>
          </w:p>
        </w:tc>
      </w:tr>
      <w:tr>
        <w:trPr>
          <w:trHeight w:val="374" w:hRule="atLeast"/>
          <w:cantSplit/>
        </w:trPr>
        <w:tc>
          <w:tcPr>
            <w:tcW w:type="dxa" w:w="192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1276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1276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</w:tr>
      <w:tr>
        <w:trPr>
          <w:trHeight w:val="374" w:hRule="atLeast"/>
          <w:cantSplit/>
        </w:trPr>
        <w:tc>
          <w:tcPr>
            <w:tcW w:type="dxa" w:w="1928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1276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1276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</w:tr>
    </w:tbl>
    <w:p>
      <w:pPr>
        <w:spacing w:after="0" w:line="240" w:lineRule="auto" w:before="0"/>
      </w:pPr>
      <w:r>
        <w:rPr>
          <w:sz w:val="2"/>
        </w:rPr>
      </w:r>
    </w:p>
    <w:p>
      <w:pPr>
        <w:pStyle w:val="Small"/>
      </w:pPr>
      <w:r>
        <w:t>OFF/ON 用全部预定题；后三列只比较同一批调用轨迹的固定前缀重采样。覆盖题数与取证轮上限随表记录，不混用分母。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ADF"/>
          <w:left w:val="single" w:sz="4" w:color="CEDADF"/>
          <w:bottom w:val="single" w:sz="4" w:color="CEDADF"/>
          <w:right w:val="single" w:sz="4" w:color="CEDADF"/>
          <w:insideH w:val="single" w:sz="4" w:color="CEDADF"/>
          <w:insideV w:val="single" w:sz="4" w:color="CEDADF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757"/>
        <w:gridCol w:w="1814"/>
        <w:gridCol w:w="1814"/>
        <w:gridCol w:w="1247"/>
        <w:gridCol w:w="1417"/>
        <w:gridCol w:w="1871"/>
      </w:tblGrid>
      <w:tr>
        <w:trPr>
          <w:tblHeader w:val="true"/>
          <w:cantSplit/>
        </w:trPr>
        <w:tc>
          <w:tcPr>
            <w:tcW w:type="dxa" w:w="1757"/>
            <w:shd w:fill="203C5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Run / 父 CKPT</w:t>
            </w:r>
          </w:p>
        </w:tc>
        <w:tc>
          <w:tcPr>
            <w:tcW w:type="dxa" w:w="1814"/>
            <w:shd w:fill="203C5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训练数据 / hash</w:t>
            </w:r>
          </w:p>
        </w:tc>
        <w:tc>
          <w:tcPr>
            <w:tcW w:type="dxa" w:w="1814"/>
            <w:shd w:fill="203C5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K / α / 预算</w:t>
            </w:r>
          </w:p>
        </w:tc>
        <w:tc>
          <w:tcPr>
            <w:tcW w:type="dxa" w:w="1247"/>
            <w:shd w:fill="203C5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GPU 小时</w:t>
            </w:r>
          </w:p>
        </w:tc>
        <w:tc>
          <w:tcPr>
            <w:tcW w:type="dxa" w:w="1417"/>
            <w:shd w:fill="203C5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训练 token</w:t>
            </w:r>
          </w:p>
        </w:tc>
        <w:tc>
          <w:tcPr>
            <w:tcW w:type="dxa" w:w="1871"/>
            <w:shd w:fill="203C50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结论 / 下一步</w:t>
            </w:r>
          </w:p>
        </w:tc>
      </w:tr>
      <w:tr>
        <w:trPr>
          <w:trHeight w:val="374" w:hRule="atLeast"/>
          <w:cantSplit/>
        </w:trPr>
        <w:tc>
          <w:tcPr>
            <w:tcW w:type="dxa" w:w="1757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rPr>
          <w:trHeight w:val="374" w:hRule="atLeast"/>
          <w:cantSplit/>
        </w:trPr>
        <w:tc>
          <w:tcPr>
            <w:tcW w:type="dxa" w:w="1757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20" w:before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</w:tbl>
    <w:p>
      <w:pPr>
        <w:spacing w:after="0" w:line="240" w:lineRule="auto" w:before="0"/>
      </w:pPr>
      <w:r>
        <w:rPr>
          <w:sz w:val="2"/>
        </w:rPr>
      </w:r>
    </w:p>
    <w:p>
      <w:pPr>
        <w:pStyle w:val="Heading2"/>
      </w:pPr>
      <w:r>
        <w:t>查证依据与使用边界</w:t>
      </w:r>
    </w:p>
    <w:p>
      <w:pPr>
        <w:pStyle w:val="Ref"/>
      </w:pPr>
      <w:r>
        <w:t>以下资料支持设计/实现背景，不证明本项目掉点的原因。工程字段以本地固定 commit 为准。项目输入为已有实现版与实验记录；初始化、预算按实际登记。</w:t>
      </w:r>
    </w:p>
    <w:p>
      <w:pPr>
        <w:pStyle w:val="Ref"/>
      </w:pPr>
      <w:r>
        <w:t xml:space="preserve">[1] verl · Multi-turn Rollout Support：assistant-only loss mask、tokenization 对齐。  </w:t>
      </w:r>
      <w:hyperlink r:id="rId11">
        <w:r>
          <w:rPr>
            <w:color w:val="176B73"/>
            <w:sz w:val="16"/>
          </w:rPr>
          <w:t>官方实现说明</w:t>
        </w:r>
      </w:hyperlink>
    </w:p>
    <w:p>
      <w:pPr>
        <w:pStyle w:val="Ref"/>
      </w:pPr>
      <w:r>
        <w:t xml:space="preserve">[2] verl · GRPO / core_algos：分组 advantage、标准差归一化。零优势与 cost 风险为公式推导。  </w:t>
      </w:r>
      <w:hyperlink r:id="rId12">
        <w:r>
          <w:rPr>
            <w:color w:val="176B73"/>
            <w:sz w:val="16"/>
          </w:rPr>
          <w:t>源码说明</w:t>
        </w:r>
      </w:hyperlink>
    </w:p>
    <w:p>
      <w:pPr>
        <w:pStyle w:val="Ref"/>
      </w:pPr>
      <w:r>
        <w:t xml:space="preserve">[3] ToolVision（2026）：能力匹配监督、训练前 tool ON/OFF 收益评估。  </w:t>
      </w:r>
      <w:hyperlink r:id="rId13">
        <w:r>
          <w:rPr>
            <w:color w:val="176B73"/>
            <w:sz w:val="16"/>
          </w:rPr>
          <w:t>arXiv:2608.08907</w:t>
        </w:r>
      </w:hyperlink>
    </w:p>
    <w:p>
      <w:pPr>
        <w:pStyle w:val="Ref"/>
      </w:pPr>
      <w:r>
        <w:t xml:space="preserve">[4] iVGR（2026）：grounded/textual 双流、可信参考筛选与 archive。  </w:t>
      </w:r>
      <w:hyperlink r:id="rId14">
        <w:r>
          <w:rPr>
            <w:color w:val="176B73"/>
            <w:sz w:val="16"/>
          </w:rPr>
          <w:t>arXiv:2605.31096</w:t>
        </w:r>
      </w:hyperlink>
    </w:p>
    <w:p>
      <w:pPr>
        <w:pStyle w:val="Ref"/>
      </w:pPr>
      <w:r>
        <w:t xml:space="preserve">[5] Vision-OPD（2026）：crop teacher 对 Native on-policy 前缀做分布蒸馏。  </w:t>
      </w:r>
      <w:hyperlink r:id="rId15">
        <w:r>
          <w:rPr>
            <w:color w:val="176B73"/>
            <w:sz w:val="16"/>
          </w:rPr>
          <w:t>arXiv:2605.18740</w:t>
        </w:r>
      </w:hyperlink>
    </w:p>
    <w:p>
      <w:pPr>
        <w:pStyle w:val="Ref"/>
      </w:pPr>
      <w:r>
        <w:t xml:space="preserve">[6] V* 官方项目：V*Bench 的 191 题规模。  </w:t>
      </w:r>
      <w:hyperlink r:id="rId16">
        <w:r>
          <w:rPr>
            <w:color w:val="176B73"/>
            <w:sz w:val="16"/>
          </w:rPr>
          <w:t>项目与评测说明</w:t>
        </w:r>
      </w:hyperlink>
    </w:p>
    <w:p>
      <w:pPr>
        <w:pStyle w:val="Ref"/>
      </w:pPr>
      <w:r>
        <w:t>资料核查：2026-09-12。所有样本数、混合比例与试跑参数均为建议起点，不是文献保证的最优值。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92" w:bottom="879" w:left="992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3727C"/>
        <w:sz w:val="16"/>
      </w:rPr>
      <w:t xml:space="preserve">修订执行版  ·  2026.09.12    |    </w:t>
    </w:r>
    <w:r>
      <w:rPr>
        <w:sz w:val="16"/>
      </w:rPr>
    </w:r>
    <w:fldSimple w:instr="PAGE"/>
    <w:r>
      <w:rPr>
        <w:sz w:val="16"/>
      </w:rPr>
      <w:t xml:space="preserve"> / </w:t>
    </w:r>
    <w:r>
      <w:rPr>
        <w:sz w:val="16"/>
      </w:rPr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spacing w:after="0"/>
      <w:pBdr>
        <w:bottom w:val="single" w:sz="4" w:space="5" w:color="CEDADF"/>
      </w:pBdr>
    </w:pPr>
    <w:r>
      <w:rPr>
        <w:color w:val="63727C"/>
        <w:sz w:val="16"/>
      </w:rPr>
      <w:t>RESEARCH EXECUTION  /  VISUAL 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00"/>
    </w:pPr>
    <w:rPr>
      <w:rFonts w:ascii="Noto Sans CJK SC" w:hAnsi="Noto Sans CJK SC" w:eastAsia="Noto Sans CJK SC"/>
      <w:color w:val="2434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6B7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3C5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3C5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03C5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63727C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basedOn w:val="Normal"/>
    <w:pPr>
      <w:spacing w:after="80"/>
    </w:pPr>
    <w:rPr>
      <w:sz w:val="18"/>
    </w:rPr>
  </w:style>
  <w:style w:type="paragraph" w:customStyle="1" w:styleId="Ref">
    <w:name w:val="Ref"/>
    <w:basedOn w:val="Normal"/>
    <w:pPr>
      <w:spacing w:after="80" w:line="252" w:lineRule="auto"/>
    </w:pPr>
    <w:rPr>
      <w:sz w:val="16"/>
    </w:rPr>
  </w:style>
  <w:style w:type="paragraph" w:customStyle="1" w:styleId="Code">
    <w:name w:val="Code"/>
    <w:basedOn w:val="Normal"/>
    <w:pPr>
      <w:spacing w:after="80" w:line="259" w:lineRule="auto"/>
    </w:pPr>
    <w:rPr>
      <w:rFonts w:ascii="Noto Sans Mono CJK SC" w:hAnsi="Noto Sans Mono CJK SC" w:eastAsia="Noto Sans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verl.readthedocs.io/en/latest/sglang_multiturn/multiturn.html" TargetMode="External"/><Relationship Id="rId12" Type="http://schemas.openxmlformats.org/officeDocument/2006/relationships/hyperlink" Target="https://verl.readthedocs.io/en/latest/_modules/verl/trainer/ppo/core_algos.html" TargetMode="External"/><Relationship Id="rId13" Type="http://schemas.openxmlformats.org/officeDocument/2006/relationships/hyperlink" Target="https://arxiv.org/abs/2608.08907" TargetMode="External"/><Relationship Id="rId14" Type="http://schemas.openxmlformats.org/officeDocument/2006/relationships/hyperlink" Target="https://arxiv.org/abs/2605.31096" TargetMode="External"/><Relationship Id="rId15" Type="http://schemas.openxmlformats.org/officeDocument/2006/relationships/hyperlink" Target="https://arxiv.org/abs/2605.18740" TargetMode="External"/><Relationship Id="rId16" Type="http://schemas.openxmlformats.org/officeDocument/2006/relationships/hyperlink" Target="https://vstar-seal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 Agent 实验执行计划｜修订执行版</dc:title>
  <dc:subject>先复测诊断，再公平比较初始化与单流/双流训练</dc:subject>
  <dc:creator/>
  <cp:keywords>Qwen3-VL, GroundingDINO, 实验执行, GRPO, Dual Stream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