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6866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单调性的应用</w:t>
      </w:r>
    </w:p>
    <w:p w14:paraId="219059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8F076B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B7725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27" name="基础达标灰.jpg" descr="id:21474990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基础达标灰.jpg" descr="id:214749905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D5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江西宜春模拟</w:t>
      </w:r>
      <w:r>
        <w:rPr>
          <w:rFonts w:ascii="宋体" w:hAnsi="宋体"/>
          <w:sz w:val="21"/>
          <w:szCs w:val="21"/>
        </w:rPr>
        <w:t>）“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4444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72555A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09110F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52042E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365C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34A8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5929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4774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083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1BD529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A44F0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A3E3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7DD2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0B3D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四川泸州模拟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AA4E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6E060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98225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98D7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5A0D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B7C9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BDEE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D5DF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B67AD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4C9D8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0BE8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F38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814E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E91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DE88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11578F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674C68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5D06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A6C2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是区间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FF98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384E6A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07487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C86F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4918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6F22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AAAA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D8190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2836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3DA7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507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存在三个单调区间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EF00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0B42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078E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0E69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EA66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9F492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4DBF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577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E44E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2821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24813E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7CFE6F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上存在单调递减区间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004135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28" name="综合应用灰.jpg" descr="id:21474990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综合应用灰.jpg" descr="id:214749906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3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8CB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13C7E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02B56D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CB5C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8C16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FA7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D5D3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为减函数</w:t>
      </w:r>
    </w:p>
    <w:p w14:paraId="66CB09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6D615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55C6CC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DA23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BBA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5793D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B30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5868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0A78FB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791161D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处的切线的倾斜角为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对于任意的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·（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内不具有单调性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16C8C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4B4EC5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1698795E"/>
    <w:rsid w:val="7E45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1064</Words>
  <Characters>1246</Characters>
  <Lines>22</Lines>
  <Paragraphs>6</Paragraphs>
  <TotalTime>11</TotalTime>
  <ScaleCrop>false</ScaleCrop>
  <LinksUpToDate>false</LinksUpToDate>
  <CharactersWithSpaces>3112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2026-07-14T03:53:25Z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3C5E20743FE24EBE8E9F4D233CD0F887_12</vt:lpwstr>
  </property>
</Properties>
</file>