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65B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第2节　导数与函数的单调性</w:t>
      </w:r>
    </w:p>
    <w:p w14:paraId="6594E6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2250"/>
            <wp:effectExtent l="0" t="0" r="0" b="6350"/>
            <wp:docPr id="414" name="课标要求2彩.jpg" descr="id:21475160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课标要求2彩.jpg" descr="id:2147516084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897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2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00B8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B5727C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结合实例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借助几何直观了解函数的单调性与导数的关系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4F3D7C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能利用导数研究函数的单调性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会求函数的单调区间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其中多项式函数一般不超过三次</w:t>
            </w:r>
            <w:r>
              <w:rPr>
                <w:rFonts w:ascii="宋体" w:hAnsi="宋体"/>
                <w:sz w:val="21"/>
                <w:szCs w:val="21"/>
              </w:rPr>
              <w:t>）.</w:t>
            </w:r>
          </w:p>
        </w:tc>
      </w:tr>
    </w:tbl>
    <w:p w14:paraId="29A1E37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5AC267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77CB96D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15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6C5D641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利用导函数图象研究函数单调性</w:t>
            </w:r>
          </w:p>
        </w:tc>
      </w:tr>
    </w:tbl>
    <w:p w14:paraId="159064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函数的单调性与导数的关系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8"/>
        <w:gridCol w:w="2128"/>
        <w:gridCol w:w="6218"/>
      </w:tblGrid>
      <w:tr w14:paraId="2CF2FAF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6AF5D7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条件</w:t>
            </w:r>
          </w:p>
        </w:tc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25389C9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恒有</w:t>
            </w:r>
          </w:p>
        </w:tc>
        <w:tc>
          <w:tcPr>
            <w:tcW w:w="2968" w:type="pct"/>
            <w:tcMar>
              <w:left w:w="0" w:type="dxa"/>
              <w:right w:w="0" w:type="dxa"/>
            </w:tcMar>
            <w:vAlign w:val="center"/>
          </w:tcPr>
          <w:p w14:paraId="72F588A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</w:tr>
      <w:tr w14:paraId="0F22C42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vMerge w:val="restart"/>
            <w:tcMar>
              <w:left w:w="52" w:type="dxa"/>
              <w:right w:w="52" w:type="dxa"/>
            </w:tcMar>
            <w:vAlign w:val="center"/>
          </w:tcPr>
          <w:p w14:paraId="1847CF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内可导</w:t>
            </w:r>
          </w:p>
        </w:tc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4A7534F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968" w:type="pct"/>
            <w:tcMar>
              <w:left w:w="52" w:type="dxa"/>
              <w:right w:w="52" w:type="dxa"/>
            </w:tcMar>
            <w:vAlign w:val="center"/>
          </w:tcPr>
          <w:p w14:paraId="4E6417F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  <w:tr w14:paraId="6D8C46D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3D70CFB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34E7382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968" w:type="pct"/>
            <w:tcMar>
              <w:left w:w="52" w:type="dxa"/>
              <w:right w:w="52" w:type="dxa"/>
            </w:tcMar>
            <w:vAlign w:val="center"/>
          </w:tcPr>
          <w:p w14:paraId="2CF32A6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  <w:tr w14:paraId="40C6406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" w:type="pct"/>
            <w:vMerge w:val="continue"/>
            <w:tcMar>
              <w:left w:w="52" w:type="dxa"/>
              <w:right w:w="52" w:type="dxa"/>
            </w:tcMar>
            <w:vAlign w:val="center"/>
          </w:tcPr>
          <w:p w14:paraId="1FBB4F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016" w:type="pct"/>
            <w:tcMar>
              <w:left w:w="0" w:type="dxa"/>
              <w:right w:w="0" w:type="dxa"/>
            </w:tcMar>
            <w:vAlign w:val="center"/>
          </w:tcPr>
          <w:p w14:paraId="41DB07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2968" w:type="pct"/>
            <w:tcMar>
              <w:left w:w="52" w:type="dxa"/>
              <w:right w:w="52" w:type="dxa"/>
            </w:tcMar>
            <w:vAlign w:val="center"/>
          </w:tcPr>
          <w:p w14:paraId="0CF985A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内是</w:t>
            </w:r>
            <w:r>
              <w:rPr>
                <w:sz w:val="21"/>
                <w:szCs w:val="21"/>
                <w:u w:val="single" w:color="000000"/>
              </w:rPr>
              <w:t>　　　　　</w:t>
            </w:r>
          </w:p>
        </w:tc>
      </w:tr>
    </w:tbl>
    <w:p w14:paraId="7380B5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16" name="例1彩.jpg" descr="id:21475161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例1彩.jpg" descr="id:214751611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已知二次函数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则其导函数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的图象大致形状是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E97F2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2665" cy="990600"/>
            <wp:effectExtent l="0" t="0" r="0" b="0"/>
            <wp:docPr id="417" name="27byljcsx3-6.jpg" descr="id:21475161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27byljcsx3-6.jpg" descr="id:214751612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273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DEC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59735" cy="899160"/>
            <wp:effectExtent l="0" t="0" r="0" b="0"/>
            <wp:docPr id="418" name="27byljcsx3-7一排.jpg" descr="id:21475161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27byljcsx3-7一排.jpg" descr="id:2147516129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0241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F7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那么下列关于函数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的判断正确的是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45C82E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73785" cy="831850"/>
            <wp:effectExtent l="0" t="0" r="0" b="0"/>
            <wp:docPr id="419" name="27byljcsx3-8.jpg" descr="id:21475161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27byljcsx3-8.jpg" descr="id:2147516136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4283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BA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为定值</w:t>
      </w:r>
    </w:p>
    <w:p w14:paraId="568B99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</w:p>
    <w:p w14:paraId="6FB987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</w:p>
    <w:p w14:paraId="470B1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内单调递减</w:t>
      </w:r>
    </w:p>
    <w:p w14:paraId="3F9426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B688D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B0164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22250"/>
            <wp:effectExtent l="0" t="0" r="0" b="6350"/>
            <wp:docPr id="420" name="规律方法5彩.jpg" descr="id:21475161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规律方法5彩.jpg" descr="id:2147516143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7619"/>
                    <a:stretch>
                      <a:fillRect/>
                    </a:stretch>
                  </pic:blipFill>
                  <pic:spPr>
                    <a:xfrm>
                      <a:off x="0" y="0"/>
                      <a:ext cx="3015721" cy="2222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03FA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C4416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由原函数图象识别导函数图象的依据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单调递增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的图象一定在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轴的上方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单调递减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的图象一定在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eastAsia="楷体"/>
                <w:sz w:val="21"/>
                <w:szCs w:val="21"/>
              </w:rPr>
              <w:t>轴的下方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是常函数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1FD113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由导函数图象识别原函数图象的依据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单调递增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单调递减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B7C052F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1D4FC32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C45A3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的导函数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的图象可能是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9A840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89635" cy="691515"/>
            <wp:effectExtent l="0" t="0" r="0" b="0"/>
            <wp:docPr id="421" name="27byljcsx3-12.jpg" descr="id:21475161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27byljcsx3-12.jpg" descr="id:214751615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739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A70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3215" cy="576580"/>
            <wp:effectExtent l="0" t="0" r="0" b="0"/>
            <wp:docPr id="422" name="27byljcsx3-13.jpg" descr="id:21475161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27byljcsx3-13.jpg" descr="id:214751616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368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42F64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5094D3B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23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1EE61B7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不含参函数的单调性</w:t>
            </w:r>
          </w:p>
        </w:tc>
      </w:tr>
    </w:tbl>
    <w:p w14:paraId="279F55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24" name="例2彩.jpg" descr="id:214751618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例2彩.jpg" descr="id:2147516180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的单调递增区间为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A976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3AF101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7556B7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的单调递减区间为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75469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CEABC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81BC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22250"/>
            <wp:effectExtent l="0" t="0" r="8890" b="6350"/>
            <wp:docPr id="425" name="规律方法95彩.jpg" descr="id:21475161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规律方法95彩.jpg" descr="id:2147516187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93494"/>
                    <a:stretch>
                      <a:fillRect/>
                    </a:stretch>
                  </pic:blipFill>
                  <pic:spPr>
                    <a:xfrm>
                      <a:off x="0" y="0"/>
                      <a:ext cx="3020472" cy="2222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0326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4869F7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利用导数判断函数单调性的步骤</w:t>
            </w:r>
          </w:p>
          <w:p w14:paraId="686772E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确定函数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的定义域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A22F04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求出导数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的零点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0578E7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用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的零点将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的定义域划分为若干个区间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列表给出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在各区间上的正负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由此得出函数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在定义域内的单调性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70F67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求函数单调区间的方法</w:t>
            </w:r>
          </w:p>
          <w:p w14:paraId="5D45E20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解不等式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求单调递增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区间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07DD4E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令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解出方程的实根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再将定义域划分为若干个区间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确定各区间上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的符号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从而确定单调区间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749EF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若所求函数的单调区间不止一个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这些区间之间不能用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∪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及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连接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只能用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rFonts w:hAnsi="楷体" w:eastAsia="楷体"/>
                <w:sz w:val="21"/>
                <w:szCs w:val="21"/>
              </w:rPr>
              <w:t>“</w:t>
            </w:r>
            <w:r>
              <w:rPr>
                <w:rFonts w:eastAsia="楷体"/>
                <w:sz w:val="21"/>
                <w:szCs w:val="21"/>
              </w:rPr>
              <w:t>和</w:t>
            </w:r>
            <w:r>
              <w:rPr>
                <w:rFonts w:hAnsi="楷体" w:eastAsia="楷体"/>
                <w:sz w:val="21"/>
                <w:szCs w:val="21"/>
              </w:rPr>
              <w:t>”</w:t>
            </w:r>
            <w:r>
              <w:rPr>
                <w:rFonts w:eastAsia="楷体"/>
                <w:sz w:val="21"/>
                <w:szCs w:val="21"/>
              </w:rPr>
              <w:t>隔开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5C76C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的单调递增区间是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4F65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33CE1A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2A28C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上的单调性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1D264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1B70B81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26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D5875A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含参函数的单调性</w:t>
            </w:r>
          </w:p>
        </w:tc>
      </w:tr>
    </w:tbl>
    <w:p w14:paraId="1E5FD4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27" name="例3彩.jpg" descr="id:21475162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例3彩.jpg" descr="id:2147516210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19</w:t>
      </w:r>
      <w:r>
        <w:rPr>
          <w:rFonts w:eastAsia="楷体"/>
          <w:sz w:val="21"/>
          <w:szCs w:val="21"/>
        </w:rPr>
        <w:t>题节选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讨论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6A7E86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7354E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53D8F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B1184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8B972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62D82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885" cy="241300"/>
            <wp:effectExtent l="0" t="0" r="0" b="6350"/>
            <wp:docPr id="428" name="规律方法65彩.jpg" descr="id:21475162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规律方法65彩.jpg" descr="id:2147516217;FounderCES"/>
                    <pic:cNvPicPr>
                      <a:picLocks noChangeAspect="1"/>
                    </pic:cNvPicPr>
                  </pic:nvPicPr>
                  <pic:blipFill>
                    <a:blip r:embed="rId20"/>
                    <a:srcRect b="89662"/>
                    <a:stretch>
                      <a:fillRect/>
                    </a:stretch>
                  </pic:blipFill>
                  <pic:spPr>
                    <a:xfrm>
                      <a:off x="0" y="0"/>
                      <a:ext cx="3017050" cy="24131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6074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B44F8C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解决含参函数单调性问题的注意点</w:t>
            </w:r>
          </w:p>
          <w:p w14:paraId="3B77636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研究含参数的函数的单调性时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要依据参数对不等式解集的影响进行分类讨论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86FE0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注意观察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的表达式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或其中的某一部分、某个因式等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的取值是否恒为正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或恒为负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这往往是分类讨论的出发点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89AB6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划分函数的单调区间时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要在函数定义域内讨论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还要确定导数为零的点和函数的间断点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6240F14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rFonts w:eastAsia="楷体"/>
                <w:sz w:val="21"/>
                <w:szCs w:val="21"/>
              </w:rPr>
              <w:t>分类讨论要做到不重不漏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同时还要注意对结果进行综述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7EB89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讨论函数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的单调性</w:t>
      </w:r>
      <w:r>
        <w:rPr>
          <w:rFonts w:ascii="宋体" w:hAnsi="宋体"/>
          <w:sz w:val="21"/>
          <w:szCs w:val="21"/>
        </w:rPr>
        <w:t>.</w:t>
      </w:r>
    </w:p>
    <w:p w14:paraId="05E976B4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2</w:t>
      </w:r>
    </w:p>
    <w:p w14:paraId="62DB01E6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40E50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B2B44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01357BC1"/>
    <w:rsid w:val="3E12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4B3307D3-B2C9-4FF8-8CBB-8B9570B3AA04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951</Words>
  <Characters>993</Characters>
  <Lines>12</Lines>
  <Paragraphs>3</Paragraphs>
  <TotalTime>16</TotalTime>
  <ScaleCrop>false</ScaleCrop>
  <LinksUpToDate>false</LinksUpToDate>
  <CharactersWithSpaces>1229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2026-07-14T03:49:35Z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E1133AB726D74195A615ADEE3995E7AE_12</vt:lpwstr>
  </property>
</Properties>
</file>