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15EA3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b/>
          <w:sz w:val="30"/>
          <w:szCs w:val="30"/>
        </w:rPr>
        <w:t>第4节　列联表与独立性检验</w:t>
      </w: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547DD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716C16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94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561548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分类变量与列联表</w:t>
            </w:r>
          </w:p>
        </w:tc>
      </w:tr>
    </w:tbl>
    <w:p w14:paraId="3DF77A1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分类变量</w:t>
      </w:r>
    </w:p>
    <w:p w14:paraId="0B9A4E2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为了表述方便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我们经常会使用一种特殊的随机变量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以区别不同的现象或性质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这类随机变量称为分类变量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分类变量的取值可以用实数表示</w:t>
      </w:r>
      <w:r>
        <w:rPr>
          <w:rFonts w:ascii="宋体" w:hAnsi="宋体"/>
          <w:sz w:val="21"/>
          <w:szCs w:val="21"/>
        </w:rPr>
        <w:t>.</w:t>
      </w:r>
    </w:p>
    <w:p w14:paraId="03DFF3A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rFonts w:eastAsia="黑体"/>
          <w:sz w:val="21"/>
          <w:szCs w:val="21"/>
        </w:rPr>
        <w:t>列联表</w:t>
      </w:r>
    </w:p>
    <w:p w14:paraId="18D1D49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列出的两个分类变量的频数表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称为列联表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假设有两个分类变量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表示相互对立的两个事件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表示相互对立的两个事件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是事件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}（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的频数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是样本容量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其样本频数列联表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称为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rFonts w:eastAsia="楷体"/>
          <w:sz w:val="21"/>
          <w:szCs w:val="21"/>
        </w:rPr>
        <w:t>列联表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如表所示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7"/>
        <w:gridCol w:w="1699"/>
        <w:gridCol w:w="1701"/>
        <w:gridCol w:w="5327"/>
      </w:tblGrid>
      <w:tr w14:paraId="0AF307B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restart"/>
            <w:tcMar>
              <w:left w:w="0" w:type="dxa"/>
              <w:right w:w="0" w:type="dxa"/>
            </w:tcMar>
            <w:vAlign w:val="center"/>
          </w:tcPr>
          <w:p w14:paraId="4C30CE7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623" w:type="pct"/>
            <w:gridSpan w:val="2"/>
            <w:tcMar>
              <w:left w:w="0" w:type="dxa"/>
              <w:right w:w="0" w:type="dxa"/>
            </w:tcMar>
            <w:vAlign w:val="center"/>
          </w:tcPr>
          <w:p w14:paraId="7ACAE05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2543" w:type="pct"/>
            <w:vMerge w:val="restart"/>
            <w:tcMar>
              <w:left w:w="0" w:type="dxa"/>
              <w:right w:w="0" w:type="dxa"/>
            </w:tcMar>
            <w:vAlign w:val="center"/>
          </w:tcPr>
          <w:p w14:paraId="4F92AB8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</w:tr>
      <w:tr w14:paraId="77C65EC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24C3CEE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811" w:type="pct"/>
            <w:tcMar>
              <w:left w:w="0" w:type="dxa"/>
              <w:right w:w="0" w:type="dxa"/>
            </w:tcMar>
            <w:vAlign w:val="center"/>
          </w:tcPr>
          <w:p w14:paraId="0A27A3C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811" w:type="pct"/>
            <w:tcMar>
              <w:left w:w="0" w:type="dxa"/>
              <w:right w:w="0" w:type="dxa"/>
            </w:tcMar>
            <w:vAlign w:val="center"/>
          </w:tcPr>
          <w:p w14:paraId="011B1B0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2543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6B8D25E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  <w:tr w14:paraId="666B954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tcMar>
              <w:left w:w="0" w:type="dxa"/>
              <w:right w:w="0" w:type="dxa"/>
            </w:tcMar>
            <w:vAlign w:val="center"/>
          </w:tcPr>
          <w:p w14:paraId="44D80FC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811" w:type="pct"/>
            <w:tcMar>
              <w:left w:w="0" w:type="dxa"/>
              <w:right w:w="0" w:type="dxa"/>
            </w:tcMar>
            <w:vAlign w:val="center"/>
          </w:tcPr>
          <w:p w14:paraId="4FF22F0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</w:p>
        </w:tc>
        <w:tc>
          <w:tcPr>
            <w:tcW w:w="811" w:type="pct"/>
            <w:tcMar>
              <w:left w:w="0" w:type="dxa"/>
              <w:right w:w="0" w:type="dxa"/>
            </w:tcMar>
            <w:vAlign w:val="center"/>
          </w:tcPr>
          <w:p w14:paraId="0021487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2543" w:type="pct"/>
            <w:tcMar>
              <w:left w:w="0" w:type="dxa"/>
              <w:right w:w="0" w:type="dxa"/>
            </w:tcMar>
            <w:vAlign w:val="center"/>
          </w:tcPr>
          <w:p w14:paraId="49730C9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</w:p>
        </w:tc>
      </w:tr>
      <w:tr w14:paraId="563FF05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tcMar>
              <w:left w:w="0" w:type="dxa"/>
              <w:right w:w="0" w:type="dxa"/>
            </w:tcMar>
            <w:vAlign w:val="center"/>
          </w:tcPr>
          <w:p w14:paraId="2059FF1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811" w:type="pct"/>
            <w:tcMar>
              <w:left w:w="0" w:type="dxa"/>
              <w:right w:w="0" w:type="dxa"/>
            </w:tcMar>
            <w:vAlign w:val="center"/>
          </w:tcPr>
          <w:p w14:paraId="32941F4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c</w:t>
            </w:r>
          </w:p>
        </w:tc>
        <w:tc>
          <w:tcPr>
            <w:tcW w:w="811" w:type="pct"/>
            <w:tcMar>
              <w:left w:w="0" w:type="dxa"/>
              <w:right w:w="0" w:type="dxa"/>
            </w:tcMar>
            <w:vAlign w:val="center"/>
          </w:tcPr>
          <w:p w14:paraId="2BE94C1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d</w:t>
            </w:r>
          </w:p>
        </w:tc>
        <w:tc>
          <w:tcPr>
            <w:tcW w:w="2543" w:type="pct"/>
            <w:tcMar>
              <w:left w:w="0" w:type="dxa"/>
              <w:right w:w="0" w:type="dxa"/>
            </w:tcMar>
            <w:vAlign w:val="center"/>
          </w:tcPr>
          <w:p w14:paraId="556A7BC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d</w:t>
            </w:r>
          </w:p>
        </w:tc>
      </w:tr>
      <w:tr w14:paraId="10FED58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tcMar>
              <w:left w:w="0" w:type="dxa"/>
              <w:right w:w="0" w:type="dxa"/>
            </w:tcMar>
            <w:vAlign w:val="center"/>
          </w:tcPr>
          <w:p w14:paraId="294016A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  <w:tc>
          <w:tcPr>
            <w:tcW w:w="811" w:type="pct"/>
            <w:tcMar>
              <w:left w:w="0" w:type="dxa"/>
              <w:right w:w="0" w:type="dxa"/>
            </w:tcMar>
            <w:vAlign w:val="center"/>
          </w:tcPr>
          <w:p w14:paraId="6423E07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c</w:t>
            </w:r>
          </w:p>
        </w:tc>
        <w:tc>
          <w:tcPr>
            <w:tcW w:w="811" w:type="pct"/>
            <w:tcMar>
              <w:left w:w="0" w:type="dxa"/>
              <w:right w:w="0" w:type="dxa"/>
            </w:tcMar>
            <w:vAlign w:val="center"/>
          </w:tcPr>
          <w:p w14:paraId="4242AEC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d</w:t>
            </w:r>
          </w:p>
        </w:tc>
        <w:tc>
          <w:tcPr>
            <w:tcW w:w="2543" w:type="pct"/>
            <w:tcMar>
              <w:left w:w="0" w:type="dxa"/>
              <w:right w:w="0" w:type="dxa"/>
            </w:tcMar>
            <w:vAlign w:val="center"/>
          </w:tcPr>
          <w:p w14:paraId="7689DDB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d</w:t>
            </w:r>
          </w:p>
        </w:tc>
      </w:tr>
    </w:tbl>
    <w:p w14:paraId="33D067F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等高堆积条形图</w:t>
      </w:r>
    </w:p>
    <w:p w14:paraId="6DC4A8FF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等高堆积条形图与表格相比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更能直观地反映出两个分类变量间是否相互影响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常用等高堆积条形图展示列联表数据的频率特征</w:t>
      </w:r>
      <w:r>
        <w:rPr>
          <w:rFonts w:ascii="宋体" w:hAnsi="宋体"/>
          <w:sz w:val="21"/>
          <w:szCs w:val="21"/>
        </w:rPr>
        <w:t>；</w:t>
      </w:r>
    </w:p>
    <w:p w14:paraId="70C3518B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89025" cy="1002665"/>
            <wp:effectExtent l="0" t="0" r="0" b="0"/>
            <wp:docPr id="795" name="27byljcsx9-17.jpg" descr="id:21475059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" name="27byljcsx9-17.jpg" descr="id:2147505902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9127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AC1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如果通过直接计算或等高堆积条形图发现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相差很大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就判断两个分类变量之间有关系</w:t>
      </w:r>
      <w:r>
        <w:rPr>
          <w:rFonts w:ascii="宋体" w:hAnsi="宋体"/>
          <w:sz w:val="21"/>
          <w:szCs w:val="21"/>
        </w:rPr>
        <w:t>.</w:t>
      </w:r>
    </w:p>
    <w:p w14:paraId="058DBFF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796" name="三角形彩.jpg" descr="id:21475059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三角形彩.jpg" descr="id:2147505909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6D86E59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假设有两个分类变量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它们的取值分别为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其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列联表如下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3"/>
        <w:gridCol w:w="1873"/>
        <w:gridCol w:w="1923"/>
        <w:gridCol w:w="4755"/>
      </w:tblGrid>
      <w:tr w14:paraId="13F94EE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FC52AE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812" w:type="pct"/>
            <w:gridSpan w:val="2"/>
            <w:tcMar>
              <w:left w:w="0" w:type="dxa"/>
              <w:right w:w="0" w:type="dxa"/>
            </w:tcMar>
            <w:vAlign w:val="center"/>
          </w:tcPr>
          <w:p w14:paraId="35F251A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227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649CB8F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</w:tr>
      <w:tr w14:paraId="1B079F9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4369995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894" w:type="pct"/>
            <w:tcMar>
              <w:left w:w="0" w:type="dxa"/>
              <w:right w:w="0" w:type="dxa"/>
            </w:tcMar>
            <w:vAlign w:val="center"/>
          </w:tcPr>
          <w:p w14:paraId="486FB32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1</w:t>
            </w:r>
          </w:p>
        </w:tc>
        <w:tc>
          <w:tcPr>
            <w:tcW w:w="918" w:type="pct"/>
            <w:tcMar>
              <w:left w:w="0" w:type="dxa"/>
              <w:right w:w="0" w:type="dxa"/>
            </w:tcMar>
            <w:vAlign w:val="center"/>
          </w:tcPr>
          <w:p w14:paraId="09BD1FD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271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2A9A9C4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  <w:tr w14:paraId="4DE6843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" w:type="pct"/>
            <w:tcMar>
              <w:left w:w="0" w:type="dxa"/>
              <w:right w:w="0" w:type="dxa"/>
            </w:tcMar>
            <w:vAlign w:val="center"/>
          </w:tcPr>
          <w:p w14:paraId="0C10DFA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</w:p>
        </w:tc>
        <w:tc>
          <w:tcPr>
            <w:tcW w:w="894" w:type="pct"/>
            <w:tcMar>
              <w:left w:w="0" w:type="dxa"/>
              <w:right w:w="0" w:type="dxa"/>
            </w:tcMar>
            <w:vAlign w:val="center"/>
          </w:tcPr>
          <w:p w14:paraId="701EF44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</w:p>
        </w:tc>
        <w:tc>
          <w:tcPr>
            <w:tcW w:w="918" w:type="pct"/>
            <w:tcMar>
              <w:left w:w="0" w:type="dxa"/>
              <w:right w:w="0" w:type="dxa"/>
            </w:tcMar>
            <w:vAlign w:val="center"/>
          </w:tcPr>
          <w:p w14:paraId="50ABE46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2271" w:type="pct"/>
            <w:tcMar>
              <w:left w:w="0" w:type="dxa"/>
              <w:right w:w="0" w:type="dxa"/>
            </w:tcMar>
            <w:vAlign w:val="center"/>
          </w:tcPr>
          <w:p w14:paraId="11F2F63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</w:p>
        </w:tc>
      </w:tr>
      <w:tr w14:paraId="76CC241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" w:type="pct"/>
            <w:tcMar>
              <w:left w:w="0" w:type="dxa"/>
              <w:right w:w="0" w:type="dxa"/>
            </w:tcMar>
            <w:vAlign w:val="center"/>
          </w:tcPr>
          <w:p w14:paraId="5D8B2E2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894" w:type="pct"/>
            <w:tcMar>
              <w:left w:w="0" w:type="dxa"/>
              <w:right w:w="0" w:type="dxa"/>
            </w:tcMar>
            <w:vAlign w:val="center"/>
          </w:tcPr>
          <w:p w14:paraId="5807EDB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c</w:t>
            </w:r>
          </w:p>
        </w:tc>
        <w:tc>
          <w:tcPr>
            <w:tcW w:w="918" w:type="pct"/>
            <w:tcMar>
              <w:left w:w="0" w:type="dxa"/>
              <w:right w:w="0" w:type="dxa"/>
            </w:tcMar>
            <w:vAlign w:val="center"/>
          </w:tcPr>
          <w:p w14:paraId="1FDF631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d</w:t>
            </w:r>
          </w:p>
        </w:tc>
        <w:tc>
          <w:tcPr>
            <w:tcW w:w="2271" w:type="pct"/>
            <w:tcMar>
              <w:left w:w="0" w:type="dxa"/>
              <w:right w:w="0" w:type="dxa"/>
            </w:tcMar>
            <w:vAlign w:val="center"/>
          </w:tcPr>
          <w:p w14:paraId="23DD225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d</w:t>
            </w:r>
          </w:p>
        </w:tc>
      </w:tr>
      <w:tr w14:paraId="0003508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" w:type="pct"/>
            <w:tcMar>
              <w:left w:w="0" w:type="dxa"/>
              <w:right w:w="0" w:type="dxa"/>
            </w:tcMar>
            <w:vAlign w:val="center"/>
          </w:tcPr>
          <w:p w14:paraId="4243DF6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  <w:tc>
          <w:tcPr>
            <w:tcW w:w="894" w:type="pct"/>
            <w:tcMar>
              <w:left w:w="0" w:type="dxa"/>
              <w:right w:w="0" w:type="dxa"/>
            </w:tcMar>
            <w:vAlign w:val="center"/>
          </w:tcPr>
          <w:p w14:paraId="18B3310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c</w:t>
            </w:r>
          </w:p>
        </w:tc>
        <w:tc>
          <w:tcPr>
            <w:tcW w:w="918" w:type="pct"/>
            <w:tcMar>
              <w:left w:w="0" w:type="dxa"/>
              <w:right w:w="0" w:type="dxa"/>
            </w:tcMar>
            <w:vAlign w:val="center"/>
          </w:tcPr>
          <w:p w14:paraId="7042E9C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d</w:t>
            </w:r>
          </w:p>
        </w:tc>
        <w:tc>
          <w:tcPr>
            <w:tcW w:w="2271" w:type="pct"/>
            <w:tcMar>
              <w:left w:w="0" w:type="dxa"/>
              <w:right w:w="0" w:type="dxa"/>
            </w:tcMar>
            <w:vAlign w:val="center"/>
          </w:tcPr>
          <w:p w14:paraId="246C1DC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d</w:t>
            </w:r>
          </w:p>
        </w:tc>
      </w:tr>
    </w:tbl>
    <w:p w14:paraId="0E7FB03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1403AE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C533B4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1A10EA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对同一样本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以下数据能说明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有关联关系可能性最大的一组为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84F3E9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5D9D55B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241A035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</w:p>
    <w:p w14:paraId="602BD11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</w:p>
    <w:p w14:paraId="7FE8C597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根据如图所示的等高堆积条形图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下列叙述正确的是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895D2D1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347470" cy="1022350"/>
            <wp:effectExtent l="0" t="0" r="0" b="0"/>
            <wp:docPr id="797" name="27byljcsx9-18.jpg" descr="id:21475059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27byljcsx9-18.jpg" descr="id:214750592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7711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916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吸烟患肺病的频率约为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7DCB839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吸烟不患肺病的频率约为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18C889E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不吸烟患肺病的频率小于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05</w:t>
      </w:r>
    </w:p>
    <w:p w14:paraId="0AA4067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吸烟与患肺病无关系</w:t>
      </w:r>
    </w:p>
    <w:p w14:paraId="1C7C1D2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山东济宁期中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博鳌亚洲论坛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年年会于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月</w:t>
      </w:r>
      <w:r>
        <w:rPr>
          <w:sz w:val="21"/>
          <w:szCs w:val="21"/>
        </w:rPr>
        <w:t>25</w:t>
      </w:r>
      <w:r>
        <w:rPr>
          <w:rFonts w:hint="eastAsia"/>
          <w:sz w:val="21"/>
          <w:szCs w:val="21"/>
        </w:rPr>
        <w:t>日至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日在海南博鳌举行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为了搞好对外宣传工作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会务组选聘了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名记者担任对外翻译工作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性别与会俄语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列联表中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2618"/>
        <w:gridCol w:w="2619"/>
        <w:gridCol w:w="2619"/>
      </w:tblGrid>
      <w:tr w14:paraId="307B72B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022F2EE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79DA251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会俄语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051A065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不会俄语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689EE0D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</w:tr>
      <w:tr w14:paraId="409401B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032B6BB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男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1FC0959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61F1308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39F3879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</w:tr>
      <w:tr w14:paraId="4F16CB3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0CD54BB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女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21F948C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3788BC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d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A71306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1BD2D5C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2F6ABC1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5671482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18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2C3BD3F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0D6DCA4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</w:tr>
    </w:tbl>
    <w:p w14:paraId="3F430971"/>
    <w:p w14:paraId="252D13E4"/>
    <w:p w14:paraId="1DD3117D"/>
    <w:p w14:paraId="531B3AB4"/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4"/>
        <w:gridCol w:w="5854"/>
      </w:tblGrid>
      <w:tr w14:paraId="5C859D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3" w:type="pct"/>
            <w:tcMar>
              <w:left w:w="0" w:type="dxa"/>
              <w:right w:w="0" w:type="dxa"/>
            </w:tcMar>
            <w:vAlign w:val="center"/>
          </w:tcPr>
          <w:p w14:paraId="4AC1823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99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7" w:type="pct"/>
            <w:tcMar>
              <w:left w:w="105" w:type="dxa"/>
              <w:right w:w="105" w:type="dxa"/>
            </w:tcMar>
            <w:vAlign w:val="center"/>
          </w:tcPr>
          <w:p w14:paraId="69BD5C7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独立性检验</w:t>
            </w:r>
          </w:p>
        </w:tc>
      </w:tr>
    </w:tbl>
    <w:p w14:paraId="454D089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概念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利用随机变量</w:t>
      </w:r>
      <w:r>
        <w:rPr>
          <w:sz w:val="21"/>
          <w:szCs w:val="21"/>
        </w:rPr>
        <w:t>χ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的取值推断分类变量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是否独立的方法称为</w:t>
      </w:r>
      <w:r>
        <w:rPr>
          <w:sz w:val="21"/>
          <w:szCs w:val="21"/>
        </w:rPr>
        <w:t>χ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独立性检验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读作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卡方独立性检验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简称独立性检验</w:t>
      </w:r>
      <w:r>
        <w:rPr>
          <w:rFonts w:ascii="宋体" w:hAnsi="宋体"/>
          <w:sz w:val="21"/>
          <w:szCs w:val="21"/>
        </w:rPr>
        <w:t>.</w:t>
      </w:r>
    </w:p>
    <w:p w14:paraId="57738A5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χ</w:t>
      </w:r>
      <w:r>
        <w:rPr>
          <w:sz w:val="21"/>
          <w:szCs w:val="21"/>
          <w:vertAlign w:val="superscript"/>
        </w:rPr>
        <w:t>2</w:t>
      </w:r>
      <w:r>
        <w:rPr>
          <w:rFonts w:eastAsia="黑体"/>
          <w:sz w:val="21"/>
          <w:szCs w:val="21"/>
        </w:rPr>
        <w:t>的计算公式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χ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color w:val="FEFEFE"/>
          <w:sz w:val="21"/>
          <w:szCs w:val="21"/>
          <w:u w:val="single" w:color="000000"/>
        </w:rPr>
        <w:t>　　　　　　　</w:t>
      </w:r>
      <w:r>
        <w:rPr>
          <w:rFonts w:ascii="宋体" w:hAnsi="宋体"/>
          <w:sz w:val="21"/>
          <w:szCs w:val="21"/>
        </w:rPr>
        <w:t>.</w:t>
      </w:r>
    </w:p>
    <w:p w14:paraId="7D617E4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基于小概率值</w:t>
      </w:r>
      <w:r>
        <w:rPr>
          <w:sz w:val="21"/>
          <w:szCs w:val="21"/>
        </w:rPr>
        <w:t>α</w:t>
      </w:r>
      <w:r>
        <w:rPr>
          <w:rFonts w:eastAsia="黑体"/>
          <w:sz w:val="21"/>
          <w:szCs w:val="21"/>
        </w:rPr>
        <w:t>的检验规则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χ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≥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α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我们就推断</w:t>
      </w:r>
      <w:r>
        <w:rPr>
          <w:i/>
          <w:sz w:val="21"/>
          <w:szCs w:val="21"/>
        </w:rPr>
        <w:t>H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不成立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即认为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不独立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该推断犯错误的概率不超过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χ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α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我们没有充分证据推断</w:t>
      </w:r>
      <w:r>
        <w:rPr>
          <w:i/>
          <w:sz w:val="21"/>
          <w:szCs w:val="21"/>
        </w:rPr>
        <w:t>H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不成立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可以认为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独立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其中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α</w:t>
      </w:r>
      <w:r>
        <w:rPr>
          <w:rFonts w:eastAsia="楷体"/>
          <w:sz w:val="21"/>
          <w:szCs w:val="21"/>
        </w:rPr>
        <w:t>为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的临界值</w:t>
      </w:r>
      <w:r>
        <w:rPr>
          <w:rFonts w:ascii="宋体" w:hAnsi="宋体"/>
          <w:sz w:val="21"/>
          <w:szCs w:val="21"/>
        </w:rPr>
        <w:t>）.</w:t>
      </w:r>
    </w:p>
    <w:p w14:paraId="6FEEFE6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独立性检验中几个常用的小概率值和相应的临界值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745"/>
        <w:gridCol w:w="1746"/>
        <w:gridCol w:w="1746"/>
        <w:gridCol w:w="1746"/>
        <w:gridCol w:w="1746"/>
      </w:tblGrid>
      <w:tr w14:paraId="6729141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3BBAB35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α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6B6BCF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32B3F8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29FF49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01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8290A3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005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37E690C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001</w:t>
            </w:r>
          </w:p>
        </w:tc>
      </w:tr>
      <w:tr w14:paraId="27FA1F4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DF3EC5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α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F31A01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706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E1D465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841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4E30BD4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635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33E13A0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879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2DA7CD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828</w:t>
            </w:r>
          </w:p>
        </w:tc>
      </w:tr>
    </w:tbl>
    <w:p w14:paraId="6959FF96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1A1F33B6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C4E893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分类变量关联性的判断</w:t>
      </w:r>
    </w:p>
    <w:p w14:paraId="1F3F4F3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00" name="例1彩.jpg" descr="id:21475059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例1彩.jpg" descr="id:2147505970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根据分类变量</w:t>
      </w:r>
      <w:r>
        <w:rPr>
          <w:sz w:val="21"/>
          <w:szCs w:val="21"/>
        </w:rPr>
        <w:t>Ⅰ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Ⅱ</w:t>
      </w:r>
      <w:r>
        <w:rPr>
          <w:rFonts w:hint="eastAsia"/>
          <w:sz w:val="21"/>
          <w:szCs w:val="21"/>
        </w:rPr>
        <w:t>的统计数据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计算得到</w:t>
      </w:r>
      <w:r>
        <w:rPr>
          <w:sz w:val="21"/>
          <w:szCs w:val="21"/>
        </w:rPr>
        <w:t>χ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954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745"/>
        <w:gridCol w:w="1746"/>
        <w:gridCol w:w="1746"/>
        <w:gridCol w:w="1746"/>
        <w:gridCol w:w="1746"/>
      </w:tblGrid>
      <w:tr w14:paraId="05CBC14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C0C67B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α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0227A9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3AE3F2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31E373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01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37CBBA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005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33766AE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001</w:t>
            </w:r>
          </w:p>
        </w:tc>
      </w:tr>
      <w:tr w14:paraId="36467B1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2048347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α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E60464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706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143946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841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2E3FE9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635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6C5D517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879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0C212B4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828</w:t>
            </w:r>
          </w:p>
        </w:tc>
      </w:tr>
    </w:tbl>
    <w:p w14:paraId="0E1F570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变量</w:t>
      </w:r>
      <w:r>
        <w:rPr>
          <w:sz w:val="21"/>
          <w:szCs w:val="21"/>
        </w:rPr>
        <w:t>Ⅰ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Ⅱ</w:t>
      </w:r>
      <w:r>
        <w:rPr>
          <w:rFonts w:hint="eastAsia"/>
          <w:sz w:val="21"/>
          <w:szCs w:val="21"/>
        </w:rPr>
        <w:t>不独立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变量</w:t>
      </w:r>
      <w:r>
        <w:rPr>
          <w:sz w:val="21"/>
          <w:szCs w:val="21"/>
        </w:rPr>
        <w:t>Ⅰ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Ⅱ</w:t>
      </w:r>
      <w:r>
        <w:rPr>
          <w:rFonts w:hint="eastAsia"/>
          <w:sz w:val="21"/>
          <w:szCs w:val="21"/>
        </w:rPr>
        <w:t>不独立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这个结论犯错误的概率不超过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5F7C588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变量</w:t>
      </w:r>
      <w:r>
        <w:rPr>
          <w:sz w:val="21"/>
          <w:szCs w:val="21"/>
        </w:rPr>
        <w:t>Ⅰ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Ⅱ</w:t>
      </w:r>
      <w:r>
        <w:rPr>
          <w:rFonts w:hint="eastAsia"/>
          <w:sz w:val="21"/>
          <w:szCs w:val="21"/>
        </w:rPr>
        <w:t>独立</w:t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变量</w:t>
      </w:r>
      <w:r>
        <w:rPr>
          <w:sz w:val="21"/>
          <w:szCs w:val="21"/>
        </w:rPr>
        <w:t>Ⅰ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Ⅱ</w:t>
      </w:r>
      <w:r>
        <w:rPr>
          <w:rFonts w:hint="eastAsia"/>
          <w:sz w:val="21"/>
          <w:szCs w:val="21"/>
        </w:rPr>
        <w:t>独立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这个结论犯错误的概率不超过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3AA3385A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3130D1F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独立性检验的应用</w:t>
      </w:r>
    </w:p>
    <w:p w14:paraId="4CDD8B8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02" name="例2彩.jpg" descr="id:21475060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例2彩.jpg" descr="id:2147506000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15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为研究某疾病与超声波检查结果的关系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从做过超声波检查的人群中随机调查了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得到如下列联表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4"/>
        <w:gridCol w:w="2057"/>
        <w:gridCol w:w="3088"/>
        <w:gridCol w:w="1655"/>
      </w:tblGrid>
      <w:tr w14:paraId="57E7F9A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4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E9499F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组别</w:t>
            </w:r>
          </w:p>
        </w:tc>
        <w:tc>
          <w:tcPr>
            <w:tcW w:w="2456" w:type="pct"/>
            <w:gridSpan w:val="2"/>
            <w:tcMar>
              <w:left w:w="0" w:type="dxa"/>
              <w:right w:w="0" w:type="dxa"/>
            </w:tcMar>
            <w:vAlign w:val="center"/>
          </w:tcPr>
          <w:p w14:paraId="72E8156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超声波检查结果</w:t>
            </w:r>
          </w:p>
        </w:tc>
        <w:tc>
          <w:tcPr>
            <w:tcW w:w="790" w:type="pct"/>
            <w:vMerge w:val="restart"/>
            <w:tcMar>
              <w:left w:w="0" w:type="dxa"/>
              <w:right w:w="0" w:type="dxa"/>
            </w:tcMar>
            <w:vAlign w:val="center"/>
          </w:tcPr>
          <w:p w14:paraId="487D675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</w:tr>
      <w:tr w14:paraId="59F2C80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4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62D34E6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982" w:type="pct"/>
            <w:tcMar>
              <w:left w:w="0" w:type="dxa"/>
              <w:right w:w="0" w:type="dxa"/>
            </w:tcMar>
            <w:vAlign w:val="center"/>
          </w:tcPr>
          <w:p w14:paraId="758527F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正常</w:t>
            </w:r>
          </w:p>
        </w:tc>
        <w:tc>
          <w:tcPr>
            <w:tcW w:w="1473" w:type="pct"/>
            <w:tcMar>
              <w:left w:w="0" w:type="dxa"/>
              <w:right w:w="0" w:type="dxa"/>
            </w:tcMar>
            <w:vAlign w:val="center"/>
          </w:tcPr>
          <w:p w14:paraId="0880DEC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不正常</w:t>
            </w:r>
          </w:p>
        </w:tc>
        <w:tc>
          <w:tcPr>
            <w:tcW w:w="790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00CEBAB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  <w:tr w14:paraId="230F8D7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4" w:type="pct"/>
            <w:tcMar>
              <w:left w:w="0" w:type="dxa"/>
              <w:right w:w="0" w:type="dxa"/>
            </w:tcMar>
            <w:vAlign w:val="center"/>
          </w:tcPr>
          <w:p w14:paraId="3FEE5F2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患该疾病</w:t>
            </w:r>
          </w:p>
        </w:tc>
        <w:tc>
          <w:tcPr>
            <w:tcW w:w="982" w:type="pct"/>
            <w:tcMar>
              <w:left w:w="0" w:type="dxa"/>
              <w:right w:w="0" w:type="dxa"/>
            </w:tcMar>
            <w:vAlign w:val="center"/>
          </w:tcPr>
          <w:p w14:paraId="7DDC89D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1473" w:type="pct"/>
            <w:tcMar>
              <w:left w:w="0" w:type="dxa"/>
              <w:right w:w="0" w:type="dxa"/>
            </w:tcMar>
            <w:vAlign w:val="center"/>
          </w:tcPr>
          <w:p w14:paraId="60D5BC9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180</w:t>
            </w:r>
          </w:p>
        </w:tc>
        <w:tc>
          <w:tcPr>
            <w:tcW w:w="790" w:type="pct"/>
            <w:tcMar>
              <w:left w:w="0" w:type="dxa"/>
              <w:right w:w="0" w:type="dxa"/>
            </w:tcMar>
            <w:vAlign w:val="center"/>
          </w:tcPr>
          <w:p w14:paraId="6E7F73F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200</w:t>
            </w:r>
          </w:p>
        </w:tc>
      </w:tr>
      <w:tr w14:paraId="0682046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4" w:type="pct"/>
            <w:tcMar>
              <w:left w:w="0" w:type="dxa"/>
              <w:right w:w="0" w:type="dxa"/>
            </w:tcMar>
            <w:vAlign w:val="center"/>
          </w:tcPr>
          <w:p w14:paraId="0E4F9BC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未患该疾病</w:t>
            </w:r>
          </w:p>
        </w:tc>
        <w:tc>
          <w:tcPr>
            <w:tcW w:w="982" w:type="pct"/>
            <w:tcMar>
              <w:left w:w="0" w:type="dxa"/>
              <w:right w:w="0" w:type="dxa"/>
            </w:tcMar>
            <w:vAlign w:val="center"/>
          </w:tcPr>
          <w:p w14:paraId="57F6473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780</w:t>
            </w:r>
          </w:p>
        </w:tc>
        <w:tc>
          <w:tcPr>
            <w:tcW w:w="1473" w:type="pct"/>
            <w:tcMar>
              <w:left w:w="0" w:type="dxa"/>
              <w:right w:w="0" w:type="dxa"/>
            </w:tcMar>
            <w:vAlign w:val="center"/>
          </w:tcPr>
          <w:p w14:paraId="7B6ACFF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790" w:type="pct"/>
            <w:tcMar>
              <w:left w:w="0" w:type="dxa"/>
              <w:right w:w="0" w:type="dxa"/>
            </w:tcMar>
            <w:vAlign w:val="center"/>
          </w:tcPr>
          <w:p w14:paraId="740EA62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800</w:t>
            </w:r>
          </w:p>
        </w:tc>
      </w:tr>
      <w:tr w14:paraId="0002962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4" w:type="pct"/>
            <w:tcMar>
              <w:left w:w="0" w:type="dxa"/>
              <w:right w:w="0" w:type="dxa"/>
            </w:tcMar>
            <w:vAlign w:val="center"/>
          </w:tcPr>
          <w:p w14:paraId="420E047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  <w:tc>
          <w:tcPr>
            <w:tcW w:w="982" w:type="pct"/>
            <w:tcMar>
              <w:left w:w="0" w:type="dxa"/>
              <w:right w:w="0" w:type="dxa"/>
            </w:tcMar>
            <w:vAlign w:val="center"/>
          </w:tcPr>
          <w:p w14:paraId="6A6B6B5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800</w:t>
            </w:r>
          </w:p>
        </w:tc>
        <w:tc>
          <w:tcPr>
            <w:tcW w:w="1473" w:type="pct"/>
            <w:tcMar>
              <w:left w:w="0" w:type="dxa"/>
              <w:right w:w="0" w:type="dxa"/>
            </w:tcMar>
            <w:vAlign w:val="center"/>
          </w:tcPr>
          <w:p w14:paraId="2C1AA8C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200</w:t>
            </w:r>
          </w:p>
        </w:tc>
        <w:tc>
          <w:tcPr>
            <w:tcW w:w="790" w:type="pct"/>
            <w:tcMar>
              <w:left w:w="0" w:type="dxa"/>
              <w:right w:w="0" w:type="dxa"/>
            </w:tcMar>
            <w:vAlign w:val="center"/>
          </w:tcPr>
          <w:p w14:paraId="521978E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000</w:t>
            </w:r>
          </w:p>
        </w:tc>
      </w:tr>
    </w:tbl>
    <w:p w14:paraId="6781502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记超声波检查结果不正常者患该疾病的概率为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的估计值</w:t>
      </w:r>
      <w:r>
        <w:rPr>
          <w:rFonts w:ascii="宋体" w:hAnsi="宋体"/>
          <w:sz w:val="21"/>
          <w:szCs w:val="21"/>
        </w:rPr>
        <w:t>；</w:t>
      </w:r>
    </w:p>
    <w:p w14:paraId="3ACFB83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根据小概率值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001</w:t>
      </w:r>
      <w:r>
        <w:rPr>
          <w:rFonts w:hint="eastAsia"/>
          <w:sz w:val="21"/>
          <w:szCs w:val="21"/>
        </w:rPr>
        <w:t>的独立性检验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分析超声波检查结果是否与患该疾病有关</w:t>
      </w:r>
      <w:r>
        <w:rPr>
          <w:rFonts w:ascii="宋体" w:hAnsi="宋体"/>
          <w:sz w:val="21"/>
          <w:szCs w:val="21"/>
        </w:rPr>
        <w:t>.</w:t>
      </w:r>
    </w:p>
    <w:p w14:paraId="06F8522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4AEC64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1836EE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F0CA2D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505401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4ECEBC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E8DE29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A86C70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EC5225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95701F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17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某工厂进行生产线智能化升级改造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升级改造后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从该工厂甲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乙两个车间的产品中随机抽取</w:t>
      </w:r>
      <w:r>
        <w:rPr>
          <w:sz w:val="21"/>
          <w:szCs w:val="21"/>
        </w:rPr>
        <w:t>150</w:t>
      </w:r>
      <w:r>
        <w:rPr>
          <w:rFonts w:hint="eastAsia"/>
          <w:sz w:val="21"/>
          <w:szCs w:val="21"/>
        </w:rPr>
        <w:t>件进行检验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数据如下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5"/>
        <w:gridCol w:w="2095"/>
        <w:gridCol w:w="2095"/>
        <w:gridCol w:w="2792"/>
        <w:gridCol w:w="1397"/>
      </w:tblGrid>
      <w:tr w14:paraId="0500F1C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446CF8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C492ED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优级品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D10899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合格品</w:t>
            </w:r>
          </w:p>
        </w:tc>
        <w:tc>
          <w:tcPr>
            <w:tcW w:w="1333" w:type="pct"/>
            <w:tcMar>
              <w:left w:w="0" w:type="dxa"/>
              <w:right w:w="0" w:type="dxa"/>
            </w:tcMar>
            <w:vAlign w:val="center"/>
          </w:tcPr>
          <w:p w14:paraId="41B0031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不合格品</w:t>
            </w:r>
          </w:p>
        </w:tc>
        <w:tc>
          <w:tcPr>
            <w:tcW w:w="667" w:type="pct"/>
            <w:tcMar>
              <w:left w:w="0" w:type="dxa"/>
              <w:right w:w="0" w:type="dxa"/>
            </w:tcMar>
            <w:vAlign w:val="center"/>
          </w:tcPr>
          <w:p w14:paraId="0A48B98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总计</w:t>
            </w:r>
          </w:p>
        </w:tc>
      </w:tr>
      <w:tr w14:paraId="06241A4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3254AE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甲车间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F4F3BE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D3D16E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24</w:t>
            </w:r>
          </w:p>
        </w:tc>
        <w:tc>
          <w:tcPr>
            <w:tcW w:w="1333" w:type="pct"/>
            <w:tcMar>
              <w:left w:w="0" w:type="dxa"/>
              <w:right w:w="0" w:type="dxa"/>
            </w:tcMar>
            <w:vAlign w:val="center"/>
          </w:tcPr>
          <w:p w14:paraId="31A2A67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667" w:type="pct"/>
            <w:tcMar>
              <w:left w:w="0" w:type="dxa"/>
              <w:right w:w="0" w:type="dxa"/>
            </w:tcMar>
            <w:vAlign w:val="center"/>
          </w:tcPr>
          <w:p w14:paraId="54FA7E9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</w:tr>
      <w:tr w14:paraId="5CF6D06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C18634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乙车间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75C28D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70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6A4C12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28</w:t>
            </w:r>
          </w:p>
        </w:tc>
        <w:tc>
          <w:tcPr>
            <w:tcW w:w="1333" w:type="pct"/>
            <w:tcMar>
              <w:left w:w="0" w:type="dxa"/>
              <w:right w:w="0" w:type="dxa"/>
            </w:tcMar>
            <w:vAlign w:val="center"/>
          </w:tcPr>
          <w:p w14:paraId="5E23EE6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667" w:type="pct"/>
            <w:tcMar>
              <w:left w:w="0" w:type="dxa"/>
              <w:right w:w="0" w:type="dxa"/>
            </w:tcMar>
            <w:vAlign w:val="center"/>
          </w:tcPr>
          <w:p w14:paraId="23B30F4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</w:t>
            </w:r>
          </w:p>
        </w:tc>
      </w:tr>
      <w:tr w14:paraId="4ED8AAC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33A373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总计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C21C7C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96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A8C219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52</w:t>
            </w:r>
          </w:p>
        </w:tc>
        <w:tc>
          <w:tcPr>
            <w:tcW w:w="1333" w:type="pct"/>
            <w:tcMar>
              <w:left w:w="0" w:type="dxa"/>
              <w:right w:w="0" w:type="dxa"/>
            </w:tcMar>
            <w:vAlign w:val="center"/>
          </w:tcPr>
          <w:p w14:paraId="769806D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667" w:type="pct"/>
            <w:tcMar>
              <w:left w:w="0" w:type="dxa"/>
              <w:right w:w="0" w:type="dxa"/>
            </w:tcMar>
            <w:vAlign w:val="center"/>
          </w:tcPr>
          <w:p w14:paraId="53A5613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150</w:t>
            </w:r>
          </w:p>
        </w:tc>
      </w:tr>
    </w:tbl>
    <w:p w14:paraId="5F1A7E3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填写如下列联表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2"/>
        <w:gridCol w:w="3492"/>
        <w:gridCol w:w="3490"/>
      </w:tblGrid>
      <w:tr w14:paraId="601F9DF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15F7BCB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5861536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优级品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1B2DA10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非优级品</w:t>
            </w:r>
          </w:p>
        </w:tc>
      </w:tr>
      <w:tr w14:paraId="5974471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13D796E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甲车间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70EB8B8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48643BA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0155B59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4F4C5BB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乙车间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5A72716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14:paraId="5843505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</w:tbl>
    <w:p w14:paraId="0329462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能否有</w:t>
      </w:r>
      <w:r>
        <w:rPr>
          <w:sz w:val="21"/>
          <w:szCs w:val="21"/>
        </w:rPr>
        <w:t>95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的把握认为甲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乙两车间产品的优级品率存在差异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能否有</w:t>
      </w:r>
      <w:r>
        <w:rPr>
          <w:sz w:val="21"/>
          <w:szCs w:val="21"/>
        </w:rPr>
        <w:t>99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的把握认为甲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乙两车间产品的优级品率存在差异</w:t>
      </w:r>
      <w:r>
        <w:rPr>
          <w:rFonts w:ascii="宋体" w:hAnsi="宋体"/>
          <w:sz w:val="21"/>
          <w:szCs w:val="21"/>
        </w:rPr>
        <w:t>？</w:t>
      </w:r>
      <w:bookmarkStart w:id="0" w:name="_GoBack"/>
      <w:bookmarkEnd w:id="0"/>
    </w:p>
    <w:p w14:paraId="6F640706">
      <w:pPr>
        <w:tabs>
          <w:tab w:val="left" w:pos="2552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已知升级改造前该工厂产品的优级品率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hint="eastAsia"/>
          <w:sz w:val="21"/>
          <w:szCs w:val="21"/>
        </w:rPr>
        <w:t>为升级改造后抽取的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件产品的优级品率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如果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65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则认为该工厂产品的优级品率提高了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根据抽取的</w:t>
      </w:r>
      <w:r>
        <w:rPr>
          <w:sz w:val="21"/>
          <w:szCs w:val="21"/>
        </w:rPr>
        <w:t>150</w:t>
      </w:r>
      <w:r>
        <w:rPr>
          <w:rFonts w:hint="eastAsia"/>
          <w:sz w:val="21"/>
          <w:szCs w:val="21"/>
        </w:rPr>
        <w:t>件产品的数据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能否认为生产线智能化升级改造后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该工厂产品的优级品率提高了</w:t>
      </w:r>
      <w:r>
        <w:rPr>
          <w:rFonts w:ascii="宋体" w:hAnsi="宋体"/>
          <w:sz w:val="21"/>
          <w:szCs w:val="21"/>
        </w:rPr>
        <w:t>？（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150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247</w:t>
      </w:r>
      <w:r>
        <w:rPr>
          <w:rFonts w:ascii="宋体" w:hAnsi="宋体"/>
          <w:sz w:val="21"/>
          <w:szCs w:val="21"/>
        </w:rPr>
        <w:t>）</w:t>
      </w:r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ED83C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A4E1C"/>
    <w:rsid w:val="003233D4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4145F"/>
    <w:rsid w:val="00A72AA7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43B6E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EF006C"/>
    <w:rsid w:val="00F043AD"/>
    <w:rsid w:val="00F1399F"/>
    <w:rsid w:val="00F2499B"/>
    <w:rsid w:val="00F81A0E"/>
    <w:rsid w:val="00FA57C3"/>
    <w:rsid w:val="00FC4922"/>
    <w:rsid w:val="26B81FDA"/>
    <w:rsid w:val="4FD25A13"/>
    <w:rsid w:val="5459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4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1334</Words>
  <Characters>1503</Characters>
  <Lines>18</Lines>
  <Paragraphs>5</Paragraphs>
  <TotalTime>65</TotalTime>
  <ScaleCrop>false</ScaleCrop>
  <LinksUpToDate>false</LinksUpToDate>
  <CharactersWithSpaces>1530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2026-06-06T05:46:01Z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E40619E2CF2F407FABECA22420D90A42_12</vt:lpwstr>
  </property>
</Properties>
</file>