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5E02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第2节　函数的单调性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546A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25681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60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B4A193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函数单调性的判断</w:t>
            </w:r>
          </w:p>
        </w:tc>
      </w:tr>
    </w:tbl>
    <w:p w14:paraId="4707A2B9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1346"/>
        <w:gridCol w:w="2858"/>
        <w:gridCol w:w="5821"/>
      </w:tblGrid>
      <w:tr w14:paraId="0A55E5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13866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</w:t>
            </w:r>
          </w:p>
          <w:p w14:paraId="0370D4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义</w:t>
            </w:r>
          </w:p>
        </w:tc>
        <w:tc>
          <w:tcPr>
            <w:tcW w:w="639" w:type="pct"/>
            <w:tcMar>
              <w:left w:w="0" w:type="dxa"/>
              <w:right w:w="0" w:type="dxa"/>
            </w:tcMar>
            <w:vAlign w:val="center"/>
          </w:tcPr>
          <w:p w14:paraId="0753A21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4121" w:type="pct"/>
            <w:gridSpan w:val="2"/>
            <w:tcMar>
              <w:left w:w="70" w:type="dxa"/>
              <w:right w:w="70" w:type="dxa"/>
            </w:tcMar>
            <w:vAlign w:val="center"/>
          </w:tcPr>
          <w:p w14:paraId="115BFD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设函数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时</w:t>
            </w:r>
          </w:p>
        </w:tc>
      </w:tr>
      <w:tr w14:paraId="1678DEE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75B10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39" w:type="pct"/>
            <w:tcMar>
              <w:left w:w="0" w:type="dxa"/>
              <w:right w:w="0" w:type="dxa"/>
            </w:tcMar>
            <w:vAlign w:val="center"/>
          </w:tcPr>
          <w:p w14:paraId="275C993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</w:t>
            </w:r>
          </w:p>
          <w:p w14:paraId="1E17EE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357" w:type="pct"/>
            <w:tcMar>
              <w:left w:w="70" w:type="dxa"/>
              <w:right w:w="70" w:type="dxa"/>
            </w:tcMar>
            <w:vAlign w:val="center"/>
          </w:tcPr>
          <w:p w14:paraId="28DCB0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  <w:tc>
          <w:tcPr>
            <w:tcW w:w="2764" w:type="pct"/>
            <w:tcMar>
              <w:left w:w="70" w:type="dxa"/>
              <w:right w:w="70" w:type="dxa"/>
            </w:tcMar>
            <w:vAlign w:val="center"/>
          </w:tcPr>
          <w:p w14:paraId="652995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  <w:tr w14:paraId="5915626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83C90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39" w:type="pct"/>
            <w:tcMar>
              <w:left w:w="0" w:type="dxa"/>
              <w:right w:w="0" w:type="dxa"/>
            </w:tcMar>
            <w:vAlign w:val="center"/>
          </w:tcPr>
          <w:p w14:paraId="69CE0B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1357" w:type="pct"/>
            <w:tcMar>
              <w:left w:w="70" w:type="dxa"/>
              <w:right w:w="70" w:type="dxa"/>
            </w:tcMar>
            <w:vAlign w:val="center"/>
          </w:tcPr>
          <w:p w14:paraId="7B2FD7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  <w:tc>
          <w:tcPr>
            <w:tcW w:w="2764" w:type="pct"/>
            <w:tcMar>
              <w:left w:w="70" w:type="dxa"/>
              <w:right w:w="70" w:type="dxa"/>
            </w:tcMar>
            <w:vAlign w:val="center"/>
          </w:tcPr>
          <w:p w14:paraId="434A1A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</w:tbl>
    <w:p w14:paraId="4469E28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color w:val="FF0000"/>
          <w:sz w:val="21"/>
          <w:szCs w:val="21"/>
        </w:rPr>
      </w:pPr>
      <w:r>
        <w:rPr>
          <w:rFonts w:ascii="Segoe UI Symbol" w:hAnsi="Segoe UI Symbol" w:cs="Segoe UI Symbol"/>
          <w:color w:val="FF0000"/>
          <w:sz w:val="21"/>
          <w:szCs w:val="21"/>
        </w:rPr>
        <w:t>♝</w:t>
      </w:r>
    </w:p>
    <w:p w14:paraId="58EE26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eastAsia="楷体"/>
          <w:sz w:val="21"/>
          <w:szCs w:val="21"/>
        </w:rPr>
        <w:t>上具有单调性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则在区间</w:t>
      </w:r>
      <w:r>
        <w:rPr>
          <w:i/>
          <w:sz w:val="21"/>
          <w:szCs w:val="21"/>
        </w:rPr>
        <w:t>I</w:t>
      </w:r>
      <w:r>
        <w:rPr>
          <w:rFonts w:eastAsia="楷体"/>
          <w:sz w:val="21"/>
          <w:szCs w:val="21"/>
        </w:rPr>
        <w:t>上具有以下性质</w:t>
      </w:r>
      <w:r>
        <w:rPr>
          <w:rFonts w:ascii="宋体" w:hAnsi="宋体"/>
          <w:sz w:val="21"/>
          <w:szCs w:val="21"/>
        </w:rPr>
        <w:t>：</w:t>
      </w:r>
    </w:p>
    <w:p w14:paraId="1A08C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在公共定义域内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＋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＝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＋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＝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－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＝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－</w:t>
      </w:r>
      <w:r>
        <w:rPr>
          <w:rFonts w:eastAsia="楷体"/>
          <w:sz w:val="21"/>
          <w:szCs w:val="21"/>
        </w:rPr>
        <w:t>增函数</w:t>
      </w:r>
      <w:r>
        <w:rPr>
          <w:rFonts w:ascii="宋体" w:hAnsi="宋体"/>
          <w:sz w:val="21"/>
          <w:szCs w:val="21"/>
        </w:rPr>
        <w:t>＝</w:t>
      </w:r>
      <w:r>
        <w:rPr>
          <w:rFonts w:eastAsia="楷体"/>
          <w:sz w:val="21"/>
          <w:szCs w:val="21"/>
        </w:rPr>
        <w:t>减函数</w:t>
      </w:r>
      <w:r>
        <w:rPr>
          <w:rFonts w:ascii="宋体" w:hAnsi="宋体"/>
          <w:sz w:val="21"/>
          <w:szCs w:val="21"/>
        </w:rPr>
        <w:t>；</w:t>
      </w:r>
    </w:p>
    <w:p w14:paraId="3B438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kf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单调性相同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kf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单调性相反</w:t>
      </w:r>
      <w:r>
        <w:rPr>
          <w:rFonts w:ascii="宋体" w:hAnsi="宋体"/>
          <w:sz w:val="21"/>
          <w:szCs w:val="21"/>
        </w:rPr>
        <w:t>；</w:t>
      </w:r>
    </w:p>
    <w:p w14:paraId="32F96A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在公共定义域内与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的单调性相反</w:t>
      </w:r>
      <w:r>
        <w:rPr>
          <w:rFonts w:ascii="宋体" w:hAnsi="宋体"/>
          <w:sz w:val="21"/>
          <w:szCs w:val="21"/>
        </w:rPr>
        <w:t>.</w:t>
      </w:r>
    </w:p>
    <w:p w14:paraId="696EFE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3" name="例1彩.jpg" descr="id:21475137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例1彩.jpg" descr="id:214751376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下列函数中满足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F2C6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38A60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4173DD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.</w:t>
      </w:r>
    </w:p>
    <w:p w14:paraId="735851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B160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F366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7C3361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103934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5ABF3B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8BCB93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已知定义域为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.</w:t>
      </w:r>
    </w:p>
    <w:p w14:paraId="38A497B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081C8A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6D0FD90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A57E7C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E17A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8DC0A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6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7A003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求函数的单调区间</w:t>
            </w:r>
          </w:p>
        </w:tc>
      </w:tr>
    </w:tbl>
    <w:p w14:paraId="199BDE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单调区间的定义</w:t>
      </w:r>
    </w:p>
    <w:p w14:paraId="4405D6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  <w:u w:val="single" w:color="000000"/>
        </w:rPr>
        <w:t>　　　　　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那么就说函数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在这一区间具有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严格的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叫做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.</w:t>
      </w:r>
    </w:p>
    <w:p w14:paraId="57C3E6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单调区间只能用区间表示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不能用不等式表示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当函数有多个单调区间时应分开写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不能用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∪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连接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也不能用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或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连接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只能用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或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连接</w:t>
      </w:r>
      <w:r>
        <w:rPr>
          <w:rFonts w:ascii="宋体" w:hAnsi="宋体"/>
          <w:sz w:val="21"/>
          <w:szCs w:val="21"/>
        </w:rPr>
        <w:t>.</w:t>
      </w:r>
    </w:p>
    <w:p w14:paraId="3B599F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7" name="例2彩.jpg" descr="id:21475137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例2彩.jpg" descr="id:214751379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F7E47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2265" cy="1072515"/>
            <wp:effectExtent l="0" t="0" r="0" b="0"/>
            <wp:docPr id="168" name="27byljcsx2-14.jpg" descr="id:21475138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27byljcsx2-14.jpg" descr="id:214751380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2564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D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6EDED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0DCF46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3AE53A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上没有单调性</w:t>
      </w:r>
    </w:p>
    <w:p w14:paraId="0B183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C29A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7A925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0FD3D6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3F97DC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7839B0CE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bookmarkStart w:id="0" w:name="_GoBack"/>
      <w:bookmarkEnd w:id="0"/>
    </w:p>
    <w:p w14:paraId="51FAD0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B401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若定义在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有无穷多对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49B719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上也单调递增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0F9F5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则函数的单调递增区间是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3E1DCA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上单调递增且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∈</m:t>
            </m:r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</w:p>
    <w:p w14:paraId="09FF4B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下列四个选项中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能使函数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单调递减的区间是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CBF0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41151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BD98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6FA50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70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4E654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含参函数的单调性</w:t>
            </w:r>
          </w:p>
        </w:tc>
      </w:tr>
    </w:tbl>
    <w:p w14:paraId="44858A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1" name="例3彩.jpg" descr="id:21475138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例3彩.jpg" descr="id:214751383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上不单调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118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B55B2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13A66F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709B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</w:p>
    <w:p w14:paraId="4A2B47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685371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A0C4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611A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8499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41300"/>
            <wp:effectExtent l="0" t="0" r="0" b="6350"/>
            <wp:docPr id="172" name="规律方法45彩.jpg" descr="id:21475138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规律方法45彩.jpg" descr="id:2147513841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505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41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7CC0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09E9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利用单调性求参数范围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或值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的策略</w:t>
            </w:r>
          </w:p>
          <w:p w14:paraId="160E9F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61310" cy="1171575"/>
                  <wp:effectExtent l="0" t="0" r="0" b="0"/>
                  <wp:docPr id="173" name="27byljcsx2-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27byljcsx2-18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71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614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试讨论函数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p w14:paraId="59AE602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373AA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C4894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36925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4A4712E1"/>
    <w:rsid w:val="54B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1678</Words>
  <Characters>1805</Characters>
  <Lines>15</Lines>
  <Paragraphs>4</Paragraphs>
  <TotalTime>17</TotalTime>
  <ScaleCrop>false</ScaleCrop>
  <LinksUpToDate>false</LinksUpToDate>
  <CharactersWithSpaces>2124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2026-06-09T06:52:42Z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5A6AA1600C3140B29D4BDECD262D697B_12</vt:lpwstr>
  </property>
</Properties>
</file>