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2FCF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第2节　导数与函数的单调性</w:t>
      </w:r>
    </w:p>
    <w:p w14:paraId="3C1820A7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69A194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结合实例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借助几何直观了解函数的单调性与导数的关系</w:t>
      </w:r>
      <w:r>
        <w:rPr>
          <w:rFonts w:ascii="宋体" w:hAnsi="宋体"/>
          <w:sz w:val="21"/>
          <w:szCs w:val="21"/>
        </w:rPr>
        <w:t>.</w:t>
      </w:r>
    </w:p>
    <w:p w14:paraId="66E6B6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能利用导数研究函数的单调性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会求函数的单调区间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其中多项式函数一般不超过三次</w:t>
      </w:r>
      <w:r>
        <w:rPr>
          <w:rFonts w:ascii="宋体" w:hAnsi="宋体"/>
          <w:sz w:val="21"/>
          <w:szCs w:val="21"/>
        </w:rPr>
        <w:t>）.</w:t>
      </w:r>
    </w:p>
    <w:p w14:paraId="04731B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利用导函数图象研究函数单调性</w:t>
      </w:r>
    </w:p>
    <w:p w14:paraId="0BB43F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480" name="考点一彩.jpg" descr="id:21475211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考点一彩.jpg" descr="id:2147521137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E3E2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函数的单调性与导数的关系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2554"/>
        <w:gridCol w:w="5084"/>
      </w:tblGrid>
      <w:tr w14:paraId="23438F5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4" w:type="pct"/>
            <w:tcMar>
              <w:left w:w="0" w:type="dxa"/>
              <w:right w:w="0" w:type="dxa"/>
            </w:tcMar>
            <w:vAlign w:val="center"/>
          </w:tcPr>
          <w:p w14:paraId="5FB8241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条件</w:t>
            </w:r>
          </w:p>
        </w:tc>
        <w:tc>
          <w:tcPr>
            <w:tcW w:w="1219" w:type="pct"/>
            <w:tcMar>
              <w:left w:w="0" w:type="dxa"/>
              <w:right w:w="0" w:type="dxa"/>
            </w:tcMar>
            <w:vAlign w:val="center"/>
          </w:tcPr>
          <w:p w14:paraId="5C059E0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恒有</w:t>
            </w:r>
          </w:p>
        </w:tc>
        <w:tc>
          <w:tcPr>
            <w:tcW w:w="2427" w:type="pct"/>
            <w:tcMar>
              <w:left w:w="0" w:type="dxa"/>
              <w:right w:w="0" w:type="dxa"/>
            </w:tcMar>
            <w:vAlign w:val="center"/>
          </w:tcPr>
          <w:p w14:paraId="32C16A4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结论</w:t>
            </w:r>
          </w:p>
        </w:tc>
      </w:tr>
      <w:tr w14:paraId="5CE8927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4" w:type="pct"/>
            <w:vMerge w:val="restart"/>
            <w:tcMar>
              <w:left w:w="15" w:type="dxa"/>
              <w:right w:w="15" w:type="dxa"/>
            </w:tcMar>
            <w:vAlign w:val="center"/>
          </w:tcPr>
          <w:p w14:paraId="5FC971E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在区间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内可导</w:t>
            </w:r>
          </w:p>
        </w:tc>
        <w:tc>
          <w:tcPr>
            <w:tcW w:w="1219" w:type="pct"/>
            <w:tcMar>
              <w:left w:w="0" w:type="dxa"/>
              <w:right w:w="0" w:type="dxa"/>
            </w:tcMar>
            <w:vAlign w:val="center"/>
          </w:tcPr>
          <w:p w14:paraId="3AB9F1F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）＞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2427" w:type="pct"/>
            <w:tcMar>
              <w:left w:w="15" w:type="dxa"/>
              <w:right w:w="15" w:type="dxa"/>
            </w:tcMar>
            <w:vAlign w:val="center"/>
          </w:tcPr>
          <w:p w14:paraId="245D105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在区间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内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单调递增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446AF8A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4" w:type="pct"/>
            <w:vMerge w:val="continue"/>
            <w:tcMar>
              <w:left w:w="15" w:type="dxa"/>
              <w:right w:w="15" w:type="dxa"/>
            </w:tcMar>
            <w:vAlign w:val="center"/>
          </w:tcPr>
          <w:p w14:paraId="1B0B6D8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219" w:type="pct"/>
            <w:tcMar>
              <w:left w:w="0" w:type="dxa"/>
              <w:right w:w="0" w:type="dxa"/>
            </w:tcMar>
            <w:vAlign w:val="center"/>
          </w:tcPr>
          <w:p w14:paraId="7B580A1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）＜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2427" w:type="pct"/>
            <w:tcMar>
              <w:left w:w="15" w:type="dxa"/>
              <w:right w:w="15" w:type="dxa"/>
            </w:tcMar>
            <w:vAlign w:val="center"/>
          </w:tcPr>
          <w:p w14:paraId="63283EE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在区间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内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单调递减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423888F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4" w:type="pct"/>
            <w:vMerge w:val="continue"/>
            <w:tcMar>
              <w:left w:w="15" w:type="dxa"/>
              <w:right w:w="15" w:type="dxa"/>
            </w:tcMar>
            <w:vAlign w:val="center"/>
          </w:tcPr>
          <w:p w14:paraId="4E83B4C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219" w:type="pct"/>
            <w:tcMar>
              <w:left w:w="0" w:type="dxa"/>
              <w:right w:w="0" w:type="dxa"/>
            </w:tcMar>
            <w:vAlign w:val="center"/>
          </w:tcPr>
          <w:p w14:paraId="156448A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2427" w:type="pct"/>
            <w:tcMar>
              <w:left w:w="15" w:type="dxa"/>
              <w:right w:w="15" w:type="dxa"/>
            </w:tcMar>
            <w:vAlign w:val="center"/>
          </w:tcPr>
          <w:p w14:paraId="43D9637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在区间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内是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常数函数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</w:tbl>
    <w:p w14:paraId="2FFAEA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81" name="例1彩.jpg" descr="id:21475211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例1彩.jpg" descr="id:2147521152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已知二次函数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则其导函数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的图象大致形状是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EAB8B0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2665" cy="990600"/>
            <wp:effectExtent l="0" t="0" r="0" b="0"/>
            <wp:docPr id="482" name="27byljcsx3-6.jpg" descr="id:21475211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27byljcsx3-6.jpg" descr="id:2147521159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273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864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794510" cy="1807210"/>
            <wp:effectExtent l="0" t="0" r="0" b="0"/>
            <wp:docPr id="483" name="27byljcsx3-7.jpg" descr="id:21475211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27byljcsx3-7.jpg" descr="id:2147521166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505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7A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从题图上可以看出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二次函数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A829C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那么下列关于函数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的判断正确的是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B91C1F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3785" cy="831850"/>
            <wp:effectExtent l="0" t="0" r="0" b="0"/>
            <wp:docPr id="484" name="27byljcsx3-8.jpg" descr="id:21475211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27byljcsx3-8.jpg" descr="id:2147521173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4283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4D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为定值</w:t>
      </w:r>
    </w:p>
    <w:p w14:paraId="306E3B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内单调递增</w:t>
      </w:r>
    </w:p>
    <w:p w14:paraId="47515D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内单调递增</w:t>
      </w:r>
    </w:p>
    <w:p w14:paraId="2F8013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内单调递减</w:t>
      </w:r>
    </w:p>
    <w:p w14:paraId="2D1FCDC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由题图知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且为定值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单调递增且为斜率大于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的直线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其大致图象如图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C614A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48080" cy="1014730"/>
            <wp:effectExtent l="0" t="0" r="0" b="0"/>
            <wp:docPr id="485" name="27byljcsx3-9.jpg" descr="id:21475211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27byljcsx3-9.jpg" descr="id:2147521180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8407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F277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1629C9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由原函数图象识别导函数图象的依据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单调递增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的图象一定在</w:t>
      </w:r>
      <w:r>
        <w:rPr>
          <w:i/>
          <w:sz w:val="21"/>
          <w:szCs w:val="21"/>
        </w:rPr>
        <w:t>x</w:t>
      </w:r>
      <w:r>
        <w:rPr>
          <w:rFonts w:eastAsia="楷体"/>
          <w:sz w:val="21"/>
          <w:szCs w:val="21"/>
        </w:rPr>
        <w:t>轴的上方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单调递减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的图象一定在</w:t>
      </w:r>
      <w:r>
        <w:rPr>
          <w:i/>
          <w:sz w:val="21"/>
          <w:szCs w:val="21"/>
        </w:rPr>
        <w:t>x</w:t>
      </w:r>
      <w:r>
        <w:rPr>
          <w:rFonts w:eastAsia="楷体"/>
          <w:sz w:val="21"/>
          <w:szCs w:val="21"/>
        </w:rPr>
        <w:t>轴的下方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是常函数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079C52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由导函数图象识别原函数图象的依据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单调递增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单调递减</w:t>
      </w:r>
      <w:r>
        <w:rPr>
          <w:rFonts w:ascii="宋体" w:hAnsi="宋体"/>
          <w:sz w:val="21"/>
          <w:szCs w:val="21"/>
        </w:rPr>
        <w:t>.</w:t>
      </w:r>
    </w:p>
    <w:p w14:paraId="33F96E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已知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的图象可能是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2742B6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89635" cy="691515"/>
            <wp:effectExtent l="0" t="0" r="0" b="0"/>
            <wp:docPr id="486" name="27byljcsx3-12.jpg" descr="id:21475211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27byljcsx3-12.jpg" descr="id:2147521195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9739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B90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35605" cy="591185"/>
            <wp:effectExtent l="0" t="0" r="0" b="0"/>
            <wp:docPr id="487" name="27byljcsx3-13.jpg" descr="id:21475212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27byljcsx3-13.jpg" descr="id:2147521202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6218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EC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DAF30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不含参函数的单调性</w:t>
      </w:r>
    </w:p>
    <w:p w14:paraId="6056C8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488" name="考点二彩.jpg" descr="id:21475212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考点二彩.jpg" descr="id:2147521209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9B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89" name="例2彩.jpg" descr="id:21475212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例2彩.jpg" descr="id:2147521216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的单调递增区间为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3468C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7AE54F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</w:p>
    <w:p w14:paraId="4F4081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可得其定义域为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7D9FF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的单调递减区间为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，＋∞）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61D1F3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φ</w:t>
      </w:r>
      <w:r>
        <w:rPr>
          <w:i/>
          <w:color w:val="FF0000"/>
          <w:sz w:val="21"/>
          <w:szCs w:val="21"/>
        </w:rPr>
        <w:t>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的单调递减区间为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44649246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7C0F9A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利用导数判断函数单调性的步骤</w:t>
      </w:r>
    </w:p>
    <w:p w14:paraId="7EB3A2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确定函数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的定义域</w:t>
      </w:r>
      <w:r>
        <w:rPr>
          <w:rFonts w:ascii="宋体" w:hAnsi="宋体"/>
          <w:sz w:val="21"/>
          <w:szCs w:val="21"/>
        </w:rPr>
        <w:t>；</w:t>
      </w:r>
    </w:p>
    <w:p w14:paraId="06AD7B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求出导数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的零点</w:t>
      </w:r>
      <w:r>
        <w:rPr>
          <w:rFonts w:ascii="宋体" w:hAnsi="宋体"/>
          <w:sz w:val="21"/>
          <w:szCs w:val="21"/>
        </w:rPr>
        <w:t>；</w:t>
      </w:r>
    </w:p>
    <w:p w14:paraId="0BBA73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用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的零点将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的定义域划分为若干个区间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列表给出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在各区间上的正负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由此得出函数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在定义域内的单调性</w:t>
      </w:r>
      <w:r>
        <w:rPr>
          <w:rFonts w:ascii="宋体" w:hAnsi="宋体"/>
          <w:sz w:val="21"/>
          <w:szCs w:val="21"/>
        </w:rPr>
        <w:t>.</w:t>
      </w:r>
    </w:p>
    <w:p w14:paraId="4850C8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求函数单调区间的方法</w:t>
      </w:r>
    </w:p>
    <w:p w14:paraId="05128F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解不等式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求单调递增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减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区间</w:t>
      </w:r>
      <w:r>
        <w:rPr>
          <w:rFonts w:ascii="宋体" w:hAnsi="宋体"/>
          <w:sz w:val="21"/>
          <w:szCs w:val="21"/>
        </w:rPr>
        <w:t>；</w:t>
      </w:r>
    </w:p>
    <w:p w14:paraId="26F103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令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解出方程的实根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再将定义域划分为若干个区间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确定各区间上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的符号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从而确定单调区间</w:t>
      </w:r>
      <w:r>
        <w:rPr>
          <w:rFonts w:ascii="宋体" w:hAnsi="宋体"/>
          <w:sz w:val="21"/>
          <w:szCs w:val="21"/>
        </w:rPr>
        <w:t>.</w:t>
      </w:r>
    </w:p>
    <w:p w14:paraId="651939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D60093"/>
          <w:sz w:val="21"/>
          <w:szCs w:val="21"/>
        </w:rPr>
        <w:t>提醒</w:t>
      </w:r>
      <w:r>
        <w:rPr>
          <w:color w:val="D60093"/>
          <w:sz w:val="21"/>
          <w:szCs w:val="21"/>
        </w:rPr>
        <w:t>　</w:t>
      </w:r>
      <w:r>
        <w:rPr>
          <w:rFonts w:eastAsia="楷体"/>
          <w:sz w:val="21"/>
          <w:szCs w:val="21"/>
        </w:rPr>
        <w:t>若所求函数的单调区间不止一个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这些区间之间不能用</w:t>
      </w:r>
      <w:r>
        <w:rPr>
          <w:rFonts w:hAnsi="楷体" w:eastAsia="楷体"/>
          <w:sz w:val="21"/>
          <w:szCs w:val="21"/>
        </w:rPr>
        <w:t>“</w:t>
      </w:r>
      <w:r>
        <w:rPr>
          <w:rFonts w:ascii="宋体" w:hAnsi="宋体"/>
          <w:sz w:val="21"/>
          <w:szCs w:val="21"/>
        </w:rPr>
        <w:t>∪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及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或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连接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只能用</w:t>
      </w:r>
      <w:r>
        <w:rPr>
          <w:rFonts w:hAnsi="楷体" w:eastAsia="楷体"/>
          <w:sz w:val="21"/>
          <w:szCs w:val="21"/>
        </w:rPr>
        <w:t>“</w:t>
      </w:r>
      <w:r>
        <w:rPr>
          <w:rFonts w:ascii="宋体" w:hAnsi="宋体"/>
          <w:sz w:val="21"/>
          <w:szCs w:val="21"/>
        </w:rPr>
        <w:t>，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或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和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隔开</w:t>
      </w:r>
      <w:r>
        <w:rPr>
          <w:rFonts w:ascii="宋体" w:hAnsi="宋体"/>
          <w:sz w:val="21"/>
          <w:szCs w:val="21"/>
        </w:rPr>
        <w:t>.</w:t>
      </w:r>
    </w:p>
    <w:p w14:paraId="2AD6FF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的单调递增区间是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0AF74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</w:p>
    <w:p w14:paraId="661AA2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624D7F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[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)][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)]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的单调递增区间为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CEA86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试判断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上的单调性</w:t>
      </w:r>
      <w:r>
        <w:rPr>
          <w:rFonts w:ascii="宋体" w:hAnsi="宋体"/>
          <w:sz w:val="21"/>
          <w:szCs w:val="21"/>
        </w:rPr>
        <w:t>.</w:t>
      </w:r>
    </w:p>
    <w:p w14:paraId="787B76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542E9D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2444B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4CD5C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6DA87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E30BE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含参函数的单调性</w:t>
      </w:r>
    </w:p>
    <w:p w14:paraId="69E39A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490" name="提能点彩.jpg" descr="id:21475212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提能点彩.jpg" descr="id:2147521231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03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91" name="例3彩.jpg" descr="id:21475212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例3彩.jpg" descr="id:2147521238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19</w:t>
      </w:r>
      <w:r>
        <w:rPr>
          <w:rFonts w:eastAsia="楷体"/>
          <w:sz w:val="21"/>
          <w:szCs w:val="21"/>
        </w:rPr>
        <w:t>题节选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讨论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.</w:t>
      </w:r>
    </w:p>
    <w:p w14:paraId="4C0E73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（－∞，＋∞），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7C70B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（－∞，＋∞）</w:t>
      </w:r>
      <w:r>
        <w:rPr>
          <w:rFonts w:eastAsia="仿宋"/>
          <w:color w:val="FF0000"/>
          <w:sz w:val="21"/>
          <w:szCs w:val="21"/>
        </w:rPr>
        <w:t>上是减函数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A5EF5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6EE63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－∞，</w:t>
      </w:r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2E9A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－∞，</w:t>
      </w:r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D699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（－∞，＋∞）</w:t>
      </w:r>
      <w:r>
        <w:rPr>
          <w:rFonts w:eastAsia="仿宋"/>
          <w:color w:val="FF0000"/>
          <w:sz w:val="21"/>
          <w:szCs w:val="21"/>
        </w:rPr>
        <w:t>上是减函数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－∞，</w:t>
      </w:r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52202AD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5C693AE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解决含参函数单调性问题的注意点</w:t>
      </w:r>
    </w:p>
    <w:p w14:paraId="4A77B9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研究含参数的函数的单调性时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要依据参数对不等式解集的影响进行分类讨论</w:t>
      </w:r>
      <w:r>
        <w:rPr>
          <w:rFonts w:ascii="宋体" w:hAnsi="宋体"/>
          <w:sz w:val="21"/>
          <w:szCs w:val="21"/>
        </w:rPr>
        <w:t>；</w:t>
      </w:r>
    </w:p>
    <w:p w14:paraId="41C0FF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注意观察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的表达式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或其中的某一部分、某个因式等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的取值是否恒为正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或恒为负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这往往是分类讨论的出发点</w:t>
      </w:r>
      <w:r>
        <w:rPr>
          <w:rFonts w:ascii="宋体" w:hAnsi="宋体"/>
          <w:sz w:val="21"/>
          <w:szCs w:val="21"/>
        </w:rPr>
        <w:t>；</w:t>
      </w:r>
    </w:p>
    <w:p w14:paraId="0283EC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划分函数的单调区间时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要在函数定义域内讨论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还要确定导数为零的点和函数的间断点</w:t>
      </w:r>
      <w:r>
        <w:rPr>
          <w:rFonts w:ascii="宋体" w:hAnsi="宋体"/>
          <w:sz w:val="21"/>
          <w:szCs w:val="21"/>
        </w:rPr>
        <w:t>.</w:t>
      </w:r>
    </w:p>
    <w:p w14:paraId="03587A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D60093"/>
          <w:sz w:val="21"/>
          <w:szCs w:val="21"/>
        </w:rPr>
        <w:t>提醒</w:t>
      </w:r>
      <w:r>
        <w:rPr>
          <w:color w:val="D60093"/>
          <w:sz w:val="21"/>
          <w:szCs w:val="21"/>
        </w:rPr>
        <w:t>　</w:t>
      </w:r>
      <w:r>
        <w:rPr>
          <w:rFonts w:eastAsia="楷体"/>
          <w:sz w:val="21"/>
          <w:szCs w:val="21"/>
        </w:rPr>
        <w:t>分类讨论要做到不重不漏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同时还要注意对结果进行综述</w:t>
      </w:r>
      <w:r>
        <w:rPr>
          <w:rFonts w:ascii="宋体" w:hAnsi="宋体"/>
          <w:sz w:val="21"/>
          <w:szCs w:val="21"/>
        </w:rPr>
        <w:t>.</w:t>
      </w:r>
    </w:p>
    <w:p w14:paraId="13E66F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讨论函数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.</w:t>
      </w:r>
    </w:p>
    <w:p w14:paraId="737D35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07D5F7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78A702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FBCF5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E0CA9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31AD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456BE5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73C7D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492" name="课时跟踪训练灰.jpg" descr="id:21475212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课时跟踪训练灰.jpg" descr="id:2147521253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BAB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87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0A38DC3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493" name="基础达标灰.jpg" descr="id:21475212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基础达标灰.jpg" descr="id:2147521260;FounderCES"/>
                    <pic:cNvPicPr>
                      <a:picLocks noChangeAspect="1"/>
                    </pic:cNvPicPr>
                  </pic:nvPicPr>
                  <pic:blipFill>
                    <a:blip r:embed="rId2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E7A0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则下列判断中正确的是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769C8F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83945" cy="606425"/>
            <wp:effectExtent l="0" t="0" r="0" b="0"/>
            <wp:docPr id="494" name="27bylsxty3-4a.jpg" descr="id:21475212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27bylsxty3-4a.jpg" descr="id:2147521267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83984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A2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内单调递增</w:t>
      </w:r>
    </w:p>
    <w:p w14:paraId="4AA51E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内单调递减</w:t>
      </w:r>
    </w:p>
    <w:p w14:paraId="001C98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内单调递减</w:t>
      </w:r>
    </w:p>
    <w:p w14:paraId="215C85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上单调递增</w:t>
      </w:r>
    </w:p>
    <w:p w14:paraId="7E6D7B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其他选项错误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D3E39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的单调递减区间是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F2CE6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105447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</w:p>
    <w:p w14:paraId="11AF2C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由已知得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的单调递减区间是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单调递增区间是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335FF3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F8017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3AE21F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7FBAAF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679C1A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1D57AF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的充分不必要条件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7445C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的单调递增区间是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812C7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2A1D2F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函数的定义域是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3EB8F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的单调递增区间为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311F4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748628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－∞，－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259F8E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.∵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F7600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安徽马鞍山模拟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的导函数为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的图象可能是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C9505B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94410" cy="908050"/>
            <wp:effectExtent l="0" t="0" r="0" b="0"/>
            <wp:docPr id="495" name="24esxp-94.jpg" descr="id:21475212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24esxp-94.jpg" descr="id:2147521274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94458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AE0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42260" cy="782955"/>
            <wp:effectExtent l="0" t="0" r="0" b="0"/>
            <wp:docPr id="496" name="24esxp-95.jpg" descr="id:21475212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24esxp-95.jpg" descr="id:2147521281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2565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90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由图可知函数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对于函数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显然选项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符合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DE75A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若一个函数在区间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上的导数值恒大于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则该函数在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上纯粹递增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若一个函数在区间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上的导数值恒小于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则该函数在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上纯粹递减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8EB8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上纯粹递增</w:t>
      </w:r>
    </w:p>
    <w:p w14:paraId="0F98C3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上纯粹递增</w:t>
      </w:r>
    </w:p>
    <w:p w14:paraId="14749D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上纯粹递减</w:t>
      </w:r>
    </w:p>
    <w:p w14:paraId="66D254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上纯粹递减</w:t>
      </w:r>
    </w:p>
    <w:p w14:paraId="215A18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BC　A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上不恒成立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9DE95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的单调递减区间是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和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C587B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变化时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的变化情况如表所示</w:t>
      </w:r>
      <w:r>
        <w:rPr>
          <w:rFonts w:ascii="宋体" w:hAnsi="宋体"/>
          <w:color w:val="FF0000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3262"/>
        <w:gridCol w:w="2373"/>
        <w:gridCol w:w="3096"/>
      </w:tblGrid>
      <w:tr w14:paraId="7B9A75DE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pct"/>
            <w:tcMar>
              <w:left w:w="0" w:type="dxa"/>
              <w:right w:w="0" w:type="dxa"/>
            </w:tcMar>
            <w:vAlign w:val="center"/>
          </w:tcPr>
          <w:p w14:paraId="2811E3C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</w:p>
        </w:tc>
        <w:tc>
          <w:tcPr>
            <w:tcW w:w="1557" w:type="pct"/>
            <w:tcMar>
              <w:left w:w="0" w:type="dxa"/>
              <w:right w:w="0" w:type="dxa"/>
            </w:tcMar>
            <w:vAlign w:val="center"/>
          </w:tcPr>
          <w:p w14:paraId="7E9AF2F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（－∞，</w:t>
            </w:r>
            <w:r>
              <w:rPr>
                <w:color w:val="FF0000"/>
                <w:sz w:val="21"/>
                <w:szCs w:val="21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）</w:t>
            </w:r>
          </w:p>
        </w:tc>
        <w:tc>
          <w:tcPr>
            <w:tcW w:w="1133" w:type="pct"/>
            <w:tcMar>
              <w:left w:w="0" w:type="dxa"/>
              <w:right w:w="0" w:type="dxa"/>
            </w:tcMar>
            <w:vAlign w:val="center"/>
          </w:tcPr>
          <w:p w14:paraId="1DBD92B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color w:val="FF0000"/>
                <w:sz w:val="21"/>
                <w:szCs w:val="21"/>
              </w:rPr>
              <w:t>（</w:t>
            </w:r>
            <w:r>
              <w:rPr>
                <w:rFonts w:hint="eastAsia"/>
                <w:color w:val="FF0000"/>
                <w:sz w:val="21"/>
                <w:szCs w:val="21"/>
              </w:rPr>
              <w:t xml:space="preserve"> </w:t>
            </w:r>
            <w:r>
              <w:rPr>
                <w:color w:val="FF0000"/>
                <w:sz w:val="21"/>
                <w:szCs w:val="21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color w:val="FF0000"/>
                <w:sz w:val="21"/>
                <w:szCs w:val="21"/>
              </w:rPr>
              <w:t>）</w:t>
            </w:r>
          </w:p>
        </w:tc>
        <w:tc>
          <w:tcPr>
            <w:tcW w:w="1478" w:type="pct"/>
            <w:tcMar>
              <w:left w:w="0" w:type="dxa"/>
              <w:right w:w="0" w:type="dxa"/>
            </w:tcMar>
            <w:vAlign w:val="center"/>
          </w:tcPr>
          <w:p w14:paraId="28A0D91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color w:val="FF0000"/>
                <w:sz w:val="21"/>
                <w:szCs w:val="21"/>
              </w:rPr>
              <w:t>（</w:t>
            </w:r>
            <w:r>
              <w:rPr>
                <w:rFonts w:hint="eastAsia"/>
                <w:color w:val="FF0000"/>
                <w:sz w:val="21"/>
                <w:szCs w:val="2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color w:val="FF0000"/>
                <w:sz w:val="21"/>
                <w:szCs w:val="21"/>
              </w:rPr>
              <w:t>，＋∞</w:t>
            </w:r>
            <w:r>
              <w:rPr>
                <w:rFonts w:hint="eastAsia" w:eastAsia="Times New Roman"/>
                <w:color w:val="FF0000"/>
                <w:sz w:val="21"/>
                <w:szCs w:val="21"/>
              </w:rPr>
              <w:t>）</w:t>
            </w:r>
          </w:p>
        </w:tc>
      </w:tr>
      <w:tr w14:paraId="2EF8A636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pct"/>
            <w:tcMar>
              <w:left w:w="0" w:type="dxa"/>
              <w:right w:w="0" w:type="dxa"/>
            </w:tcMar>
            <w:vAlign w:val="center"/>
          </w:tcPr>
          <w:p w14:paraId="0D3599E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f'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（</w:t>
            </w:r>
            <w:r>
              <w:rPr>
                <w:i/>
                <w:color w:val="FF0000"/>
                <w:sz w:val="21"/>
                <w:szCs w:val="21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）</w:t>
            </w:r>
          </w:p>
        </w:tc>
        <w:tc>
          <w:tcPr>
            <w:tcW w:w="1557" w:type="pct"/>
            <w:tcMar>
              <w:left w:w="0" w:type="dxa"/>
              <w:right w:w="0" w:type="dxa"/>
            </w:tcMar>
            <w:vAlign w:val="center"/>
          </w:tcPr>
          <w:p w14:paraId="1A4717D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</w:p>
        </w:tc>
        <w:tc>
          <w:tcPr>
            <w:tcW w:w="1133" w:type="pct"/>
            <w:tcMar>
              <w:left w:w="0" w:type="dxa"/>
              <w:right w:w="0" w:type="dxa"/>
            </w:tcMar>
            <w:vAlign w:val="center"/>
          </w:tcPr>
          <w:p w14:paraId="1BC6081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＋</w:t>
            </w:r>
          </w:p>
        </w:tc>
        <w:tc>
          <w:tcPr>
            <w:tcW w:w="1478" w:type="pct"/>
            <w:tcMar>
              <w:left w:w="0" w:type="dxa"/>
              <w:right w:w="0" w:type="dxa"/>
            </w:tcMar>
            <w:vAlign w:val="center"/>
          </w:tcPr>
          <w:p w14:paraId="2DA295F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</w:p>
        </w:tc>
      </w:tr>
      <w:tr w14:paraId="191F75C2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pct"/>
            <w:tcMar>
              <w:left w:w="0" w:type="dxa"/>
              <w:right w:w="0" w:type="dxa"/>
            </w:tcMar>
            <w:vAlign w:val="center"/>
          </w:tcPr>
          <w:p w14:paraId="2915BF3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f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（</w:t>
            </w:r>
            <w:r>
              <w:rPr>
                <w:i/>
                <w:color w:val="FF0000"/>
                <w:sz w:val="21"/>
                <w:szCs w:val="21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）</w:t>
            </w:r>
          </w:p>
        </w:tc>
        <w:tc>
          <w:tcPr>
            <w:tcW w:w="1557" w:type="pct"/>
            <w:tcMar>
              <w:left w:w="0" w:type="dxa"/>
              <w:right w:w="0" w:type="dxa"/>
            </w:tcMar>
            <w:vAlign w:val="center"/>
          </w:tcPr>
          <w:p w14:paraId="79FC1B6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单调递减</w:t>
            </w:r>
          </w:p>
        </w:tc>
        <w:tc>
          <w:tcPr>
            <w:tcW w:w="1133" w:type="pct"/>
            <w:tcMar>
              <w:left w:w="0" w:type="dxa"/>
              <w:right w:w="0" w:type="dxa"/>
            </w:tcMar>
            <w:vAlign w:val="center"/>
          </w:tcPr>
          <w:p w14:paraId="01D9E92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单调递增</w:t>
            </w:r>
          </w:p>
        </w:tc>
        <w:tc>
          <w:tcPr>
            <w:tcW w:w="1478" w:type="pct"/>
            <w:tcMar>
              <w:left w:w="0" w:type="dxa"/>
              <w:right w:w="0" w:type="dxa"/>
            </w:tcMar>
            <w:vAlign w:val="center"/>
          </w:tcPr>
          <w:p w14:paraId="12E4E94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单调递减</w:t>
            </w:r>
          </w:p>
        </w:tc>
      </w:tr>
    </w:tbl>
    <w:p w14:paraId="187C21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的单调递减区间是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12154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）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的单调递减区间为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47E555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的单调递减区间为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6A6225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讨论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.</w:t>
      </w:r>
    </w:p>
    <w:p w14:paraId="3C8BC0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141A0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41278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A259B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BD7F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1CC63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－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－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EDF6A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</w:t>
      </w:r>
    </w:p>
    <w:p w14:paraId="035141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0C448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90E7E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013FF3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497" name="综合应用灰.jpg" descr="id:21475212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综合应用灰.jpg" descr="id:2147521296;FounderCES"/>
                    <pic:cNvPicPr>
                      <a:picLocks noChangeAspect="1"/>
                    </pic:cNvPicPr>
                  </pic:nvPicPr>
                  <pic:blipFill>
                    <a:blip r:embed="rId2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4D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的导函数为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B1A972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26795" cy="789305"/>
            <wp:effectExtent l="0" t="0" r="0" b="0"/>
            <wp:docPr id="498" name="27byljcsx3-17.jpg" descr="id:21475213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27byljcsx3-17.jpg" descr="id:2147521303;FounderCE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27156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21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</w:p>
    <w:p w14:paraId="70F736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，＋∞）</w:t>
      </w:r>
    </w:p>
    <w:p w14:paraId="6781BD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由图象可得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结合图象可得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的解集为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3D8B06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4AD6E3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431290" cy="762000"/>
            <wp:effectExtent l="0" t="0" r="0" b="0"/>
            <wp:docPr id="499" name="27byljcsx3-16.jpg" descr="id:21475213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27byljcsx3-16.jpg" descr="id:2147521310;FounderCE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3159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EB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内单调递增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内单调递减</w:t>
      </w:r>
    </w:p>
    <w:p w14:paraId="0FC617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内单调递减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内单调递减</w:t>
      </w:r>
    </w:p>
    <w:p w14:paraId="4D2BEA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排除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))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由题图易得当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))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由题图易得当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))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5D09D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满足下列条件</w:t>
      </w:r>
      <w:r>
        <w:rPr>
          <w:rFonts w:ascii="宋体" w:hAnsi="宋体"/>
          <w:sz w:val="21"/>
          <w:szCs w:val="21"/>
        </w:rPr>
        <w:t>：①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为偶函数</w:t>
      </w:r>
      <w:r>
        <w:rPr>
          <w:rFonts w:ascii="宋体" w:hAnsi="宋体"/>
          <w:sz w:val="21"/>
          <w:szCs w:val="21"/>
        </w:rPr>
        <w:t>；②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（－∞，－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的一个解析式为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color w:val="FF0000"/>
          <w:sz w:val="21"/>
          <w:szCs w:val="21"/>
          <w:u w:val="single" w:color="000000" w:themeColor="text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答案不唯一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答案不唯一</w:t>
      </w:r>
      <w:r>
        <w:rPr>
          <w:rFonts w:ascii="宋体" w:hAnsi="宋体"/>
          <w:sz w:val="21"/>
          <w:szCs w:val="21"/>
        </w:rPr>
        <w:t>）</w:t>
      </w:r>
    </w:p>
    <w:p w14:paraId="2E0CF1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的导函数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答案不唯一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6069D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.</w:t>
      </w:r>
    </w:p>
    <w:p w14:paraId="1EC8B1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在其定义域内是增函数</w:t>
      </w:r>
      <w:r>
        <w:rPr>
          <w:rFonts w:ascii="宋体" w:hAnsi="宋体"/>
          <w:sz w:val="21"/>
          <w:szCs w:val="21"/>
        </w:rPr>
        <w:t>；</w:t>
      </w:r>
    </w:p>
    <w:p w14:paraId="253B30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的单调递减区间</w:t>
      </w:r>
      <w:r>
        <w:rPr>
          <w:rFonts w:ascii="宋体" w:hAnsi="宋体"/>
          <w:sz w:val="21"/>
          <w:szCs w:val="21"/>
        </w:rPr>
        <w:t>.</w:t>
      </w:r>
    </w:p>
    <w:p w14:paraId="7D3247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：∵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｜≥－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A846F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18086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)'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4E281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E7C24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上为增函数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D2256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828B4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EAC16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76A20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的单调递减区间为</w:t>
      </w:r>
      <w:r>
        <w:rPr>
          <w:rFonts w:ascii="宋体" w:hAnsi="宋体"/>
          <w:color w:val="FF0000"/>
          <w:sz w:val="21"/>
          <w:szCs w:val="21"/>
        </w:rPr>
        <w:t>（－∞，＋∞）；</w:t>
      </w:r>
    </w:p>
    <w:p w14:paraId="7B48BD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EE58C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上也单调递减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1AF15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处连续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476B2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的单调递减区间为</w:t>
      </w:r>
      <w:r>
        <w:rPr>
          <w:rFonts w:ascii="宋体" w:hAnsi="宋体"/>
          <w:color w:val="FF0000"/>
          <w:sz w:val="21"/>
          <w:szCs w:val="21"/>
        </w:rPr>
        <w:t>（－∞，＋∞）；</w:t>
      </w:r>
    </w:p>
    <w:p w14:paraId="74DD8B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③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的单调递减区间为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67415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的单调递减区间为</w:t>
      </w:r>
      <w:r>
        <w:rPr>
          <w:rFonts w:ascii="宋体" w:hAnsi="宋体"/>
          <w:color w:val="FF0000"/>
          <w:sz w:val="21"/>
          <w:szCs w:val="21"/>
        </w:rPr>
        <w:t>（－∞，＋∞）；</w:t>
      </w:r>
    </w:p>
    <w:p w14:paraId="35EED26F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的单调递减区间为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D6C6E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D48FA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582285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469C2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D39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96E2E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E5BE1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1AD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1D0D1970"/>
    <w:rsid w:val="3D94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customXml" Target="../customXml/item4.xml"/><Relationship Id="rId32" Type="http://schemas.openxmlformats.org/officeDocument/2006/relationships/customXml" Target="../customXml/item3.xml"/><Relationship Id="rId31" Type="http://schemas.openxmlformats.org/officeDocument/2006/relationships/customXml" Target="../customXml/item2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8</Pages>
  <Words>5533</Words>
  <Characters>5997</Characters>
  <Lines>55</Lines>
  <Paragraphs>15</Paragraphs>
  <TotalTime>0</TotalTime>
  <ScaleCrop>false</ScaleCrop>
  <LinksUpToDate>false</LinksUpToDate>
  <CharactersWithSpaces>6100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2026-07-14T15:06:00Z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FE65F8080C0149E2B7D63A8947C24AC8_12</vt:lpwstr>
  </property>
</Properties>
</file>