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74D3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微突破</w:t>
      </w:r>
      <w:r>
        <w:rPr>
          <w:sz w:val="30"/>
          <w:szCs w:val="30"/>
        </w:rPr>
        <w:t>　</w:t>
      </w:r>
      <w:r>
        <w:rPr>
          <w:rFonts w:ascii="微软雅黑" w:hAnsi="微软雅黑" w:eastAsia="微软雅黑"/>
          <w:b/>
          <w:sz w:val="30"/>
          <w:szCs w:val="30"/>
        </w:rPr>
        <w:t>比赛情境下的概率分布问题</w:t>
      </w:r>
    </w:p>
    <w:p w14:paraId="33FFBFF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解决体育比赛中的概率问题首先要对体育比赛的赛制有所了解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其次是能准确判断事件之间是否互斥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独立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理解积事件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和事件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及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次独立重复实验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次发生的意义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真正把握概念和各模型之间的联系与区别</w:t>
      </w:r>
      <w:r>
        <w:rPr>
          <w:rFonts w:ascii="宋体" w:hAnsi="宋体"/>
          <w:sz w:val="21"/>
          <w:szCs w:val="21"/>
        </w:rPr>
        <w:t>.</w:t>
      </w:r>
    </w:p>
    <w:p w14:paraId="1B5C09B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1131" name="一彩.jpg" descr="id:21475232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" name="一彩.jpg" descr="id:2147523241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1"/>
          <w:szCs w:val="21"/>
        </w:rPr>
        <w:t>n</w:t>
      </w:r>
      <w:r>
        <w:rPr>
          <w:rFonts w:ascii="微软雅黑" w:hAnsi="微软雅黑" w:eastAsia="微软雅黑"/>
          <w:b/>
          <w:sz w:val="21"/>
          <w:szCs w:val="21"/>
        </w:rPr>
        <w:t>局</w:t>
      </w:r>
      <w:r>
        <w:rPr>
          <w:i/>
          <w:sz w:val="21"/>
          <w:szCs w:val="21"/>
        </w:rPr>
        <w:t>m</w:t>
      </w:r>
      <w:r>
        <w:rPr>
          <w:rFonts w:ascii="微软雅黑" w:hAnsi="微软雅黑" w:eastAsia="微软雅黑"/>
          <w:b/>
          <w:sz w:val="21"/>
          <w:szCs w:val="21"/>
        </w:rPr>
        <w:t>胜制</w:t>
      </w:r>
    </w:p>
    <w:p w14:paraId="22B6184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132" name="例1彩.jpg" descr="id:21475232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" name="例1彩.jpg" descr="id:2147523248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在某次国际围棋比赛中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乙两人进入最后决赛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决赛采用五局三胜制和三局两胜制其中一种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若每局比赛甲胜乙的概率都为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没有和局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且各局比赛的胜负互不影响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208F4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若采用三局两胜制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甲获得冠军时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比分为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的可能性最大</w:t>
      </w:r>
    </w:p>
    <w:p w14:paraId="0C8E59C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若采用五局三胜制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甲获得冠军时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比分为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的可能性相等</w:t>
      </w:r>
    </w:p>
    <w:p w14:paraId="4B4D375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若采用五局三胜制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则比赛对乙更有利</w:t>
      </w:r>
    </w:p>
    <w:p w14:paraId="725AA43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若采用五局三胜制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乙先赢了一局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甲仍有超过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的可能性获得冠军</w:t>
      </w:r>
    </w:p>
    <w:p w14:paraId="7DD766F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若采用三局两胜制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获胜的概率为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获胜的概率为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若采用五局三胜制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获胜的概率为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获胜的概率为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eastAsia="Times New Roman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因为采用三局两胜制甲胜的概率为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采用五局三胜制甲胜的概率为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eastAsia="Times New Roman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所以采用三局两胜制和五局三胜制乙胜的概率分别为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所以采用三局两胜制对乙更有利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若采用五局三胜制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乙先赢了一局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甲获得冠军的概率为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eastAsia="Times New Roman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eastAsia="Times New Roman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8A2467C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0E0D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CEBFA3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局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胜制的规则特点为一旦某方获得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次胜利即终止比赛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所以若比赛提前结束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则一定在最后一次比赛中某方达到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胜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397F90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1134" name="二彩.jpg" descr="id:21475232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" name="二彩.jpg" descr="id:2147523270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连胜制</w:t>
      </w:r>
    </w:p>
    <w:p w14:paraId="5C61541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135" name="例2彩.jpg" descr="id:21475232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" name="例2彩.jpg" descr="id:2147523277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乙两队举行比赛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比赛共有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若有一方连胜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则比赛立即终止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已知甲每局获胜的概率为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甲在第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局终止比赛并获胜的概率为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81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3D6B3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因为甲每局获胜的概率为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要使得甲在第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局终止比赛并获胜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可分为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类情况</w:t>
      </w:r>
      <w:r>
        <w:rPr>
          <w:rFonts w:ascii="宋体" w:hAnsi="宋体"/>
          <w:color w:val="FF0000"/>
          <w:sz w:val="21"/>
          <w:szCs w:val="21"/>
        </w:rPr>
        <w:t>：①</w:t>
      </w:r>
      <w:r>
        <w:rPr>
          <w:rFonts w:eastAsia="仿宋"/>
          <w:color w:val="FF0000"/>
          <w:sz w:val="21"/>
          <w:szCs w:val="21"/>
        </w:rPr>
        <w:t>甲前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局均失败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局连胜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则甲在第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局终止比赛并获胜的概率为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；②</w:t>
      </w:r>
      <w:r>
        <w:rPr>
          <w:rFonts w:eastAsia="仿宋"/>
          <w:color w:val="FF0000"/>
          <w:sz w:val="21"/>
          <w:szCs w:val="21"/>
        </w:rPr>
        <w:t>甲第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局胜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局负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局连胜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则甲在第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局终止比赛并获胜的概率为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所以甲在第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局终止比赛并获胜的概率为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7F1C13A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F3251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FA487E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连胜制的规则特点是规定某方连胜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场即终止比赛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所以若提前结束比赛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则最后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场某方连胜且之前没有某方达到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场连胜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23BE9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1137" name="三彩.jpg" descr="id:21475232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" name="三彩.jpg" descr="id:2147523299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比分差距制</w:t>
      </w:r>
    </w:p>
    <w:p w14:paraId="3D6087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138" name="例3彩.jpg" descr="id:21475233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" name="例3彩.jpg" descr="id:2147523306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为了贯彻党的二十大提出的基础教育发展方针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全面落实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五育并举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的战略目标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某市举办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年秋季高中生乒乓球比赛活动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本次活动乒乓球单打按国际比赛规则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即首先由发球员发球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再由接发球员发球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两者交替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胜者得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在一局比赛中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先得</w:t>
      </w:r>
      <w:r>
        <w:rPr>
          <w:sz w:val="21"/>
          <w:szCs w:val="21"/>
        </w:rPr>
        <w:t>11</w:t>
      </w:r>
      <w:r>
        <w:rPr>
          <w:rFonts w:hint="eastAsia"/>
          <w:sz w:val="21"/>
          <w:szCs w:val="21"/>
        </w:rPr>
        <w:t>分的一方为胜方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胜方至少比对方多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），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平后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先多得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分的一方为胜方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乙两位同学进行乒乓球单打比赛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甲在一次发球中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分的概率为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乙在一次发球中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分的概率为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如果在一局比赛中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由乙同学先发球</w:t>
      </w:r>
      <w:r>
        <w:rPr>
          <w:rFonts w:ascii="宋体" w:hAnsi="宋体"/>
          <w:sz w:val="21"/>
          <w:szCs w:val="21"/>
        </w:rPr>
        <w:t>.</w:t>
      </w:r>
    </w:p>
    <w:p w14:paraId="41EABA7C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乙的比分暂时为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求最终甲以</w:t>
      </w: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赢得比赛的概率</w:t>
      </w:r>
      <w:r>
        <w:rPr>
          <w:rFonts w:ascii="宋体" w:hAnsi="宋体"/>
          <w:sz w:val="21"/>
          <w:szCs w:val="21"/>
        </w:rPr>
        <w:t>；</w:t>
      </w:r>
    </w:p>
    <w:p w14:paraId="127011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甲以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赢得比赛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共计</w:t>
      </w:r>
      <w:r>
        <w:rPr>
          <w:color w:val="FF0000"/>
          <w:sz w:val="21"/>
          <w:szCs w:val="21"/>
        </w:rPr>
        <w:t>20</w:t>
      </w:r>
      <w:r>
        <w:rPr>
          <w:rFonts w:eastAsia="仿宋"/>
          <w:color w:val="FF0000"/>
          <w:sz w:val="21"/>
          <w:szCs w:val="21"/>
        </w:rPr>
        <w:t>次发球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在后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次发球中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需甲在最后一次获胜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最终甲以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赢得比赛的概率为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682BC8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求发球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甲的累计得分的分布列及数学期望</w:t>
      </w:r>
      <w:r>
        <w:rPr>
          <w:rFonts w:ascii="宋体" w:hAnsi="宋体"/>
          <w:sz w:val="21"/>
          <w:szCs w:val="21"/>
        </w:rPr>
        <w:t>.</w:t>
      </w:r>
    </w:p>
    <w:p w14:paraId="0A929C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设甲累计得分为随机变量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的可能取值为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9AB06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638FAB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11474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F272F7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D8402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所以随机变量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的分布列为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2583"/>
        <w:gridCol w:w="2583"/>
        <w:gridCol w:w="1297"/>
        <w:gridCol w:w="2581"/>
      </w:tblGrid>
      <w:tr w14:paraId="3A14D8BE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3" w:type="pct"/>
            <w:tcMar>
              <w:left w:w="0" w:type="dxa"/>
              <w:right w:w="0" w:type="dxa"/>
            </w:tcMar>
            <w:vAlign w:val="center"/>
          </w:tcPr>
          <w:p w14:paraId="1E1B5F5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</w:p>
        </w:tc>
        <w:tc>
          <w:tcPr>
            <w:tcW w:w="1233" w:type="pct"/>
            <w:tcMar>
              <w:left w:w="0" w:type="dxa"/>
              <w:right w:w="0" w:type="dxa"/>
            </w:tcMar>
            <w:vAlign w:val="center"/>
          </w:tcPr>
          <w:p w14:paraId="6BCE9F6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1233" w:type="pct"/>
            <w:tcMar>
              <w:left w:w="0" w:type="dxa"/>
              <w:right w:w="0" w:type="dxa"/>
            </w:tcMar>
            <w:vAlign w:val="center"/>
          </w:tcPr>
          <w:p w14:paraId="7AFB458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</w:t>
            </w:r>
          </w:p>
        </w:tc>
        <w:tc>
          <w:tcPr>
            <w:tcW w:w="619" w:type="pct"/>
            <w:tcMar>
              <w:left w:w="0" w:type="dxa"/>
              <w:right w:w="0" w:type="dxa"/>
            </w:tcMar>
            <w:vAlign w:val="center"/>
          </w:tcPr>
          <w:p w14:paraId="44F4641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</w:t>
            </w:r>
          </w:p>
        </w:tc>
        <w:tc>
          <w:tcPr>
            <w:tcW w:w="1233" w:type="pct"/>
            <w:tcMar>
              <w:left w:w="0" w:type="dxa"/>
              <w:right w:w="0" w:type="dxa"/>
            </w:tcMar>
            <w:vAlign w:val="center"/>
          </w:tcPr>
          <w:p w14:paraId="25B2B98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3</w:t>
            </w:r>
          </w:p>
        </w:tc>
      </w:tr>
      <w:tr w14:paraId="132352A5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3" w:type="pct"/>
            <w:tcMar>
              <w:left w:w="0" w:type="dxa"/>
              <w:right w:w="0" w:type="dxa"/>
            </w:tcMar>
            <w:vAlign w:val="center"/>
          </w:tcPr>
          <w:p w14:paraId="591F7C8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P</w:t>
            </w:r>
          </w:p>
        </w:tc>
        <w:tc>
          <w:tcPr>
            <w:tcW w:w="1233" w:type="pct"/>
            <w:tcMar>
              <w:left w:w="0" w:type="dxa"/>
              <w:right w:w="0" w:type="dxa"/>
            </w:tcMar>
            <w:vAlign w:val="center"/>
          </w:tcPr>
          <w:p w14:paraId="6026C11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233" w:type="pct"/>
            <w:tcMar>
              <w:left w:w="0" w:type="dxa"/>
              <w:right w:w="0" w:type="dxa"/>
            </w:tcMar>
            <w:vAlign w:val="center"/>
          </w:tcPr>
          <w:p w14:paraId="6E6B3E5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7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619" w:type="pct"/>
            <w:tcMar>
              <w:left w:w="0" w:type="dxa"/>
              <w:right w:w="0" w:type="dxa"/>
            </w:tcMar>
            <w:vAlign w:val="center"/>
          </w:tcPr>
          <w:p w14:paraId="17ABCF1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233" w:type="pct"/>
            <w:tcMar>
              <w:left w:w="0" w:type="dxa"/>
              <w:right w:w="0" w:type="dxa"/>
            </w:tcMar>
            <w:vAlign w:val="center"/>
          </w:tcPr>
          <w:p w14:paraId="1CD8DD1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</w:tr>
    </w:tbl>
    <w:p w14:paraId="71E6109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C75AE99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1980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CA3896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比分差距制的规则特点是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规定某方比对方多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分即终止比赛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此时首先根据比赛局数确定比分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在得分过程中要注意使两方的分差小于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D98814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1140" name="四彩.jpg" descr="id:21475233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" name="四彩.jpg" descr="id:2147523336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积分制</w:t>
      </w:r>
    </w:p>
    <w:p w14:paraId="3F40EE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141" name="例4彩.jpg" descr="id:21475233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" name="例4彩.jpg" descr="id:2147523343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福建厦门模拟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丁四支球队进行单循环小组赛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比赛分三轮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每轮两场比赛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具体赛程如下表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4"/>
        <w:gridCol w:w="3750"/>
        <w:gridCol w:w="3750"/>
      </w:tblGrid>
      <w:tr w14:paraId="1502D74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pct"/>
            <w:tcMar>
              <w:left w:w="0" w:type="dxa"/>
              <w:right w:w="0" w:type="dxa"/>
            </w:tcMar>
            <w:vAlign w:val="center"/>
          </w:tcPr>
          <w:p w14:paraId="6DAD550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第一轮</w:t>
            </w:r>
          </w:p>
        </w:tc>
        <w:tc>
          <w:tcPr>
            <w:tcW w:w="1790" w:type="pct"/>
            <w:tcMar>
              <w:left w:w="0" w:type="dxa"/>
              <w:right w:w="0" w:type="dxa"/>
            </w:tcMar>
            <w:vAlign w:val="center"/>
          </w:tcPr>
          <w:p w14:paraId="6B1288A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甲</w:t>
            </w:r>
            <w:r>
              <w:rPr>
                <w:sz w:val="21"/>
                <w:szCs w:val="21"/>
              </w:rPr>
              <w:t>VS</w:t>
            </w:r>
            <w:r>
              <w:rPr>
                <w:rFonts w:hint="eastAsia"/>
                <w:sz w:val="21"/>
                <w:szCs w:val="21"/>
              </w:rPr>
              <w:t>乙</w:t>
            </w:r>
          </w:p>
        </w:tc>
        <w:tc>
          <w:tcPr>
            <w:tcW w:w="1790" w:type="pct"/>
            <w:tcMar>
              <w:left w:w="0" w:type="dxa"/>
              <w:right w:w="0" w:type="dxa"/>
            </w:tcMar>
            <w:vAlign w:val="center"/>
          </w:tcPr>
          <w:p w14:paraId="793289C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丙</w:t>
            </w:r>
            <w:r>
              <w:rPr>
                <w:sz w:val="21"/>
                <w:szCs w:val="21"/>
              </w:rPr>
              <w:t>VS</w:t>
            </w:r>
            <w:r>
              <w:rPr>
                <w:rFonts w:hint="eastAsia"/>
                <w:sz w:val="21"/>
                <w:szCs w:val="21"/>
              </w:rPr>
              <w:t>丁</w:t>
            </w:r>
          </w:p>
        </w:tc>
      </w:tr>
      <w:tr w14:paraId="0A56A61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pct"/>
            <w:tcMar>
              <w:left w:w="0" w:type="dxa"/>
              <w:right w:w="0" w:type="dxa"/>
            </w:tcMar>
            <w:vAlign w:val="center"/>
          </w:tcPr>
          <w:p w14:paraId="39AEDCA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第二轮</w:t>
            </w:r>
          </w:p>
        </w:tc>
        <w:tc>
          <w:tcPr>
            <w:tcW w:w="1790" w:type="pct"/>
            <w:tcMar>
              <w:left w:w="0" w:type="dxa"/>
              <w:right w:w="0" w:type="dxa"/>
            </w:tcMar>
            <w:vAlign w:val="center"/>
          </w:tcPr>
          <w:p w14:paraId="14E609D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甲</w:t>
            </w:r>
            <w:r>
              <w:rPr>
                <w:sz w:val="21"/>
                <w:szCs w:val="21"/>
              </w:rPr>
              <w:t>VS</w:t>
            </w:r>
            <w:r>
              <w:rPr>
                <w:rFonts w:hint="eastAsia"/>
                <w:sz w:val="21"/>
                <w:szCs w:val="21"/>
              </w:rPr>
              <w:t>丙</w:t>
            </w:r>
          </w:p>
        </w:tc>
        <w:tc>
          <w:tcPr>
            <w:tcW w:w="1790" w:type="pct"/>
            <w:tcMar>
              <w:left w:w="0" w:type="dxa"/>
              <w:right w:w="0" w:type="dxa"/>
            </w:tcMar>
            <w:vAlign w:val="center"/>
          </w:tcPr>
          <w:p w14:paraId="23B3CE6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乙</w:t>
            </w:r>
            <w:r>
              <w:rPr>
                <w:sz w:val="21"/>
                <w:szCs w:val="21"/>
              </w:rPr>
              <w:t>VS</w:t>
            </w:r>
            <w:r>
              <w:rPr>
                <w:rFonts w:hint="eastAsia"/>
                <w:sz w:val="21"/>
                <w:szCs w:val="21"/>
              </w:rPr>
              <w:t>丁</w:t>
            </w:r>
          </w:p>
        </w:tc>
      </w:tr>
      <w:tr w14:paraId="4E02C71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pct"/>
            <w:tcMar>
              <w:left w:w="0" w:type="dxa"/>
              <w:right w:w="0" w:type="dxa"/>
            </w:tcMar>
            <w:vAlign w:val="center"/>
          </w:tcPr>
          <w:p w14:paraId="695AF36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第三轮</w:t>
            </w:r>
          </w:p>
        </w:tc>
        <w:tc>
          <w:tcPr>
            <w:tcW w:w="1790" w:type="pct"/>
            <w:tcMar>
              <w:left w:w="0" w:type="dxa"/>
              <w:right w:w="0" w:type="dxa"/>
            </w:tcMar>
            <w:vAlign w:val="center"/>
          </w:tcPr>
          <w:p w14:paraId="5D51B0B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甲</w:t>
            </w:r>
            <w:r>
              <w:rPr>
                <w:sz w:val="21"/>
                <w:szCs w:val="21"/>
              </w:rPr>
              <w:t>VS</w:t>
            </w:r>
            <w:r>
              <w:rPr>
                <w:rFonts w:hint="eastAsia"/>
                <w:sz w:val="21"/>
                <w:szCs w:val="21"/>
              </w:rPr>
              <w:t>丁</w:t>
            </w:r>
          </w:p>
        </w:tc>
        <w:tc>
          <w:tcPr>
            <w:tcW w:w="1790" w:type="pct"/>
            <w:tcMar>
              <w:left w:w="0" w:type="dxa"/>
              <w:right w:w="0" w:type="dxa"/>
            </w:tcMar>
            <w:vAlign w:val="center"/>
          </w:tcPr>
          <w:p w14:paraId="4535116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乙</w:t>
            </w:r>
            <w:r>
              <w:rPr>
                <w:sz w:val="21"/>
                <w:szCs w:val="21"/>
              </w:rPr>
              <w:t>VS</w:t>
            </w:r>
            <w:r>
              <w:rPr>
                <w:rFonts w:hint="eastAsia"/>
                <w:sz w:val="21"/>
                <w:szCs w:val="21"/>
              </w:rPr>
              <w:t>丙</w:t>
            </w:r>
          </w:p>
        </w:tc>
      </w:tr>
    </w:tbl>
    <w:p w14:paraId="627C92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规定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每场比赛获胜的球队记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输的球队记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平局两队各记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三轮比赛结束后以总分排名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总分相同的球队以抽签的方式确定排名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排名前两位的球队出线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假设甲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丙三支球队水平相当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彼此间胜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负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平的概率均为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丁的水平较弱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面对其他任意一支球队胜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负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平的概率都分别为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每场比赛结果相互独立</w:t>
      </w:r>
      <w:r>
        <w:rPr>
          <w:rFonts w:ascii="宋体" w:hAnsi="宋体"/>
          <w:sz w:val="21"/>
          <w:szCs w:val="21"/>
        </w:rPr>
        <w:t>.</w:t>
      </w:r>
    </w:p>
    <w:p w14:paraId="616A564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求丁的总分为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分的概率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判断此时丁能否出线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并说明理由</w:t>
      </w:r>
      <w:r>
        <w:rPr>
          <w:rFonts w:ascii="宋体" w:hAnsi="宋体"/>
          <w:sz w:val="21"/>
          <w:szCs w:val="21"/>
        </w:rPr>
        <w:t>；</w:t>
      </w:r>
    </w:p>
    <w:p w14:paraId="15A9F5C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记第</w:t>
      </w:r>
      <w:r>
        <w:rPr>
          <w:i/>
          <w:color w:val="FF0000"/>
          <w:sz w:val="21"/>
          <w:szCs w:val="21"/>
        </w:rPr>
        <w:t>i</w:t>
      </w:r>
      <w:r>
        <w:rPr>
          <w:rFonts w:eastAsia="仿宋"/>
          <w:color w:val="FF0000"/>
          <w:sz w:val="21"/>
          <w:szCs w:val="21"/>
        </w:rPr>
        <w:t>轮比赛丁胜、平、负的事件分别为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每场比赛结果相互独立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6BDA7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丁总分为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则丁三场比赛两胜一平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记丁三轮比赛两胜一平的事件为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82640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353860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丁总分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分一定出线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75706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理由如下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丁三场比赛中赢两场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这两场丁的对手比分最多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分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23EF3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小组赛两队出线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所以丁一定出线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00E31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若第一轮比赛结束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丁四支球队积分分别为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求丁以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分的成绩出线的概率</w:t>
      </w:r>
      <w:r>
        <w:rPr>
          <w:rFonts w:ascii="宋体" w:hAnsi="宋体"/>
          <w:sz w:val="21"/>
          <w:szCs w:val="21"/>
        </w:rPr>
        <w:t>.</w:t>
      </w:r>
    </w:p>
    <w:p w14:paraId="06DC73F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第一轮比赛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甲胜乙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丙胜丁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又丁总分为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则丁对战甲、乙都获胜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乙队总分最多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少于丁队总分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F742AD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第二轮中若甲负于丙或平丙时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甲总分最多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少于丁队总分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此时甲、乙两队少于丁队总分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丁一定出线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其相应的概率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［（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72429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第二轮中若甲胜丙、第三轮中丙平乙或负于乙时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丙总分最多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此时丙、乙两队少于丁队总分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丁一定出线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其相应的概率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［（</w:t>
      </w:r>
      <w:r>
        <w:rPr>
          <w:rFonts w:eastAsia="Times New Roman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8F04E1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③</w:t>
      </w:r>
      <w:r>
        <w:rPr>
          <w:rFonts w:eastAsia="仿宋"/>
          <w:color w:val="FF0000"/>
          <w:sz w:val="21"/>
          <w:szCs w:val="21"/>
        </w:rPr>
        <w:t>第二轮中若甲胜丙时、第三轮中丙胜乙时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甲、丁、丙队总分均为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此时由抽签确定出线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三队中有两队出线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每队出线概率为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4F7C7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丁队出线的概率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eastAsia="Times New Roman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eastAsia="Times New Roman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486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0BF1EC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丁以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分出线的概率为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486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9+3+1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486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486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0354E5A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33C5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FD9E44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规定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场后各队按照积分排名决定比赛名次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此时要注意积分的规则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7CEA5C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1143" name="强化训练彩.jpg" descr="id:21475233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" name="强化训练彩.jpg" descr="id:2147523373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80A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乙两位同学进行乒乓球比赛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约定打满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获胜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局或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局以上的赢得比赛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单局中无平局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乙每局获胜的概率相同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则甲赢得比赛的概率为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7870B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7353F2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C1152A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由题意可知甲、乙打满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局比赛的胜负情况如下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共</w:t>
      </w:r>
      <w:r>
        <w:rPr>
          <w:color w:val="FF0000"/>
          <w:sz w:val="21"/>
          <w:szCs w:val="21"/>
        </w:rPr>
        <w:t>16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其中甲赢得比赛的情况为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rFonts w:eastAsia="仿宋"/>
          <w:color w:val="FF0000"/>
          <w:sz w:val="21"/>
          <w:szCs w:val="21"/>
        </w:rPr>
        <w:t>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共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即胜负情况共有</w:t>
      </w:r>
      <w:r>
        <w:rPr>
          <w:color w:val="FF0000"/>
          <w:sz w:val="21"/>
          <w:szCs w:val="21"/>
        </w:rPr>
        <w:t>16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其中甲赢得比赛的情况有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故所求概率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3478B3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丁进行足球单循环小组赛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每两队只进行一场比赛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每场小组赛结果相互独立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已知甲与乙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丁比赛获胜的概率分别为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记甲连胜两场的概率为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D31D8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甲在第二场与乙比赛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最大</w:t>
      </w:r>
    </w:p>
    <w:p w14:paraId="0B00263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甲在第二场与丙比赛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最大</w:t>
      </w:r>
    </w:p>
    <w:p w14:paraId="06F43EB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甲在第二场与丁比赛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最大</w:t>
      </w:r>
    </w:p>
    <w:p w14:paraId="3E5293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与甲和乙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丁的比赛次序无关</w:t>
      </w:r>
    </w:p>
    <w:p w14:paraId="4DA02B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因为甲连胜两场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则第二场甲必胜</w:t>
      </w:r>
      <w:r>
        <w:rPr>
          <w:rFonts w:ascii="宋体" w:hAnsi="宋体"/>
          <w:color w:val="FF0000"/>
          <w:sz w:val="21"/>
          <w:szCs w:val="21"/>
        </w:rPr>
        <w:t>，①</w:t>
      </w:r>
      <w:r>
        <w:rPr>
          <w:rFonts w:eastAsia="仿宋"/>
          <w:color w:val="FF0000"/>
          <w:sz w:val="21"/>
          <w:szCs w:val="21"/>
        </w:rPr>
        <w:t>设甲在第二场与乙比赛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且连胜两场的概率为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；②</w:t>
      </w:r>
      <w:r>
        <w:rPr>
          <w:rFonts w:eastAsia="仿宋"/>
          <w:color w:val="FF0000"/>
          <w:sz w:val="21"/>
          <w:szCs w:val="21"/>
        </w:rPr>
        <w:t>设甲在第二场与丙比赛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且两场连胜的概率为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；③</w:t>
      </w:r>
      <w:r>
        <w:rPr>
          <w:rFonts w:eastAsia="仿宋"/>
          <w:color w:val="FF0000"/>
          <w:sz w:val="21"/>
          <w:szCs w:val="21"/>
        </w:rPr>
        <w:t>设甲在第二场与丁比赛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且两场连胜的概率为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因此甲在第二场与乙比赛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最大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18749D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乙两人进行乒乓球比赛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比赛打满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且每局甲获胜的概率和乙获胜的概率均为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若某人获胜的局数大于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则此人赢得比赛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1FDD32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乙比赛结果为平局的概率为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3B82D2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甲赢得比赛与乙赢得比赛的概率均为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77D88A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局比赛中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甲获胜的局数的期望为</w:t>
      </w:r>
      <w:r>
        <w:rPr>
          <w:i/>
          <w:sz w:val="21"/>
          <w:szCs w:val="21"/>
        </w:rPr>
        <w:t>k</w:t>
      </w:r>
    </w:p>
    <w:p w14:paraId="511E05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随着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的增大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甲赢得比赛的概率会越来越接近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77B8C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BCD　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甲、乙比赛结果为平局的概率为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甲赢得比赛的情况为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甲甲甲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甲乙甲甲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乙甲甲甲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甲甲乙甲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其概率为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乙赢得比赛的概率也为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局比赛中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甲获胜的局数服从二项分布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其期望值为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随着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的增大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比赛平局的概率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eastAsia="仿宋"/>
          <w:color w:val="FF0000"/>
          <w:sz w:val="21"/>
          <w:szCs w:val="21"/>
        </w:rPr>
        <w:t>趋近于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所以甲乙赢得比赛的概率都会越来越接近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D28591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乙两队进行篮球决赛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采取七场四胜制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当一队赢得四场胜利时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该队获胜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决赛结束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根据前期比赛成绩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甲队的主客场安排依次为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主主客客主客主</w:t>
      </w:r>
      <w:r>
        <w:rPr>
          <w:rFonts w:ascii="宋体" w:hAnsi="宋体"/>
          <w:sz w:val="21"/>
          <w:szCs w:val="21"/>
        </w:rPr>
        <w:t>”.</w:t>
      </w:r>
      <w:r>
        <w:rPr>
          <w:rFonts w:hint="eastAsia"/>
          <w:sz w:val="21"/>
          <w:szCs w:val="21"/>
        </w:rPr>
        <w:t>设甲队主场取胜的概率为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客场取胜的概率为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且各场比赛结果相互独立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则甲队以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获胜的概率是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.</w:t>
      </w:r>
      <w:r>
        <w:rPr>
          <w:color w:val="FF0000"/>
          <w:sz w:val="21"/>
          <w:szCs w:val="21"/>
          <w:u w:val="single" w:color="000000" w:themeColor="text1"/>
        </w:rPr>
        <w:t>18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FC1B8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前四场中有一场客场输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第五场赢时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甲队以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获胜的概率是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108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前四场中有一场主场输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第五场赢时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甲队以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获胜的概率是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072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甲队以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获胜的概率是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108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072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FEE64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甲队以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获胜包含的情况有</w:t>
      </w:r>
      <w:r>
        <w:rPr>
          <w:rFonts w:ascii="宋体" w:hAnsi="宋体"/>
          <w:color w:val="FF0000"/>
          <w:sz w:val="21"/>
          <w:szCs w:val="21"/>
        </w:rPr>
        <w:t>：①</w:t>
      </w:r>
      <w:r>
        <w:rPr>
          <w:rFonts w:eastAsia="仿宋"/>
          <w:color w:val="FF0000"/>
          <w:sz w:val="21"/>
          <w:szCs w:val="21"/>
        </w:rPr>
        <w:t>前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场比赛中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第一场负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另外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场全胜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其概率为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036</w:t>
      </w:r>
      <w:r>
        <w:rPr>
          <w:rFonts w:ascii="宋体" w:hAnsi="宋体"/>
          <w:color w:val="FF0000"/>
          <w:sz w:val="21"/>
          <w:szCs w:val="21"/>
        </w:rPr>
        <w:t>，②</w:t>
      </w:r>
      <w:r>
        <w:rPr>
          <w:rFonts w:eastAsia="仿宋"/>
          <w:color w:val="FF0000"/>
          <w:sz w:val="21"/>
          <w:szCs w:val="21"/>
        </w:rPr>
        <w:t>前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场比赛中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第二场负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另外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场全胜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其概率为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036</w:t>
      </w:r>
      <w:r>
        <w:rPr>
          <w:rFonts w:ascii="宋体" w:hAnsi="宋体"/>
          <w:color w:val="FF0000"/>
          <w:sz w:val="21"/>
          <w:szCs w:val="21"/>
        </w:rPr>
        <w:t>，③</w:t>
      </w:r>
      <w:r>
        <w:rPr>
          <w:rFonts w:eastAsia="仿宋"/>
          <w:color w:val="FF0000"/>
          <w:sz w:val="21"/>
          <w:szCs w:val="21"/>
        </w:rPr>
        <w:t>前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场比赛中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第三场负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另外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场全胜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其概率为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054</w:t>
      </w:r>
      <w:r>
        <w:rPr>
          <w:rFonts w:ascii="宋体" w:hAnsi="宋体"/>
          <w:color w:val="FF0000"/>
          <w:sz w:val="21"/>
          <w:szCs w:val="21"/>
        </w:rPr>
        <w:t>，④</w:t>
      </w:r>
      <w:r>
        <w:rPr>
          <w:rFonts w:eastAsia="仿宋"/>
          <w:color w:val="FF0000"/>
          <w:sz w:val="21"/>
          <w:szCs w:val="21"/>
        </w:rPr>
        <w:t>前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场比赛中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第四场负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另外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场全胜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其概率为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054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则甲队以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获胜的概率为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036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036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054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054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F1A8FA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在一场乒乓球赛中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丁四人角逐冠军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现有两种赛制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一种是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单败淘汰制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具体赛制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抽签决定两两对阵人员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胜者晋级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胜者区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并进行最后的冠军决赛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胜者获得冠军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败者获得第二名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败者进入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败者区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并进行比赛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决定第三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四名的归属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另一种是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双败淘汰制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具体赛制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首先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四人通过抽签两两对阵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胜者进入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胜区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败者进入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败区</w:t>
      </w:r>
      <w:r>
        <w:rPr>
          <w:rFonts w:ascii="宋体" w:hAnsi="宋体"/>
          <w:sz w:val="21"/>
          <w:szCs w:val="21"/>
        </w:rPr>
        <w:t>”；</w:t>
      </w:r>
      <w:r>
        <w:rPr>
          <w:rFonts w:hint="eastAsia"/>
          <w:sz w:val="21"/>
          <w:szCs w:val="21"/>
        </w:rPr>
        <w:t>接下来</w:t>
      </w:r>
      <w:r>
        <w:rPr>
          <w:rFonts w:ascii="宋体" w:hAnsi="宋体"/>
          <w:sz w:val="21"/>
          <w:szCs w:val="21"/>
        </w:rPr>
        <w:t>，“</w:t>
      </w:r>
      <w:r>
        <w:rPr>
          <w:rFonts w:hint="eastAsia"/>
          <w:sz w:val="21"/>
          <w:szCs w:val="21"/>
        </w:rPr>
        <w:t>胜区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的两人对阵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胜者进入最后决赛</w:t>
      </w:r>
      <w:r>
        <w:rPr>
          <w:rFonts w:ascii="宋体" w:hAnsi="宋体"/>
          <w:sz w:val="21"/>
          <w:szCs w:val="21"/>
        </w:rPr>
        <w:t>；“</w:t>
      </w:r>
      <w:r>
        <w:rPr>
          <w:rFonts w:hint="eastAsia"/>
          <w:sz w:val="21"/>
          <w:szCs w:val="21"/>
        </w:rPr>
        <w:t>败区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的两人对阵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败者直接淘汰出局获得第四名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紧接着</w:t>
      </w:r>
      <w:r>
        <w:rPr>
          <w:rFonts w:ascii="宋体" w:hAnsi="宋体"/>
          <w:sz w:val="21"/>
          <w:szCs w:val="21"/>
        </w:rPr>
        <w:t>，“</w:t>
      </w:r>
      <w:r>
        <w:rPr>
          <w:rFonts w:hint="eastAsia"/>
          <w:sz w:val="21"/>
          <w:szCs w:val="21"/>
        </w:rPr>
        <w:t>败区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的胜者和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胜区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的败者对阵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胜者晋级最后的决赛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败者获得第三名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最后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剩下的两人进行最后的冠军决赛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胜者获得冠军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败者获得第二名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已知甲对阵乙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丁获胜的概率均为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且不同对阵的结果相互独立</w:t>
      </w:r>
      <w:r>
        <w:rPr>
          <w:rFonts w:ascii="宋体" w:hAnsi="宋体"/>
          <w:sz w:val="21"/>
          <w:szCs w:val="21"/>
        </w:rPr>
        <w:t>.</w:t>
      </w:r>
    </w:p>
    <w:p w14:paraId="3E11AC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经抽签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第一轮由甲对阵乙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丙对阵丁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求甲在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双败淘汰制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下参与对阵的比赛场数的数学期望</w:t>
      </w:r>
      <w:r>
        <w:rPr>
          <w:rFonts w:ascii="宋体" w:hAnsi="宋体"/>
          <w:sz w:val="21"/>
          <w:szCs w:val="21"/>
        </w:rPr>
        <w:t>；</w:t>
      </w:r>
    </w:p>
    <w:p w14:paraId="46263D4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依据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的取值情况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判断哪种赛制对甲夺冠有利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请说明理由</w:t>
      </w:r>
      <w:r>
        <w:rPr>
          <w:rFonts w:ascii="宋体" w:hAnsi="宋体"/>
          <w:sz w:val="21"/>
          <w:szCs w:val="21"/>
        </w:rPr>
        <w:t>.</w:t>
      </w:r>
    </w:p>
    <w:p w14:paraId="2F66011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记甲在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双败淘汰制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下参与对阵的比赛场数为随机变量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154BE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的所有可能取值为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32404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甲连负两局得第四名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1469B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甲连胜两局进决赛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或负胜负得第三名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或胜负负得第三名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A6545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）×（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552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817180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甲以前三局依次为胜负胜或负胜胜的赛果进入决赛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3DB15C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288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F7518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的分布列为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2750"/>
        <w:gridCol w:w="3440"/>
        <w:gridCol w:w="3440"/>
      </w:tblGrid>
      <w:tr w14:paraId="2B2CF1DE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3" w:type="pct"/>
            <w:tcMar>
              <w:left w:w="0" w:type="dxa"/>
              <w:right w:w="0" w:type="dxa"/>
            </w:tcMar>
            <w:vAlign w:val="center"/>
          </w:tcPr>
          <w:p w14:paraId="712A906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</w:p>
        </w:tc>
        <w:tc>
          <w:tcPr>
            <w:tcW w:w="1313" w:type="pct"/>
            <w:tcMar>
              <w:left w:w="0" w:type="dxa"/>
              <w:right w:w="0" w:type="dxa"/>
            </w:tcMar>
            <w:vAlign w:val="center"/>
          </w:tcPr>
          <w:p w14:paraId="4A25CFE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</w:t>
            </w:r>
          </w:p>
        </w:tc>
        <w:tc>
          <w:tcPr>
            <w:tcW w:w="1642" w:type="pct"/>
            <w:tcMar>
              <w:left w:w="0" w:type="dxa"/>
              <w:right w:w="0" w:type="dxa"/>
            </w:tcMar>
            <w:vAlign w:val="center"/>
          </w:tcPr>
          <w:p w14:paraId="3E7F952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3</w:t>
            </w:r>
          </w:p>
        </w:tc>
        <w:tc>
          <w:tcPr>
            <w:tcW w:w="1642" w:type="pct"/>
            <w:tcMar>
              <w:left w:w="0" w:type="dxa"/>
              <w:right w:w="0" w:type="dxa"/>
            </w:tcMar>
            <w:vAlign w:val="center"/>
          </w:tcPr>
          <w:p w14:paraId="1BA6910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4</w:t>
            </w:r>
          </w:p>
        </w:tc>
      </w:tr>
      <w:tr w14:paraId="54E6AC10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3" w:type="pct"/>
            <w:tcMar>
              <w:left w:w="0" w:type="dxa"/>
              <w:right w:w="0" w:type="dxa"/>
            </w:tcMar>
            <w:vAlign w:val="center"/>
          </w:tcPr>
          <w:p w14:paraId="5997F40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P</w:t>
            </w:r>
          </w:p>
        </w:tc>
        <w:tc>
          <w:tcPr>
            <w:tcW w:w="1313" w:type="pct"/>
            <w:tcMar>
              <w:left w:w="0" w:type="dxa"/>
              <w:right w:w="0" w:type="dxa"/>
            </w:tcMar>
            <w:vAlign w:val="center"/>
          </w:tcPr>
          <w:p w14:paraId="2C8A62F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.</w:t>
            </w:r>
            <w:r>
              <w:rPr>
                <w:color w:val="FF0000"/>
                <w:sz w:val="21"/>
                <w:szCs w:val="21"/>
              </w:rPr>
              <w:t>16</w:t>
            </w:r>
          </w:p>
        </w:tc>
        <w:tc>
          <w:tcPr>
            <w:tcW w:w="1642" w:type="pct"/>
            <w:tcMar>
              <w:left w:w="0" w:type="dxa"/>
              <w:right w:w="0" w:type="dxa"/>
            </w:tcMar>
            <w:vAlign w:val="center"/>
          </w:tcPr>
          <w:p w14:paraId="21925E7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.</w:t>
            </w:r>
            <w:r>
              <w:rPr>
                <w:color w:val="FF0000"/>
                <w:sz w:val="21"/>
                <w:szCs w:val="21"/>
              </w:rPr>
              <w:t>552</w:t>
            </w:r>
          </w:p>
        </w:tc>
        <w:tc>
          <w:tcPr>
            <w:tcW w:w="1642" w:type="pct"/>
            <w:tcMar>
              <w:left w:w="0" w:type="dxa"/>
              <w:right w:w="0" w:type="dxa"/>
            </w:tcMar>
            <w:vAlign w:val="center"/>
          </w:tcPr>
          <w:p w14:paraId="1F1C572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.</w:t>
            </w:r>
            <w:r>
              <w:rPr>
                <w:color w:val="FF0000"/>
                <w:sz w:val="21"/>
                <w:szCs w:val="21"/>
              </w:rPr>
              <w:t>288</w:t>
            </w:r>
          </w:p>
        </w:tc>
      </w:tr>
    </w:tbl>
    <w:p w14:paraId="1F8249B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552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288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128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B0DA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双败淘汰制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下甲夺冠的概率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645136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单败淘汰制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下甲夺冠的概率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27C842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F9368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双败淘汰制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对甲夺冠有利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02166EA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单败淘汰制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对甲夺冠有利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257821F7">
      <w:pPr>
        <w:tabs>
          <w:tab w:val="left" w:pos="3261"/>
        </w:tabs>
        <w:overflowPunct w:val="0"/>
        <w:snapToGrid w:val="0"/>
        <w:spacing w:line="360" w:lineRule="auto"/>
        <w:rPr>
          <w:rFonts w:hint="default" w:eastAsia="仿宋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两种赛制下甲夺冠的概率一样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87761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A91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2655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22AA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26DA3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2F64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05502257"/>
    <w:rsid w:val="164A00D0"/>
    <w:rsid w:val="68A3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4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5</Pages>
  <Words>1618</Words>
  <Characters>1790</Characters>
  <Lines>136</Lines>
  <Paragraphs>38</Paragraphs>
  <TotalTime>1850</TotalTime>
  <ScaleCrop>false</ScaleCrop>
  <LinksUpToDate>false</LinksUpToDate>
  <CharactersWithSpaces>1812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2026-07-14T16:18:14Z</dcterms:modified>
  <dc:title>Medical NOte</dc:title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2CFD1FF90CF041D48D674D558EE85AF4_12</vt:lpwstr>
  </property>
</Properties>
</file>