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mc="http://schemas.openxmlformats.org/markup-compatibility/2006" xmlns:ck="urn:clarkdown:docx" mc:Ignorable="ck">
  <w:body>
    <w:p>
      <w:pPr>
        <w:pStyle w:val="Title"/>
        <ck:id v="section"/>
      </w:pPr>
      <w:bookmarkStart w:id="0" w:name="section"/>
      <w:r>
        <w:t>仿真服务平台小程序：长期落地实施方案</w:t>
      </w:r>
      <w:bookmarkEnd w:id="0"/>
    </w:p>
    <w:p>
      <w:r>
        <w:rPr>
          <w:rStyle w:val="CkMuted"/>
        </w:rPr>
        <w:t>基于《仿真服务平台小程序·完整开发方案》编制 · 2026 年 7 月 · 落地口径：1–2 人开发团队 + 腾讯云</w:t>
      </w:r>
    </w:p>
    <w:p>
      <w:r>
        <w:t>原方案已把「功能做什么」定义得比较完整，本方案回答「怎么真正做出来、上得了线、长期跑得住」：技术选型定案、云架构与费用、资质与资金合规、现实排期、测试上线、运维监控与两年路线图。功能规格仍以原方案为准，本文不重复功能细节。</w:t>
      </w:r>
    </w:p>
    <w:p>
      <w:fldSimple w:instr="TOC \o &quot;1-3&quot; \h \z \u" w:dirty="true">
        <w:r>
          <w:t>Table of Contents</w:t>
        </w:r>
      </w:fldSimple>
    </w:p>
    <w:p>
      <w:pPr>
        <w:pStyle w:val="Heading2"/>
        <ck:id v="summary"/>
      </w:pPr>
      <w:bookmarkStart w:id="1" w:name="summary"/>
      <w:r>
        <w:t>一、结论速览（定案表）</w:t>
      </w:r>
      <w:bookmarkEnd w:id="1"/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决策项</w:t>
            </w:r>
          </w:p>
        </w:tc>
        <w:tc>
          <w:tcPr/>
          <w:p>
            <w:r>
              <w:rPr>
                <w:b/>
              </w:rPr>
              <w:t>定案</w:t>
            </w:r>
          </w:p>
        </w:tc>
        <w:tc>
          <w:tcPr/>
          <w:p>
            <w:r>
              <w:rPr>
                <w:b/>
              </w:rPr>
              <w:t>一句话理由</w:t>
            </w:r>
          </w:p>
        </w:tc>
      </w:tr>
      <w:tr>
        <w:tc>
          <w:tcPr/>
          <w:p>
            <w:r>
              <w:t>小程序前端</w:t>
            </w:r>
          </w:p>
        </w:tc>
        <w:tc>
          <w:tcPr/>
          <w:p>
            <w:r>
              <w:t>微信原生 + TDesign 组件库</w:t>
            </w:r>
          </w:p>
        </w:tc>
        <w:tc>
          <w:tcPr/>
          <w:p>
            <w:r>
              <w:t>只做微信端，原生最稳、审核兼容性最好，省去跨端框架学习成本</w:t>
            </w:r>
          </w:p>
        </w:tc>
      </w:tr>
      <w:tr>
        <w:tc>
          <w:tcPr/>
          <w:p>
            <w:r>
              <w:t>管理端</w:t>
            </w:r>
          </w:p>
        </w:tc>
        <w:tc>
          <w:tcPr/>
          <w:p>
            <w:r>
              <w:t>独立 Web 后台（Vue3 + Element Plus）</w:t>
            </w:r>
          </w:p>
        </w:tc>
        <w:tc>
          <w:tcPr/>
          <w:p>
            <w:r>
              <w:t>管理员在 PC 上工作，做进小程序既难用又拖累审核，此处修正原方案</w:t>
            </w:r>
          </w:p>
        </w:tc>
      </w:tr>
      <w:tr>
        <w:tc>
          <w:tcPr/>
          <w:p>
            <w:r>
              <w:t>后端</w:t>
            </w:r>
          </w:p>
        </w:tc>
        <w:tc>
          <w:tcPr/>
          <w:p>
            <w:r>
              <w:t>Node.js 20 LTS + NestJS + TypeScript</w:t>
            </w:r>
          </w:p>
        </w:tc>
        <w:tc>
          <w:tcPr/>
          <w:p>
            <w:r>
              <w:t>与前端同语言，1–2 人效率最高；详见第三节</w:t>
            </w:r>
          </w:p>
        </w:tc>
      </w:tr>
      <w:tr>
        <w:tc>
          <w:tcPr/>
          <w:p>
            <w:r>
              <w:t>数据库</w:t>
            </w:r>
          </w:p>
        </w:tc>
        <w:tc>
          <w:tcPr/>
          <w:p>
            <w:r>
              <w:t>腾讯云 MySQL（双节点）+ Redis（初期自建于服务器）</w:t>
            </w:r>
          </w:p>
        </w:tc>
        <w:tc>
          <w:tcPr/>
          <w:p>
            <w:r>
              <w:t>数据库绝不自建保数据安全，Redis 初期省钱自建</w:t>
            </w:r>
          </w:p>
        </w:tc>
      </w:tr>
      <w:tr>
        <w:tc>
          <w:tcPr/>
          <w:p>
            <w:r>
              <w:t>文件存储</w:t>
            </w:r>
          </w:p>
        </w:tc>
        <w:tc>
          <w:tcPr/>
          <w:p>
            <w:r>
              <w:t>腾讯云 COS 小程序端直传 + CDN</w:t>
            </w:r>
          </w:p>
        </w:tc>
        <w:tc>
          <w:tcPr/>
          <w:p>
            <w:r>
              <w:t>仿真模型文件大，不能经后端中转</w:t>
            </w:r>
          </w:p>
        </w:tc>
      </w:tr>
      <w:tr>
        <w:tc>
          <w:tcPr/>
          <w:p>
            <w:r>
              <w:t>云部署</w:t>
            </w:r>
          </w:p>
        </w:tc>
        <w:tc>
          <w:tcPr/>
          <w:p>
            <w:r>
              <w:t>腾讯云轻量服务器 + Docker Compose</w:t>
            </w:r>
          </w:p>
        </w:tc>
        <w:tc>
          <w:tcPr/>
          <w:p>
            <w:r>
              <w:t>明确不用 K8s、Kafka、ELK，1–2 人守不住</w:t>
            </w:r>
          </w:p>
        </w:tc>
      </w:tr>
      <w:tr>
        <w:tc>
          <w:tcPr/>
          <w:p>
            <w:r>
              <w:t>支付</w:t>
            </w:r>
          </w:p>
        </w:tc>
        <w:tc>
          <w:tcPr/>
          <w:p>
            <w:r>
              <w:t>微信支付（去掉支付宝）；自营模式起步，规模化后切电商收付通</w:t>
            </w:r>
          </w:p>
        </w:tc>
        <w:tc>
          <w:tcPr/>
          <w:p>
            <w:r>
              <w:t>小程序内无法使用支付宝；资金合规详见第五节</w:t>
            </w:r>
          </w:p>
        </w:tc>
      </w:tr>
      <w:tr>
        <w:tc>
          <w:tcPr/>
          <w:p>
            <w:r>
              <w:t>工期</w:t>
            </w:r>
          </w:p>
        </w:tc>
        <w:tc>
          <w:tcPr/>
          <w:p>
            <w:r>
              <w:t>MVP 约 4 个月，公测约 6 个月</w:t>
            </w:r>
          </w:p>
        </w:tc>
        <w:tc>
          <w:tcPr/>
          <w:p>
            <w:r>
              <w:t>原方案 4–6 周的 MVP 排期按 1–2 人不现实，重排</w:t>
            </w:r>
          </w:p>
        </w:tc>
      </w:tr>
      <w:tr>
        <w:tc>
          <w:tcPr/>
          <w:p>
            <w:r>
              <w:t>首年现金成本</w:t>
            </w:r>
          </w:p>
        </w:tc>
        <w:tc>
          <w:tcPr/>
          <w:p>
            <w:r>
              <w:t>约 1.2–2.5 万元（不含人力；EDI、等保为第二年 4–6 万级投入）</w:t>
            </w:r>
          </w:p>
        </w:tc>
        <w:tc>
          <w:tcPr/>
          <w:p>
            <w:r>
              <w:t>明细见第十节</w:t>
            </w:r>
          </w:p>
        </w:tc>
      </w:tr>
    </w:tbl>
    <w:p>
      <w:pPr>
        <w:pStyle w:val="Heading2"/>
        <ck:id v="review"/>
      </w:pPr>
      <w:bookmarkStart w:id="2" w:name="review"/>
      <w:r>
        <w:t>二、对原方案的七处关键修正</w:t>
      </w:r>
      <w:bookmarkEnd w:id="2"/>
    </w:p>
    <w:p>
      <w:pPr>
        <w:pStyle w:val="ListParagraph"/>
        <w:numPr>
          <w:ilvl w:val="0"/>
          <w:numId w:val="1"/>
        </w:numPr>
      </w:pPr>
      <w:r>
        <w:t>**管理员端从小程序改为 Web 后台。**客服工单、纠纷仲裁、财务结算都是多窗口、大表格作业，小程序形态不可用；且管理员功能塞进同一个小程序会增加审核风险。小程序内只保留客户端与工程师端两种角色。</w:t>
      </w:r>
    </w:p>
    <w:p>
      <w:pPr>
        <w:pStyle w:val="ListParagraph"/>
        <w:numPr>
          <w:ilvl w:val="0"/>
          <w:numId w:val="1"/>
        </w:numPr>
      </w:pPr>
      <w:r>
        <w:t>**删除支付宝。**微信小程序内只能调起微信支付，支付宝无法在小程序内合规使用。原方案 9.1 与 5.5.1 的「支付宝」通道取消；后续做 H5 或 PC 官网时再考虑。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资金流向必须重新设计。</w:t>
      </w:r>
      <w:r>
        <w:t>「客户付款给平台、平台再转给工程师」的直觉做法涉及无证从事资金清算（俗称二清），是平台型产品最大的合规风险，微信支付会对此风控直至冻结商户号。解决路径见第五节，这是本方案最重要的一节。</w:t>
      </w:r>
    </w:p>
    <w:p>
      <w:pPr>
        <w:pStyle w:val="ListParagraph"/>
        <w:numPr>
          <w:ilvl w:val="0"/>
          <w:numId w:val="1"/>
        </w:numPr>
      </w:pPr>
      <w:r>
        <w:t>**大文件不走后端。**模型文件单个可达上百 MB，必须由小程序端使用 COS SDK 携带 STS 临时密钥直传对象存储、分片上传，后端只记录元数据；下载走 CDN 签名 URL。原方案 100MB/500MB 的限制由 COS 策略与前端校验实现，而不是后端接口。</w:t>
      </w:r>
    </w:p>
    <w:p>
      <w:pPr>
        <w:pStyle w:val="ListParagraph"/>
        <w:numPr>
          <w:ilvl w:val="0"/>
          <w:numId w:val="1"/>
        </w:numPr>
      </w:pPr>
      <w:r>
        <w:t>**技术栈瘦身。**原方案第十一节列出的 Kubernetes、Kafka、RabbitMQ、ELK 全部砍掉，替换为 Docker Compose、Redis 队列（BullMQ）、腾讯云 CLS 日志服务。1–2 人团队的运维预算只够养一套「无聊但稳」的架构。</w:t>
      </w:r>
    </w:p>
    <w:p>
      <w:pPr>
        <w:pStyle w:val="ListParagraph"/>
        <w:numPr>
          <w:ilvl w:val="0"/>
          <w:numId w:val="1"/>
        </w:numPr>
      </w:pPr>
      <w:r>
        <w:t>**UGC 内容安全是上线硬门槛。**平台含用户昵称、头像、需求描述、聊天、评价等大量用户生成内容，提审时必须声明 UGC 场景并接入微信内容安全接口（文本 msgSecCheck、图片/媒体 mediaCheck），否则大概率被拒。原方案未提及。</w:t>
      </w:r>
    </w:p>
    <w:p>
      <w:pPr>
        <w:pStyle w:val="ListParagraph"/>
        <w:numPr>
          <w:ilvl w:val="0"/>
          <w:numId w:val="1"/>
        </w:numPr>
      </w:pPr>
      <w:r>
        <w:t>**数据库细节修正。**订单状态等枚举改用英文值（中文枚举迁移、比较都易出错）；金额一律以「分」为单位用整数存储；补齐索引、软删除标记与操作审计表；所有表结构变更通过迁移工具管理（Prisma Migrate），禁止手改线上库。</w:t>
      </w:r>
    </w:p>
    <w:p>
      <w:pPr>
        <w:pStyle w:val="Heading2"/>
        <ck:id v="stack"/>
      </w:pPr>
      <w:bookmarkStart w:id="3" w:name="stack"/>
      <w:r>
        <w:t>三、技术选型定案与理由</w:t>
      </w:r>
      <w:bookmarkEnd w:id="3"/>
    </w:p>
    <w:p>
      <w:r>
        <w:t>**后端定为 Node.js 20 LTS + NestJS + TypeScript。**理由：其一，小程序端本就是 JavaScript/TypeScript，前后端同语言意味着 1–2 人团队只维护一套语言生态，接口类型定义（DTO）可以前后端共享，联调成本最低；其二，本项目是典型的 IO 密集型业务（订单、消息、文件、回调），没有重计算，Node 的性能与内存占用完全够用，比 Spring Boot 省一半以上的服务器内存；其三，NestJS 自带模块化、依赖注入、守卫（鉴权）、拦截器等企业级约定，避免 Express 裸写导致的结构混乱，长期可维护；其四，微信支付 v3、COS、短信等腾讯系 SDK 的 Node 版本官方维护齐全。Java 的优势在大团队协作与超大流量，这两点在可预见的两年内都不成立；Python 生态在微信支付、实时消息方向的工程化成熟度略逊。</w:t>
      </w:r>
    </w:p>
    <w:p>
      <w:r>
        <w:t>配套定案：ORM 用 Prisma（迁移体验最好）；实时消息用 Socket.IO（小程序 wx.connectSocket 兼容）；队列与缓存用 Redis + BullMQ（处理支付回调重试、超时关单、消息推送）；接口文档用 NestJS 自动生成的 OpenAPI/Swagger，兑现原方案十三节第 2 条。</w:t>
      </w:r>
    </w:p>
    <w:p>
      <w:r>
        <w:t>**小程序端定为微信原生 + TDesign。**不引入 uni-app/Taro：跨端是伪需求（两年内只做微信），而跨端框架的坑要用真实排错时间来还。TDesign 是腾讯官方组件库，视觉符合原方案第八节的设计规范，表单、上传、对话等组件齐全。状态管理用轻量的 mobx-miniprogram 或原生 store 即可，不需要 Redux。</w:t>
      </w:r>
    </w:p>
    <w:p>
      <w:r>
        <w:rPr>
          <w:b/>
        </w:rPr>
        <w:t>Web 管理后台定为 Vue3 + Element Plus + Vite</w:t>
      </w:r>
      <w:r>
        <w:t>，与后端同仓库部署，走同一套 API 与 RBAC 权限模型（对应原方案 5.6 的五种管理员角色）。</w:t>
      </w:r>
    </w:p>
    <w:p>
      <w:pPr>
        <w:pStyle w:val="Heading2"/>
        <ck:id v="cloud"/>
      </w:pPr>
      <w:bookmarkStart w:id="4" w:name="cloud"/>
      <w:r>
        <w:t>四、云架构设计（腾讯云）</w:t>
      </w:r>
      <w:bookmarkEnd w:id="4"/>
    </w:p>
    <w:p>
      <w:pPr>
        <w:pStyle w:val="Heading3"/>
        <ck:id v="cloud-arch"/>
      </w:pPr>
      <w:bookmarkStart w:id="5" w:name="cloud_arch"/>
      <w:r>
        <w:t>4.1 架构总览</w:t>
      </w:r>
      <w:bookmarkEnd w:id="5"/>
    </w:p>
    <w:p>
      <w:pPr>
        <w:pStyle w:val="CkCodeBlock"/>
        <ck:lang v=""/>
      </w:pPr>
      <w:r>
        <w:t xml:space="preserve"> 微信小程序(客户/工程师)         Web管理后台(PC浏览器)</w:t>
      </w:r>
    </w:p>
    <w:p>
      <w:pPr>
        <w:pStyle w:val="CkCodeBlock"/>
        <ck:lang v=""/>
      </w:pPr>
      <w:r>
        <w:t xml:space="preserve">        │ HTTPS                        │ HTTPS</w:t>
      </w:r>
    </w:p>
    <w:p>
      <w:pPr>
        <w:pStyle w:val="CkCodeBlock"/>
        <ck:lang v=""/>
      </w:pPr>
      <w:r>
        <w:t xml:space="preserve">        ▼                              ▼</w:t>
      </w:r>
    </w:p>
    <w:p>
      <w:pPr>
        <w:pStyle w:val="CkCodeBlock"/>
        <ck:lang v=""/>
      </w:pPr>
      <w:r>
        <w:t xml:space="preserve">   Nginx(同机) ──────► NestJS API × 2 实例 (Docker Compose)</w:t>
      </w:r>
    </w:p>
    <w:p>
      <w:pPr>
        <w:pStyle w:val="CkCodeBlock"/>
        <ck:lang v=""/>
      </w:pPr>
      <w:r>
        <w:t xml:space="preserve">        │                  │              │</w:t>
      </w:r>
    </w:p>
    <w:p>
      <w:pPr>
        <w:pStyle w:val="CkCodeBlock"/>
        <ck:lang v=""/>
      </w:pPr>
      <w:r>
        <w:t xml:space="preserve">        │                  ▼              ▼</w:t>
      </w:r>
    </w:p>
    <w:p>
      <w:pPr>
        <w:pStyle w:val="CkCodeBlock"/>
        <ck:lang v=""/>
      </w:pPr>
      <w:r>
        <w:t xml:space="preserve">        │           腾讯云MySQL      Redis + BullMQ</w:t>
      </w:r>
    </w:p>
    <w:p>
      <w:pPr>
        <w:pStyle w:val="CkCodeBlock"/>
        <ck:lang v=""/>
      </w:pPr>
      <w:r>
        <w:t xml:space="preserve">        │           (双节点高可用)    (初期同机Docker)</w:t>
      </w:r>
    </w:p>
    <w:p>
      <w:pPr>
        <w:pStyle w:val="CkCodeBlock"/>
        <ck:lang v=""/>
      </w:pPr>
      <w:r>
        <w:t xml:space="preserve">        ▼</w:t>
      </w:r>
    </w:p>
    <w:p>
      <w:pPr>
        <w:pStyle w:val="CkCodeBlock"/>
        <ck:lang v=""/>
      </w:pPr>
      <w:r>
        <w:t xml:space="preserve">   COS 对象存储 ◄─── 小程序端直传(STS临时密钥,分片)</w:t>
      </w:r>
    </w:p>
    <w:p>
      <w:pPr>
        <w:pStyle w:val="CkCodeBlock"/>
        <ck:lang v=""/>
      </w:pPr>
      <w:r>
        <w:t xml:space="preserve">        │</w:t>
      </w:r>
    </w:p>
    <w:p>
      <w:pPr>
        <w:pStyle w:val="CkCodeBlock"/>
        <ck:lang v=""/>
      </w:pPr>
      <w:r>
        <w:t xml:space="preserve">        ▼</w:t>
      </w:r>
    </w:p>
    <w:p>
      <w:pPr>
        <w:pStyle w:val="CkCodeBlock"/>
        <ck:lang v=""/>
      </w:pPr>
      <w:r>
        <w:t xml:space="preserve">   CDN 签名URL下载</w:t>
      </w:r>
    </w:p>
    <w:p>
      <w:pPr>
        <w:pStyle w:val="CkCodeBlock"/>
        <ck:lang v=""/>
      </w:pPr>
      <w:r>
        <w:t xml:space="preserve">   周边云API: 微信支付v3 · 订阅消息 · 短信 · 内容安全</w:t>
      </w:r>
    </w:p>
    <w:p>
      <w:pPr>
        <w:pStyle w:val="Heading3"/>
        <ck:id v="cloud-list"/>
      </w:pPr>
      <w:bookmarkStart w:id="6" w:name="cloud_list"/>
      <w:r>
        <w:t>4.2 起步版产品清单（支撑约日活数千、日订单数百）</w:t>
      </w:r>
      <w:bookmarkEnd w:id="6"/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腾讯云产品</w:t>
            </w:r>
          </w:p>
        </w:tc>
        <w:tc>
          <w:tcPr/>
          <w:p>
            <w:r>
              <w:rPr>
                <w:b/>
              </w:rPr>
              <w:t>规格</w:t>
            </w:r>
          </w:p>
        </w:tc>
        <w:tc>
          <w:tcPr/>
          <w:p>
            <w:r>
              <w:rPr>
                <w:b/>
              </w:rPr>
              <w:t>用途</w:t>
            </w:r>
          </w:p>
        </w:tc>
        <w:tc>
          <w:tcPr/>
          <w:p>
            <w:r>
              <w:rPr>
                <w:b/>
              </w:rPr>
              <w:t>费用量级（以官网实时价为准）</w:t>
            </w:r>
          </w:p>
        </w:tc>
      </w:tr>
      <w:tr>
        <w:tc>
          <w:tcPr/>
          <w:p>
            <w:r>
              <w:t>轻量应用服务器（生产）</w:t>
            </w:r>
          </w:p>
        </w:tc>
        <w:tc>
          <w:tcPr/>
          <w:p>
            <w:r>
              <w:t>4核8G，5M带宽</w:t>
            </w:r>
          </w:p>
        </w:tc>
        <w:tc>
          <w:tcPr/>
          <w:p>
            <w:r>
              <w:t>API、Nginx、Redis、后台前端</w:t>
            </w:r>
          </w:p>
        </w:tc>
        <w:tc>
          <w:tcPr/>
          <w:p>
            <w:r>
              <w:t>新购促销约 450 元/首年，续费约 2000–2600 元/年</w:t>
            </w:r>
          </w:p>
        </w:tc>
      </w:tr>
      <w:tr>
        <w:tc>
          <w:tcPr/>
          <w:p>
            <w:r>
              <w:t>轻量应用服务器（测试）</w:t>
            </w:r>
          </w:p>
        </w:tc>
        <w:tc>
          <w:tcPr/>
          <w:p>
            <w:r>
              <w:t>2核4G</w:t>
            </w:r>
          </w:p>
        </w:tc>
        <w:tc>
          <w:tcPr/>
          <w:p>
            <w:r>
              <w:t>测试环境，可随用随开</w:t>
            </w:r>
          </w:p>
        </w:tc>
        <w:tc>
          <w:tcPr/>
          <w:p>
            <w:r>
              <w:t>约 200–1000 元/年</w:t>
            </w:r>
          </w:p>
        </w:tc>
      </w:tr>
      <w:tr>
        <w:tc>
          <w:tcPr/>
          <w:p>
            <w:r>
              <w:t>云数据库 MySQL</w:t>
            </w:r>
          </w:p>
        </w:tc>
        <w:tc>
          <w:tcPr/>
          <w:p>
            <w:r>
              <w:t>2核4G 双节点高可用</w:t>
            </w:r>
          </w:p>
        </w:tc>
        <w:tc>
          <w:tcPr/>
          <w:p>
            <w:r>
              <w:t>业务主库，自动备份</w:t>
            </w:r>
          </w:p>
        </w:tc>
        <w:tc>
          <w:tcPr/>
          <w:p>
            <w:r>
              <w:t>约 3000–5000 元/年</w:t>
            </w:r>
          </w:p>
        </w:tc>
      </w:tr>
      <w:tr>
        <w:tc>
          <w:tcPr/>
          <w:p>
            <w:r>
              <w:t>COS 对象存储</w:t>
            </w:r>
          </w:p>
        </w:tc>
        <w:tc>
          <w:tcPr/>
          <w:p>
            <w:r>
              <w:t>按量，标准存储</w:t>
            </w:r>
          </w:p>
        </w:tc>
        <w:tc>
          <w:tcPr/>
          <w:p>
            <w:r>
              <w:t>模型文件、成果、图片、发票</w:t>
            </w:r>
          </w:p>
        </w:tc>
        <w:tc>
          <w:tcPr/>
          <w:p>
            <w:r>
              <w:t>100GB 级约 200–600 元/年</w:t>
            </w:r>
          </w:p>
        </w:tc>
      </w:tr>
      <w:tr>
        <w:tc>
          <w:tcPr/>
          <w:p>
            <w:r>
              <w:t>CDN</w:t>
            </w:r>
          </w:p>
        </w:tc>
        <w:tc>
          <w:tcPr/>
          <w:p>
            <w:r>
              <w:t>按量</w:t>
            </w:r>
          </w:p>
        </w:tc>
        <w:tc>
          <w:tcPr/>
          <w:p>
            <w:r>
              <w:t>文件与静态资源下载加速</w:t>
            </w:r>
          </w:p>
        </w:tc>
        <w:tc>
          <w:tcPr/>
          <w:p>
            <w:r>
              <w:t>与流量相关，初期每年数十至数百元</w:t>
            </w:r>
          </w:p>
        </w:tc>
      </w:tr>
      <w:tr>
        <w:tc>
          <w:tcPr/>
          <w:p>
            <w:r>
              <w:t>CLS 日志服务</w:t>
            </w:r>
          </w:p>
        </w:tc>
        <w:tc>
          <w:tcPr/>
          <w:p>
            <w:r>
              <w:t>按量</w:t>
            </w:r>
          </w:p>
        </w:tc>
        <w:tc>
          <w:tcPr/>
          <w:p>
            <w:r>
              <w:t>API 与 Nginx 日志检索、告警</w:t>
            </w:r>
          </w:p>
        </w:tc>
        <w:tc>
          <w:tcPr/>
          <w:p>
            <w:r>
              <w:t>初期每月约数元至数十元</w:t>
            </w:r>
          </w:p>
        </w:tc>
      </w:tr>
      <w:tr>
        <w:tc>
          <w:tcPr/>
          <w:p>
            <w:r>
              <w:t>云监控 + 短信</w:t>
            </w:r>
          </w:p>
        </w:tc>
        <w:tc>
          <w:tcPr/>
          <w:p>
            <w:r>
              <w:t>免费额度 + 按量</w:t>
            </w:r>
          </w:p>
        </w:tc>
        <w:tc>
          <w:tcPr/>
          <w:p>
            <w:r>
              <w:t>告警通知、验证码短信</w:t>
            </w:r>
          </w:p>
        </w:tc>
        <w:tc>
          <w:tcPr/>
          <w:p>
            <w:r>
              <w:t>短信约 0.045 元/条</w:t>
            </w:r>
          </w:p>
        </w:tc>
      </w:tr>
      <w:tr>
        <w:tc>
          <w:tcPr/>
          <w:p>
            <w:r>
              <w:t>SSL 证书</w:t>
            </w:r>
          </w:p>
        </w:tc>
        <w:tc>
          <w:tcPr/>
          <w:p>
            <w:r>
              <w:t>免费证书（90 天自动续期脚本）</w:t>
            </w:r>
          </w:p>
        </w:tc>
        <w:tc>
          <w:tcPr/>
          <w:p>
            <w:r>
              <w:t>api 域名与后台域名 HTTPS</w:t>
            </w:r>
          </w:p>
        </w:tc>
        <w:tc>
          <w:tcPr/>
          <w:p>
            <w:r>
              <w:t>0 元</w:t>
            </w:r>
          </w:p>
        </w:tc>
      </w:tr>
    </w:tbl>
    <w:p>
      <w:r>
        <w:t>说明：数据库是唯一不允许省的项——必须用云数据库双节点而不是自建，换来自动备份、秒级恢复与主备切换。Redis 初期以 Docker 跑在生产机上（丢了可重建，不存关键数据），月订单过千后再迁云 Redis。</w:t>
      </w:r>
    </w:p>
    <w:p>
      <w:pPr>
        <w:pStyle w:val="Heading3"/>
        <ck:id v="cloud-env"/>
      </w:pPr>
      <w:bookmarkStart w:id="7" w:name="cloud_env"/>
      <w:r>
        <w:t>4.3 环境与部署</w:t>
      </w:r>
      <w:bookmarkEnd w:id="7"/>
    </w:p>
    <w:p>
      <w:r>
        <w:t>三套环境：本地开发（Docker Compose 一键起 MySQL/Redis）、测试环境（测试机 + 体验版小程序）、生产环境。代码托管在 GitHub 或腾讯云 CODING 私有仓库，主分支保护；CI/CD 用 GitHub Actions：推送打 tag 后自动构建镜像、SSH 到服务器执行 docker compose up -d 滚动更新，回滚即重新部署上一个 tag。密钥（数据库口令、微信支付证书、COS 密钥）一律不进仓库，放服务器环境变量或腾讯云 SSM 凭据管理。</w:t>
      </w:r>
    </w:p>
    <w:p>
      <w:pPr>
        <w:pStyle w:val="Heading3"/>
        <ck:id v="cloud-scale"/>
      </w:pPr>
      <w:bookmarkStart w:id="8" w:name="cloud_scale"/>
      <w:r>
        <w:t>4.4 成长版扩容路径（写进架构，暂不花钱）</w:t>
      </w:r>
      <w:bookmarkEnd w:id="8"/>
    </w:p>
    <w:p>
      <w:r>
        <w:t>流量增长后的每一步都是平滑替换：轻量服务器换 CVM + 负载均衡 CLB 横向加节点 → Redis 迁云 Redis → MySQL 升配并加只读实例（读写分离）→ 大促/高峰用弹性伸缩。整个过程不需要改应用架构，因为从第一天起 API 就是无状态容器（会话在 Redis、文件在 COS）。K8s（TKE）只在团队扩到 5 人以上、服务确需拆分时再评估。</w:t>
      </w:r>
    </w:p>
    <w:p>
      <w:pPr>
        <w:pStyle w:val="Heading3"/>
        <ck:id v="cloud-msg"/>
      </w:pPr>
      <w:bookmarkStart w:id="9" w:name="cloud_msg"/>
      <w:r>
        <w:t>4.5 消息与通知的落地方式</w:t>
      </w:r>
      <w:bookmarkEnd w:id="9"/>
    </w:p>
    <w:p>
      <w:r>
        <w:t>会话内实时消息用 Socket.IO 长连接，掉线回退轮询；用户不在线时的触达用微信「订阅消息」（下发前需用户订阅授权，适合报价到达、支付成功、交付提醒、纠纷进展等原方案 6.1.2 的系统通知）；强触达兜底用短信。注意模板消息已被微信废弃，原方案如有此假设一并修正。</w:t>
      </w:r>
    </w:p>
    <w:p>
      <w:pPr>
        <w:pStyle w:val="Heading2"/>
        <ck:id v="payment"/>
      </w:pPr>
      <w:bookmarkStart w:id="10" w:name="payment"/>
      <w:r>
        <w:t>五、资金合规与支付方案（平台生死线）</w:t>
      </w:r>
      <w:bookmarkEnd w:id="10"/>
    </w:p>
    <w:p>
      <w:pPr>
        <w:pStyle w:val="CkWarning"/>
      </w:pPr>
      <w:r>
        <w:t>平台商户号收客户全款、再私下转账给工程师，属于「无证经营支付业务」（二清）。这是监管与微信支付风控的红线，轻则限制商户号功能、冻结结算，重则承担法律责任。本节路径务必按阶段执行。</w:t>
      </w:r>
    </w:p>
    <w:p>
      <w:pPr>
        <w:pStyle w:val="Heading3"/>
        <ck:id v="payment-paths"/>
      </w:pPr>
      <w:bookmarkStart w:id="11" w:name="payment_paths"/>
      <w:r>
        <w:t>5.1 四条资金路径对比</w:t>
      </w:r>
      <w:bookmarkEnd w:id="11"/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路径</w:t>
            </w:r>
          </w:p>
        </w:tc>
        <w:tc>
          <w:tcPr/>
          <w:p>
            <w:r>
              <w:rPr>
                <w:b/>
              </w:rPr>
              <w:t>资金流</w:t>
            </w:r>
          </w:p>
        </w:tc>
        <w:tc>
          <w:tcPr/>
          <w:p>
            <w:r>
              <w:rPr>
                <w:b/>
              </w:rPr>
              <w:t>合规性</w:t>
            </w:r>
          </w:p>
        </w:tc>
        <w:tc>
          <w:tcPr/>
          <w:p>
            <w:r>
              <w:rPr>
                <w:b/>
              </w:rPr>
              <w:t>前置条件</w:t>
            </w:r>
          </w:p>
        </w:tc>
        <w:tc>
          <w:tcPr/>
          <w:p>
            <w:r>
              <w:rPr>
                <w:b/>
              </w:rPr>
              <w:t>适用阶段</w:t>
            </w:r>
          </w:p>
        </w:tc>
      </w:tr>
      <w:tr>
        <w:tc>
          <w:tcPr/>
          <w:p>
            <w:r>
              <w:t>A. 自营模式（推荐起步）</w:t>
            </w:r>
          </w:p>
        </w:tc>
        <w:tc>
          <w:tcPr/>
          <w:p>
            <w:r>
              <w:t>客户付款给平台购买「仿真技术服务」，平台以劳务外包方式与工程师结算</w:t>
            </w:r>
          </w:p>
        </w:tc>
        <w:tc>
          <w:tcPr/>
          <w:p>
            <w:r>
              <w:t>合规。平台是交易主体，不存在代收代付</w:t>
            </w:r>
          </w:p>
        </w:tc>
        <w:tc>
          <w:tcPr/>
          <w:p>
            <w:r>
              <w:t>普通微信支付商户号（费率约 0.6%）+ 灵活用工结算通道</w:t>
            </w:r>
          </w:p>
        </w:tc>
        <w:tc>
          <w:tcPr/>
          <w:p>
            <w:r>
              <w:t>第 0–12 个月</w:t>
            </w:r>
          </w:p>
        </w:tc>
      </w:tr>
      <w:tr>
        <w:tc>
          <w:tcPr/>
          <w:p>
            <w:r>
              <w:t>B. 微信支付分账 API</w:t>
            </w:r>
          </w:p>
        </w:tc>
        <w:tc>
          <w:tcPr/>
          <w:p>
            <w:r>
              <w:t>客户付到平台商户号，通过官方分账接口分给工程师（可为实名个人）</w:t>
            </w:r>
          </w:p>
        </w:tc>
        <w:tc>
          <w:tcPr/>
          <w:p>
            <w:r>
              <w:t>合规，但默认分账比例上限 30%，付给工程师的大头超限需向微信申请调高，不一定获批</w:t>
            </w:r>
          </w:p>
        </w:tc>
        <w:tc>
          <w:tcPr/>
          <w:p>
            <w:r>
              <w:t>商户号开通分账功能</w:t>
            </w:r>
          </w:p>
        </w:tc>
        <w:tc>
          <w:tcPr/>
          <w:p>
            <w:r>
              <w:t>备选过渡</w:t>
            </w:r>
          </w:p>
        </w:tc>
      </w:tr>
      <w:tr>
        <w:tc>
          <w:tcPr/>
          <w:p>
            <w:r>
              <w:t>C. 电商收付通（推荐规模化）</w:t>
            </w:r>
          </w:p>
        </w:tc>
        <w:tc>
          <w:tcPr/>
          <w:p>
            <w:r>
              <w:t>合单支付，资金直接冻结在工程师（二级商户）名下，平台确认后解冻并自动扣佣金</w:t>
            </w:r>
          </w:p>
        </w:tc>
        <w:tc>
          <w:tcPr/>
          <w:p>
            <w:r>
              <w:t>彻底合规，官方为平台型商户设计</w:t>
            </w:r>
          </w:p>
        </w:tc>
        <w:tc>
          <w:tcPr/>
          <w:p>
            <w:r>
              <w:t>平台需持有 ICP 或 EDI 增值电信许可证，工程师需进件为二级商户</w:t>
            </w:r>
          </w:p>
        </w:tc>
        <w:tc>
          <w:tcPr/>
          <w:p>
            <w:r>
              <w:t>第 12 个月起</w:t>
            </w:r>
          </w:p>
        </w:tc>
      </w:tr>
      <w:tr>
        <w:tc>
          <w:tcPr/>
          <w:p>
            <w:r>
              <w:t>D. 平台代收 + 人工转账</w:t>
            </w:r>
          </w:p>
        </w:tc>
        <w:tc>
          <w:tcPr/>
          <w:p>
            <w:r>
              <w:t>平台收款后财务打款给工程师</w:t>
            </w:r>
          </w:p>
        </w:tc>
        <w:tc>
          <w:tcPr/>
          <w:p>
            <w:r>
              <w:t>不合规（二清），不采用</w:t>
            </w:r>
          </w:p>
        </w:tc>
        <w:tc>
          <w:tcPr/>
          <w:p>
            <w:r>
              <w:t>—</w:t>
            </w:r>
          </w:p>
        </w:tc>
        <w:tc>
          <w:tcPr/>
          <w:p>
            <w:r>
              <w:t>禁止</w:t>
            </w:r>
          </w:p>
        </w:tc>
      </w:tr>
    </w:tbl>
    <w:p>
      <w:pPr>
        <w:pStyle w:val="Heading3"/>
        <ck:id v="payment-route"/>
      </w:pPr>
      <w:bookmarkStart w:id="12" w:name="payment_route"/>
      <w:r>
        <w:t>5.2 推荐路线：自营起步，收付通规模化</w:t>
      </w:r>
      <w:bookmarkEnd w:id="12"/>
    </w:p>
    <w:p>
      <w:r>
        <w:rPr>
          <w:b/>
        </w:rPr>
        <w:t>第一阶段（上线起）采用自营模式</w:t>
      </w:r>
      <w:r>
        <w:t>：法律关系是「客户 → 平台」一份技术服务合同、「平台 → 工程师」一份外包/劳务协议，客户全款进平台对公账户，属于平台自己的营业收入，完全绕开二清问题，同时天然实现了资金托管——客户验收满意后平台再向工程师结算，纠纷退款也由平台主导，正好承接原方案 5.4 的纠纷流程。代价是平台按全额收入纳税并对交付质量承担合同责任，这在早期单量下完全可控。</w:t>
      </w:r>
    </w:p>
    <w:p>
      <w:r>
        <w:rPr>
          <w:b/>
        </w:rPr>
        <w:t>工程师结算与个税</w:t>
      </w:r>
      <w:r>
        <w:t>：平台向个人支付劳务报酬有代扣代缴义务，1–2 人团队不要手工处理。接入一家灵活用工平台（服务费一般为结算额的 5%–8%），由其完成向工程师的批量打款、个税代征与完税凭证，工程师在小程序里发起提现、后台审核后调用灵工平台 API 出款，对应原方案 5.5.3。</w:t>
      </w:r>
    </w:p>
    <w:p>
      <w:r>
        <w:rPr>
          <w:b/>
        </w:rPr>
        <w:t>第二阶段（约第 12 个月，月流水稳定后）切换电商收付通</w:t>
      </w:r>
      <w:r>
        <w:t>：届时办妥 EDI 许可证，将存量工程师进件为二级商户，平台佣金改为分账自动扣收，彻底转为「平台撮合」模式。切换只影响支付与结算模块，订单、报价、消息等模块不动——这正是第一天就把支付模块做成独立适配层的原因。</w:t>
      </w:r>
    </w:p>
    <w:p>
      <w:pPr>
        <w:pStyle w:val="Heading3"/>
        <ck:id v="payment-invoice"/>
      </w:pPr>
      <w:bookmarkStart w:id="13" w:name="payment_invoice"/>
      <w:r>
        <w:t>5.3 发票与费率备注</w:t>
      </w:r>
      <w:bookmarkEnd w:id="13"/>
    </w:p>
    <w:p>
      <w:r>
        <w:t>自营模式下发票由平台向客户开具（数电票，通过税务服务商 API 或代账会计人工开，初期人工即可），对应原方案 5.5.2 的申请-审核-上传流程可全部保留。微信支付标准费率约 0.6%，按笔从结算款中扣收，定价时计入成本。iOS 侧注意：仿真服务属于线下人工服务，不属于苹果限制的「虚拟支付」（数字内容）范畴，可正常在 iOS 微信内收款。</w:t>
      </w:r>
    </w:p>
    <w:p>
      <w:pPr>
        <w:pStyle w:val="Heading2"/>
        <ck:id v="compliance"/>
      </w:pPr>
      <w:bookmarkStart w:id="14" w:name="compliance"/>
      <w:r>
        <w:t>六、资质与合规清单</w:t>
      </w:r>
      <w:bookmarkEnd w:id="14"/>
    </w:p>
    <w:p>
      <w:pPr>
        <w:pStyle w:val="CkNote"/>
      </w:pPr>
      <w:r>
        <w:t>所有涉及审批的事项都要在写代码之前启动：ICP 备案与小程序备案不通过，小程序无法发布、服务器域名无法作为 request 合法域名。</w:t>
      </w:r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事项</w:t>
            </w:r>
          </w:p>
        </w:tc>
        <w:tc>
          <w:tcPr/>
          <w:p>
            <w:r>
              <w:rPr>
                <w:b/>
              </w:rPr>
              <w:t>办理渠道</w:t>
            </w:r>
          </w:p>
        </w:tc>
        <w:tc>
          <w:tcPr/>
          <w:p>
            <w:r>
              <w:rPr>
                <w:b/>
              </w:rPr>
              <w:t>周期</w:t>
            </w:r>
          </w:p>
        </w:tc>
        <w:tc>
          <w:tcPr/>
          <w:p>
            <w:r>
              <w:rPr>
                <w:b/>
              </w:rPr>
              <w:t>费用</w:t>
            </w:r>
          </w:p>
        </w:tc>
        <w:tc>
          <w:tcPr/>
          <w:p>
            <w:r>
              <w:rPr>
                <w:b/>
              </w:rPr>
              <w:t>阶段</w:t>
            </w:r>
          </w:p>
        </w:tc>
      </w:tr>
      <w:tr>
        <w:tc>
          <w:tcPr/>
          <w:p>
            <w:r>
              <w:t>公司主体（有限公司）</w:t>
            </w:r>
          </w:p>
        </w:tc>
        <w:tc>
          <w:tcPr/>
          <w:p>
            <w:r>
              <w:t>当地市监局，可代办</w:t>
            </w:r>
          </w:p>
        </w:tc>
        <w:tc>
          <w:tcPr/>
          <w:p>
            <w:r>
              <w:t>约 1–2 周</w:t>
            </w:r>
          </w:p>
        </w:tc>
        <w:tc>
          <w:tcPr/>
          <w:p>
            <w:r>
              <w:t>代办加刻章约千元级；代理记账约 2000–4000 元/年</w:t>
            </w:r>
          </w:p>
        </w:tc>
        <w:tc>
          <w:tcPr/>
          <w:p>
            <w:r>
              <w:t>立即。个体户无法支撑平台业务与后续资质</w:t>
            </w:r>
          </w:p>
        </w:tc>
      </w:tr>
      <w:tr>
        <w:tc>
          <w:tcPr/>
          <w:p>
            <w:r>
              <w:t>对公账户 + 微信支付商户号</w:t>
            </w:r>
          </w:p>
        </w:tc>
        <w:tc>
          <w:tcPr/>
          <w:p>
            <w:r>
              <w:t>银行 + 微信支付商户平台</w:t>
            </w:r>
          </w:p>
        </w:tc>
        <w:tc>
          <w:tcPr/>
          <w:p>
            <w:r>
              <w:t>各约 1 周</w:t>
            </w:r>
          </w:p>
        </w:tc>
        <w:tc>
          <w:tcPr/>
          <w:p>
            <w:r>
              <w:t>免费</w:t>
            </w:r>
          </w:p>
        </w:tc>
        <w:tc>
          <w:tcPr/>
          <w:p>
            <w:r>
              <w:t>立即</w:t>
            </w:r>
          </w:p>
        </w:tc>
      </w:tr>
      <w:tr>
        <w:tc>
          <w:tcPr/>
          <w:p>
            <w:r>
              <w:t>域名 + 实名</w:t>
            </w:r>
          </w:p>
        </w:tc>
        <w:tc>
          <w:tcPr/>
          <w:p>
            <w:r>
              <w:t>腾讯云</w:t>
            </w:r>
          </w:p>
        </w:tc>
        <w:tc>
          <w:tcPr/>
          <w:p>
            <w:r>
              <w:t>1 天</w:t>
            </w:r>
          </w:p>
        </w:tc>
        <w:tc>
          <w:tcPr/>
          <w:p>
            <w:r>
              <w:t>约 60–100 元/年</w:t>
            </w:r>
          </w:p>
        </w:tc>
        <w:tc>
          <w:tcPr/>
          <w:p>
            <w:r>
              <w:t>立即</w:t>
            </w:r>
          </w:p>
        </w:tc>
      </w:tr>
      <w:tr>
        <w:tc>
          <w:tcPr/>
          <w:p>
            <w:r>
              <w:t>域名 ICP 备案</w:t>
            </w:r>
          </w:p>
        </w:tc>
        <w:tc>
          <w:tcPr/>
          <w:p>
            <w:r>
              <w:t>腾讯云备案系统</w:t>
            </w:r>
          </w:p>
        </w:tc>
        <w:tc>
          <w:tcPr/>
          <w:p>
            <w:r>
              <w:t>平台初审 1–2 个工作日 + 管局 1–20 个工作日</w:t>
            </w:r>
          </w:p>
        </w:tc>
        <w:tc>
          <w:tcPr/>
          <w:p>
            <w:r>
              <w:t>免费</w:t>
            </w:r>
          </w:p>
        </w:tc>
        <w:tc>
          <w:tcPr/>
          <w:p>
            <w:r>
              <w:t>立即，与开发并行</w:t>
            </w:r>
          </w:p>
        </w:tc>
      </w:tr>
      <w:tr>
        <w:tc>
          <w:tcPr/>
          <w:p>
            <w:r>
              <w:t>小程序备案</w:t>
            </w:r>
          </w:p>
        </w:tc>
        <w:tc>
          <w:tcPr/>
          <w:p>
            <w:r>
              <w:t>微信公众平台</w:t>
            </w:r>
          </w:p>
        </w:tc>
        <w:tc>
          <w:tcPr/>
          <w:p>
            <w:r>
              <w:t>流程同上，总计约 3–24 天</w:t>
            </w:r>
          </w:p>
        </w:tc>
        <w:tc>
          <w:tcPr/>
          <w:p>
            <w:r>
              <w:t>免费</w:t>
            </w:r>
          </w:p>
        </w:tc>
        <w:tc>
          <w:tcPr/>
          <w:p>
            <w:r>
              <w:t>注册小程序后立即。未备案不得发布</w:t>
            </w:r>
          </w:p>
        </w:tc>
      </w:tr>
      <w:tr>
        <w:tc>
          <w:tcPr/>
          <w:p>
            <w:r>
              <w:t>小程序注册 + 微信认证</w:t>
            </w:r>
          </w:p>
        </w:tc>
        <w:tc>
          <w:tcPr/>
          <w:p>
            <w:r>
              <w:t>微信公众平台（企业主体）</w:t>
            </w:r>
          </w:p>
        </w:tc>
        <w:tc>
          <w:tcPr/>
          <w:p>
            <w:r>
              <w:t>数天</w:t>
            </w:r>
          </w:p>
        </w:tc>
        <w:tc>
          <w:tcPr/>
          <w:p>
            <w:r>
              <w:t>认证费 300 元/年</w:t>
            </w:r>
          </w:p>
        </w:tc>
        <w:tc>
          <w:tcPr/>
          <w:p>
            <w:r>
              <w:t>立即</w:t>
            </w:r>
          </w:p>
        </w:tc>
      </w:tr>
      <w:tr>
        <w:tc>
          <w:tcPr/>
          <w:p>
            <w:r>
              <w:t>服务类目选择</w:t>
            </w:r>
          </w:p>
        </w:tc>
        <w:tc>
          <w:tcPr/>
          <w:p>
            <w:r>
              <w:t>小程序后台</w:t>
            </w:r>
          </w:p>
        </w:tc>
        <w:tc>
          <w:tcPr/>
          <w:p>
            <w:r>
              <w:t>—</w:t>
            </w:r>
          </w:p>
        </w:tc>
        <w:tc>
          <w:tcPr/>
          <w:p>
            <w:r>
              <w:t>—</w:t>
            </w:r>
          </w:p>
        </w:tc>
        <w:tc>
          <w:tcPr/>
          <w:p>
            <w:r>
              <w:t>自营阶段选「IT 科技/技术服务」类自营类目，营业执照经营范围需含技术服务；转平台模式后按平台类目补 EDI</w:t>
            </w:r>
          </w:p>
        </w:tc>
      </w:tr>
      <w:tr>
        <w:tc>
          <w:tcPr/>
          <w:p>
            <w:r>
              <w:t>EDI 增值电信许可证</w:t>
            </w:r>
          </w:p>
        </w:tc>
        <w:tc>
          <w:tcPr/>
          <w:p>
            <w:r>
              <w:t>省通信管理局，多为代办</w:t>
            </w:r>
          </w:p>
        </w:tc>
        <w:tc>
          <w:tcPr/>
          <w:p>
            <w:r>
              <w:t>约 1–3 个月</w:t>
            </w:r>
          </w:p>
        </w:tc>
        <w:tc>
          <w:tcPr/>
          <w:p>
            <w:r>
              <w:t>代办约 5000–10000 元</w:t>
            </w:r>
          </w:p>
        </w:tc>
        <w:tc>
          <w:tcPr/>
          <w:p>
            <w:r>
              <w:t>第二阶段（切收付通前）</w:t>
            </w:r>
          </w:p>
        </w:tc>
      </w:tr>
      <w:tr>
        <w:tc>
          <w:tcPr/>
          <w:p>
            <w:r>
              <w:t>等保二级定级备案与测评</w:t>
            </w:r>
          </w:p>
        </w:tc>
        <w:tc>
          <w:tcPr/>
          <w:p>
            <w:r>
              <w:t>公安网安部门 + 测评机构</w:t>
            </w:r>
          </w:p>
        </w:tc>
        <w:tc>
          <w:tcPr/>
          <w:p>
            <w:r>
              <w:t>约 1–2 个月</w:t>
            </w:r>
          </w:p>
        </w:tc>
        <w:tc>
          <w:tcPr/>
          <w:p>
            <w:r>
              <w:t>测评约 3–5 万元</w:t>
            </w:r>
          </w:p>
        </w:tc>
        <w:tc>
          <w:tcPr/>
          <w:p>
            <w:r>
              <w:t>第二阶段。涉支付与个人信息的平台应规划，招投标与大客户也会要求</w:t>
            </w:r>
          </w:p>
        </w:tc>
      </w:tr>
      <w:tr>
        <w:tc>
          <w:tcPr/>
          <w:p>
            <w:r>
              <w:t>三份法律文件</w:t>
            </w:r>
          </w:p>
        </w:tc>
        <w:tc>
          <w:tcPr/>
          <w:p>
            <w:r>
              <w:t>模板起草 + 律师审</w:t>
            </w:r>
          </w:p>
        </w:tc>
        <w:tc>
          <w:tcPr/>
          <w:p>
            <w:r>
              <w:t>1–2 周</w:t>
            </w:r>
          </w:p>
        </w:tc>
        <w:tc>
          <w:tcPr/>
          <w:p>
            <w:r>
              <w:t>律师审约 3000–5000 元</w:t>
            </w:r>
          </w:p>
        </w:tc>
        <w:tc>
          <w:tcPr/>
          <w:p>
            <w:r>
              <w:t>上线前：用户服务协议、隐私政策、工程师入驻协议（含保密与知识产权条款）</w:t>
            </w:r>
          </w:p>
        </w:tc>
      </w:tr>
    </w:tbl>
    <w:p>
      <w:r>
        <w:rPr>
          <w:b/>
        </w:rPr>
        <w:t>个人信息保护落地项</w:t>
      </w:r>
      <w:r>
        <w:t>：小程序后台填写《用户隐私保护指引》并接入隐私授权弹窗接口；手机号获取用官方「手机号快速验证组件」（按次计费约 0.03 元/次），不自建手机号采集；账号注销功能原方案已设计，必须在提审版本可用；用户数据导出与删除留接口。</w:t>
      </w:r>
      <w:r>
        <w:rPr>
          <w:b/>
        </w:rPr>
        <w:t>客户模型文件是客户的核心资产</w:t>
      </w:r>
      <w:r>
        <w:t>：COS 全部私有读写、下载一律签名 URL 限时限次、工程师端观看图纸加水印（用户名 + 时间）、平台与工程师协议中写明保密义务与违约责任——这是仿真行业客户敢不敢用你平台的信任底座。</w:t>
      </w:r>
    </w:p>
    <w:p>
      <w:pPr>
        <w:pStyle w:val="Heading2"/>
        <ck:id v="plan"/>
      </w:pPr>
      <w:bookmarkStart w:id="15" w:name="plan"/>
      <w:r>
        <w:t>七、开发计划与排期（1–2 人现实版）</w:t>
      </w:r>
      <w:bookmarkEnd w:id="15"/>
    </w:p>
    <w:p>
      <w:r>
        <w:t>按 1 名全职开发（你）+ 理想情况下半个帮手估算，每周有效开发时间 40–50 小时。原方案三阶段的功能划分保留，工期重排：</w:t>
      </w:r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里程碑</w:t>
            </w:r>
          </w:p>
        </w:tc>
        <w:tc>
          <w:tcPr/>
          <w:p>
            <w:r>
              <w:rPr>
                <w:b/>
              </w:rPr>
              <w:t>周期</w:t>
            </w:r>
          </w:p>
        </w:tc>
        <w:tc>
          <w:tcPr/>
          <w:p>
            <w:r>
              <w:rPr>
                <w:b/>
              </w:rPr>
              <w:t>范围（对应原方案章节）</w:t>
            </w:r>
          </w:p>
        </w:tc>
        <w:tc>
          <w:tcPr/>
          <w:p>
            <w:r>
              <w:rPr>
                <w:b/>
              </w:rPr>
              <w:t>出口标准</w:t>
            </w:r>
          </w:p>
        </w:tc>
      </w:tr>
      <w:tr>
        <w:tc>
          <w:tcPr/>
          <w:p>
            <w:r>
              <w:t>M0 筹备</w:t>
            </w:r>
          </w:p>
        </w:tc>
        <w:tc>
          <w:tcPr/>
          <w:p>
            <w:r>
              <w:t>第 1–4 周（与资质并行）</w:t>
            </w:r>
          </w:p>
        </w:tc>
        <w:tc>
          <w:tcPr/>
          <w:p>
            <w:r>
              <w:t>公司/备案/商户号全部启动；Figma 原型定稿；OpenAPI 接口契约；数据库迁移初版；开发环境与 CI 跑通</w:t>
            </w:r>
          </w:p>
        </w:tc>
        <w:tc>
          <w:tcPr/>
          <w:p>
            <w:r>
              <w:t>备案已提交；骨架工程可一键启动</w:t>
            </w:r>
          </w:p>
        </w:tc>
      </w:tr>
      <w:tr>
        <w:tc>
          <w:tcPr/>
          <w:p>
            <w:r>
              <w:t>M1 MVP</w:t>
            </w:r>
          </w:p>
        </w:tc>
        <w:tc>
          <w:tcPr/>
          <w:p>
            <w:r>
              <w:t>第 5–16 周（约 12 周）</w:t>
            </w:r>
          </w:p>
        </w:tc>
        <w:tc>
          <w:tcPr/>
          <w:p>
            <w:r>
              <w:t>登录认证（2.1，管理员登录放后台）；需求发布五步流程 + COS 直传（3.1）；抢单大厅与报价（4.1–4.2）；订单状态机 + 微信支付闭环（9.1 自营版）；会话消息 + 订阅消息（6.1）</w:t>
            </w:r>
          </w:p>
        </w:tc>
        <w:tc>
          <w:tcPr/>
          <w:p>
            <w:r>
              <w:t>真机走通「发需求→报价→选标→支付→沟通→交付→确认」全链路；支付回调幂等有单测</w:t>
            </w:r>
          </w:p>
        </w:tc>
      </w:tr>
      <w:tr>
        <w:tc>
          <w:tcPr/>
          <w:p>
            <w:r>
              <w:t>M2 运营能力</w:t>
            </w:r>
          </w:p>
        </w:tc>
        <w:tc>
          <w:tcPr/>
          <w:p>
            <w:r>
              <w:t>第 17–24 周（约 8 周）</w:t>
            </w:r>
          </w:p>
        </w:tc>
        <w:tc>
          <w:tcPr/>
          <w:p>
            <w:r>
              <w:t>Web 管理后台：用户与工程师审核、订单监控、退款（5.1–5.2）；工单客服与纠纷两级处理（5.3–5.4）；评价（7.4）；提现 + 灵工结算对接（5.5.3）；发票申请（5.5.2）</w:t>
            </w:r>
          </w:p>
        </w:tc>
        <w:tc>
          <w:tcPr/>
          <w:p>
            <w:r>
              <w:t>后台可独立完成一单售后全流程；对账单可导出</w:t>
            </w:r>
          </w:p>
        </w:tc>
      </w:tr>
      <w:tr>
        <w:tc>
          <w:tcPr/>
          <w:p>
            <w:r>
              <w:t>M3 公测上线</w:t>
            </w:r>
          </w:p>
        </w:tc>
        <w:tc>
          <w:tcPr/>
          <w:p>
            <w:r>
              <w:t>第 25–26 周</w:t>
            </w:r>
          </w:p>
        </w:tc>
        <w:tc>
          <w:tcPr/>
          <w:p>
            <w:r>
              <w:t>提审整改、内容安全接入自检、压测（100 并发下单）、种子用户内测</w:t>
            </w:r>
          </w:p>
        </w:tc>
        <w:tc>
          <w:tcPr/>
          <w:p>
            <w:r>
              <w:t>小程序过审发布，灰度放量</w:t>
            </w:r>
          </w:p>
        </w:tc>
      </w:tr>
      <w:tr>
        <w:tc>
          <w:tcPr/>
          <w:p>
            <w:r>
              <w:t>M4 硬化迭代</w:t>
            </w:r>
          </w:p>
        </w:tc>
        <w:tc>
          <w:tcPr/>
          <w:p>
            <w:r>
              <w:t>第 27 周起持续</w:t>
            </w:r>
          </w:p>
        </w:tc>
        <w:tc>
          <w:tcPr/>
          <w:p>
            <w:r>
              <w:t>性能优化、推荐（先按专长与评分的规则排序，不上算法）、运营报表；启动 EDI 与等保</w:t>
            </w:r>
          </w:p>
        </w:tc>
        <w:tc>
          <w:tcPr/>
          <w:p>
            <w:r>
              <w:t>见路线图</w:t>
            </w:r>
          </w:p>
        </w:tc>
      </w:tr>
    </w:tbl>
    <w:p>
      <w:r>
        <w:rPr>
          <w:b/>
        </w:rPr>
        <w:t>排期纪律</w:t>
      </w:r>
      <w:r>
        <w:t>：每个里程碑砍功能不砍质量——支付、状态机、权限校验的测试不可省；MVP 绝不做的事包括推荐算法、数据大屏、多语言、App。开发期间小程序用「体验版」给种子用户试用，不受备案发布限制的影响（正式发布才需要备案完成，请以提审时官方要求为准）。</w:t>
      </w:r>
    </w:p>
    <w:p>
      <w:r>
        <w:rPr>
          <w:b/>
        </w:rPr>
        <w:t>工程质量底线</w:t>
      </w:r>
      <w:r>
        <w:t>：支付回调、分账/结算金额计算、订单状态机三处必须有单元测试（Jest）；接口层用 supertest 做主链路 e2e；每次发布前跑通「一分钱真实支付 + 退款」冒烟用例。RBAC 鉴权做成 NestJS Guard + 资源属主校验（工程师只能看自己的报价，对应原方案 4.2.1 的权限矩阵），并对列表接口做防越权抽查。</w:t>
      </w:r>
    </w:p>
    <w:p>
      <w:pPr>
        <w:pStyle w:val="Heading2"/>
        <ck:id v="launch"/>
      </w:pPr>
      <w:bookmarkStart w:id="16" w:name="launch"/>
      <w:r>
        <w:t>八、测试与上线发布</w:t>
      </w:r>
      <w:bookmarkEnd w:id="16"/>
    </w:p>
    <w:p>
      <w:pPr>
        <w:pStyle w:val="Heading3"/>
        <ck:id v="launch-check"/>
      </w:pPr>
      <w:bookmarkStart w:id="17" w:name="launch_check"/>
      <w:r>
        <w:t>8.1 提审前检查单</w:t>
      </w:r>
      <w:bookmarkEnd w:id="17"/>
    </w:p>
    <w:p>
      <w:pPr>
        <w:pStyle w:val="ListParagraph"/>
        <w:numPr>
          <w:ilvl w:val="0"/>
          <w:numId w:val="2"/>
        </w:numPr>
      </w:pPr>
      <w:r>
        <w:t>类目与营业执照经营范围匹配，认证已完成，备案号已取得并在小程序展示信息中可见。</w:t>
      </w:r>
    </w:p>
    <w:p>
      <w:pPr>
        <w:pStyle w:val="ListParagraph"/>
        <w:numPr>
          <w:ilvl w:val="0"/>
          <w:numId w:val="2"/>
        </w:numPr>
      </w:pPr>
      <w:r>
        <w:t>《用户服务协议》《隐私政策》在注册与下单入口可达；隐私接口授权弹窗正常；账号注销入口可用。</w:t>
      </w:r>
    </w:p>
    <w:p>
      <w:pPr>
        <w:pStyle w:val="ListParagraph"/>
        <w:numPr>
          <w:ilvl w:val="0"/>
          <w:numId w:val="2"/>
        </w:numPr>
      </w:pPr>
      <w:r>
        <w:t>UGC 场景已在后台声明，昵称、需求描述、聊天、评价、图片全部过 msgSecCheck/mediaCheck，命中后有拦截与人工复核路径。</w:t>
      </w:r>
    </w:p>
    <w:p>
      <w:pPr>
        <w:pStyle w:val="ListParagraph"/>
        <w:numPr>
          <w:ilvl w:val="0"/>
          <w:numId w:val="2"/>
        </w:numPr>
      </w:pPr>
      <w:r>
        <w:t>给审核人员预置测试账号（客户 + 工程师各一），并在版本备注里写清测试路径与说明；支付流程可用小额真实完成。</w:t>
      </w:r>
    </w:p>
    <w:p>
      <w:pPr>
        <w:pStyle w:val="ListParagraph"/>
        <w:numPr>
          <w:ilvl w:val="0"/>
          <w:numId w:val="2"/>
        </w:numPr>
      </w:pPr>
      <w:r>
        <w:t>request/uploadFile/downloadFile 合法域名全部为已备案 HTTPS 域名；页面无「测试」「敬请期待」占位。</w:t>
      </w:r>
    </w:p>
    <w:p>
      <w:pPr>
        <w:pStyle w:val="ListParagraph"/>
        <w:numPr>
          <w:ilvl w:val="0"/>
          <w:numId w:val="2"/>
        </w:numPr>
      </w:pPr>
      <w:r>
        <w:t>无诱导分享、诱导关注；客服会话或投诉入口可见（原方案 5.3 客服工单入口即满足）。</w:t>
      </w:r>
    </w:p>
    <w:p>
      <w:r>
        <w:t>常见被拒原因即上述各条的反面：类目不符、缺资质、UGC 无审核机制、账号注销缺失、存在测试内容、隐私未声明。首次提审预留 1–2 周的驳回-整改往返时间。</w:t>
      </w:r>
    </w:p>
    <w:p>
      <w:pPr>
        <w:pStyle w:val="Heading3"/>
        <ck:id v="launch-release"/>
      </w:pPr>
      <w:bookmarkStart w:id="18" w:name="launch_release"/>
      <w:r>
        <w:t>8.2 发布与回退</w:t>
      </w:r>
      <w:bookmarkEnd w:id="18"/>
    </w:p>
    <w:p>
      <w:r>
        <w:t>正式发布使用微信的「分阶段发布」做灰度：先 10% 放量观察支付成功率与崩溃告警，24–48 小时无异常再全量；发现严重问题在小程序后台一键「版本回退」。后端发布与小程序解耦：API 保持向后兼容（新增字段不删旧字段），旧版本小程序始终可用；数据库迁移只做加法（先加列后迁数据再切读写），杜绝停机变更。</w:t>
      </w:r>
    </w:p>
    <w:p>
      <w:pPr>
        <w:pStyle w:val="Heading2"/>
        <ck:id v="ops"/>
      </w:pPr>
      <w:bookmarkStart w:id="19" w:name="ops"/>
      <w:r>
        <w:t>九、运维、监控与安全（长期跑得住）</w:t>
      </w:r>
      <w:bookmarkEnd w:id="19"/>
    </w:p>
    <w:p>
      <w:r>
        <w:rPr>
          <w:b/>
        </w:rPr>
        <w:t>监控告警</w:t>
      </w:r>
      <w:r>
        <w:t>：云监控覆盖 CPU、内存、磁盘、带宽与 URL 拨测（每分钟探活 api 健康检查接口），告警推送到微信与短信；业务侧自建三个核心指标告警——支付回调失败率、下单成功率、消息投递延迟。前端用小程序自带的性能与错误分析（we 分析），后端接 Sentry（可自托管）收敛异常堆栈。</w:t>
      </w:r>
    </w:p>
    <w:p>
      <w:r>
        <w:rPr>
          <w:b/>
        </w:rPr>
        <w:t>日志</w:t>
      </w:r>
      <w:r>
        <w:t>：API 输出结构化 JSON 日志，Nginx 访问日志一并由 CLS 采集，保留 30 天，支持按 user_id/order_id 检索——纠纷仲裁（原方案 5.4）高度依赖完整操作日志，数据库中另建 audit_log 表记录关键动作（改价、退款、判决、提现审核）。</w:t>
      </w:r>
    </w:p>
    <w:p>
      <w:r>
        <w:rPr>
          <w:b/>
        </w:rPr>
        <w:t>备份与容灾</w:t>
      </w:r>
      <w:r>
        <w:t>：云 MySQL 自动每日全备 + binlog，保留不少于 7 天，支持按时间点恢复（应对误删）；每季度做一次真实恢复演练。COS 开启版本控制，重要桶规划跨地域复制（成长期）。服务器每周快照。目标：数据库故障自动主备切换分钟级恢复；服务器整机故障凭快照 + CI 重建，RTO 控制在 2 小时内。</w:t>
      </w:r>
    </w:p>
    <w:p>
      <w:r>
        <w:rPr>
          <w:b/>
        </w:rPr>
        <w:t>安全基线</w:t>
      </w:r>
      <w:r>
        <w:t>：安全组只开 80/443，SSH 改密钥登录并限源 IP；密码用 argon2/bcrypt 存储；JWT 短有效期 + 刷新令牌，敏感操作二次验证（对应原方案 2.1.4 管理员二次验证）；登录与验证码接口做图形验证 + 频控防刷（短信费也是钱）；依赖漏洞每周 npm audit / Dependabot；上传文件校验类型与大小、私有存储、杀毒扫描可在成长期加装；全站 HTTPS，证书自动续期。等保二级整改项（日志留存 6 个月、双因子、口令策略等）在 M4 阶段一并落实。</w:t>
      </w:r>
    </w:p>
    <w:p>
      <w:pPr>
        <w:pStyle w:val="Heading2"/>
        <ck:id v="cost"/>
      </w:pPr>
      <w:bookmarkStart w:id="20" w:name="cost"/>
      <w:r>
        <w:t>十、成本估算（首年，不含人力）</w:t>
      </w:r>
      <w:bookmarkEnd w:id="20"/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类别</w:t>
            </w:r>
          </w:p>
        </w:tc>
        <w:tc>
          <w:tcPr/>
          <w:p>
            <w:r>
              <w:rPr>
                <w:b/>
              </w:rPr>
              <w:t>项目</w:t>
            </w:r>
          </w:p>
        </w:tc>
        <w:tc>
          <w:tcPr/>
          <w:p>
            <w:r>
              <w:rPr>
                <w:b/>
              </w:rPr>
              <w:t>首年估算</w:t>
            </w:r>
          </w:p>
        </w:tc>
        <w:tc>
          <w:tcPr/>
          <w:p>
            <w:r>
              <w:rPr>
                <w:b/>
              </w:rPr>
              <w:t>说明</w:t>
            </w:r>
          </w:p>
        </w:tc>
      </w:tr>
      <w:tr>
        <w:tc>
          <w:tcPr/>
          <w:p>
            <w:r>
              <w:t>云资源</w:t>
            </w:r>
          </w:p>
        </w:tc>
        <w:tc>
          <w:tcPr/>
          <w:p>
            <w:r>
              <w:t>服务器×2 + 云MySQL + COS/CDN + 短信/日志</w:t>
            </w:r>
          </w:p>
        </w:tc>
        <w:tc>
          <w:tcPr/>
          <w:p>
            <w:r>
              <w:t>约 4000–9000 元</w:t>
            </w:r>
          </w:p>
        </w:tc>
        <w:tc>
          <w:tcPr/>
          <w:p>
            <w:r>
              <w:t>新购促销价低、续费按原价，第二年起预算约 8000–12000 元/年</w:t>
            </w:r>
          </w:p>
        </w:tc>
      </w:tr>
      <w:tr>
        <w:tc>
          <w:tcPr/>
          <w:p>
            <w:r>
              <w:t>微信生态</w:t>
            </w:r>
          </w:p>
        </w:tc>
        <w:tc>
          <w:tcPr/>
          <w:p>
            <w:r>
              <w:t>小程序认证 300 元 + 手机号组件按次 + 支付费率 0.6%</w:t>
            </w:r>
          </w:p>
        </w:tc>
        <w:tc>
          <w:tcPr/>
          <w:p>
            <w:r>
              <w:t>约 500–1000 元</w:t>
            </w:r>
          </w:p>
        </w:tc>
        <w:tc>
          <w:tcPr/>
          <w:p>
            <w:r>
              <w:t>支付费率计入单均成本而非固定支出</w:t>
            </w:r>
          </w:p>
        </w:tc>
      </w:tr>
      <w:tr>
        <w:tc>
          <w:tcPr/>
          <w:p>
            <w:r>
              <w:t>主体与财税</w:t>
            </w:r>
          </w:p>
        </w:tc>
        <w:tc>
          <w:tcPr/>
          <w:p>
            <w:r>
              <w:t>公司注册代办 + 代理记账</w:t>
            </w:r>
          </w:p>
        </w:tc>
        <w:tc>
          <w:tcPr/>
          <w:p>
            <w:r>
              <w:t>约 3000–6000 元</w:t>
            </w:r>
          </w:p>
        </w:tc>
        <w:tc>
          <w:tcPr/>
          <w:p>
            <w:r>
              <w:t>代理记账为持续年费</w:t>
            </w:r>
          </w:p>
        </w:tc>
      </w:tr>
      <w:tr>
        <w:tc>
          <w:tcPr/>
          <w:p>
            <w:r>
              <w:t>法务</w:t>
            </w:r>
          </w:p>
        </w:tc>
        <w:tc>
          <w:tcPr/>
          <w:p>
            <w:r>
              <w:t>三份协议律师审</w:t>
            </w:r>
          </w:p>
        </w:tc>
        <w:tc>
          <w:tcPr/>
          <w:p>
            <w:r>
              <w:t>约 3000–5000 元</w:t>
            </w:r>
          </w:p>
        </w:tc>
        <w:tc>
          <w:tcPr/>
          <w:p>
            <w:r>
              <w:t>一次性，可先模板后补审</w:t>
            </w:r>
          </w:p>
        </w:tc>
      </w:tr>
      <w:tr>
        <w:tc>
          <w:tcPr/>
          <w:p>
            <w:r>
              <w:t>域名等杂项</w:t>
            </w:r>
          </w:p>
        </w:tc>
        <w:tc>
          <w:tcPr/>
          <w:p>
            <w:r>
              <w:t>域名、图库、Figma 等</w:t>
            </w:r>
          </w:p>
        </w:tc>
        <w:tc>
          <w:tcPr/>
          <w:p>
            <w:r>
              <w:t>约 500–1000 元</w:t>
            </w:r>
          </w:p>
        </w:tc>
        <w:tc>
          <w:tcPr/>
          <w:p>
            <w:r>
              <w:t>—</w:t>
            </w:r>
          </w:p>
        </w:tc>
      </w:tr>
      <w:tr>
        <w:tc>
          <w:tcPr/>
          <w:p>
            <w:r>
              <w:rPr>
                <w:b/>
              </w:rPr>
              <w:t>首年合计</w:t>
            </w:r>
          </w:p>
        </w:tc>
        <w:tc>
          <w:tcPr/>
          <w:p/>
        </w:tc>
        <w:tc>
          <w:tcPr/>
          <w:p>
            <w:r>
              <w:rPr>
                <w:b/>
              </w:rPr>
              <w:t>约 1.2–2.5 万元</w:t>
            </w:r>
          </w:p>
        </w:tc>
        <w:tc>
          <w:tcPr/>
          <w:p>
            <w:r>
              <w:t>价格均为编写时的市场量级，下单前以官网实时报价核准</w:t>
            </w:r>
          </w:p>
        </w:tc>
      </w:tr>
      <w:tr>
        <w:tc>
          <w:tcPr/>
          <w:p>
            <w:r>
              <w:t>第二阶段储备</w:t>
            </w:r>
          </w:p>
        </w:tc>
        <w:tc>
          <w:tcPr/>
          <w:p>
            <w:r>
              <w:t>EDI 代办 0.5–1 万 + 等保二级测评 3–5 万 + 灵工服务费（约结算额 5%–8%）</w:t>
            </w:r>
          </w:p>
        </w:tc>
        <w:tc>
          <w:tcPr/>
          <w:p>
            <w:r>
              <w:t>约 4–6 万元</w:t>
            </w:r>
          </w:p>
        </w:tc>
        <w:tc>
          <w:tcPr/>
          <w:p>
            <w:r>
              <w:t>在月流水足以覆盖时启动</w:t>
            </w:r>
          </w:p>
        </w:tc>
      </w:tr>
    </w:tbl>
    <w:p>
      <w:pPr>
        <w:pStyle w:val="Heading2"/>
        <ck:id v="roadmap"/>
      </w:pPr>
      <w:bookmarkStart w:id="21" w:name="roadmap"/>
      <w:r>
        <w:t>十一、12–24 个月路线图</w:t>
      </w:r>
      <w:bookmarkEnd w:id="21"/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阶段</w:t>
            </w:r>
          </w:p>
        </w:tc>
        <w:tc>
          <w:tcPr/>
          <w:p>
            <w:r>
              <w:rPr>
                <w:b/>
              </w:rPr>
              <w:t>业务目标</w:t>
            </w:r>
          </w:p>
        </w:tc>
        <w:tc>
          <w:tcPr/>
          <w:p>
            <w:r>
              <w:rPr>
                <w:b/>
              </w:rPr>
              <w:t>产品与技术</w:t>
            </w:r>
          </w:p>
        </w:tc>
        <w:tc>
          <w:tcPr/>
          <w:p>
            <w:r>
              <w:rPr>
                <w:b/>
              </w:rPr>
              <w:t>合规与财务</w:t>
            </w:r>
          </w:p>
        </w:tc>
      </w:tr>
      <w:tr>
        <w:tc>
          <w:tcPr/>
          <w:p>
            <w:r>
              <w:t>0–6 月</w:t>
            </w:r>
          </w:p>
        </w:tc>
        <w:tc>
          <w:tcPr/>
          <w:p>
            <w:r>
              <w:t>跑通闭环：累计 50 单、复购率验证；先签 5–10 名核心工程师做「半自营」保交付</w:t>
            </w:r>
          </w:p>
        </w:tc>
        <w:tc>
          <w:tcPr/>
          <w:p>
            <w:r>
              <w:t>MVP + 运营后台上线；规则版推荐</w:t>
            </w:r>
          </w:p>
        </w:tc>
        <w:tc>
          <w:tcPr/>
          <w:p>
            <w:r>
              <w:t>备案、认证、商户号、三协议、自营收款</w:t>
            </w:r>
          </w:p>
        </w:tc>
      </w:tr>
      <w:tr>
        <w:tc>
          <w:tcPr/>
          <w:p>
            <w:r>
              <w:t>6–12 月</w:t>
            </w:r>
          </w:p>
        </w:tc>
        <w:tc>
          <w:tcPr/>
          <w:p>
            <w:r>
              <w:t>月 GMV 10 万级；佣金率定型（行业惯例约 10%–15%，自营阶段体现为服务差价）</w:t>
            </w:r>
          </w:p>
        </w:tc>
        <w:tc>
          <w:tcPr/>
          <w:p>
            <w:r>
              <w:t>报表与对账自动化；工程师等级与保证金体系；性能优化与读写分离评估</w:t>
            </w:r>
          </w:p>
        </w:tc>
        <w:tc>
          <w:tcPr/>
          <w:p>
            <w:r>
              <w:t>EDI 办理；等保二级测评；灵工结算全量</w:t>
            </w:r>
          </w:p>
        </w:tc>
      </w:tr>
      <w:tr>
        <w:tc>
          <w:tcPr/>
          <w:p>
            <w:r>
              <w:t>12–18 月</w:t>
            </w:r>
          </w:p>
        </w:tc>
        <w:tc>
          <w:tcPr/>
          <w:p>
            <w:r>
              <w:t>转「平台撮合」模式，工程师规模化入驻</w:t>
            </w:r>
          </w:p>
        </w:tc>
        <w:tc>
          <w:tcPr/>
          <w:p>
            <w:r>
              <w:t>切换电商收付通（支付适配层替换）；企业客户版：合同盖章流、对公转账线下核销、批量发票</w:t>
            </w:r>
          </w:p>
        </w:tc>
        <w:tc>
          <w:tcPr/>
          <w:p>
            <w:r>
              <w:t>平台类目变更；收付通二级商户进件</w:t>
            </w:r>
          </w:p>
        </w:tc>
      </w:tr>
      <w:tr>
        <w:tc>
          <w:tcPr/>
          <w:p>
            <w:r>
              <w:t>18–24 月</w:t>
            </w:r>
          </w:p>
        </w:tc>
        <w:tc>
          <w:tcPr/>
          <w:p>
            <w:r>
              <w:t>第二渠道：PC 官网 + H5（大文件与办公场景在 PC 更自然）；团队扩至 3–5 人</w:t>
            </w:r>
          </w:p>
        </w:tc>
        <w:tc>
          <w:tcPr/>
          <w:p>
            <w:r>
              <w:t>服务按域拆分、TKE 容器化评估、数据看板；推荐引入模型</w:t>
            </w:r>
          </w:p>
        </w:tc>
        <w:tc>
          <w:tcPr/>
          <w:p>
            <w:r>
              <w:t>年度等保复测、财务审计规范化</w:t>
            </w:r>
          </w:p>
        </w:tc>
      </w:tr>
    </w:tbl>
    <w:p>
      <w:pPr>
        <w:pStyle w:val="Heading2"/>
        <ck:id v="risks"/>
      </w:pPr>
      <w:bookmarkStart w:id="22" w:name="risks"/>
      <w:r>
        <w:t>十二、风险清单与应对</w:t>
      </w:r>
      <w:bookmarkEnd w:id="22"/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风险</w:t>
            </w:r>
          </w:p>
        </w:tc>
        <w:tc>
          <w:tcPr/>
          <w:p>
            <w:r>
              <w:rPr>
                <w:b/>
              </w:rPr>
              <w:t>影响</w:t>
            </w:r>
          </w:p>
        </w:tc>
        <w:tc>
          <w:tcPr/>
          <w:p>
            <w:r>
              <w:rPr>
                <w:b/>
              </w:rPr>
              <w:t>应对</w:t>
            </w:r>
          </w:p>
        </w:tc>
      </w:tr>
      <w:tr>
        <w:tc>
          <w:tcPr/>
          <w:p>
            <w:r>
              <w:t>双边市场冷启动</w:t>
            </w:r>
          </w:p>
        </w:tc>
        <w:tc>
          <w:tcPr/>
          <w:p>
            <w:r>
              <w:t>有单没人接 / 有人没单</w:t>
            </w:r>
          </w:p>
        </w:tc>
        <w:tc>
          <w:tcPr/>
          <w:p>
            <w:r>
              <w:t>先供给后需求：以半自营绑定核心工程师并给保底，需求侧从创始人行业人脉与内容获客切入</w:t>
            </w:r>
          </w:p>
        </w:tc>
      </w:tr>
      <w:tr>
        <w:tc>
          <w:tcPr/>
          <w:p>
            <w:r>
              <w:t>二清合规</w:t>
            </w:r>
          </w:p>
        </w:tc>
        <w:tc>
          <w:tcPr/>
          <w:p>
            <w:r>
              <w:t>商户号冻结、法律责任</w:t>
            </w:r>
          </w:p>
        </w:tc>
        <w:tc>
          <w:tcPr/>
          <w:p>
            <w:r>
              <w:t>严格执行第五节路径，任何阶段不做「代收+人工转账」</w:t>
            </w:r>
          </w:p>
        </w:tc>
      </w:tr>
      <w:tr>
        <w:tc>
          <w:tcPr/>
          <w:p>
            <w:r>
              <w:t>跳单（双方绕过平台私下交易）</w:t>
            </w:r>
          </w:p>
        </w:tc>
        <w:tc>
          <w:tcPr/>
          <w:p>
            <w:r>
              <w:t>佣金流失</w:t>
            </w:r>
          </w:p>
        </w:tc>
        <w:tc>
          <w:tcPr/>
          <w:p>
            <w:r>
              <w:t>接单前隐藏联系方式（原方案 4.1.3 已设计）+ 平台价值绑定：资金托管、发票、纠纷仲裁、复购返利</w:t>
            </w:r>
          </w:p>
        </w:tc>
      </w:tr>
      <w:tr>
        <w:tc>
          <w:tcPr/>
          <w:p>
            <w:r>
              <w:t>客户模型文件泄密</w:t>
            </w:r>
          </w:p>
        </w:tc>
        <w:tc>
          <w:tcPr/>
          <w:p>
            <w:r>
              <w:t>信任崩塌、法律纠纷</w:t>
            </w:r>
          </w:p>
        </w:tc>
        <w:tc>
          <w:tcPr/>
          <w:p>
            <w:r>
              <w:t>私有存储 + 签名限时下载 + 水印 + 协议违约条款，泄密即封号追责</w:t>
            </w:r>
          </w:p>
        </w:tc>
      </w:tr>
      <w:tr>
        <w:tc>
          <w:tcPr/>
          <w:p>
            <w:r>
              <w:t>单人开发的 bus factor</w:t>
            </w:r>
          </w:p>
        </w:tc>
        <w:tc>
          <w:tcPr/>
          <w:p>
            <w:r>
              <w:t>项目停摆</w:t>
            </w:r>
          </w:p>
        </w:tc>
        <w:tc>
          <w:tcPr/>
          <w:p>
            <w:r>
              <w:t>文档随代码走（README + OpenAPI + 部署手册）、基础设施皆可由 CI 重建、每周异地备份</w:t>
            </w:r>
          </w:p>
        </w:tc>
      </w:tr>
      <w:tr>
        <w:tc>
          <w:tcPr/>
          <w:p>
            <w:r>
              <w:t>微信审核不确定性</w:t>
            </w:r>
          </w:p>
        </w:tc>
        <w:tc>
          <w:tcPr/>
          <w:p>
            <w:r>
              <w:t>上线延期</w:t>
            </w:r>
          </w:p>
        </w:tc>
        <w:tc>
          <w:tcPr/>
          <w:p>
            <w:r>
              <w:t>第八节检查单前置自检，排期预留 2 周缓冲</w:t>
            </w:r>
          </w:p>
        </w:tc>
      </w:tr>
      <w:tr>
        <w:tc>
          <w:tcPr/>
          <w:p>
            <w:r>
              <w:t>退款纠纷挤兑</w:t>
            </w:r>
          </w:p>
        </w:tc>
        <w:tc>
          <w:tcPr/>
          <w:p>
            <w:r>
              <w:t>现金流与口碑</w:t>
            </w:r>
          </w:p>
        </w:tc>
        <w:tc>
          <w:tcPr/>
          <w:p>
            <w:r>
              <w:t>自营模式天然托管：验收后再结算给工程师，结算周期 T+7，纠纷期冻结</w:t>
            </w:r>
          </w:p>
        </w:tc>
      </w:tr>
      <w:tr>
        <w:tc>
          <w:tcPr/>
          <w:p>
            <w:r>
              <w:t>大文件成本失控</w:t>
            </w:r>
          </w:p>
        </w:tc>
        <w:tc>
          <w:tcPr/>
          <w:p>
            <w:r>
              <w:t>COS/CDN 账单上涨</w:t>
            </w:r>
          </w:p>
        </w:tc>
        <w:tc>
          <w:tcPr/>
          <w:p>
            <w:r>
              <w:t>生命周期规则：完结订单文件 90 天后沉降至低频/归档存储，下载限流</w:t>
            </w:r>
          </w:p>
        </w:tc>
      </w:tr>
    </w:tbl>
    <w:p>
      <w:pPr>
        <w:pStyle w:val="Heading2"/>
        <ck:id v="action"/>
      </w:pPr>
      <w:bookmarkStart w:id="23" w:name="action"/>
      <w:r>
        <w:t>十三、前 30 天行动清单</w:t>
      </w:r>
      <w:bookmarkEnd w:id="23"/>
    </w:p>
    <w:p>
      <w:pPr>
        <w:pStyle w:val="ListParagraph"/>
        <w:numPr>
          <w:ilvl w:val="0"/>
          <w:numId w:val="3"/>
        </w:numPr>
      </w:pPr>
      <w:r>
        <w:rPr>
          <w:b/>
        </w:rPr>
        <w:t>第 1 周（全是手续，一天都别等）</w:t>
      </w:r>
      <w:r>
        <w:t>：注册公司（经营范围写入技术服务、软件开发、技术咨询）；购买域名并实名；注册腾讯云并企业实名；注册小程序（企业主体）并交 300 元认证。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>第 2 周</w:t>
      </w:r>
      <w:r>
        <w:t>：提交域名 ICP 备案与小程序备案；银行开对公户；申请微信支付商户号；同时完成 Figma 原型 MVP 范围定稿，砍掉一切 M1 之外的页面。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>第 3 周</w:t>
      </w:r>
      <w:r>
        <w:t>：搭开发底座——私有仓库、CI、测试服务器、云 MySQL、COS 桶与 STS；NestJS 骨架 + 小程序登录（wx.login 换 openid）打通；备案审核期间完全不影响开发（开发者工具可关闭域名校验）。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>第 4 周</w:t>
      </w:r>
      <w:r>
        <w:t>：跑通最小闭环 demo：发布需求 → 工程师报价 → 选标 → 一分钱支付 → 会话发消息；同步启动灵活用工平台选型与三份协议初稿。此后按第七节排期推进。</w:t>
      </w:r>
    </w:p>
    <w:p>
      <w:r>
        <w:t>——以上。原方案负责「产品长什么样」，本方案负责「它如何活下来」：先用自营模式合规起步，用最小架构撑到有真实流水，再把钱花在 EDI、等保与收付通这些规模化门票上。</w:t>
      </w:r>
    </w:p>
    <w:sectPr>
      <ck:section v="1:||margins=2.2cm 2cm,size=a4"/>
      <w:footerReference w:type="default" r:id="rIdHf1"/>
      <w:pgSz w:w="11906" w:h="16838"/>
      <w:pgMar w:top="1247" w:right="1134" w:bottom="1247" w:left="1134" w:header="720" w:footer="720" w:gutter="0"/>
    </w:sectPr>
  </w:body>
</w:document>
</file>

<file path=word/fontTable.xml><?xml version="1.0" encoding="utf-8"?>
<w:fonts xmlns:w="http://schemas.openxmlformats.org/wordprocessingml/2006/main">
  <w:font w:name="Calibri">
    <w:family w:val="swiss"/>
  </w:font>
  <w:font w:name="Calibri Light">
    <w:family w:val="swiss"/>
  </w:font>
  <w:font w:name="Consolas">
    <w:family w:val="modern"/>
  </w:font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mc="http://schemas.openxmlformats.org/markup-compatibility/2006" xmlns:ck="urn:clarkdown:docx" mc:Ignorable="ck">
  <w:sdt>
    <w:sdtPr>
      <w:tag w:val="clarkdown:div"/>
      <ck:div v="||text-align=center"/>
    </w:sdtPr>
    <w:sdtContent>
      <w:p>
        <w:pPr>
          <w:jc w:val="center"/>
        </w:pPr>
        <w:fldSimple w:instr="PAGE">
          <w:r>
            <w:t>1</w:t>
          </w:r>
        </w:fldSimple>
        <w:r>
          <w:t xml:space="preserve"> / </w:t>
        </w:r>
        <w:fldSimple w:instr="NUMPAGES">
          <w:r>
            <w:t>1</w:t>
          </w:r>
        </w:fldSimple>
      </w:p>
    </w:sdtContent>
  </w:sdt>
</w:ftr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1."/>
      <w:lvlJc w:val="left"/>
      <w:pPr>
        <w:ind w:left="2880" w:hanging="360"/>
      </w:pPr>
    </w:lvl>
    <w:lvl w:ilvl="4">
      <w:start w:val="1"/>
      <w:numFmt w:val="decimal"/>
      <w:lvlText w:val="%2."/>
      <w:lvlJc w:val="left"/>
      <w:pPr>
        <w:ind w:left="3600" w:hanging="360"/>
      </w:pPr>
    </w:lvl>
    <w:lvl w:ilvl="5">
      <w:start w:val="1"/>
      <w:numFmt w:val="decimal"/>
      <w:lvlText w:val="%3."/>
      <w:lvlJc w:val="left"/>
      <w:pPr>
        <w:ind w:left="4320" w:hanging="360"/>
      </w:pPr>
    </w:lvl>
    <w:lvl w:ilvl="6">
      <w:start w:val="1"/>
      <w:numFmt w:val="decimal"/>
      <w:lvlText w:val="%1."/>
      <w:lvlJc w:val="left"/>
      <w:pPr>
        <w:ind w:left="5040" w:hanging="360"/>
      </w:pPr>
    </w:lvl>
    <w:lvl w:ilvl="7">
      <w:start w:val="1"/>
      <w:numFmt w:val="decimal"/>
      <w:lvlText w:val="%2."/>
      <w:lvlJc w:val="left"/>
      <w:pPr>
        <w:ind w:left="5760" w:hanging="360"/>
      </w:pPr>
    </w:lvl>
    <w:lvl w:ilvl="8">
      <w:start w:val="1"/>
      <w:numFmt w:val="decimal"/>
      <w:lvlText w:val="%3.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☐"/>
      <w:lvlJc w:val="left"/>
      <w:pPr>
        <w:ind w:left="720" w:hanging="360"/>
      </w:pPr>
    </w:lvl>
    <w:lvl w:ilvl="1">
      <w:start w:val="1"/>
      <w:numFmt w:val="bullet"/>
      <w:lvlText w:val="☐"/>
      <w:lvlJc w:val="left"/>
      <w:pPr>
        <w:ind w:left="1440" w:hanging="360"/>
      </w:pPr>
    </w:lvl>
    <w:lvl w:ilvl="2">
      <w:start w:val="1"/>
      <w:numFmt w:val="bullet"/>
      <w:lvlText w:val="☐"/>
      <w:lvlJc w:val="left"/>
      <w:pPr>
        <w:ind w:left="2160" w:hanging="360"/>
      </w:pPr>
    </w:lvl>
    <w:lvl w:ilvl="3">
      <w:start w:val="1"/>
      <w:numFmt w:val="bullet"/>
      <w:lvlText w:val="☐"/>
      <w:lvlJc w:val="left"/>
      <w:pPr>
        <w:ind w:left="2880" w:hanging="360"/>
      </w:pPr>
    </w:lvl>
    <w:lvl w:ilvl="4">
      <w:start w:val="1"/>
      <w:numFmt w:val="bullet"/>
      <w:lvlText w:val="☐"/>
      <w:lvlJc w:val="left"/>
      <w:pPr>
        <w:ind w:left="3600" w:hanging="360"/>
      </w:pPr>
    </w:lvl>
    <w:lvl w:ilvl="5">
      <w:start w:val="1"/>
      <w:numFmt w:val="bullet"/>
      <w:lvlText w:val="☐"/>
      <w:lvlJc w:val="left"/>
      <w:pPr>
        <w:ind w:left="4320" w:hanging="360"/>
      </w:pPr>
    </w:lvl>
    <w:lvl w:ilvl="6">
      <w:start w:val="1"/>
      <w:numFmt w:val="bullet"/>
      <w:lvlText w:val="☐"/>
      <w:lvlJc w:val="left"/>
      <w:pPr>
        <w:ind w:left="5040" w:hanging="360"/>
      </w:pPr>
    </w:lvl>
    <w:lvl w:ilvl="7">
      <w:start w:val="1"/>
      <w:numFmt w:val="bullet"/>
      <w:lvlText w:val="☐"/>
      <w:lvlJc w:val="left"/>
      <w:pPr>
        <w:ind w:left="5760" w:hanging="360"/>
      </w:pPr>
    </w:lvl>
    <w:lvl w:ilvl="8">
      <w:start w:val="1"/>
      <w:numFmt w:val="bullet"/>
      <w:lvlText w:val="☐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☑"/>
      <w:lvlJc w:val="left"/>
      <w:pPr>
        <w:ind w:left="720" w:hanging="360"/>
      </w:pPr>
    </w:lvl>
    <w:lvl w:ilvl="1">
      <w:start w:val="1"/>
      <w:numFmt w:val="bullet"/>
      <w:lvlText w:val="☑"/>
      <w:lvlJc w:val="left"/>
      <w:pPr>
        <w:ind w:left="1440" w:hanging="360"/>
      </w:pPr>
    </w:lvl>
    <w:lvl w:ilvl="2">
      <w:start w:val="1"/>
      <w:numFmt w:val="bullet"/>
      <w:lvlText w:val="☑"/>
      <w:lvlJc w:val="left"/>
      <w:pPr>
        <w:ind w:left="2160" w:hanging="360"/>
      </w:pPr>
    </w:lvl>
    <w:lvl w:ilvl="3">
      <w:start w:val="1"/>
      <w:numFmt w:val="bullet"/>
      <w:lvlText w:val="☑"/>
      <w:lvlJc w:val="left"/>
      <w:pPr>
        <w:ind w:left="2880" w:hanging="360"/>
      </w:pPr>
    </w:lvl>
    <w:lvl w:ilvl="4">
      <w:start w:val="1"/>
      <w:numFmt w:val="bullet"/>
      <w:lvlText w:val="☑"/>
      <w:lvlJc w:val="left"/>
      <w:pPr>
        <w:ind w:left="3600" w:hanging="360"/>
      </w:pPr>
    </w:lvl>
    <w:lvl w:ilvl="5">
      <w:start w:val="1"/>
      <w:numFmt w:val="bullet"/>
      <w:lvlText w:val="☑"/>
      <w:lvlJc w:val="left"/>
      <w:pPr>
        <w:ind w:left="4320" w:hanging="360"/>
      </w:pPr>
    </w:lvl>
    <w:lvl w:ilvl="6">
      <w:start w:val="1"/>
      <w:numFmt w:val="bullet"/>
      <w:lvlText w:val="☑"/>
      <w:lvlJc w:val="left"/>
      <w:pPr>
        <w:ind w:left="5040" w:hanging="360"/>
      </w:pPr>
    </w:lvl>
    <w:lvl w:ilvl="7">
      <w:start w:val="1"/>
      <w:numFmt w:val="bullet"/>
      <w:lvlText w:val="☑"/>
      <w:lvlJc w:val="left"/>
      <w:pPr>
        <w:ind w:left="5760" w:hanging="360"/>
      </w:pPr>
    </w:lvl>
    <w:lvl w:ilvl="8">
      <w:start w:val="1"/>
      <w:numFmt w:val="bullet"/>
      <w:lvlText w:val="☑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n-US"/>
      </w:rPr>
    </w:rPrDefault>
    <w:pPrDefault>
      <w:pPr>
        <w:spacing w:after="160" w:line="312" w:lineRule="auto"/>
      </w:pPr>
    </w:pPrDefault>
  </w:docDefaults>
  <w:style w:type="paragraph" w:styleId="Normal" w:default="1">
    <w:name w:val="Normal"/>
  </w:style>
  <w:style w:type="paragraph" w:styleId="Heading1" w:default="0">
    <w:name w:val="heading 1"/>
    <w:basedOn w:val="Normal"/>
    <w:next w:val="Normal"/>
    <w:pPr>
      <w:keepNext/>
      <w:keepLines/>
      <w:spacing w:before="320" w:line="264" w:lineRule="auto"/>
      <w:outlineLvl w:val="0"/>
    </w:pPr>
    <w:rPr>
      <w:rFonts w:ascii="Calibri Light" w:hAnsi="Calibri Light"/>
      <w:b/>
      <w:color w:val="1A1A1A"/>
      <w:sz w:val="43"/>
      <w:szCs w:val="43"/>
    </w:rPr>
  </w:style>
  <w:style w:type="paragraph" w:styleId="Heading2" w:default="0">
    <w:name w:val="heading 2"/>
    <w:basedOn w:val="Normal"/>
    <w:next w:val="Normal"/>
    <w:pPr>
      <w:keepNext/>
      <w:keepLines/>
      <w:spacing w:before="320" w:line="264" w:lineRule="auto"/>
      <w:outlineLvl w:val="1"/>
    </w:pPr>
    <w:rPr>
      <w:rFonts w:ascii="Calibri Light" w:hAnsi="Calibri Light"/>
      <w:b/>
      <w:sz w:val="34"/>
      <w:szCs w:val="34"/>
    </w:rPr>
  </w:style>
  <w:style w:type="paragraph" w:styleId="Heading3" w:default="0">
    <w:name w:val="heading 3"/>
    <w:basedOn w:val="Normal"/>
    <w:next w:val="Normal"/>
    <w:pPr>
      <w:keepNext/>
      <w:keepLines/>
      <w:spacing w:before="160" w:line="264" w:lineRule="auto"/>
      <w:outlineLvl w:val="2"/>
    </w:pPr>
    <w:rPr>
      <w:rFonts w:ascii="Calibri Light" w:hAnsi="Calibri Light"/>
      <w:b/>
      <w:sz w:val="28"/>
      <w:szCs w:val="28"/>
    </w:rPr>
  </w:style>
  <w:style w:type="paragraph" w:styleId="Heading4" w:default="0">
    <w:name w:val="heading 4"/>
    <w:basedOn w:val="Normal"/>
    <w:next w:val="Normal"/>
    <w:pPr>
      <w:keepNext/>
      <w:keepLines/>
      <w:spacing w:before="160" w:line="264" w:lineRule="auto"/>
      <w:outlineLvl w:val="3"/>
    </w:pPr>
    <w:rPr>
      <w:rFonts w:ascii="Calibri Light" w:hAnsi="Calibri Light"/>
      <w:b/>
      <w:sz w:val="22"/>
      <w:szCs w:val="22"/>
    </w:rPr>
  </w:style>
  <w:style w:type="paragraph" w:styleId="Heading5" w:default="0">
    <w:name w:val="heading 5"/>
    <w:basedOn w:val="Normal"/>
    <w:next w:val="Normal"/>
    <w:pPr>
      <w:keepNext/>
      <w:keepLines/>
      <w:spacing w:before="160" w:line="264" w:lineRule="auto"/>
      <w:outlineLvl w:val="4"/>
    </w:pPr>
    <w:rPr>
      <w:rFonts w:ascii="Calibri Light" w:hAnsi="Calibri Light"/>
      <w:b/>
      <w:sz w:val="22"/>
      <w:szCs w:val="22"/>
    </w:rPr>
  </w:style>
  <w:style w:type="paragraph" w:styleId="Heading6" w:default="0">
    <w:name w:val="heading 6"/>
    <w:basedOn w:val="Normal"/>
    <w:next w:val="Normal"/>
    <w:pPr>
      <w:keepNext/>
      <w:keepLines/>
      <w:spacing w:before="160" w:line="264" w:lineRule="auto"/>
      <w:outlineLvl w:val="5"/>
    </w:pPr>
    <w:rPr>
      <w:rFonts w:ascii="Calibri Light" w:hAnsi="Calibri Light"/>
      <w:b/>
      <w:sz w:val="22"/>
      <w:szCs w:val="22"/>
    </w:rPr>
  </w:style>
  <w:style w:type="paragraph" w:styleId="Quote" w:default="0">
    <w:name w:val="Quote"/>
    <w:basedOn w:val="Normal"/>
    <w:pPr>
      <w:ind w:left="320"/>
      <w:pBdr>
        <w:left w:val="single" w:sz="24" w:space="12" w:color="BFBFBF"/>
      </w:pBdr>
    </w:pPr>
    <w:rPr>
      <w:i/>
      <w:color w:val="595959"/>
    </w:rPr>
  </w:style>
  <w:style w:type="character" w:styleId="CkHighlight">
    <w:name w:val="Clarkdown Highlight"/>
    <w:rPr>
      <w:shd w:val="clear" w:fill="FFF2A8"/>
    </w:rPr>
  </w:style>
  <w:style w:type="character" w:styleId="CkSmallcaps">
    <w:name w:val="Clarkdown Smallcaps"/>
    <w:rPr>
      <w:smallCaps/>
    </w:rPr>
  </w:style>
  <w:style w:type="character" w:styleId="CkUnderline">
    <w:name w:val="Clarkdown Underline"/>
    <w:rPr>
      <w:u w:val="single"/>
    </w:rPr>
  </w:style>
  <w:style w:type="character" w:styleId="CkMuted">
    <w:name w:val="Clarkdown Muted"/>
    <w:rPr>
      <w:color w:val="595959"/>
    </w:rPr>
  </w:style>
  <w:style w:type="character" w:styleId="CkAccent">
    <w:name w:val="Clarkdown Accent"/>
    <w:rPr>
      <w:color w:val="1A1A1A"/>
    </w:rPr>
  </w:style>
  <w:style w:type="character" w:styleId="CkCaption">
    <w:name w:val="Clarkdown Caption"/>
    <w:rPr>
      <w:i/>
      <w:color w:val="595959"/>
      <w:sz w:val="20"/>
      <w:szCs w:val="20"/>
    </w:rPr>
  </w:style>
  <w:style w:type="paragraph" w:styleId="CkDisplay" w:default="0">
    <w:name w:val="Clarkdown Display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color w:val="1A1A1A"/>
      <w:sz w:val="132"/>
      <w:szCs w:val="132"/>
    </w:rPr>
  </w:style>
  <w:style w:type="character" w:styleId="CkKicker">
    <w:name w:val="Clarkdown Kicker"/>
    <w:rPr>
      <w:smallCaps/>
      <w:spacing w:val="18"/>
      <w:color w:val="595959"/>
    </w:rPr>
  </w:style>
  <w:style w:type="paragraph" w:styleId="CkTrackedCaps" w:default="0">
    <w:name w:val="Clarkdown Tracked Caps"/>
    <w:basedOn w:val="Normal"/>
    <w:next w:val="Normal"/>
    <w:rPr>
      <w:smallCaps/>
      <w:spacing w:val="18"/>
    </w:rPr>
  </w:style>
  <w:style w:type="paragraph" w:styleId="Title" w:default="0">
    <w:name w:val="Title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sz w:val="54"/>
      <w:szCs w:val="54"/>
    </w:rPr>
  </w:style>
  <w:style w:type="character" w:styleId="Hyperlink">
    <w:name w:val="Hyperlink"/>
    <w:rPr>
      <w:color w:val="1A1A1A"/>
      <w:u w:val="single"/>
    </w:rPr>
  </w:style>
  <w:style w:type="paragraph" w:styleId="CkCodeBlock" w:default="0">
    <w:name w:val="Clarkdown Code Block"/>
    <w:basedOn w:val="Normal"/>
    <w:pPr>
      <w:shd w:val="clear" w:fill="EDEDED"/>
      <w:spacing w:after="0" w:line="240" w:lineRule="auto"/>
    </w:pPr>
    <w:rPr>
      <w:rFonts w:ascii="Consolas" w:hAnsi="Consolas"/>
      <w:noProof/>
      <w:sz w:val="20"/>
    </w:rPr>
  </w:style>
  <w:style w:type="character" w:styleId="CkCode">
    <w:name w:val="Clarkdown Code"/>
    <w:rPr>
      <w:rFonts w:ascii="Consolas" w:hAnsi="Consolas"/>
      <w:shd w:val="clear" w:fill="EDEDED"/>
      <w:sz w:val="20"/>
    </w:rPr>
  </w:style>
  <w:style w:type="paragraph" w:styleId="Caption" w:default="0">
    <w:name w:val="caption"/>
    <w:basedOn w:val="Normal"/>
    <w:rPr>
      <w:i/>
      <w:sz w:val="18"/>
    </w:rPr>
  </w:style>
  <w:style w:type="paragraph" w:styleId="ListParagraph" w:default="0">
    <w:name w:val="List Paragraph"/>
    <w:basedOn w:val="Normal"/>
    <w:pPr>
      <w:ind w:left="320"/>
    </w:pPr>
  </w:style>
  <w:style w:type="paragraph" w:styleId="CkUnknown" w:default="0">
    <w:name w:val="Clarkdown Unknown"/>
    <w:basedOn w:val="Normal"/>
    <w:pPr>
      <w:shd w:val="clear" w:fill="FFEEEE"/>
    </w:pPr>
  </w:style>
  <w:style w:type="paragraph" w:styleId="FootnoteText" w:default="0">
    <w:name w:val="footnote text"/>
    <w:basedOn w:val="Normal"/>
    <w:rPr>
      <w:sz w:val="18"/>
    </w:rPr>
  </w:style>
  <w:style w:type="character" w:styleId="FootnoteReference">
    <w:name w:val="footnote reference"/>
    <w:rPr>
      <w:vertAlign w:val="superscript"/>
    </w:rPr>
  </w:style>
  <w:style w:type="table" w:styleId="CkTable">
    <w:name w:val="Clarkdown Table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table" w:styleId="CkLayout">
    <w:name w:val="Clarkdown Layout"/>
    <w:tblPr>
      <w:tblBorders>
        <w:top w:val="none"/>
        <w:left w:val="none"/>
        <w:bottom w:val="none"/>
        <w:right w:val="none"/>
        <w:insideH w:val="none"/>
        <w:insideV w:val="none"/>
      </w:tblBorders>
    </w:tblPr>
  </w:style>
  <w:style w:type="paragraph" w:styleId="CkNote" w:default="0">
    <w:name w:val="Clarkdown Note"/>
    <w:basedOn w:val="Normal"/>
    <w:pPr>
      <w:pBdr>
        <w:left w:val="single" w:sz="24" w:space="8" w:color="2F6FEB"/>
      </w:pBdr>
      <w:ind w:left="240"/>
    </w:pPr>
  </w:style>
  <w:style w:type="paragraph" w:styleId="CkTip" w:default="0">
    <w:name w:val="Clarkdown Tip"/>
    <w:basedOn w:val="Normal"/>
    <w:pPr>
      <w:pBdr>
        <w:left w:val="single" w:sz="24" w:space="8" w:color="1A7F37"/>
      </w:pBdr>
      <w:ind w:left="240"/>
    </w:pPr>
  </w:style>
  <w:style w:type="paragraph" w:styleId="CkWarning" w:default="0">
    <w:name w:val="Clarkdown Warning"/>
    <w:basedOn w:val="Normal"/>
    <w:pPr>
      <w:pBdr>
        <w:left w:val="single" w:sz="24" w:space="8" w:color="9A6700"/>
      </w:pBdr>
      <w:ind w:left="240"/>
    </w:pPr>
  </w:style>
  <w:style w:type="paragraph" w:styleId="CkImportant" w:default="0">
    <w:name w:val="Clarkdown Important"/>
    <w:basedOn w:val="Normal"/>
    <w:pPr>
      <w:pBdr>
        <w:left w:val="single" w:sz="24" w:space="8" w:color="8250DF"/>
      </w:pBdr>
      <w:ind w:left="240"/>
    </w:pPr>
  </w:style>
  <w:style w:type="paragraph" w:styleId="CkCaution" w:default="0">
    <w:name w:val="Clarkdown Caution"/>
    <w:basedOn w:val="Normal"/>
    <w:pPr>
      <w:pBdr>
        <w:left w:val="single" w:sz="24" w:space="8" w:color="CF222E"/>
      </w:pBdr>
      <w:ind w:left="240"/>
    </w:p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Fonts" Type="http://schemas.openxmlformats.org/officeDocument/2006/relationships/fontTable" Target="fontTable.xml"/><Relationship Id="rIdSettings" Type="http://schemas.openxmlformats.org/officeDocument/2006/relationships/settings" Target="settings.xml"/><Relationship Id="rIdHf1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