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1AD5E1" w14:textId="77777777" w:rsidR="00B229A7" w:rsidRDefault="00B229A7">
      <w:pPr>
        <w:ind w:firstLineChars="100" w:firstLine="520"/>
        <w:jc w:val="center"/>
        <w:rPr>
          <w:rFonts w:ascii="黑体" w:eastAsia="黑体" w:hAnsi="黑体"/>
          <w:sz w:val="52"/>
          <w:szCs w:val="52"/>
        </w:rPr>
      </w:pPr>
      <w:bookmarkStart w:id="0" w:name="_Toc515709069"/>
    </w:p>
    <w:p w14:paraId="468BF9B2" w14:textId="77777777" w:rsidR="00B229A7" w:rsidRDefault="00B229A7">
      <w:pPr>
        <w:ind w:firstLineChars="100" w:firstLine="520"/>
        <w:jc w:val="center"/>
        <w:rPr>
          <w:rFonts w:ascii="黑体" w:eastAsia="黑体" w:hAnsi="黑体"/>
          <w:sz w:val="52"/>
          <w:szCs w:val="52"/>
        </w:rPr>
      </w:pPr>
    </w:p>
    <w:p w14:paraId="02F6FD28" w14:textId="77777777" w:rsidR="00B229A7" w:rsidRDefault="00B229A7">
      <w:pPr>
        <w:ind w:firstLineChars="100" w:firstLine="520"/>
        <w:jc w:val="center"/>
        <w:rPr>
          <w:rFonts w:ascii="黑体" w:eastAsia="黑体" w:hAnsi="黑体"/>
          <w:sz w:val="52"/>
          <w:szCs w:val="52"/>
        </w:rPr>
      </w:pPr>
    </w:p>
    <w:p w14:paraId="585A92B0" w14:textId="77777777" w:rsidR="00B229A7" w:rsidRDefault="00B229A7">
      <w:pPr>
        <w:ind w:firstLineChars="100" w:firstLine="520"/>
        <w:jc w:val="center"/>
        <w:rPr>
          <w:rFonts w:ascii="黑体" w:eastAsia="黑体" w:hAnsi="黑体"/>
          <w:sz w:val="52"/>
          <w:szCs w:val="52"/>
        </w:rPr>
      </w:pPr>
    </w:p>
    <w:p w14:paraId="25BA5BC2" w14:textId="77777777" w:rsidR="00B229A7" w:rsidRDefault="00D7072C">
      <w:pPr>
        <w:ind w:firstLineChars="100" w:firstLine="560"/>
        <w:jc w:val="center"/>
        <w:rPr>
          <w:rFonts w:ascii="黑体" w:eastAsia="黑体" w:hAnsi="黑体"/>
          <w:sz w:val="56"/>
          <w:szCs w:val="56"/>
        </w:rPr>
      </w:pPr>
      <w:r>
        <w:rPr>
          <w:rFonts w:ascii="黑体" w:eastAsia="黑体" w:hAnsi="黑体" w:hint="eastAsia"/>
          <w:sz w:val="56"/>
          <w:szCs w:val="56"/>
        </w:rPr>
        <w:t>审计案例库</w:t>
      </w:r>
    </w:p>
    <w:p w14:paraId="795EE895" w14:textId="77777777" w:rsidR="00B229A7" w:rsidRDefault="00B229A7">
      <w:pPr>
        <w:ind w:firstLineChars="100" w:firstLine="520"/>
        <w:jc w:val="center"/>
        <w:rPr>
          <w:rFonts w:ascii="黑体" w:eastAsia="黑体" w:hAnsi="黑体"/>
          <w:sz w:val="52"/>
          <w:szCs w:val="52"/>
        </w:rPr>
      </w:pPr>
    </w:p>
    <w:p w14:paraId="490D846E" w14:textId="77777777" w:rsidR="00B229A7" w:rsidRDefault="00B229A7">
      <w:pPr>
        <w:ind w:firstLineChars="100" w:firstLine="520"/>
        <w:jc w:val="center"/>
        <w:rPr>
          <w:rFonts w:ascii="黑体" w:eastAsia="黑体" w:hAnsi="黑体"/>
          <w:sz w:val="52"/>
          <w:szCs w:val="52"/>
        </w:rPr>
      </w:pPr>
    </w:p>
    <w:p w14:paraId="269E43CF" w14:textId="77777777" w:rsidR="00B229A7" w:rsidRDefault="00B229A7">
      <w:pPr>
        <w:ind w:firstLineChars="100" w:firstLine="520"/>
        <w:jc w:val="center"/>
        <w:rPr>
          <w:rFonts w:ascii="黑体" w:eastAsia="黑体" w:hAnsi="黑体"/>
          <w:sz w:val="52"/>
          <w:szCs w:val="52"/>
        </w:rPr>
      </w:pPr>
    </w:p>
    <w:p w14:paraId="209C197E" w14:textId="77777777" w:rsidR="00B229A7" w:rsidRDefault="00B229A7">
      <w:pPr>
        <w:ind w:firstLineChars="100" w:firstLine="520"/>
        <w:jc w:val="center"/>
        <w:rPr>
          <w:rFonts w:ascii="黑体" w:eastAsia="黑体" w:hAnsi="黑体"/>
          <w:sz w:val="52"/>
          <w:szCs w:val="52"/>
        </w:rPr>
      </w:pPr>
    </w:p>
    <w:p w14:paraId="1F8AC095" w14:textId="77777777" w:rsidR="00B229A7" w:rsidRDefault="00D7072C">
      <w:pPr>
        <w:spacing w:line="276" w:lineRule="auto"/>
        <w:ind w:firstLineChars="450" w:firstLine="1440"/>
        <w:jc w:val="left"/>
        <w:rPr>
          <w:rFonts w:ascii="宋体" w:hAnsi="宋体"/>
          <w:sz w:val="32"/>
          <w:szCs w:val="32"/>
          <w:u w:val="single"/>
        </w:rPr>
      </w:pPr>
      <w:r>
        <w:rPr>
          <w:rFonts w:ascii="宋体" w:hAnsi="宋体" w:hint="eastAsia"/>
          <w:sz w:val="32"/>
          <w:szCs w:val="32"/>
        </w:rPr>
        <w:t>团队名称：</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仙女凡间体验分队 </w:t>
      </w:r>
      <w:r>
        <w:rPr>
          <w:rFonts w:ascii="宋体" w:hAnsi="宋体"/>
          <w:sz w:val="32"/>
          <w:szCs w:val="32"/>
          <w:u w:val="single"/>
        </w:rPr>
        <w:t xml:space="preserve">         </w:t>
      </w:r>
    </w:p>
    <w:p w14:paraId="290AC462" w14:textId="77777777" w:rsidR="00B229A7" w:rsidRDefault="00D7072C">
      <w:pPr>
        <w:spacing w:line="276" w:lineRule="auto"/>
        <w:ind w:firstLineChars="450" w:firstLine="1440"/>
        <w:jc w:val="left"/>
        <w:rPr>
          <w:rFonts w:ascii="宋体" w:hAnsi="宋体"/>
          <w:sz w:val="32"/>
          <w:szCs w:val="32"/>
          <w:u w:val="single"/>
        </w:rPr>
      </w:pPr>
      <w:r>
        <w:rPr>
          <w:rFonts w:ascii="宋体" w:hAnsi="宋体" w:hint="eastAsia"/>
          <w:sz w:val="32"/>
          <w:szCs w:val="32"/>
        </w:rPr>
        <w:t>团队队长：</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陈明仪 </w:t>
      </w:r>
      <w:r>
        <w:rPr>
          <w:rFonts w:ascii="宋体" w:hAnsi="宋体"/>
          <w:sz w:val="32"/>
          <w:szCs w:val="32"/>
          <w:u w:val="single"/>
        </w:rPr>
        <w:t xml:space="preserve">             </w:t>
      </w:r>
    </w:p>
    <w:p w14:paraId="1D1CBC8B" w14:textId="77777777" w:rsidR="00B229A7" w:rsidRDefault="00D7072C">
      <w:pPr>
        <w:spacing w:line="276" w:lineRule="auto"/>
        <w:ind w:firstLineChars="450" w:firstLine="1440"/>
        <w:jc w:val="left"/>
        <w:rPr>
          <w:rFonts w:ascii="宋体" w:hAnsi="宋体"/>
          <w:sz w:val="32"/>
          <w:szCs w:val="32"/>
          <w:u w:val="single"/>
        </w:rPr>
      </w:pPr>
      <w:r>
        <w:rPr>
          <w:rFonts w:ascii="宋体" w:hAnsi="宋体" w:hint="eastAsia"/>
          <w:sz w:val="32"/>
          <w:szCs w:val="32"/>
        </w:rPr>
        <w:t>团队成员：</w:t>
      </w:r>
      <w:r>
        <w:rPr>
          <w:rFonts w:ascii="宋体" w:hAnsi="宋体" w:hint="eastAsia"/>
          <w:sz w:val="32"/>
          <w:szCs w:val="32"/>
          <w:u w:val="single"/>
        </w:rPr>
        <w:t xml:space="preserve">曹艺佳、张梓霁、张婉诗、任柏羽 </w:t>
      </w:r>
    </w:p>
    <w:p w14:paraId="7279EB46" w14:textId="77777777" w:rsidR="00B229A7" w:rsidRDefault="00D7072C">
      <w:pPr>
        <w:spacing w:line="276" w:lineRule="auto"/>
        <w:ind w:firstLineChars="450" w:firstLine="1440"/>
        <w:jc w:val="left"/>
        <w:rPr>
          <w:rFonts w:ascii="宋体" w:hAnsi="宋体"/>
          <w:sz w:val="32"/>
          <w:szCs w:val="32"/>
          <w:u w:val="single"/>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 xml:space="preserve"> </w:t>
      </w:r>
      <w:r>
        <w:rPr>
          <w:rFonts w:ascii="宋体" w:hAnsi="宋体"/>
          <w:sz w:val="32"/>
          <w:szCs w:val="32"/>
        </w:rPr>
        <w:t xml:space="preserve"> </w:t>
      </w:r>
      <w:r>
        <w:rPr>
          <w:rFonts w:ascii="宋体" w:hAnsi="宋体" w:hint="eastAsia"/>
          <w:sz w:val="32"/>
          <w:szCs w:val="32"/>
        </w:rPr>
        <w:t>期：</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2</w:t>
      </w:r>
      <w:r>
        <w:rPr>
          <w:rFonts w:ascii="宋体" w:hAnsi="宋体"/>
          <w:sz w:val="32"/>
          <w:szCs w:val="32"/>
          <w:u w:val="single"/>
        </w:rPr>
        <w:t>022</w:t>
      </w:r>
      <w:r>
        <w:rPr>
          <w:rFonts w:ascii="宋体" w:hAnsi="宋体" w:hint="eastAsia"/>
          <w:sz w:val="32"/>
          <w:szCs w:val="32"/>
          <w:u w:val="single"/>
        </w:rPr>
        <w:t>年</w:t>
      </w:r>
      <w:r>
        <w:rPr>
          <w:rFonts w:ascii="宋体" w:hAnsi="宋体"/>
          <w:sz w:val="32"/>
          <w:szCs w:val="32"/>
          <w:u w:val="single"/>
        </w:rPr>
        <w:t>05</w:t>
      </w:r>
      <w:r>
        <w:rPr>
          <w:rFonts w:ascii="宋体" w:hAnsi="宋体" w:hint="eastAsia"/>
          <w:sz w:val="32"/>
          <w:szCs w:val="32"/>
          <w:u w:val="single"/>
        </w:rPr>
        <w:t>月</w:t>
      </w:r>
      <w:r>
        <w:rPr>
          <w:rFonts w:ascii="宋体" w:hAnsi="宋体"/>
          <w:sz w:val="32"/>
          <w:szCs w:val="32"/>
          <w:u w:val="single"/>
        </w:rPr>
        <w:t>30</w:t>
      </w:r>
      <w:r>
        <w:rPr>
          <w:rFonts w:ascii="宋体" w:hAnsi="宋体" w:hint="eastAsia"/>
          <w:sz w:val="32"/>
          <w:szCs w:val="32"/>
          <w:u w:val="single"/>
        </w:rPr>
        <w:t xml:space="preserve">日 </w:t>
      </w:r>
      <w:r>
        <w:rPr>
          <w:rFonts w:ascii="宋体" w:hAnsi="宋体"/>
          <w:sz w:val="32"/>
          <w:szCs w:val="32"/>
          <w:u w:val="single"/>
        </w:rPr>
        <w:t xml:space="preserve">       </w:t>
      </w:r>
    </w:p>
    <w:p w14:paraId="4A43C0E9" w14:textId="77777777" w:rsidR="00B229A7" w:rsidRDefault="00D7072C">
      <w:pPr>
        <w:spacing w:line="276" w:lineRule="auto"/>
        <w:ind w:firstLineChars="450" w:firstLine="1440"/>
        <w:jc w:val="left"/>
        <w:rPr>
          <w:rFonts w:ascii="宋体" w:hAnsi="宋体"/>
          <w:sz w:val="32"/>
          <w:szCs w:val="32"/>
          <w:u w:val="single"/>
        </w:rPr>
      </w:pPr>
      <w:r>
        <w:rPr>
          <w:rFonts w:ascii="宋体" w:hAnsi="宋体" w:hint="eastAsia"/>
          <w:sz w:val="32"/>
          <w:szCs w:val="32"/>
        </w:rPr>
        <w:t>指导教师：</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梁力军 </w:t>
      </w:r>
      <w:r>
        <w:rPr>
          <w:rFonts w:ascii="宋体" w:hAnsi="宋体"/>
          <w:sz w:val="32"/>
          <w:szCs w:val="32"/>
          <w:u w:val="single"/>
        </w:rPr>
        <w:t xml:space="preserve">              </w:t>
      </w:r>
    </w:p>
    <w:p w14:paraId="244C7473" w14:textId="77777777" w:rsidR="00B229A7" w:rsidRDefault="00B229A7">
      <w:pPr>
        <w:spacing w:line="276" w:lineRule="auto"/>
        <w:ind w:firstLineChars="450" w:firstLine="1440"/>
        <w:jc w:val="center"/>
        <w:rPr>
          <w:rFonts w:ascii="宋体" w:hAnsi="宋体"/>
          <w:sz w:val="32"/>
          <w:szCs w:val="32"/>
          <w:u w:val="single"/>
        </w:rPr>
      </w:pPr>
    </w:p>
    <w:p w14:paraId="241C3665" w14:textId="77777777" w:rsidR="00B229A7" w:rsidRDefault="00D7072C">
      <w:pPr>
        <w:widowControl/>
        <w:jc w:val="center"/>
        <w:rPr>
          <w:rFonts w:ascii="宋体" w:hAnsi="宋体"/>
          <w:sz w:val="32"/>
          <w:szCs w:val="32"/>
        </w:rPr>
      </w:pPr>
      <w:r>
        <w:rPr>
          <w:rFonts w:ascii="宋体" w:hAnsi="宋体"/>
          <w:sz w:val="32"/>
          <w:szCs w:val="32"/>
        </w:rPr>
        <w:t xml:space="preserve">    </w:t>
      </w:r>
    </w:p>
    <w:p w14:paraId="695F99A1" w14:textId="77777777" w:rsidR="00B229A7" w:rsidRDefault="00D7072C">
      <w:pPr>
        <w:widowControl/>
        <w:jc w:val="center"/>
        <w:rPr>
          <w:rFonts w:ascii="宋体" w:hAnsi="宋体"/>
          <w:sz w:val="32"/>
          <w:szCs w:val="32"/>
        </w:rPr>
      </w:pPr>
      <w:r>
        <w:rPr>
          <w:rFonts w:ascii="宋体" w:hAnsi="宋体" w:hint="eastAsia"/>
          <w:sz w:val="32"/>
          <w:szCs w:val="32"/>
        </w:rPr>
        <w:t xml:space="preserve"> </w:t>
      </w:r>
      <w:r>
        <w:rPr>
          <w:rFonts w:ascii="宋体" w:hAnsi="宋体"/>
          <w:sz w:val="32"/>
          <w:szCs w:val="32"/>
        </w:rPr>
        <w:t xml:space="preserve">   </w:t>
      </w:r>
    </w:p>
    <w:p w14:paraId="1395A6A2" w14:textId="77777777" w:rsidR="00B229A7" w:rsidRDefault="00D7072C">
      <w:pPr>
        <w:widowControl/>
        <w:jc w:val="left"/>
        <w:rPr>
          <w:b/>
          <w:kern w:val="44"/>
          <w:sz w:val="44"/>
          <w:szCs w:val="44"/>
        </w:rPr>
      </w:pPr>
      <w:r>
        <w:rPr>
          <w:rFonts w:hint="eastAsia"/>
          <w:b/>
          <w:kern w:val="44"/>
          <w:sz w:val="44"/>
          <w:szCs w:val="44"/>
        </w:rPr>
        <w:lastRenderedPageBreak/>
        <w:t>目录：</w:t>
      </w:r>
      <w:r>
        <w:rPr>
          <w:b/>
          <w:kern w:val="44"/>
          <w:sz w:val="44"/>
          <w:szCs w:val="44"/>
        </w:rPr>
        <w:t xml:space="preserve"> </w:t>
      </w:r>
    </w:p>
    <w:p w14:paraId="6F2652F7" w14:textId="77777777" w:rsidR="00B229A7" w:rsidRDefault="00D7072C">
      <w:pPr>
        <w:pStyle w:val="10"/>
        <w:rPr>
          <w:rFonts w:cstheme="minorBidi"/>
          <w:sz w:val="28"/>
          <w:szCs w:val="28"/>
        </w:rPr>
      </w:pPr>
      <w:r>
        <w:rPr>
          <w:kern w:val="44"/>
          <w:sz w:val="44"/>
          <w:szCs w:val="44"/>
        </w:rPr>
        <w:fldChar w:fldCharType="begin"/>
      </w:r>
      <w:r>
        <w:rPr>
          <w:kern w:val="44"/>
          <w:sz w:val="44"/>
          <w:szCs w:val="44"/>
        </w:rPr>
        <w:instrText xml:space="preserve"> TOC \o "1-4" \h \z \u </w:instrText>
      </w:r>
      <w:r>
        <w:rPr>
          <w:kern w:val="44"/>
          <w:sz w:val="44"/>
          <w:szCs w:val="44"/>
        </w:rPr>
        <w:fldChar w:fldCharType="separate"/>
      </w:r>
      <w:hyperlink w:anchor="_Toc104812573" w:history="1">
        <w:r>
          <w:rPr>
            <w:rStyle w:val="a5"/>
            <w:bCs w:val="0"/>
            <w:sz w:val="28"/>
            <w:szCs w:val="28"/>
          </w:rPr>
          <w:t>01-10 主要分析人：陈明仪</w:t>
        </w:r>
        <w:r>
          <w:rPr>
            <w:sz w:val="28"/>
            <w:szCs w:val="28"/>
          </w:rPr>
          <w:tab/>
        </w:r>
        <w:r>
          <w:rPr>
            <w:sz w:val="28"/>
            <w:szCs w:val="28"/>
          </w:rPr>
          <w:fldChar w:fldCharType="begin"/>
        </w:r>
        <w:r>
          <w:rPr>
            <w:sz w:val="28"/>
            <w:szCs w:val="28"/>
          </w:rPr>
          <w:instrText xml:space="preserve"> PAGEREF _Toc104812573 \h </w:instrText>
        </w:r>
        <w:r>
          <w:rPr>
            <w:sz w:val="28"/>
            <w:szCs w:val="28"/>
          </w:rPr>
        </w:r>
        <w:r>
          <w:rPr>
            <w:sz w:val="28"/>
            <w:szCs w:val="28"/>
          </w:rPr>
          <w:fldChar w:fldCharType="separate"/>
        </w:r>
        <w:r>
          <w:rPr>
            <w:sz w:val="28"/>
            <w:szCs w:val="28"/>
          </w:rPr>
          <w:t>4</w:t>
        </w:r>
        <w:r>
          <w:rPr>
            <w:sz w:val="28"/>
            <w:szCs w:val="28"/>
          </w:rPr>
          <w:fldChar w:fldCharType="end"/>
        </w:r>
      </w:hyperlink>
    </w:p>
    <w:p w14:paraId="2C49BDD3" w14:textId="77777777" w:rsidR="00B229A7" w:rsidRDefault="004A68B2">
      <w:pPr>
        <w:pStyle w:val="10"/>
        <w:rPr>
          <w:rFonts w:cstheme="minorBidi"/>
          <w:sz w:val="21"/>
          <w:szCs w:val="24"/>
        </w:rPr>
      </w:pPr>
      <w:hyperlink w:anchor="_Toc104812574" w:history="1">
        <w:r w:rsidR="00D7072C">
          <w:rPr>
            <w:rStyle w:val="a5"/>
            <w:b w:val="0"/>
            <w:bCs w:val="0"/>
          </w:rPr>
          <w:t>01中信国安财务造假</w:t>
        </w:r>
        <w:r w:rsidR="00D7072C">
          <w:tab/>
        </w:r>
        <w:r w:rsidR="00D7072C">
          <w:fldChar w:fldCharType="begin"/>
        </w:r>
        <w:r w:rsidR="00D7072C">
          <w:instrText xml:space="preserve"> PAGEREF _Toc104812574 \h </w:instrText>
        </w:r>
        <w:r w:rsidR="00D7072C">
          <w:fldChar w:fldCharType="separate"/>
        </w:r>
        <w:r w:rsidR="00D7072C">
          <w:t>4</w:t>
        </w:r>
        <w:r w:rsidR="00D7072C">
          <w:fldChar w:fldCharType="end"/>
        </w:r>
      </w:hyperlink>
    </w:p>
    <w:p w14:paraId="2404174E" w14:textId="77777777" w:rsidR="00B229A7" w:rsidRDefault="004A68B2">
      <w:pPr>
        <w:pStyle w:val="10"/>
        <w:rPr>
          <w:rFonts w:cstheme="minorBidi"/>
          <w:sz w:val="21"/>
          <w:szCs w:val="24"/>
        </w:rPr>
      </w:pPr>
      <w:hyperlink w:anchor="_Toc104812575" w:history="1">
        <w:r w:rsidR="00D7072C">
          <w:rPr>
            <w:rStyle w:val="a5"/>
            <w:b w:val="0"/>
            <w:bCs w:val="0"/>
          </w:rPr>
          <w:t>02 Wirecard财务造假</w:t>
        </w:r>
        <w:r w:rsidR="00D7072C">
          <w:tab/>
        </w:r>
        <w:r w:rsidR="00D7072C">
          <w:fldChar w:fldCharType="begin"/>
        </w:r>
        <w:r w:rsidR="00D7072C">
          <w:instrText xml:space="preserve"> PAGEREF _Toc104812575 \h </w:instrText>
        </w:r>
        <w:r w:rsidR="00D7072C">
          <w:fldChar w:fldCharType="separate"/>
        </w:r>
        <w:r w:rsidR="00D7072C">
          <w:t>7</w:t>
        </w:r>
        <w:r w:rsidR="00D7072C">
          <w:fldChar w:fldCharType="end"/>
        </w:r>
      </w:hyperlink>
    </w:p>
    <w:p w14:paraId="4BFEC208" w14:textId="77777777" w:rsidR="00B229A7" w:rsidRDefault="004A68B2">
      <w:pPr>
        <w:pStyle w:val="10"/>
        <w:rPr>
          <w:rFonts w:cstheme="minorBidi"/>
          <w:sz w:val="21"/>
          <w:szCs w:val="24"/>
        </w:rPr>
      </w:pPr>
      <w:hyperlink w:anchor="_Toc104812576" w:history="1">
        <w:r w:rsidR="00D7072C">
          <w:rPr>
            <w:rStyle w:val="a5"/>
            <w:b w:val="0"/>
            <w:bCs w:val="0"/>
          </w:rPr>
          <w:t>03乐视网财务造假</w:t>
        </w:r>
        <w:r w:rsidR="00D7072C">
          <w:tab/>
        </w:r>
        <w:r w:rsidR="00D7072C">
          <w:fldChar w:fldCharType="begin"/>
        </w:r>
        <w:r w:rsidR="00D7072C">
          <w:instrText xml:space="preserve"> PAGEREF _Toc104812576 \h </w:instrText>
        </w:r>
        <w:r w:rsidR="00D7072C">
          <w:fldChar w:fldCharType="separate"/>
        </w:r>
        <w:r w:rsidR="00D7072C">
          <w:t>14</w:t>
        </w:r>
        <w:r w:rsidR="00D7072C">
          <w:fldChar w:fldCharType="end"/>
        </w:r>
      </w:hyperlink>
    </w:p>
    <w:p w14:paraId="07669DAD" w14:textId="77777777" w:rsidR="00B229A7" w:rsidRDefault="004A68B2">
      <w:pPr>
        <w:pStyle w:val="10"/>
        <w:rPr>
          <w:rFonts w:cstheme="minorBidi"/>
          <w:sz w:val="21"/>
          <w:szCs w:val="24"/>
        </w:rPr>
      </w:pPr>
      <w:hyperlink w:anchor="_Toc104812577" w:history="1">
        <w:r w:rsidR="00D7072C">
          <w:rPr>
            <w:rStyle w:val="a5"/>
            <w:b w:val="0"/>
            <w:bCs w:val="0"/>
          </w:rPr>
          <w:t>04金亚科技财务造假</w:t>
        </w:r>
        <w:r w:rsidR="00D7072C">
          <w:tab/>
        </w:r>
        <w:r w:rsidR="00D7072C">
          <w:fldChar w:fldCharType="begin"/>
        </w:r>
        <w:r w:rsidR="00D7072C">
          <w:instrText xml:space="preserve"> PAGEREF _Toc104812577 \h </w:instrText>
        </w:r>
        <w:r w:rsidR="00D7072C">
          <w:fldChar w:fldCharType="separate"/>
        </w:r>
        <w:r w:rsidR="00D7072C">
          <w:t>19</w:t>
        </w:r>
        <w:r w:rsidR="00D7072C">
          <w:fldChar w:fldCharType="end"/>
        </w:r>
      </w:hyperlink>
    </w:p>
    <w:p w14:paraId="06BBB77D" w14:textId="77777777" w:rsidR="00B229A7" w:rsidRDefault="004A68B2">
      <w:pPr>
        <w:pStyle w:val="10"/>
        <w:rPr>
          <w:rFonts w:cstheme="minorBidi"/>
          <w:sz w:val="21"/>
          <w:szCs w:val="24"/>
        </w:rPr>
      </w:pPr>
      <w:hyperlink w:anchor="_Toc104812578" w:history="1">
        <w:r w:rsidR="00D7072C">
          <w:rPr>
            <w:rStyle w:val="a5"/>
            <w:b w:val="0"/>
            <w:bCs w:val="0"/>
          </w:rPr>
          <w:t>05保千里财务造假</w:t>
        </w:r>
        <w:r w:rsidR="00D7072C">
          <w:tab/>
        </w:r>
        <w:r w:rsidR="00D7072C">
          <w:fldChar w:fldCharType="begin"/>
        </w:r>
        <w:r w:rsidR="00D7072C">
          <w:instrText xml:space="preserve"> PAGEREF _Toc104812578 \h </w:instrText>
        </w:r>
        <w:r w:rsidR="00D7072C">
          <w:fldChar w:fldCharType="separate"/>
        </w:r>
        <w:r w:rsidR="00D7072C">
          <w:t>22</w:t>
        </w:r>
        <w:r w:rsidR="00D7072C">
          <w:fldChar w:fldCharType="end"/>
        </w:r>
      </w:hyperlink>
    </w:p>
    <w:p w14:paraId="6A7AEE61" w14:textId="77777777" w:rsidR="00B229A7" w:rsidRDefault="004A68B2">
      <w:pPr>
        <w:pStyle w:val="10"/>
        <w:rPr>
          <w:rFonts w:cstheme="minorBidi"/>
          <w:sz w:val="21"/>
          <w:szCs w:val="24"/>
        </w:rPr>
      </w:pPr>
      <w:hyperlink w:anchor="_Toc104812579" w:history="1">
        <w:r w:rsidR="00D7072C">
          <w:rPr>
            <w:rStyle w:val="a5"/>
            <w:b w:val="0"/>
            <w:bCs w:val="0"/>
          </w:rPr>
          <w:t>06蓝山科技财务造假</w:t>
        </w:r>
        <w:r w:rsidR="00D7072C">
          <w:tab/>
        </w:r>
        <w:r w:rsidR="00D7072C">
          <w:fldChar w:fldCharType="begin"/>
        </w:r>
        <w:r w:rsidR="00D7072C">
          <w:instrText xml:space="preserve"> PAGEREF _Toc104812579 \h </w:instrText>
        </w:r>
        <w:r w:rsidR="00D7072C">
          <w:fldChar w:fldCharType="separate"/>
        </w:r>
        <w:r w:rsidR="00D7072C">
          <w:t>24</w:t>
        </w:r>
        <w:r w:rsidR="00D7072C">
          <w:fldChar w:fldCharType="end"/>
        </w:r>
      </w:hyperlink>
    </w:p>
    <w:p w14:paraId="0917F361" w14:textId="77777777" w:rsidR="00B229A7" w:rsidRDefault="004A68B2">
      <w:pPr>
        <w:pStyle w:val="10"/>
        <w:rPr>
          <w:rFonts w:cstheme="minorBidi"/>
          <w:sz w:val="21"/>
          <w:szCs w:val="24"/>
        </w:rPr>
      </w:pPr>
      <w:hyperlink w:anchor="_Toc104812580" w:history="1">
        <w:r w:rsidR="00D7072C">
          <w:rPr>
            <w:rStyle w:val="a5"/>
            <w:b w:val="0"/>
            <w:bCs w:val="0"/>
          </w:rPr>
          <w:t>07斯太尔财务造假</w:t>
        </w:r>
        <w:r w:rsidR="00D7072C">
          <w:tab/>
        </w:r>
        <w:r w:rsidR="00D7072C">
          <w:fldChar w:fldCharType="begin"/>
        </w:r>
        <w:r w:rsidR="00D7072C">
          <w:instrText xml:space="preserve"> PAGEREF _Toc104812580 \h </w:instrText>
        </w:r>
        <w:r w:rsidR="00D7072C">
          <w:fldChar w:fldCharType="separate"/>
        </w:r>
        <w:r w:rsidR="00D7072C">
          <w:t>29</w:t>
        </w:r>
        <w:r w:rsidR="00D7072C">
          <w:fldChar w:fldCharType="end"/>
        </w:r>
      </w:hyperlink>
    </w:p>
    <w:p w14:paraId="76E0988B" w14:textId="77777777" w:rsidR="00B229A7" w:rsidRDefault="004A68B2">
      <w:pPr>
        <w:pStyle w:val="10"/>
        <w:rPr>
          <w:rFonts w:cstheme="minorBidi"/>
          <w:sz w:val="21"/>
          <w:szCs w:val="24"/>
        </w:rPr>
      </w:pPr>
      <w:hyperlink w:anchor="_Toc104812581" w:history="1">
        <w:r w:rsidR="00D7072C">
          <w:rPr>
            <w:rStyle w:val="a5"/>
            <w:b w:val="0"/>
            <w:bCs w:val="0"/>
          </w:rPr>
          <w:t>08德邦证券未勤勉尽责案</w:t>
        </w:r>
        <w:r w:rsidR="00D7072C">
          <w:tab/>
        </w:r>
        <w:r w:rsidR="00D7072C">
          <w:fldChar w:fldCharType="begin"/>
        </w:r>
        <w:r w:rsidR="00D7072C">
          <w:instrText xml:space="preserve"> PAGEREF _Toc104812581 \h </w:instrText>
        </w:r>
        <w:r w:rsidR="00D7072C">
          <w:fldChar w:fldCharType="separate"/>
        </w:r>
        <w:r w:rsidR="00D7072C">
          <w:t>34</w:t>
        </w:r>
        <w:r w:rsidR="00D7072C">
          <w:fldChar w:fldCharType="end"/>
        </w:r>
      </w:hyperlink>
    </w:p>
    <w:p w14:paraId="2148F134" w14:textId="77777777" w:rsidR="00B229A7" w:rsidRDefault="004A68B2">
      <w:pPr>
        <w:pStyle w:val="10"/>
        <w:rPr>
          <w:rFonts w:cstheme="minorBidi"/>
          <w:sz w:val="21"/>
          <w:szCs w:val="24"/>
        </w:rPr>
      </w:pPr>
      <w:hyperlink w:anchor="_Toc104812582" w:history="1">
        <w:r w:rsidR="00D7072C">
          <w:rPr>
            <w:rStyle w:val="a5"/>
            <w:b w:val="0"/>
            <w:bCs w:val="0"/>
          </w:rPr>
          <w:t>09华龙证券行政处罚案</w:t>
        </w:r>
        <w:r w:rsidR="00D7072C">
          <w:tab/>
        </w:r>
        <w:r w:rsidR="00D7072C">
          <w:fldChar w:fldCharType="begin"/>
        </w:r>
        <w:r w:rsidR="00D7072C">
          <w:instrText xml:space="preserve"> PAGEREF _Toc104812582 \h </w:instrText>
        </w:r>
        <w:r w:rsidR="00D7072C">
          <w:fldChar w:fldCharType="separate"/>
        </w:r>
        <w:r w:rsidR="00D7072C">
          <w:t>37</w:t>
        </w:r>
        <w:r w:rsidR="00D7072C">
          <w:fldChar w:fldCharType="end"/>
        </w:r>
      </w:hyperlink>
    </w:p>
    <w:p w14:paraId="065A102A" w14:textId="77777777" w:rsidR="00B229A7" w:rsidRDefault="004A68B2">
      <w:pPr>
        <w:pStyle w:val="10"/>
        <w:rPr>
          <w:rFonts w:cstheme="minorBidi"/>
          <w:sz w:val="21"/>
          <w:szCs w:val="24"/>
        </w:rPr>
      </w:pPr>
      <w:hyperlink w:anchor="_Toc104812583" w:history="1">
        <w:r w:rsidR="00D7072C">
          <w:rPr>
            <w:rStyle w:val="a5"/>
            <w:b w:val="0"/>
            <w:bCs w:val="0"/>
          </w:rPr>
          <w:t>10银信评估未勤勉尽责案</w:t>
        </w:r>
        <w:r w:rsidR="00D7072C">
          <w:tab/>
        </w:r>
        <w:r w:rsidR="00D7072C">
          <w:fldChar w:fldCharType="begin"/>
        </w:r>
        <w:r w:rsidR="00D7072C">
          <w:instrText xml:space="preserve"> PAGEREF _Toc104812583 \h </w:instrText>
        </w:r>
        <w:r w:rsidR="00D7072C">
          <w:fldChar w:fldCharType="separate"/>
        </w:r>
        <w:r w:rsidR="00D7072C">
          <w:t>42</w:t>
        </w:r>
        <w:r w:rsidR="00D7072C">
          <w:fldChar w:fldCharType="end"/>
        </w:r>
      </w:hyperlink>
    </w:p>
    <w:p w14:paraId="482ADE8B" w14:textId="77777777" w:rsidR="00B229A7" w:rsidRDefault="004A68B2">
      <w:pPr>
        <w:pStyle w:val="10"/>
        <w:rPr>
          <w:rFonts w:cstheme="minorBidi"/>
          <w:sz w:val="28"/>
          <w:szCs w:val="28"/>
        </w:rPr>
      </w:pPr>
      <w:hyperlink w:anchor="_Toc104812584" w:history="1">
        <w:r w:rsidR="00D7072C">
          <w:rPr>
            <w:rStyle w:val="a5"/>
            <w:sz w:val="28"/>
            <w:szCs w:val="28"/>
          </w:rPr>
          <w:t>11-20 主要分析人：曹艺佳</w:t>
        </w:r>
        <w:r w:rsidR="00D7072C">
          <w:rPr>
            <w:sz w:val="28"/>
            <w:szCs w:val="28"/>
          </w:rPr>
          <w:tab/>
        </w:r>
        <w:r w:rsidR="00D7072C">
          <w:rPr>
            <w:sz w:val="28"/>
            <w:szCs w:val="28"/>
          </w:rPr>
          <w:fldChar w:fldCharType="begin"/>
        </w:r>
        <w:r w:rsidR="00D7072C">
          <w:rPr>
            <w:sz w:val="28"/>
            <w:szCs w:val="28"/>
          </w:rPr>
          <w:instrText xml:space="preserve"> PAGEREF _Toc104812584 \h </w:instrText>
        </w:r>
        <w:r w:rsidR="00D7072C">
          <w:rPr>
            <w:sz w:val="28"/>
            <w:szCs w:val="28"/>
          </w:rPr>
        </w:r>
        <w:r w:rsidR="00D7072C">
          <w:rPr>
            <w:sz w:val="28"/>
            <w:szCs w:val="28"/>
          </w:rPr>
          <w:fldChar w:fldCharType="separate"/>
        </w:r>
        <w:r w:rsidR="00D7072C">
          <w:rPr>
            <w:sz w:val="28"/>
            <w:szCs w:val="28"/>
          </w:rPr>
          <w:t>45</w:t>
        </w:r>
        <w:r w:rsidR="00D7072C">
          <w:rPr>
            <w:sz w:val="28"/>
            <w:szCs w:val="28"/>
          </w:rPr>
          <w:fldChar w:fldCharType="end"/>
        </w:r>
      </w:hyperlink>
    </w:p>
    <w:p w14:paraId="2FA858AF" w14:textId="77777777" w:rsidR="00B229A7" w:rsidRDefault="004A68B2">
      <w:pPr>
        <w:pStyle w:val="10"/>
        <w:rPr>
          <w:rFonts w:cstheme="minorBidi"/>
          <w:sz w:val="21"/>
          <w:szCs w:val="24"/>
        </w:rPr>
      </w:pPr>
      <w:hyperlink w:anchor="_Toc104812585" w:history="1">
        <w:r w:rsidR="00D7072C">
          <w:rPr>
            <w:rStyle w:val="a5"/>
            <w:b w:val="0"/>
            <w:bCs w:val="0"/>
          </w:rPr>
          <w:t>11九好集团财务舞弊事件</w:t>
        </w:r>
        <w:r w:rsidR="00D7072C">
          <w:tab/>
        </w:r>
        <w:r w:rsidR="00D7072C">
          <w:fldChar w:fldCharType="begin"/>
        </w:r>
        <w:r w:rsidR="00D7072C">
          <w:instrText xml:space="preserve"> PAGEREF _Toc104812585 \h </w:instrText>
        </w:r>
        <w:r w:rsidR="00D7072C">
          <w:fldChar w:fldCharType="separate"/>
        </w:r>
        <w:r w:rsidR="00D7072C">
          <w:t>45</w:t>
        </w:r>
        <w:r w:rsidR="00D7072C">
          <w:fldChar w:fldCharType="end"/>
        </w:r>
      </w:hyperlink>
    </w:p>
    <w:p w14:paraId="685EF169" w14:textId="77777777" w:rsidR="00B229A7" w:rsidRDefault="004A68B2">
      <w:pPr>
        <w:pStyle w:val="10"/>
        <w:rPr>
          <w:rFonts w:cstheme="minorBidi"/>
          <w:sz w:val="21"/>
          <w:szCs w:val="24"/>
        </w:rPr>
      </w:pPr>
      <w:hyperlink w:anchor="_Toc104812586" w:history="1">
        <w:r w:rsidR="00D7072C">
          <w:rPr>
            <w:rStyle w:val="a5"/>
            <w:b w:val="0"/>
            <w:bCs w:val="0"/>
          </w:rPr>
          <w:t>12萨蒂扬事件</w:t>
        </w:r>
        <w:r w:rsidR="00D7072C">
          <w:tab/>
        </w:r>
        <w:r w:rsidR="00D7072C">
          <w:fldChar w:fldCharType="begin"/>
        </w:r>
        <w:r w:rsidR="00D7072C">
          <w:instrText xml:space="preserve"> PAGEREF _Toc104812586 \h </w:instrText>
        </w:r>
        <w:r w:rsidR="00D7072C">
          <w:fldChar w:fldCharType="separate"/>
        </w:r>
        <w:r w:rsidR="00D7072C">
          <w:t>49</w:t>
        </w:r>
        <w:r w:rsidR="00D7072C">
          <w:fldChar w:fldCharType="end"/>
        </w:r>
      </w:hyperlink>
    </w:p>
    <w:p w14:paraId="1D60400F" w14:textId="77777777" w:rsidR="00B229A7" w:rsidRDefault="004A68B2">
      <w:pPr>
        <w:pStyle w:val="10"/>
        <w:rPr>
          <w:rFonts w:cstheme="minorBidi"/>
          <w:sz w:val="21"/>
          <w:szCs w:val="24"/>
        </w:rPr>
      </w:pPr>
      <w:hyperlink w:anchor="_Toc104812587" w:history="1">
        <w:r w:rsidR="00D7072C">
          <w:rPr>
            <w:rStyle w:val="a5"/>
            <w:b w:val="0"/>
            <w:bCs w:val="0"/>
          </w:rPr>
          <w:t>13中粮资本</w:t>
        </w:r>
        <w:r w:rsidR="00D7072C">
          <w:tab/>
        </w:r>
        <w:r w:rsidR="00D7072C">
          <w:fldChar w:fldCharType="begin"/>
        </w:r>
        <w:r w:rsidR="00D7072C">
          <w:instrText xml:space="preserve"> PAGEREF _Toc104812587 \h </w:instrText>
        </w:r>
        <w:r w:rsidR="00D7072C">
          <w:fldChar w:fldCharType="separate"/>
        </w:r>
        <w:r w:rsidR="00D7072C">
          <w:t>53</w:t>
        </w:r>
        <w:r w:rsidR="00D7072C">
          <w:fldChar w:fldCharType="end"/>
        </w:r>
      </w:hyperlink>
    </w:p>
    <w:p w14:paraId="10863D0B" w14:textId="77777777" w:rsidR="00B229A7" w:rsidRDefault="004A68B2">
      <w:pPr>
        <w:pStyle w:val="10"/>
        <w:rPr>
          <w:rFonts w:cstheme="minorBidi"/>
          <w:sz w:val="21"/>
          <w:szCs w:val="24"/>
        </w:rPr>
      </w:pPr>
      <w:hyperlink w:anchor="_Toc104812588" w:history="1">
        <w:r w:rsidR="00D7072C">
          <w:rPr>
            <w:rStyle w:val="a5"/>
            <w:b w:val="0"/>
            <w:bCs w:val="0"/>
          </w:rPr>
          <w:t>14中行双鸭山支行</w:t>
        </w:r>
        <w:r w:rsidR="00D7072C">
          <w:tab/>
        </w:r>
        <w:r w:rsidR="00D7072C">
          <w:fldChar w:fldCharType="begin"/>
        </w:r>
        <w:r w:rsidR="00D7072C">
          <w:instrText xml:space="preserve"> PAGEREF _Toc104812588 \h </w:instrText>
        </w:r>
        <w:r w:rsidR="00D7072C">
          <w:fldChar w:fldCharType="separate"/>
        </w:r>
        <w:r w:rsidR="00D7072C">
          <w:t>56</w:t>
        </w:r>
        <w:r w:rsidR="00D7072C">
          <w:fldChar w:fldCharType="end"/>
        </w:r>
      </w:hyperlink>
    </w:p>
    <w:p w14:paraId="08E08E50" w14:textId="77777777" w:rsidR="00B229A7" w:rsidRDefault="004A68B2">
      <w:pPr>
        <w:pStyle w:val="10"/>
        <w:rPr>
          <w:rFonts w:cstheme="minorBidi"/>
          <w:sz w:val="21"/>
          <w:szCs w:val="24"/>
        </w:rPr>
      </w:pPr>
      <w:hyperlink w:anchor="_Toc104812589" w:history="1">
        <w:r w:rsidR="00D7072C">
          <w:rPr>
            <w:rStyle w:val="a5"/>
            <w:b w:val="0"/>
            <w:bCs w:val="0"/>
          </w:rPr>
          <w:t>15华安证券</w:t>
        </w:r>
        <w:r w:rsidR="00D7072C">
          <w:tab/>
        </w:r>
        <w:r w:rsidR="00D7072C">
          <w:fldChar w:fldCharType="begin"/>
        </w:r>
        <w:r w:rsidR="00D7072C">
          <w:instrText xml:space="preserve"> PAGEREF _Toc104812589 \h </w:instrText>
        </w:r>
        <w:r w:rsidR="00D7072C">
          <w:fldChar w:fldCharType="separate"/>
        </w:r>
        <w:r w:rsidR="00D7072C">
          <w:t>58</w:t>
        </w:r>
        <w:r w:rsidR="00D7072C">
          <w:fldChar w:fldCharType="end"/>
        </w:r>
      </w:hyperlink>
    </w:p>
    <w:p w14:paraId="29C05932" w14:textId="77777777" w:rsidR="00B229A7" w:rsidRDefault="004A68B2">
      <w:pPr>
        <w:pStyle w:val="10"/>
        <w:rPr>
          <w:rFonts w:cstheme="minorBidi"/>
          <w:sz w:val="21"/>
          <w:szCs w:val="24"/>
        </w:rPr>
      </w:pPr>
      <w:hyperlink w:anchor="_Toc104812590" w:history="1">
        <w:r w:rsidR="00D7072C">
          <w:rPr>
            <w:rStyle w:val="a5"/>
            <w:b w:val="0"/>
            <w:bCs w:val="0"/>
          </w:rPr>
          <w:t>16中原证券</w:t>
        </w:r>
        <w:r w:rsidR="00D7072C">
          <w:tab/>
        </w:r>
        <w:r w:rsidR="00D7072C">
          <w:fldChar w:fldCharType="begin"/>
        </w:r>
        <w:r w:rsidR="00D7072C">
          <w:instrText xml:space="preserve"> PAGEREF _Toc104812590 \h </w:instrText>
        </w:r>
        <w:r w:rsidR="00D7072C">
          <w:fldChar w:fldCharType="separate"/>
        </w:r>
        <w:r w:rsidR="00D7072C">
          <w:t>60</w:t>
        </w:r>
        <w:r w:rsidR="00D7072C">
          <w:fldChar w:fldCharType="end"/>
        </w:r>
      </w:hyperlink>
    </w:p>
    <w:p w14:paraId="532AAD9A" w14:textId="77777777" w:rsidR="00B229A7" w:rsidRDefault="004A68B2">
      <w:pPr>
        <w:pStyle w:val="10"/>
        <w:rPr>
          <w:rFonts w:cstheme="minorBidi"/>
          <w:sz w:val="21"/>
          <w:szCs w:val="24"/>
        </w:rPr>
      </w:pPr>
      <w:hyperlink w:anchor="_Toc104812591" w:history="1">
        <w:r w:rsidR="00D7072C">
          <w:rPr>
            <w:rStyle w:val="a5"/>
            <w:b w:val="0"/>
            <w:bCs w:val="0"/>
          </w:rPr>
          <w:t>17平安保险</w:t>
        </w:r>
        <w:r w:rsidR="00D7072C">
          <w:tab/>
        </w:r>
        <w:r w:rsidR="00D7072C">
          <w:fldChar w:fldCharType="begin"/>
        </w:r>
        <w:r w:rsidR="00D7072C">
          <w:instrText xml:space="preserve"> PAGEREF _Toc104812591 \h </w:instrText>
        </w:r>
        <w:r w:rsidR="00D7072C">
          <w:fldChar w:fldCharType="separate"/>
        </w:r>
        <w:r w:rsidR="00D7072C">
          <w:t>63</w:t>
        </w:r>
        <w:r w:rsidR="00D7072C">
          <w:fldChar w:fldCharType="end"/>
        </w:r>
      </w:hyperlink>
    </w:p>
    <w:p w14:paraId="2752D001" w14:textId="77777777" w:rsidR="00B229A7" w:rsidRDefault="004A68B2">
      <w:pPr>
        <w:pStyle w:val="10"/>
        <w:rPr>
          <w:rFonts w:cstheme="minorBidi"/>
          <w:sz w:val="21"/>
          <w:szCs w:val="24"/>
        </w:rPr>
      </w:pPr>
      <w:hyperlink w:anchor="_Toc104812592" w:history="1">
        <w:r w:rsidR="00D7072C">
          <w:rPr>
            <w:rStyle w:val="a5"/>
            <w:b w:val="0"/>
            <w:bCs w:val="0"/>
          </w:rPr>
          <w:t>18浙江瀚叶</w:t>
        </w:r>
        <w:r w:rsidR="00D7072C">
          <w:tab/>
        </w:r>
        <w:r w:rsidR="00D7072C">
          <w:fldChar w:fldCharType="begin"/>
        </w:r>
        <w:r w:rsidR="00D7072C">
          <w:instrText xml:space="preserve"> PAGEREF _Toc104812592 \h </w:instrText>
        </w:r>
        <w:r w:rsidR="00D7072C">
          <w:fldChar w:fldCharType="separate"/>
        </w:r>
        <w:r w:rsidR="00D7072C">
          <w:t>67</w:t>
        </w:r>
        <w:r w:rsidR="00D7072C">
          <w:fldChar w:fldCharType="end"/>
        </w:r>
      </w:hyperlink>
    </w:p>
    <w:p w14:paraId="2F026EC9" w14:textId="77777777" w:rsidR="00B229A7" w:rsidRDefault="004A68B2">
      <w:pPr>
        <w:pStyle w:val="10"/>
        <w:rPr>
          <w:rFonts w:cstheme="minorBidi"/>
          <w:sz w:val="21"/>
          <w:szCs w:val="24"/>
        </w:rPr>
      </w:pPr>
      <w:hyperlink w:anchor="_Toc104812593" w:history="1">
        <w:r w:rsidR="00D7072C">
          <w:rPr>
            <w:rStyle w:val="a5"/>
            <w:b w:val="0"/>
            <w:bCs w:val="0"/>
          </w:rPr>
          <w:t>19高升控股</w:t>
        </w:r>
        <w:r w:rsidR="00D7072C">
          <w:tab/>
        </w:r>
        <w:r w:rsidR="00D7072C">
          <w:fldChar w:fldCharType="begin"/>
        </w:r>
        <w:r w:rsidR="00D7072C">
          <w:instrText xml:space="preserve"> PAGEREF _Toc104812593 \h </w:instrText>
        </w:r>
        <w:r w:rsidR="00D7072C">
          <w:fldChar w:fldCharType="separate"/>
        </w:r>
        <w:r w:rsidR="00D7072C">
          <w:t>72</w:t>
        </w:r>
        <w:r w:rsidR="00D7072C">
          <w:fldChar w:fldCharType="end"/>
        </w:r>
      </w:hyperlink>
    </w:p>
    <w:p w14:paraId="0B60E63F" w14:textId="77777777" w:rsidR="00B229A7" w:rsidRDefault="004A68B2">
      <w:pPr>
        <w:pStyle w:val="10"/>
        <w:rPr>
          <w:rFonts w:cstheme="minorBidi"/>
          <w:sz w:val="21"/>
          <w:szCs w:val="24"/>
        </w:rPr>
      </w:pPr>
      <w:hyperlink w:anchor="_Toc104812594" w:history="1">
        <w:r w:rsidR="00D7072C">
          <w:rPr>
            <w:rStyle w:val="a5"/>
            <w:b w:val="0"/>
            <w:bCs w:val="0"/>
          </w:rPr>
          <w:t>20中国人寿</w:t>
        </w:r>
        <w:r w:rsidR="00D7072C">
          <w:tab/>
        </w:r>
        <w:r w:rsidR="00D7072C">
          <w:fldChar w:fldCharType="begin"/>
        </w:r>
        <w:r w:rsidR="00D7072C">
          <w:instrText xml:space="preserve"> PAGEREF _Toc104812594 \h </w:instrText>
        </w:r>
        <w:r w:rsidR="00D7072C">
          <w:fldChar w:fldCharType="separate"/>
        </w:r>
        <w:r w:rsidR="00D7072C">
          <w:t>76</w:t>
        </w:r>
        <w:r w:rsidR="00D7072C">
          <w:fldChar w:fldCharType="end"/>
        </w:r>
      </w:hyperlink>
    </w:p>
    <w:p w14:paraId="1F6DAE78" w14:textId="77777777" w:rsidR="00B229A7" w:rsidRDefault="004A68B2">
      <w:pPr>
        <w:pStyle w:val="10"/>
        <w:rPr>
          <w:rFonts w:cstheme="minorBidi"/>
          <w:sz w:val="28"/>
          <w:szCs w:val="28"/>
        </w:rPr>
      </w:pPr>
      <w:hyperlink w:anchor="_Toc104812595" w:history="1">
        <w:r w:rsidR="00D7072C">
          <w:rPr>
            <w:rStyle w:val="a5"/>
            <w:sz w:val="28"/>
            <w:szCs w:val="28"/>
          </w:rPr>
          <w:t>21-30 主要分析人：张梓霁</w:t>
        </w:r>
        <w:r w:rsidR="00D7072C">
          <w:rPr>
            <w:sz w:val="28"/>
            <w:szCs w:val="28"/>
          </w:rPr>
          <w:tab/>
        </w:r>
        <w:r w:rsidR="00D7072C">
          <w:rPr>
            <w:sz w:val="28"/>
            <w:szCs w:val="28"/>
          </w:rPr>
          <w:fldChar w:fldCharType="begin"/>
        </w:r>
        <w:r w:rsidR="00D7072C">
          <w:rPr>
            <w:sz w:val="28"/>
            <w:szCs w:val="28"/>
          </w:rPr>
          <w:instrText xml:space="preserve"> PAGEREF _Toc104812595 \h </w:instrText>
        </w:r>
        <w:r w:rsidR="00D7072C">
          <w:rPr>
            <w:sz w:val="28"/>
            <w:szCs w:val="28"/>
          </w:rPr>
        </w:r>
        <w:r w:rsidR="00D7072C">
          <w:rPr>
            <w:sz w:val="28"/>
            <w:szCs w:val="28"/>
          </w:rPr>
          <w:fldChar w:fldCharType="separate"/>
        </w:r>
        <w:r w:rsidR="00D7072C">
          <w:rPr>
            <w:sz w:val="28"/>
            <w:szCs w:val="28"/>
          </w:rPr>
          <w:t>79</w:t>
        </w:r>
        <w:r w:rsidR="00D7072C">
          <w:rPr>
            <w:sz w:val="28"/>
            <w:szCs w:val="28"/>
          </w:rPr>
          <w:fldChar w:fldCharType="end"/>
        </w:r>
      </w:hyperlink>
    </w:p>
    <w:p w14:paraId="4DCAF22E" w14:textId="77777777" w:rsidR="00B229A7" w:rsidRDefault="004A68B2">
      <w:pPr>
        <w:pStyle w:val="10"/>
        <w:rPr>
          <w:rFonts w:cstheme="minorBidi"/>
          <w:sz w:val="21"/>
          <w:szCs w:val="24"/>
        </w:rPr>
      </w:pPr>
      <w:hyperlink w:anchor="_Toc104812596" w:history="1">
        <w:r w:rsidR="00D7072C">
          <w:rPr>
            <w:rStyle w:val="a5"/>
            <w:b w:val="0"/>
            <w:bCs w:val="0"/>
          </w:rPr>
          <w:t>21法国兴业银行金融职务舞弊案</w:t>
        </w:r>
        <w:r w:rsidR="00D7072C">
          <w:tab/>
        </w:r>
        <w:r w:rsidR="00D7072C">
          <w:fldChar w:fldCharType="begin"/>
        </w:r>
        <w:r w:rsidR="00D7072C">
          <w:instrText xml:space="preserve"> PAGEREF _Toc104812596 \h </w:instrText>
        </w:r>
        <w:r w:rsidR="00D7072C">
          <w:fldChar w:fldCharType="separate"/>
        </w:r>
        <w:r w:rsidR="00D7072C">
          <w:t>79</w:t>
        </w:r>
        <w:r w:rsidR="00D7072C">
          <w:fldChar w:fldCharType="end"/>
        </w:r>
      </w:hyperlink>
    </w:p>
    <w:p w14:paraId="7DB9BE93" w14:textId="77777777" w:rsidR="00B229A7" w:rsidRDefault="004A68B2">
      <w:pPr>
        <w:pStyle w:val="10"/>
        <w:rPr>
          <w:rFonts w:cstheme="minorBidi"/>
          <w:sz w:val="21"/>
          <w:szCs w:val="24"/>
        </w:rPr>
      </w:pPr>
      <w:hyperlink w:anchor="_Toc104812597" w:history="1">
        <w:r w:rsidR="00D7072C">
          <w:rPr>
            <w:rStyle w:val="a5"/>
            <w:b w:val="0"/>
            <w:bCs w:val="0"/>
          </w:rPr>
          <w:t>22美国林肯储蓄信贷银行</w:t>
        </w:r>
        <w:r w:rsidR="00D7072C">
          <w:tab/>
        </w:r>
        <w:r w:rsidR="00D7072C">
          <w:fldChar w:fldCharType="begin"/>
        </w:r>
        <w:r w:rsidR="00D7072C">
          <w:instrText xml:space="preserve"> PAGEREF _Toc104812597 \h </w:instrText>
        </w:r>
        <w:r w:rsidR="00D7072C">
          <w:fldChar w:fldCharType="separate"/>
        </w:r>
        <w:r w:rsidR="00D7072C">
          <w:t>84</w:t>
        </w:r>
        <w:r w:rsidR="00D7072C">
          <w:fldChar w:fldCharType="end"/>
        </w:r>
      </w:hyperlink>
    </w:p>
    <w:p w14:paraId="59D114DF" w14:textId="77777777" w:rsidR="00B229A7" w:rsidRDefault="004A68B2">
      <w:pPr>
        <w:pStyle w:val="10"/>
        <w:rPr>
          <w:rFonts w:cstheme="minorBidi"/>
          <w:sz w:val="21"/>
          <w:szCs w:val="24"/>
        </w:rPr>
      </w:pPr>
      <w:hyperlink w:anchor="_Toc104812598" w:history="1">
        <w:r w:rsidR="00D7072C">
          <w:rPr>
            <w:rStyle w:val="a5"/>
            <w:b w:val="0"/>
            <w:bCs w:val="0"/>
          </w:rPr>
          <w:t>23潘斯奎尔银行</w:t>
        </w:r>
        <w:r w:rsidR="00D7072C">
          <w:tab/>
        </w:r>
        <w:r w:rsidR="00D7072C">
          <w:fldChar w:fldCharType="begin"/>
        </w:r>
        <w:r w:rsidR="00D7072C">
          <w:instrText xml:space="preserve"> PAGEREF _Toc104812598 \h </w:instrText>
        </w:r>
        <w:r w:rsidR="00D7072C">
          <w:fldChar w:fldCharType="separate"/>
        </w:r>
        <w:r w:rsidR="00D7072C">
          <w:t>88</w:t>
        </w:r>
        <w:r w:rsidR="00D7072C">
          <w:fldChar w:fldCharType="end"/>
        </w:r>
      </w:hyperlink>
    </w:p>
    <w:p w14:paraId="451A9870" w14:textId="77777777" w:rsidR="00B229A7" w:rsidRDefault="004A68B2">
      <w:pPr>
        <w:pStyle w:val="10"/>
        <w:rPr>
          <w:rFonts w:cstheme="minorBidi"/>
          <w:sz w:val="21"/>
          <w:szCs w:val="24"/>
        </w:rPr>
      </w:pPr>
      <w:hyperlink w:anchor="_Toc104812599" w:history="1">
        <w:r w:rsidR="00D7072C">
          <w:rPr>
            <w:rStyle w:val="a5"/>
            <w:b w:val="0"/>
            <w:bCs w:val="0"/>
          </w:rPr>
          <w:t>24海航科技</w:t>
        </w:r>
        <w:r w:rsidR="00D7072C">
          <w:tab/>
        </w:r>
        <w:r w:rsidR="00D7072C">
          <w:fldChar w:fldCharType="begin"/>
        </w:r>
        <w:r w:rsidR="00D7072C">
          <w:instrText xml:space="preserve"> PAGEREF _Toc104812599 \h </w:instrText>
        </w:r>
        <w:r w:rsidR="00D7072C">
          <w:fldChar w:fldCharType="separate"/>
        </w:r>
        <w:r w:rsidR="00D7072C">
          <w:t>92</w:t>
        </w:r>
        <w:r w:rsidR="00D7072C">
          <w:fldChar w:fldCharType="end"/>
        </w:r>
      </w:hyperlink>
    </w:p>
    <w:p w14:paraId="2856C9F8" w14:textId="77777777" w:rsidR="00B229A7" w:rsidRDefault="004A68B2">
      <w:pPr>
        <w:pStyle w:val="10"/>
        <w:rPr>
          <w:rFonts w:cstheme="minorBidi"/>
          <w:sz w:val="21"/>
          <w:szCs w:val="24"/>
        </w:rPr>
      </w:pPr>
      <w:hyperlink w:anchor="_Toc104812600" w:history="1">
        <w:r w:rsidR="00D7072C">
          <w:rPr>
            <w:rStyle w:val="a5"/>
            <w:b w:val="0"/>
            <w:bCs w:val="0"/>
          </w:rPr>
          <w:t>25海通证券</w:t>
        </w:r>
        <w:r w:rsidR="00D7072C">
          <w:tab/>
        </w:r>
        <w:r w:rsidR="00D7072C">
          <w:fldChar w:fldCharType="begin"/>
        </w:r>
        <w:r w:rsidR="00D7072C">
          <w:instrText xml:space="preserve"> PAGEREF _Toc104812600 \h </w:instrText>
        </w:r>
        <w:r w:rsidR="00D7072C">
          <w:fldChar w:fldCharType="separate"/>
        </w:r>
        <w:r w:rsidR="00D7072C">
          <w:t>94</w:t>
        </w:r>
        <w:r w:rsidR="00D7072C">
          <w:fldChar w:fldCharType="end"/>
        </w:r>
      </w:hyperlink>
    </w:p>
    <w:p w14:paraId="248EFB4C" w14:textId="77777777" w:rsidR="00B229A7" w:rsidRDefault="004A68B2">
      <w:pPr>
        <w:pStyle w:val="10"/>
        <w:rPr>
          <w:rFonts w:cstheme="minorBidi"/>
          <w:sz w:val="21"/>
          <w:szCs w:val="24"/>
        </w:rPr>
      </w:pPr>
      <w:hyperlink w:anchor="_Toc104812601" w:history="1">
        <w:r w:rsidR="00D7072C">
          <w:rPr>
            <w:rStyle w:val="a5"/>
            <w:b w:val="0"/>
            <w:bCs w:val="0"/>
          </w:rPr>
          <w:t>26中国工商银行--第三方支付</w:t>
        </w:r>
        <w:r w:rsidR="00D7072C">
          <w:tab/>
        </w:r>
        <w:r w:rsidR="00D7072C">
          <w:fldChar w:fldCharType="begin"/>
        </w:r>
        <w:r w:rsidR="00D7072C">
          <w:instrText xml:space="preserve"> PAGEREF _Toc104812601 \h </w:instrText>
        </w:r>
        <w:r w:rsidR="00D7072C">
          <w:fldChar w:fldCharType="separate"/>
        </w:r>
        <w:r w:rsidR="00D7072C">
          <w:t>96</w:t>
        </w:r>
        <w:r w:rsidR="00D7072C">
          <w:fldChar w:fldCharType="end"/>
        </w:r>
      </w:hyperlink>
    </w:p>
    <w:p w14:paraId="1C4B6209" w14:textId="77777777" w:rsidR="00B229A7" w:rsidRDefault="004A68B2">
      <w:pPr>
        <w:pStyle w:val="10"/>
        <w:rPr>
          <w:rFonts w:cstheme="minorBidi"/>
          <w:sz w:val="21"/>
          <w:szCs w:val="24"/>
        </w:rPr>
      </w:pPr>
      <w:hyperlink w:anchor="_Toc104812602" w:history="1">
        <w:r w:rsidR="00D7072C">
          <w:rPr>
            <w:rStyle w:val="a5"/>
            <w:b w:val="0"/>
            <w:bCs w:val="0"/>
          </w:rPr>
          <w:t>27中国光大银行--员工舞弊行为</w:t>
        </w:r>
        <w:r w:rsidR="00D7072C">
          <w:tab/>
        </w:r>
        <w:r w:rsidR="00D7072C">
          <w:fldChar w:fldCharType="begin"/>
        </w:r>
        <w:r w:rsidR="00D7072C">
          <w:instrText xml:space="preserve"> PAGEREF _Toc104812602 \h </w:instrText>
        </w:r>
        <w:r w:rsidR="00D7072C">
          <w:fldChar w:fldCharType="separate"/>
        </w:r>
        <w:r w:rsidR="00D7072C">
          <w:t>101</w:t>
        </w:r>
        <w:r w:rsidR="00D7072C">
          <w:fldChar w:fldCharType="end"/>
        </w:r>
      </w:hyperlink>
    </w:p>
    <w:p w14:paraId="12FCBB6E" w14:textId="77777777" w:rsidR="00B229A7" w:rsidRDefault="004A68B2">
      <w:pPr>
        <w:pStyle w:val="10"/>
        <w:rPr>
          <w:rFonts w:cstheme="minorBidi"/>
          <w:sz w:val="21"/>
          <w:szCs w:val="24"/>
        </w:rPr>
      </w:pPr>
      <w:hyperlink w:anchor="_Toc104812603" w:history="1">
        <w:r w:rsidR="00D7072C">
          <w:rPr>
            <w:rStyle w:val="a5"/>
            <w:b w:val="0"/>
            <w:bCs w:val="0"/>
          </w:rPr>
          <w:t>28路通视信</w:t>
        </w:r>
        <w:r w:rsidR="00D7072C">
          <w:tab/>
        </w:r>
        <w:r w:rsidR="00D7072C">
          <w:fldChar w:fldCharType="begin"/>
        </w:r>
        <w:r w:rsidR="00D7072C">
          <w:instrText xml:space="preserve"> PAGEREF _Toc104812603 \h </w:instrText>
        </w:r>
        <w:r w:rsidR="00D7072C">
          <w:fldChar w:fldCharType="separate"/>
        </w:r>
        <w:r w:rsidR="00D7072C">
          <w:t>105</w:t>
        </w:r>
        <w:r w:rsidR="00D7072C">
          <w:fldChar w:fldCharType="end"/>
        </w:r>
      </w:hyperlink>
    </w:p>
    <w:p w14:paraId="04AF1B5E" w14:textId="77777777" w:rsidR="00B229A7" w:rsidRDefault="004A68B2">
      <w:pPr>
        <w:pStyle w:val="10"/>
        <w:rPr>
          <w:rFonts w:cstheme="minorBidi"/>
          <w:sz w:val="21"/>
          <w:szCs w:val="24"/>
        </w:rPr>
      </w:pPr>
      <w:hyperlink w:anchor="_Toc104812604" w:history="1">
        <w:r w:rsidR="00D7072C">
          <w:rPr>
            <w:rStyle w:val="a5"/>
            <w:b w:val="0"/>
            <w:bCs w:val="0"/>
          </w:rPr>
          <w:t>29中天金融</w:t>
        </w:r>
        <w:r w:rsidR="00D7072C">
          <w:tab/>
        </w:r>
        <w:r w:rsidR="00D7072C">
          <w:fldChar w:fldCharType="begin"/>
        </w:r>
        <w:r w:rsidR="00D7072C">
          <w:instrText xml:space="preserve"> PAGEREF _Toc104812604 \h </w:instrText>
        </w:r>
        <w:r w:rsidR="00D7072C">
          <w:fldChar w:fldCharType="separate"/>
        </w:r>
        <w:r w:rsidR="00D7072C">
          <w:t>106</w:t>
        </w:r>
        <w:r w:rsidR="00D7072C">
          <w:fldChar w:fldCharType="end"/>
        </w:r>
      </w:hyperlink>
    </w:p>
    <w:p w14:paraId="4CB9A5A9" w14:textId="77777777" w:rsidR="00B229A7" w:rsidRDefault="004A68B2">
      <w:pPr>
        <w:pStyle w:val="10"/>
        <w:rPr>
          <w:rFonts w:cstheme="minorBidi"/>
          <w:sz w:val="21"/>
          <w:szCs w:val="24"/>
        </w:rPr>
      </w:pPr>
      <w:hyperlink w:anchor="_Toc104812605" w:history="1">
        <w:r w:rsidR="00D7072C">
          <w:rPr>
            <w:rStyle w:val="a5"/>
            <w:b w:val="0"/>
            <w:bCs w:val="0"/>
          </w:rPr>
          <w:t>30海航投资公司</w:t>
        </w:r>
        <w:r w:rsidR="00D7072C">
          <w:tab/>
        </w:r>
        <w:r w:rsidR="00D7072C">
          <w:fldChar w:fldCharType="begin"/>
        </w:r>
        <w:r w:rsidR="00D7072C">
          <w:instrText xml:space="preserve"> PAGEREF _Toc104812605 \h </w:instrText>
        </w:r>
        <w:r w:rsidR="00D7072C">
          <w:fldChar w:fldCharType="separate"/>
        </w:r>
        <w:r w:rsidR="00D7072C">
          <w:t>107</w:t>
        </w:r>
        <w:r w:rsidR="00D7072C">
          <w:fldChar w:fldCharType="end"/>
        </w:r>
      </w:hyperlink>
    </w:p>
    <w:p w14:paraId="09152D4C" w14:textId="77777777" w:rsidR="00B229A7" w:rsidRDefault="004A68B2">
      <w:pPr>
        <w:pStyle w:val="10"/>
        <w:rPr>
          <w:rFonts w:cstheme="minorBidi"/>
          <w:sz w:val="28"/>
          <w:szCs w:val="28"/>
        </w:rPr>
      </w:pPr>
      <w:hyperlink w:anchor="_Toc104812606" w:history="1">
        <w:r w:rsidR="00D7072C">
          <w:rPr>
            <w:rStyle w:val="a5"/>
            <w:sz w:val="28"/>
            <w:szCs w:val="28"/>
          </w:rPr>
          <w:t>31-40 主要分析人：张婉诗</w:t>
        </w:r>
        <w:r w:rsidR="00D7072C">
          <w:rPr>
            <w:sz w:val="28"/>
            <w:szCs w:val="28"/>
          </w:rPr>
          <w:tab/>
        </w:r>
        <w:r w:rsidR="00D7072C">
          <w:rPr>
            <w:sz w:val="28"/>
            <w:szCs w:val="28"/>
          </w:rPr>
          <w:fldChar w:fldCharType="begin"/>
        </w:r>
        <w:r w:rsidR="00D7072C">
          <w:rPr>
            <w:sz w:val="28"/>
            <w:szCs w:val="28"/>
          </w:rPr>
          <w:instrText xml:space="preserve"> PAGEREF _Toc104812606 \h </w:instrText>
        </w:r>
        <w:r w:rsidR="00D7072C">
          <w:rPr>
            <w:sz w:val="28"/>
            <w:szCs w:val="28"/>
          </w:rPr>
        </w:r>
        <w:r w:rsidR="00D7072C">
          <w:rPr>
            <w:sz w:val="28"/>
            <w:szCs w:val="28"/>
          </w:rPr>
          <w:fldChar w:fldCharType="separate"/>
        </w:r>
        <w:r w:rsidR="00D7072C">
          <w:rPr>
            <w:sz w:val="28"/>
            <w:szCs w:val="28"/>
          </w:rPr>
          <w:t>109</w:t>
        </w:r>
        <w:r w:rsidR="00D7072C">
          <w:rPr>
            <w:sz w:val="28"/>
            <w:szCs w:val="28"/>
          </w:rPr>
          <w:fldChar w:fldCharType="end"/>
        </w:r>
      </w:hyperlink>
    </w:p>
    <w:p w14:paraId="0C777B7A" w14:textId="77777777" w:rsidR="00B229A7" w:rsidRDefault="004A68B2">
      <w:pPr>
        <w:pStyle w:val="10"/>
        <w:rPr>
          <w:rFonts w:cstheme="minorBidi"/>
          <w:sz w:val="21"/>
          <w:szCs w:val="24"/>
        </w:rPr>
      </w:pPr>
      <w:hyperlink w:anchor="_Toc104812607" w:history="1">
        <w:r w:rsidR="00D7072C">
          <w:rPr>
            <w:rStyle w:val="a5"/>
            <w:b w:val="0"/>
            <w:bCs w:val="0"/>
          </w:rPr>
          <w:t>31包商银行接管事件</w:t>
        </w:r>
        <w:r w:rsidR="00D7072C">
          <w:tab/>
        </w:r>
        <w:r w:rsidR="00D7072C">
          <w:fldChar w:fldCharType="begin"/>
        </w:r>
        <w:r w:rsidR="00D7072C">
          <w:instrText xml:space="preserve"> PAGEREF _Toc104812607 \h </w:instrText>
        </w:r>
        <w:r w:rsidR="00D7072C">
          <w:fldChar w:fldCharType="separate"/>
        </w:r>
        <w:r w:rsidR="00D7072C">
          <w:t>109</w:t>
        </w:r>
        <w:r w:rsidR="00D7072C">
          <w:fldChar w:fldCharType="end"/>
        </w:r>
      </w:hyperlink>
    </w:p>
    <w:p w14:paraId="5EC8BA01" w14:textId="77777777" w:rsidR="00B229A7" w:rsidRDefault="004A68B2">
      <w:pPr>
        <w:pStyle w:val="10"/>
        <w:rPr>
          <w:rFonts w:cstheme="minorBidi"/>
          <w:sz w:val="21"/>
          <w:szCs w:val="24"/>
        </w:rPr>
      </w:pPr>
      <w:hyperlink w:anchor="_Toc104812608" w:history="1">
        <w:r w:rsidR="00D7072C">
          <w:rPr>
            <w:rStyle w:val="a5"/>
            <w:b w:val="0"/>
            <w:bCs w:val="0"/>
          </w:rPr>
          <w:t>32曼氏金融破产事件</w:t>
        </w:r>
        <w:r w:rsidR="00D7072C">
          <w:tab/>
        </w:r>
        <w:r w:rsidR="00D7072C">
          <w:fldChar w:fldCharType="begin"/>
        </w:r>
        <w:r w:rsidR="00D7072C">
          <w:instrText xml:space="preserve"> PAGEREF _Toc104812608 \h </w:instrText>
        </w:r>
        <w:r w:rsidR="00D7072C">
          <w:fldChar w:fldCharType="separate"/>
        </w:r>
        <w:r w:rsidR="00D7072C">
          <w:t>110</w:t>
        </w:r>
        <w:r w:rsidR="00D7072C">
          <w:fldChar w:fldCharType="end"/>
        </w:r>
      </w:hyperlink>
    </w:p>
    <w:p w14:paraId="5594AB87" w14:textId="77777777" w:rsidR="00B229A7" w:rsidRDefault="004A68B2">
      <w:pPr>
        <w:pStyle w:val="10"/>
        <w:rPr>
          <w:rFonts w:cstheme="minorBidi"/>
          <w:sz w:val="21"/>
          <w:szCs w:val="24"/>
        </w:rPr>
      </w:pPr>
      <w:hyperlink w:anchor="_Toc104812609" w:history="1">
        <w:r w:rsidR="00D7072C">
          <w:rPr>
            <w:rStyle w:val="a5"/>
            <w:b w:val="0"/>
            <w:bCs w:val="0"/>
          </w:rPr>
          <w:t>33大智慧审计失败</w:t>
        </w:r>
        <w:r w:rsidR="00D7072C">
          <w:tab/>
        </w:r>
        <w:r w:rsidR="00D7072C">
          <w:fldChar w:fldCharType="begin"/>
        </w:r>
        <w:r w:rsidR="00D7072C">
          <w:instrText xml:space="preserve"> PAGEREF _Toc104812609 \h </w:instrText>
        </w:r>
        <w:r w:rsidR="00D7072C">
          <w:fldChar w:fldCharType="separate"/>
        </w:r>
        <w:r w:rsidR="00D7072C">
          <w:t>112</w:t>
        </w:r>
        <w:r w:rsidR="00D7072C">
          <w:fldChar w:fldCharType="end"/>
        </w:r>
      </w:hyperlink>
    </w:p>
    <w:p w14:paraId="43853ADA" w14:textId="77777777" w:rsidR="00B229A7" w:rsidRDefault="004A68B2">
      <w:pPr>
        <w:pStyle w:val="10"/>
        <w:rPr>
          <w:rFonts w:cstheme="minorBidi"/>
          <w:sz w:val="21"/>
          <w:szCs w:val="24"/>
        </w:rPr>
      </w:pPr>
      <w:hyperlink w:anchor="_Toc104812610" w:history="1">
        <w:r w:rsidR="00D7072C">
          <w:rPr>
            <w:rStyle w:val="a5"/>
            <w:b w:val="0"/>
            <w:bCs w:val="0"/>
          </w:rPr>
          <w:t>34北八道操纵证券市场案</w:t>
        </w:r>
        <w:r w:rsidR="00D7072C">
          <w:tab/>
        </w:r>
        <w:r w:rsidR="00D7072C">
          <w:fldChar w:fldCharType="begin"/>
        </w:r>
        <w:r w:rsidR="00D7072C">
          <w:instrText xml:space="preserve"> PAGEREF _Toc104812610 \h </w:instrText>
        </w:r>
        <w:r w:rsidR="00D7072C">
          <w:fldChar w:fldCharType="separate"/>
        </w:r>
        <w:r w:rsidR="00D7072C">
          <w:t>114</w:t>
        </w:r>
        <w:r w:rsidR="00D7072C">
          <w:fldChar w:fldCharType="end"/>
        </w:r>
      </w:hyperlink>
    </w:p>
    <w:p w14:paraId="692F8ABE" w14:textId="77777777" w:rsidR="00B229A7" w:rsidRDefault="004A68B2">
      <w:pPr>
        <w:pStyle w:val="10"/>
        <w:rPr>
          <w:rFonts w:cstheme="minorBidi"/>
          <w:sz w:val="21"/>
          <w:szCs w:val="24"/>
        </w:rPr>
      </w:pPr>
      <w:hyperlink w:anchor="_Toc104812611" w:history="1">
        <w:r w:rsidR="00D7072C">
          <w:rPr>
            <w:rStyle w:val="a5"/>
            <w:b w:val="0"/>
            <w:bCs w:val="0"/>
          </w:rPr>
          <w:t>35光大证券乌龙指</w:t>
        </w:r>
        <w:r w:rsidR="00D7072C">
          <w:tab/>
        </w:r>
        <w:r w:rsidR="00D7072C">
          <w:fldChar w:fldCharType="begin"/>
        </w:r>
        <w:r w:rsidR="00D7072C">
          <w:instrText xml:space="preserve"> PAGEREF _Toc104812611 \h </w:instrText>
        </w:r>
        <w:r w:rsidR="00D7072C">
          <w:fldChar w:fldCharType="separate"/>
        </w:r>
        <w:r w:rsidR="00D7072C">
          <w:t>115</w:t>
        </w:r>
        <w:r w:rsidR="00D7072C">
          <w:fldChar w:fldCharType="end"/>
        </w:r>
      </w:hyperlink>
    </w:p>
    <w:p w14:paraId="5FEA9B26" w14:textId="77777777" w:rsidR="00B229A7" w:rsidRDefault="004A68B2">
      <w:pPr>
        <w:pStyle w:val="10"/>
        <w:rPr>
          <w:rFonts w:cstheme="minorBidi"/>
          <w:sz w:val="21"/>
          <w:szCs w:val="24"/>
        </w:rPr>
      </w:pPr>
      <w:hyperlink w:anchor="_Toc104812612" w:history="1">
        <w:r w:rsidR="00D7072C">
          <w:rPr>
            <w:rStyle w:val="a5"/>
            <w:b w:val="0"/>
            <w:bCs w:val="0"/>
          </w:rPr>
          <w:t>36浙数文化并购案</w:t>
        </w:r>
        <w:r w:rsidR="00D7072C">
          <w:tab/>
        </w:r>
        <w:r w:rsidR="00D7072C">
          <w:fldChar w:fldCharType="begin"/>
        </w:r>
        <w:r w:rsidR="00D7072C">
          <w:instrText xml:space="preserve"> PAGEREF _Toc104812612 \h </w:instrText>
        </w:r>
        <w:r w:rsidR="00D7072C">
          <w:fldChar w:fldCharType="separate"/>
        </w:r>
        <w:r w:rsidR="00D7072C">
          <w:t>117</w:t>
        </w:r>
        <w:r w:rsidR="00D7072C">
          <w:fldChar w:fldCharType="end"/>
        </w:r>
      </w:hyperlink>
    </w:p>
    <w:p w14:paraId="464EF1DF" w14:textId="77777777" w:rsidR="00B229A7" w:rsidRDefault="004A68B2">
      <w:pPr>
        <w:pStyle w:val="10"/>
        <w:rPr>
          <w:rFonts w:cstheme="minorBidi"/>
          <w:sz w:val="21"/>
          <w:szCs w:val="24"/>
        </w:rPr>
      </w:pPr>
      <w:hyperlink w:anchor="_Toc104812613" w:history="1">
        <w:r w:rsidR="00D7072C">
          <w:rPr>
            <w:rStyle w:val="a5"/>
            <w:b w:val="0"/>
            <w:bCs w:val="0"/>
          </w:rPr>
          <w:t>37St数知无法表示意见</w:t>
        </w:r>
        <w:r w:rsidR="00D7072C">
          <w:tab/>
        </w:r>
        <w:r w:rsidR="00D7072C">
          <w:fldChar w:fldCharType="begin"/>
        </w:r>
        <w:r w:rsidR="00D7072C">
          <w:instrText xml:space="preserve"> PAGEREF _Toc104812613 \h </w:instrText>
        </w:r>
        <w:r w:rsidR="00D7072C">
          <w:fldChar w:fldCharType="separate"/>
        </w:r>
        <w:r w:rsidR="00D7072C">
          <w:t>121</w:t>
        </w:r>
        <w:r w:rsidR="00D7072C">
          <w:fldChar w:fldCharType="end"/>
        </w:r>
      </w:hyperlink>
    </w:p>
    <w:p w14:paraId="5DA1D585" w14:textId="77777777" w:rsidR="00B229A7" w:rsidRDefault="004A68B2">
      <w:pPr>
        <w:pStyle w:val="10"/>
        <w:rPr>
          <w:rFonts w:cstheme="minorBidi"/>
          <w:sz w:val="21"/>
          <w:szCs w:val="24"/>
        </w:rPr>
      </w:pPr>
      <w:hyperlink w:anchor="_Toc104812614" w:history="1">
        <w:r w:rsidR="00D7072C">
          <w:rPr>
            <w:rStyle w:val="a5"/>
            <w:b w:val="0"/>
            <w:bCs w:val="0"/>
          </w:rPr>
          <w:t>38 St网力</w:t>
        </w:r>
        <w:r w:rsidR="00D7072C">
          <w:tab/>
        </w:r>
        <w:r w:rsidR="00D7072C">
          <w:fldChar w:fldCharType="begin"/>
        </w:r>
        <w:r w:rsidR="00D7072C">
          <w:instrText xml:space="preserve"> PAGEREF _Toc104812614 \h </w:instrText>
        </w:r>
        <w:r w:rsidR="00D7072C">
          <w:fldChar w:fldCharType="separate"/>
        </w:r>
        <w:r w:rsidR="00D7072C">
          <w:t>123</w:t>
        </w:r>
        <w:r w:rsidR="00D7072C">
          <w:fldChar w:fldCharType="end"/>
        </w:r>
      </w:hyperlink>
    </w:p>
    <w:p w14:paraId="24894388" w14:textId="77777777" w:rsidR="00B229A7" w:rsidRDefault="004A68B2">
      <w:pPr>
        <w:pStyle w:val="10"/>
        <w:rPr>
          <w:rFonts w:cstheme="minorBidi"/>
          <w:sz w:val="21"/>
          <w:szCs w:val="24"/>
        </w:rPr>
      </w:pPr>
      <w:hyperlink w:anchor="_Toc104812615" w:history="1">
        <w:r w:rsidR="00D7072C">
          <w:rPr>
            <w:rStyle w:val="a5"/>
            <w:b w:val="0"/>
            <w:bCs w:val="0"/>
          </w:rPr>
          <w:t>39腾信股份</w:t>
        </w:r>
        <w:r w:rsidR="00D7072C">
          <w:tab/>
        </w:r>
        <w:r w:rsidR="00D7072C">
          <w:fldChar w:fldCharType="begin"/>
        </w:r>
        <w:r w:rsidR="00D7072C">
          <w:instrText xml:space="preserve"> PAGEREF _Toc104812615 \h </w:instrText>
        </w:r>
        <w:r w:rsidR="00D7072C">
          <w:fldChar w:fldCharType="separate"/>
        </w:r>
        <w:r w:rsidR="00D7072C">
          <w:t>124</w:t>
        </w:r>
        <w:r w:rsidR="00D7072C">
          <w:fldChar w:fldCharType="end"/>
        </w:r>
      </w:hyperlink>
    </w:p>
    <w:p w14:paraId="40F087AE" w14:textId="77777777" w:rsidR="00B229A7" w:rsidRDefault="004A68B2">
      <w:pPr>
        <w:pStyle w:val="10"/>
        <w:rPr>
          <w:rFonts w:cstheme="minorBidi"/>
          <w:sz w:val="21"/>
          <w:szCs w:val="24"/>
        </w:rPr>
      </w:pPr>
      <w:hyperlink w:anchor="_Toc104812616" w:history="1">
        <w:r w:rsidR="00D7072C">
          <w:rPr>
            <w:rStyle w:val="a5"/>
            <w:b w:val="0"/>
            <w:bCs w:val="0"/>
          </w:rPr>
          <w:t>40宝能收购万科案</w:t>
        </w:r>
        <w:r w:rsidR="00D7072C">
          <w:tab/>
        </w:r>
        <w:r w:rsidR="00D7072C">
          <w:fldChar w:fldCharType="begin"/>
        </w:r>
        <w:r w:rsidR="00D7072C">
          <w:instrText xml:space="preserve"> PAGEREF _Toc104812616 \h </w:instrText>
        </w:r>
        <w:r w:rsidR="00D7072C">
          <w:fldChar w:fldCharType="separate"/>
        </w:r>
        <w:r w:rsidR="00D7072C">
          <w:t>126</w:t>
        </w:r>
        <w:r w:rsidR="00D7072C">
          <w:fldChar w:fldCharType="end"/>
        </w:r>
      </w:hyperlink>
    </w:p>
    <w:p w14:paraId="6691FECB" w14:textId="77777777" w:rsidR="00B229A7" w:rsidRDefault="004A68B2">
      <w:pPr>
        <w:pStyle w:val="10"/>
        <w:rPr>
          <w:rFonts w:cstheme="minorBidi"/>
          <w:sz w:val="28"/>
          <w:szCs w:val="28"/>
        </w:rPr>
      </w:pPr>
      <w:hyperlink w:anchor="_Toc104812617" w:history="1">
        <w:r w:rsidR="00D7072C">
          <w:rPr>
            <w:rStyle w:val="a5"/>
            <w:sz w:val="28"/>
            <w:szCs w:val="28"/>
          </w:rPr>
          <w:t>41-50 主要分析人：任柏羽</w:t>
        </w:r>
        <w:r w:rsidR="00D7072C">
          <w:rPr>
            <w:sz w:val="28"/>
            <w:szCs w:val="28"/>
          </w:rPr>
          <w:tab/>
        </w:r>
        <w:r w:rsidR="00D7072C">
          <w:rPr>
            <w:sz w:val="28"/>
            <w:szCs w:val="28"/>
          </w:rPr>
          <w:fldChar w:fldCharType="begin"/>
        </w:r>
        <w:r w:rsidR="00D7072C">
          <w:rPr>
            <w:sz w:val="28"/>
            <w:szCs w:val="28"/>
          </w:rPr>
          <w:instrText xml:space="preserve"> PAGEREF _Toc104812617 \h </w:instrText>
        </w:r>
        <w:r w:rsidR="00D7072C">
          <w:rPr>
            <w:sz w:val="28"/>
            <w:szCs w:val="28"/>
          </w:rPr>
        </w:r>
        <w:r w:rsidR="00D7072C">
          <w:rPr>
            <w:sz w:val="28"/>
            <w:szCs w:val="28"/>
          </w:rPr>
          <w:fldChar w:fldCharType="separate"/>
        </w:r>
        <w:r w:rsidR="00D7072C">
          <w:rPr>
            <w:sz w:val="28"/>
            <w:szCs w:val="28"/>
          </w:rPr>
          <w:t>128</w:t>
        </w:r>
        <w:r w:rsidR="00D7072C">
          <w:rPr>
            <w:sz w:val="28"/>
            <w:szCs w:val="28"/>
          </w:rPr>
          <w:fldChar w:fldCharType="end"/>
        </w:r>
      </w:hyperlink>
    </w:p>
    <w:p w14:paraId="09E890C2" w14:textId="77777777" w:rsidR="00B229A7" w:rsidRDefault="004A68B2">
      <w:pPr>
        <w:pStyle w:val="10"/>
        <w:rPr>
          <w:rFonts w:cstheme="minorBidi"/>
          <w:sz w:val="21"/>
          <w:szCs w:val="24"/>
        </w:rPr>
      </w:pPr>
      <w:hyperlink w:anchor="_Toc104812618" w:history="1">
        <w:r w:rsidR="00D7072C">
          <w:rPr>
            <w:rStyle w:val="a5"/>
            <w:b w:val="0"/>
            <w:bCs w:val="0"/>
          </w:rPr>
          <w:t>41长园集团财务造假</w:t>
        </w:r>
        <w:r w:rsidR="00D7072C">
          <w:tab/>
        </w:r>
        <w:r w:rsidR="00D7072C">
          <w:fldChar w:fldCharType="begin"/>
        </w:r>
        <w:r w:rsidR="00D7072C">
          <w:instrText xml:space="preserve"> PAGEREF _Toc104812618 \h </w:instrText>
        </w:r>
        <w:r w:rsidR="00D7072C">
          <w:fldChar w:fldCharType="separate"/>
        </w:r>
        <w:r w:rsidR="00D7072C">
          <w:t>128</w:t>
        </w:r>
        <w:r w:rsidR="00D7072C">
          <w:fldChar w:fldCharType="end"/>
        </w:r>
      </w:hyperlink>
    </w:p>
    <w:p w14:paraId="3A06223E" w14:textId="77777777" w:rsidR="00B229A7" w:rsidRDefault="004A68B2">
      <w:pPr>
        <w:pStyle w:val="10"/>
        <w:rPr>
          <w:rFonts w:cstheme="minorBidi"/>
          <w:sz w:val="21"/>
          <w:szCs w:val="24"/>
        </w:rPr>
      </w:pPr>
      <w:hyperlink w:anchor="_Toc104812619" w:history="1">
        <w:r w:rsidR="00D7072C">
          <w:rPr>
            <w:rStyle w:val="a5"/>
            <w:b w:val="0"/>
            <w:bCs w:val="0"/>
          </w:rPr>
          <w:t>42盈方微违规案例</w:t>
        </w:r>
        <w:r w:rsidR="00D7072C">
          <w:tab/>
        </w:r>
        <w:r w:rsidR="00D7072C">
          <w:fldChar w:fldCharType="begin"/>
        </w:r>
        <w:r w:rsidR="00D7072C">
          <w:instrText xml:space="preserve"> PAGEREF _Toc104812619 \h </w:instrText>
        </w:r>
        <w:r w:rsidR="00D7072C">
          <w:fldChar w:fldCharType="separate"/>
        </w:r>
        <w:r w:rsidR="00D7072C">
          <w:t>131</w:t>
        </w:r>
        <w:r w:rsidR="00D7072C">
          <w:fldChar w:fldCharType="end"/>
        </w:r>
      </w:hyperlink>
    </w:p>
    <w:p w14:paraId="185C6E1B" w14:textId="77777777" w:rsidR="00B229A7" w:rsidRDefault="004A68B2">
      <w:pPr>
        <w:pStyle w:val="10"/>
        <w:rPr>
          <w:rFonts w:cstheme="minorBidi"/>
          <w:sz w:val="21"/>
          <w:szCs w:val="24"/>
        </w:rPr>
      </w:pPr>
      <w:hyperlink w:anchor="_Toc104812620" w:history="1">
        <w:r w:rsidR="00D7072C">
          <w:rPr>
            <w:rStyle w:val="a5"/>
            <w:b w:val="0"/>
            <w:bCs w:val="0"/>
          </w:rPr>
          <w:t>43中国建设银行CZ分行员工舞弊</w:t>
        </w:r>
        <w:r w:rsidR="00D7072C">
          <w:tab/>
        </w:r>
        <w:r w:rsidR="00D7072C">
          <w:fldChar w:fldCharType="begin"/>
        </w:r>
        <w:r w:rsidR="00D7072C">
          <w:instrText xml:space="preserve"> PAGEREF _Toc104812620 \h </w:instrText>
        </w:r>
        <w:r w:rsidR="00D7072C">
          <w:fldChar w:fldCharType="separate"/>
        </w:r>
        <w:r w:rsidR="00D7072C">
          <w:t>134</w:t>
        </w:r>
        <w:r w:rsidR="00D7072C">
          <w:fldChar w:fldCharType="end"/>
        </w:r>
      </w:hyperlink>
    </w:p>
    <w:p w14:paraId="2CF8C386" w14:textId="77777777" w:rsidR="00B229A7" w:rsidRDefault="004A68B2">
      <w:pPr>
        <w:pStyle w:val="10"/>
        <w:rPr>
          <w:rFonts w:cstheme="minorBidi"/>
          <w:sz w:val="21"/>
          <w:szCs w:val="24"/>
        </w:rPr>
      </w:pPr>
      <w:hyperlink w:anchor="_Toc104812621" w:history="1">
        <w:r w:rsidR="00D7072C">
          <w:rPr>
            <w:rStyle w:val="a5"/>
            <w:b w:val="0"/>
            <w:bCs w:val="0"/>
          </w:rPr>
          <w:t>44基于纳克公司骗贷的工商银行山西分行内部审计</w:t>
        </w:r>
        <w:r w:rsidR="00D7072C">
          <w:tab/>
        </w:r>
        <w:r w:rsidR="00D7072C">
          <w:fldChar w:fldCharType="begin"/>
        </w:r>
        <w:r w:rsidR="00D7072C">
          <w:instrText xml:space="preserve"> PAGEREF _Toc104812621 \h </w:instrText>
        </w:r>
        <w:r w:rsidR="00D7072C">
          <w:fldChar w:fldCharType="separate"/>
        </w:r>
        <w:r w:rsidR="00D7072C">
          <w:t>137</w:t>
        </w:r>
        <w:r w:rsidR="00D7072C">
          <w:fldChar w:fldCharType="end"/>
        </w:r>
      </w:hyperlink>
    </w:p>
    <w:p w14:paraId="5E71AA9E" w14:textId="77777777" w:rsidR="00B229A7" w:rsidRDefault="004A68B2">
      <w:pPr>
        <w:pStyle w:val="10"/>
        <w:rPr>
          <w:rFonts w:cstheme="minorBidi"/>
          <w:sz w:val="21"/>
          <w:szCs w:val="24"/>
        </w:rPr>
      </w:pPr>
      <w:hyperlink w:anchor="_Toc104812622" w:history="1">
        <w:r w:rsidR="00D7072C">
          <w:rPr>
            <w:rStyle w:val="a5"/>
            <w:b w:val="0"/>
            <w:bCs w:val="0"/>
          </w:rPr>
          <w:t>45百联集团商贸流通业务审计案例</w:t>
        </w:r>
        <w:r w:rsidR="00D7072C">
          <w:tab/>
        </w:r>
        <w:r w:rsidR="00D7072C">
          <w:fldChar w:fldCharType="begin"/>
        </w:r>
        <w:r w:rsidR="00D7072C">
          <w:instrText xml:space="preserve"> PAGEREF _Toc104812622 \h </w:instrText>
        </w:r>
        <w:r w:rsidR="00D7072C">
          <w:fldChar w:fldCharType="separate"/>
        </w:r>
        <w:r w:rsidR="00D7072C">
          <w:t>147</w:t>
        </w:r>
        <w:r w:rsidR="00D7072C">
          <w:fldChar w:fldCharType="end"/>
        </w:r>
      </w:hyperlink>
    </w:p>
    <w:p w14:paraId="49AB5F6A" w14:textId="77777777" w:rsidR="00B229A7" w:rsidRDefault="004A68B2">
      <w:pPr>
        <w:pStyle w:val="10"/>
        <w:rPr>
          <w:rFonts w:cstheme="minorBidi"/>
          <w:sz w:val="21"/>
          <w:szCs w:val="24"/>
        </w:rPr>
      </w:pPr>
      <w:hyperlink w:anchor="_Toc104812623" w:history="1">
        <w:r w:rsidR="00D7072C">
          <w:rPr>
            <w:rStyle w:val="a5"/>
            <w:b w:val="0"/>
            <w:bCs w:val="0"/>
          </w:rPr>
          <w:t>46小熊电器</w:t>
        </w:r>
        <w:r w:rsidR="00D7072C">
          <w:tab/>
        </w:r>
        <w:r w:rsidR="00D7072C">
          <w:fldChar w:fldCharType="begin"/>
        </w:r>
        <w:r w:rsidR="00D7072C">
          <w:instrText xml:space="preserve"> PAGEREF _Toc104812623 \h </w:instrText>
        </w:r>
        <w:r w:rsidR="00D7072C">
          <w:fldChar w:fldCharType="separate"/>
        </w:r>
        <w:r w:rsidR="00D7072C">
          <w:t>150</w:t>
        </w:r>
        <w:r w:rsidR="00D7072C">
          <w:fldChar w:fldCharType="end"/>
        </w:r>
      </w:hyperlink>
    </w:p>
    <w:p w14:paraId="4E78548D" w14:textId="77777777" w:rsidR="00B229A7" w:rsidRDefault="004A68B2">
      <w:pPr>
        <w:pStyle w:val="10"/>
        <w:rPr>
          <w:rFonts w:cstheme="minorBidi"/>
          <w:sz w:val="21"/>
          <w:szCs w:val="24"/>
        </w:rPr>
      </w:pPr>
      <w:hyperlink w:anchor="_Toc104812624" w:history="1">
        <w:r w:rsidR="00D7072C">
          <w:rPr>
            <w:rStyle w:val="a5"/>
            <w:b w:val="0"/>
            <w:bCs w:val="0"/>
          </w:rPr>
          <w:t>47三只松鼠</w:t>
        </w:r>
        <w:r w:rsidR="00D7072C">
          <w:tab/>
        </w:r>
        <w:r w:rsidR="00D7072C">
          <w:fldChar w:fldCharType="begin"/>
        </w:r>
        <w:r w:rsidR="00D7072C">
          <w:instrText xml:space="preserve"> PAGEREF _Toc104812624 \h </w:instrText>
        </w:r>
        <w:r w:rsidR="00D7072C">
          <w:fldChar w:fldCharType="separate"/>
        </w:r>
        <w:r w:rsidR="00D7072C">
          <w:t>156</w:t>
        </w:r>
        <w:r w:rsidR="00D7072C">
          <w:fldChar w:fldCharType="end"/>
        </w:r>
      </w:hyperlink>
    </w:p>
    <w:p w14:paraId="79508667" w14:textId="77777777" w:rsidR="00B229A7" w:rsidRDefault="004A68B2">
      <w:pPr>
        <w:pStyle w:val="10"/>
        <w:rPr>
          <w:rFonts w:cstheme="minorBidi"/>
          <w:sz w:val="21"/>
          <w:szCs w:val="24"/>
        </w:rPr>
      </w:pPr>
      <w:hyperlink w:anchor="_Toc104812625" w:history="1">
        <w:r w:rsidR="00D7072C">
          <w:rPr>
            <w:rStyle w:val="a5"/>
            <w:b w:val="0"/>
            <w:bCs w:val="0"/>
          </w:rPr>
          <w:t>48立信审计生意宝</w:t>
        </w:r>
        <w:r w:rsidR="00D7072C">
          <w:tab/>
        </w:r>
        <w:r w:rsidR="00D7072C">
          <w:fldChar w:fldCharType="begin"/>
        </w:r>
        <w:r w:rsidR="00D7072C">
          <w:instrText xml:space="preserve"> PAGEREF _Toc104812625 \h </w:instrText>
        </w:r>
        <w:r w:rsidR="00D7072C">
          <w:fldChar w:fldCharType="separate"/>
        </w:r>
        <w:r w:rsidR="00D7072C">
          <w:t>161</w:t>
        </w:r>
        <w:r w:rsidR="00D7072C">
          <w:fldChar w:fldCharType="end"/>
        </w:r>
      </w:hyperlink>
    </w:p>
    <w:p w14:paraId="21410DD0" w14:textId="77777777" w:rsidR="00B229A7" w:rsidRDefault="004A68B2">
      <w:pPr>
        <w:pStyle w:val="10"/>
        <w:rPr>
          <w:rFonts w:cstheme="minorBidi"/>
          <w:sz w:val="21"/>
          <w:szCs w:val="24"/>
        </w:rPr>
      </w:pPr>
      <w:hyperlink w:anchor="_Toc104812626" w:history="1">
        <w:r w:rsidR="00D7072C">
          <w:rPr>
            <w:rStyle w:val="a5"/>
            <w:b w:val="0"/>
            <w:bCs w:val="0"/>
          </w:rPr>
          <w:t>49傲基电商</w:t>
        </w:r>
        <w:r w:rsidR="00D7072C">
          <w:tab/>
        </w:r>
        <w:r w:rsidR="00D7072C">
          <w:fldChar w:fldCharType="begin"/>
        </w:r>
        <w:r w:rsidR="00D7072C">
          <w:instrText xml:space="preserve"> PAGEREF _Toc104812626 \h </w:instrText>
        </w:r>
        <w:r w:rsidR="00D7072C">
          <w:fldChar w:fldCharType="separate"/>
        </w:r>
        <w:r w:rsidR="00D7072C">
          <w:t>164</w:t>
        </w:r>
        <w:r w:rsidR="00D7072C">
          <w:fldChar w:fldCharType="end"/>
        </w:r>
      </w:hyperlink>
    </w:p>
    <w:p w14:paraId="57BBA9B8" w14:textId="77777777" w:rsidR="00B229A7" w:rsidRDefault="004A68B2">
      <w:pPr>
        <w:pStyle w:val="10"/>
        <w:rPr>
          <w:rFonts w:cstheme="minorBidi"/>
          <w:sz w:val="21"/>
          <w:szCs w:val="24"/>
        </w:rPr>
      </w:pPr>
      <w:hyperlink w:anchor="_Toc104812627" w:history="1">
        <w:r w:rsidR="00D7072C">
          <w:rPr>
            <w:rStyle w:val="a5"/>
            <w:b w:val="0"/>
            <w:bCs w:val="0"/>
          </w:rPr>
          <w:t>50立信会计师事务所对超华科技审计失败</w:t>
        </w:r>
        <w:r w:rsidR="00D7072C">
          <w:tab/>
        </w:r>
        <w:r w:rsidR="00D7072C">
          <w:fldChar w:fldCharType="begin"/>
        </w:r>
        <w:r w:rsidR="00D7072C">
          <w:instrText xml:space="preserve"> PAGEREF _Toc104812627 \h </w:instrText>
        </w:r>
        <w:r w:rsidR="00D7072C">
          <w:fldChar w:fldCharType="separate"/>
        </w:r>
        <w:r w:rsidR="00D7072C">
          <w:t>168</w:t>
        </w:r>
        <w:r w:rsidR="00D7072C">
          <w:fldChar w:fldCharType="end"/>
        </w:r>
      </w:hyperlink>
    </w:p>
    <w:p w14:paraId="556AEAC8" w14:textId="77777777" w:rsidR="00B229A7" w:rsidRDefault="00D7072C">
      <w:pPr>
        <w:widowControl/>
        <w:jc w:val="left"/>
        <w:rPr>
          <w:rFonts w:ascii="宋体" w:hAnsi="宋体"/>
          <w:kern w:val="44"/>
          <w:sz w:val="44"/>
          <w:szCs w:val="44"/>
        </w:rPr>
      </w:pPr>
      <w:r>
        <w:rPr>
          <w:rFonts w:ascii="宋体" w:hAnsi="宋体"/>
          <w:kern w:val="44"/>
          <w:sz w:val="44"/>
          <w:szCs w:val="44"/>
        </w:rPr>
        <w:fldChar w:fldCharType="end"/>
      </w:r>
    </w:p>
    <w:p w14:paraId="01BDECED" w14:textId="77777777" w:rsidR="00B229A7" w:rsidRDefault="00D7072C">
      <w:pPr>
        <w:pStyle w:val="1"/>
      </w:pPr>
      <w:bookmarkStart w:id="1" w:name="_Toc104812475"/>
      <w:bookmarkStart w:id="2" w:name="_Toc104812573"/>
      <w:bookmarkStart w:id="3" w:name="_Toc104812294"/>
      <w:r>
        <w:rPr>
          <w:rFonts w:hint="eastAsia"/>
        </w:rPr>
        <w:lastRenderedPageBreak/>
        <w:t>01-</w:t>
      </w:r>
      <w:r>
        <w:t xml:space="preserve">10 </w:t>
      </w:r>
      <w:r>
        <w:rPr>
          <w:rFonts w:hint="eastAsia"/>
        </w:rPr>
        <w:t>主要分析人：陈明仪</w:t>
      </w:r>
      <w:bookmarkEnd w:id="1"/>
      <w:bookmarkEnd w:id="2"/>
      <w:bookmarkEnd w:id="3"/>
    </w:p>
    <w:p w14:paraId="6E36F3A5" w14:textId="77777777" w:rsidR="00B229A7" w:rsidRDefault="00D7072C">
      <w:pPr>
        <w:pStyle w:val="1"/>
      </w:pPr>
      <w:bookmarkStart w:id="4" w:name="_Toc104812476"/>
      <w:bookmarkStart w:id="5" w:name="_Toc104812574"/>
      <w:bookmarkStart w:id="6" w:name="_Toc104812295"/>
      <w:r>
        <w:rPr>
          <w:rFonts w:hint="eastAsia"/>
        </w:rPr>
        <w:t>01</w:t>
      </w:r>
      <w:bookmarkEnd w:id="0"/>
      <w:r>
        <w:rPr>
          <w:rFonts w:hint="eastAsia"/>
        </w:rPr>
        <w:t>中信国安财务造假</w:t>
      </w:r>
      <w:bookmarkEnd w:id="4"/>
      <w:bookmarkEnd w:id="5"/>
      <w:bookmarkEnd w:id="6"/>
    </w:p>
    <w:tbl>
      <w:tblPr>
        <w:tblStyle w:val="a4"/>
        <w:tblW w:w="8296" w:type="dxa"/>
        <w:tblLayout w:type="fixed"/>
        <w:tblLook w:val="04A0" w:firstRow="1" w:lastRow="0" w:firstColumn="1" w:lastColumn="0" w:noHBand="0" w:noVBand="1"/>
      </w:tblPr>
      <w:tblGrid>
        <w:gridCol w:w="1980"/>
        <w:gridCol w:w="6316"/>
      </w:tblGrid>
      <w:tr w:rsidR="00B229A7" w14:paraId="18729DF9" w14:textId="77777777">
        <w:tc>
          <w:tcPr>
            <w:tcW w:w="1980" w:type="dxa"/>
          </w:tcPr>
          <w:p w14:paraId="4D2DFFF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78C0D32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01</w:t>
            </w:r>
          </w:p>
        </w:tc>
      </w:tr>
      <w:tr w:rsidR="00B229A7" w14:paraId="326E480A" w14:textId="77777777">
        <w:tc>
          <w:tcPr>
            <w:tcW w:w="1980" w:type="dxa"/>
          </w:tcPr>
          <w:p w14:paraId="0023228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5EEFD94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金融业</w:t>
            </w:r>
          </w:p>
        </w:tc>
      </w:tr>
      <w:tr w:rsidR="00B229A7" w14:paraId="5C9B2254" w14:textId="77777777">
        <w:tc>
          <w:tcPr>
            <w:tcW w:w="1980" w:type="dxa"/>
          </w:tcPr>
          <w:p w14:paraId="4BCE7D0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4BA0384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20</w:t>
            </w:r>
            <w:r>
              <w:rPr>
                <w:rFonts w:ascii="宋体" w:hAnsi="宋体" w:hint="eastAsia"/>
                <w:color w:val="000000" w:themeColor="text1"/>
                <w:kern w:val="0"/>
                <w:szCs w:val="21"/>
              </w:rPr>
              <w:t>年</w:t>
            </w:r>
          </w:p>
        </w:tc>
      </w:tr>
      <w:tr w:rsidR="00B229A7" w14:paraId="3C4B428B" w14:textId="77777777">
        <w:tc>
          <w:tcPr>
            <w:tcW w:w="1980" w:type="dxa"/>
          </w:tcPr>
          <w:p w14:paraId="4680CF0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56920EB6"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中信国安集团有限公司</w:t>
            </w:r>
          </w:p>
        </w:tc>
      </w:tr>
      <w:tr w:rsidR="00B229A7" w14:paraId="64D05373" w14:textId="77777777">
        <w:tc>
          <w:tcPr>
            <w:tcW w:w="1980" w:type="dxa"/>
          </w:tcPr>
          <w:p w14:paraId="2E44B3F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1CB848D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金融业务、电信业务</w:t>
            </w:r>
          </w:p>
        </w:tc>
      </w:tr>
      <w:tr w:rsidR="00B229A7" w14:paraId="2284D88A" w14:textId="77777777">
        <w:tc>
          <w:tcPr>
            <w:tcW w:w="1980" w:type="dxa"/>
          </w:tcPr>
          <w:p w14:paraId="271E44B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4F3EBD1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4E9771F"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t>中信国安成立于1997年，公司于深交所上市，一经上市，就吸引了大量市场资本的投入，这些资金为公司后续的开拓与发展打下了良好的基础。公司位于北京市朝阳区，依托着京津冀城市区的城市互联与市场互联，公司发展一片欣欣向荣。公司主要收入来源依托信息网络基础设施服务，由于国家政策的扶持，大量的资金投入了信息网络服务行业，导致市场竞争激烈，市场供需饱和，公司开始在其他领域寻找新的利润增长点，期望通过产业布局和业务多元化维持企业发展，其中主要包括资源领域和高科技开发领域。</w:t>
            </w:r>
          </w:p>
          <w:p w14:paraId="7B8BB095" w14:textId="77777777" w:rsidR="00B229A7" w:rsidRDefault="00B229A7">
            <w:pPr>
              <w:spacing w:line="276" w:lineRule="auto"/>
              <w:rPr>
                <w:rFonts w:ascii="宋体" w:hAnsi="宋体"/>
                <w:color w:val="000000" w:themeColor="text1"/>
                <w:kern w:val="0"/>
                <w:szCs w:val="21"/>
              </w:rPr>
            </w:pPr>
          </w:p>
          <w:p w14:paraId="3902398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25665540" w14:textId="77777777" w:rsidR="00B229A7" w:rsidRDefault="00D7072C">
            <w:pPr>
              <w:spacing w:line="276" w:lineRule="auto"/>
              <w:rPr>
                <w:rFonts w:ascii="宋体" w:hAnsi="宋体"/>
                <w:color w:val="000000" w:themeColor="text1"/>
                <w:kern w:val="0"/>
                <w:szCs w:val="21"/>
              </w:rPr>
            </w:pPr>
            <w:r>
              <w:rPr>
                <w:rFonts w:ascii="宋体" w:hAnsi="宋体"/>
                <w:b/>
                <w:color w:val="000000" w:themeColor="text1"/>
                <w:kern w:val="0"/>
                <w:szCs w:val="21"/>
              </w:rPr>
              <w:tab/>
            </w:r>
            <w:r>
              <w:rPr>
                <w:rFonts w:ascii="宋体" w:hAnsi="宋体"/>
                <w:color w:val="000000" w:themeColor="text1"/>
                <w:kern w:val="0"/>
                <w:szCs w:val="21"/>
              </w:rPr>
              <w:t>2020年5月16日，中信国安公司收到了《中国证券监督管理委员会调查通知书》，因其涉嫌信息披露违法违规，中国证监会决定对其立案调查。5月17日立案，次日公司股价复牌即跌停，而后的几个交易日，股价继续下挫。2021年3月3日，中信国安收到证监会的《行政处罚告知书》。2021年6月3日，中信国安正式收到证监会行政处罚决定书。该公司连续多年财务造假的行为被发现。</w:t>
            </w:r>
          </w:p>
          <w:p w14:paraId="61E1443A" w14:textId="77777777" w:rsidR="00B229A7" w:rsidRDefault="00B229A7">
            <w:pPr>
              <w:spacing w:line="276" w:lineRule="auto"/>
              <w:rPr>
                <w:rFonts w:ascii="宋体" w:hAnsi="宋体"/>
                <w:color w:val="000000" w:themeColor="text1"/>
                <w:kern w:val="0"/>
                <w:szCs w:val="21"/>
              </w:rPr>
            </w:pPr>
          </w:p>
          <w:p w14:paraId="1A0345F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0A9F762A" w14:textId="77777777" w:rsidR="00B229A7" w:rsidRDefault="00D7072C">
            <w:pPr>
              <w:spacing w:line="276" w:lineRule="auto"/>
              <w:rPr>
                <w:rFonts w:ascii="宋体" w:hAnsi="宋体"/>
                <w:bCs/>
                <w:color w:val="000000" w:themeColor="text1"/>
                <w:kern w:val="0"/>
                <w:szCs w:val="21"/>
              </w:rPr>
            </w:pPr>
            <w:r>
              <w:rPr>
                <w:rFonts w:ascii="宋体" w:hAnsi="宋体"/>
                <w:b/>
                <w:bCs/>
                <w:color w:val="000000" w:themeColor="text1"/>
                <w:kern w:val="0"/>
                <w:szCs w:val="21"/>
              </w:rPr>
              <w:tab/>
            </w:r>
            <w:r>
              <w:rPr>
                <w:rFonts w:ascii="宋体" w:hAnsi="宋体"/>
                <w:bCs/>
                <w:color w:val="000000" w:themeColor="text1"/>
                <w:kern w:val="0"/>
                <w:szCs w:val="21"/>
              </w:rPr>
              <w:t>中信国安子公司青海中信国安，为完成销售专题会议的10亿元销售目标，采用预售方式来完成虚假业绩，在青海中信国安纳入中信国安合并报表的2009年至2014年这6年期间，累计虚增营业收入5.06亿元，累计少计财务费用5.06亿元，累计虚增利润总额10.1亿元。证监会决定：对中信国安责令改正，给予警告，并处以60万元罚款：对9名高管（孙亚雷、李宏灿、孙璐、吴毅群、李士林、罗宁、晏凤霞、李向禹、严浩宇）处以30万元至5万元不等的罚款并给予警告。</w:t>
            </w:r>
          </w:p>
        </w:tc>
      </w:tr>
      <w:tr w:rsidR="00B229A7" w14:paraId="557ADFEB" w14:textId="77777777">
        <w:tc>
          <w:tcPr>
            <w:tcW w:w="1980" w:type="dxa"/>
          </w:tcPr>
          <w:p w14:paraId="5D73F13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43F97E9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致同</w:t>
            </w:r>
            <w:r>
              <w:rPr>
                <w:rFonts w:ascii="宋体" w:hAnsi="宋体"/>
                <w:color w:val="000000" w:themeColor="text1"/>
                <w:kern w:val="0"/>
                <w:szCs w:val="21"/>
              </w:rPr>
              <w:t>会计师事务</w:t>
            </w:r>
            <w:r>
              <w:rPr>
                <w:rFonts w:ascii="宋体" w:hAnsi="宋体" w:hint="eastAsia"/>
                <w:color w:val="000000" w:themeColor="text1"/>
                <w:kern w:val="0"/>
                <w:szCs w:val="21"/>
              </w:rPr>
              <w:t>所</w:t>
            </w:r>
          </w:p>
        </w:tc>
      </w:tr>
      <w:tr w:rsidR="00B229A7" w14:paraId="1B253387" w14:textId="77777777">
        <w:tc>
          <w:tcPr>
            <w:tcW w:w="1980" w:type="dxa"/>
          </w:tcPr>
          <w:p w14:paraId="65ED0B8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51DFBC4A" w14:textId="77777777" w:rsidR="00B229A7" w:rsidRDefault="00D7072C">
            <w:pPr>
              <w:spacing w:line="276" w:lineRule="auto"/>
              <w:rPr>
                <w:rFonts w:ascii="宋体" w:hAnsi="宋体"/>
                <w:b/>
                <w:color w:val="000000" w:themeColor="text1"/>
                <w:kern w:val="0"/>
                <w:szCs w:val="21"/>
              </w:rPr>
            </w:pPr>
            <w:r>
              <w:rPr>
                <w:rFonts w:ascii="宋体" w:hAnsi="宋体"/>
                <w:b/>
                <w:color w:val="000000" w:themeColor="text1"/>
                <w:kern w:val="0"/>
                <w:szCs w:val="21"/>
              </w:rPr>
              <w:t xml:space="preserve">1.  </w:t>
            </w:r>
            <w:r>
              <w:rPr>
                <w:rFonts w:ascii="宋体" w:hAnsi="宋体" w:hint="eastAsia"/>
                <w:b/>
                <w:color w:val="000000" w:themeColor="text1"/>
                <w:kern w:val="0"/>
                <w:szCs w:val="21"/>
              </w:rPr>
              <w:t>中信国安财务造假事件案例分析</w:t>
            </w:r>
          </w:p>
          <w:p w14:paraId="0F474DF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（一）财务造假动因分析</w:t>
            </w:r>
          </w:p>
          <w:p w14:paraId="3D86792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发</w:t>
            </w:r>
            <w:r>
              <w:rPr>
                <w:rFonts w:ascii="宋体" w:hAnsi="宋体"/>
                <w:color w:val="000000" w:themeColor="text1"/>
                <w:kern w:val="0"/>
                <w:szCs w:val="21"/>
              </w:rPr>
              <w:t>展路径来看，青海国安的业务与定位于信息网络基础设施业务的中信国安相差甚远。根据中信国安的公告和相关证券公司的研究报告，青海国安是全国第二家资源型钾肥生产企业。通过收购青海国安，中信国安将转型为资源型公司。最初，中信国安的主营业务是投资有线电视网络，但由于初期投资收益率较低，中信国安集团不断将优质资产引入上市公司平台以保证业绩。根据中信国安2001年和2002年年报，公司主营业务收入同比增长，但净利润连续二年同比下降。2003年，主要业务收入水平有所提高，但净利润仍低于1999年的水平。业务增长停滞，中信国安不得不寻求大股东中信国安集团的帮助。从“造血”和发展想象来看，新能源业务和“饮毒解渴”的房地产业务从长远来看显然缺乏孵化期。问题是，青海国安加入中信国安，一直负责“造血”。公司持有西台吉内尔盐湖采矿权，是青海盐湖资源开发的主要力量之一。当时，该机构对中信国安资源型企业转型进行了深入调研，分析了可能的转型红利。这说明青海国安寄予厚望。</w:t>
            </w:r>
          </w:p>
          <w:p w14:paraId="6AE1F1F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青海国安在最初几年成为了盈利的支柱。根据中信国安2005-2014年年报的测算，青海国安对中信国安净利润的贡献，从2006年的10%以上稳步上升到2008年的72%左右，已经达到顶峰。但此后，青海国安的贡献迅速下降。青海国安2010年营业利润已经为负，2011年净利润亏损8500万元。从那以后，没有任何积极的贡献。营业利润最大亏损为人民币2.07亿元。值得注意的是，即便是在造假的情况下，青海国安相比中国证监会披露的造假事件，也难以弥补业绩损失。青海国安的想象力在于开发碳酸锂等盐湖资源，但技术难开发，原因是回报效率低，钾肥一直是主要的利润来源。中信国安及其机构认为，业绩不佳是行业下滑所致。</w:t>
            </w:r>
          </w:p>
          <w:p w14:paraId="790D01D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（二）财务造假手段分析</w:t>
            </w:r>
          </w:p>
          <w:p w14:paraId="030CCFC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造假的最开始是2009年。青海中信国安召开销售专题会议，在明知不可能完成如此巨额的销售目标的前提下，还是定下了10亿元销售目标。而这个销售目标正是中信国安造假的一个重要原因。为了达成这个目标，中信国安直接采用了一种简单粗暴的方法：把借款做成营收。业绩不够，“预售”来凑，国安当时采用了一个绝妙的主意：利诱客户进行预售，并按照10%价格让利和同期商业贷款利率支付客户预付款利息，以此与客户达成交易，通过客户的预付款来完成自身给定的年度销售任务。按照会计准则，这样的收入在会计项目里应归为“应付账款”。但此时的中信国安却并没有这样</w:t>
            </w:r>
            <w:r>
              <w:rPr>
                <w:rFonts w:ascii="宋体" w:hAnsi="宋体"/>
                <w:color w:val="000000" w:themeColor="text1"/>
                <w:kern w:val="0"/>
                <w:szCs w:val="21"/>
              </w:rPr>
              <w:lastRenderedPageBreak/>
              <w:t>做。他们直接大面积虚构货物销售合同、出库单等资料，直接将此类账款归到货款进账，把虚构的销售收入全部算作利润。而对于客户来说，这种方式只赚不赔，因此有至少10家公司都配合了中信国安进行造假。中信国安先后与四家会计师事务所有业务上的合作，然而实际上却是同一家会计师事务所经过一系列改制、更名而来。2008年12月，与中信国安已有长达8年合作关系的北京京都会计师事务所与北京天华会计师事务所进行合并，改名为北京京都天华会计师事务所；而在此后不久，不到两年时间，2010年1月又一次更改公司名称变为京都天华会计师事务所；2012年6月更名为致同会计师事务所。也就是说，同一审计机构服务中信国安长达20年，表面上中信国安频繁地更换会计师事务所，但实际负责公司审计的人员却没有变动。</w:t>
            </w:r>
          </w:p>
          <w:p w14:paraId="1D8AE493" w14:textId="77777777" w:rsidR="00B229A7" w:rsidRDefault="00B229A7">
            <w:pPr>
              <w:spacing w:line="276" w:lineRule="auto"/>
              <w:rPr>
                <w:rFonts w:ascii="宋体" w:hAnsi="宋体"/>
                <w:color w:val="000000" w:themeColor="text1"/>
                <w:kern w:val="0"/>
                <w:szCs w:val="21"/>
              </w:rPr>
            </w:pPr>
          </w:p>
          <w:p w14:paraId="746F9D7D" w14:textId="77777777" w:rsidR="00B229A7" w:rsidRDefault="00D7072C">
            <w:pPr>
              <w:spacing w:line="276" w:lineRule="auto"/>
              <w:rPr>
                <w:rFonts w:ascii="宋体" w:hAnsi="宋体"/>
                <w:b/>
                <w:bCs/>
                <w:color w:val="000000" w:themeColor="text1"/>
                <w:kern w:val="0"/>
                <w:szCs w:val="21"/>
              </w:rPr>
            </w:pPr>
            <w:r>
              <w:rPr>
                <w:rFonts w:ascii="宋体" w:hAnsi="宋体" w:hint="eastAsia"/>
                <w:b/>
                <w:bCs/>
                <w:color w:val="000000" w:themeColor="text1"/>
                <w:kern w:val="0"/>
                <w:szCs w:val="21"/>
              </w:rPr>
              <w:t>2</w:t>
            </w:r>
            <w:r>
              <w:rPr>
                <w:rFonts w:ascii="宋体" w:hAnsi="宋体"/>
                <w:b/>
                <w:bCs/>
                <w:color w:val="000000" w:themeColor="text1"/>
                <w:kern w:val="0"/>
                <w:szCs w:val="21"/>
              </w:rPr>
              <w:t xml:space="preserve">. </w:t>
            </w:r>
            <w:r>
              <w:rPr>
                <w:rFonts w:ascii="宋体" w:hAnsi="宋体" w:hint="eastAsia"/>
                <w:b/>
                <w:bCs/>
                <w:color w:val="000000" w:themeColor="text1"/>
                <w:kern w:val="0"/>
                <w:szCs w:val="21"/>
              </w:rPr>
              <w:t>中信国安财务造假的后果</w:t>
            </w:r>
          </w:p>
          <w:p w14:paraId="78F9BD3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（一）对公司本身的影响</w:t>
            </w:r>
          </w:p>
          <w:p w14:paraId="1FDBF98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截至2021年4月29日收盘价，中信国安股价报每股2元，市值78.4亿元。很难想象这只股票曾经有过“千亿市值”的野心。中信国安一度是A股市场最受期待的牛股。2014年下半年以来，中信国债股价稳步上扬。2015年底，经过近6个月的停牌，中信国安股价处于较为明显的下跌区间，但自2016年以来，公司股价将处于巅峰状态，直至中信国安2017年11月30日，每股14.03元（回报前），达到过往股价最高点。社保基金以稳健著称，是A股投资的风向标之一，中信国安曾是其投资组合的一部分。千亿市值的目标终于成为梦。而中信国安的市值从2017年底开始下跌。财务造假让中信国安在投资者心目中失去了信誉。市场对欺诈的时间和数量感到惊讶。</w:t>
            </w:r>
          </w:p>
          <w:p w14:paraId="54FFE20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（二）对投资者的影响</w:t>
            </w:r>
          </w:p>
          <w:p w14:paraId="778F967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一些上市公司由于经营不善会导致企业利润下降，对企业的声誉产生不良的影响，此时上市公司可能就会通过财务造假来虚增企业的利润，从而使企业的财务报表看起来更加值得信赖。这样的信息会误导投资人和股民，损害其权益，进而扰乱资本市场，影响市场资源的良性健康发展。近年来，市场一直在呼吁大幅度提高违规成本，新证券法大幅度提升了对财务造假公司的处罚力度。根据最高人民法院判定，受损投资者可以中信国安等索赔，索赔条件暂时定为：在2010年2月6日至2020年5月17日期间买入中信国安股票，并在2020年5月18日后卖出或继续持有中信国安股票的受损投资者，最终索赔条件由法院生效判决确定。中信国安财务造假事件对投资者的影响是巨大的。</w:t>
            </w:r>
          </w:p>
          <w:p w14:paraId="5A8C1E3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（三）对国家的影响</w:t>
            </w:r>
          </w:p>
          <w:p w14:paraId="4C70B6E4"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Fonts w:ascii="宋体" w:hAnsi="宋体"/>
                <w:color w:val="000000" w:themeColor="text1"/>
                <w:kern w:val="0"/>
                <w:szCs w:val="21"/>
              </w:rPr>
              <w:lastRenderedPageBreak/>
              <w:t>财务造假事件对市场行业的公平竞争和良性发展，产生了极其不利的影响，对国家造成的负面影响也显而易见。政策制定失误，干扰市场经济的发展，资源配置低劣化，国有资产严重流失，造成大范围的国家利益受损，由于会计信息失真，使得有关核算资料不真实，掩盖了某些矛盾，国家宏观调控失去了可靠的基础。</w:t>
            </w:r>
          </w:p>
        </w:tc>
      </w:tr>
      <w:tr w:rsidR="00B229A7" w14:paraId="5DFFFEB6" w14:textId="77777777">
        <w:tc>
          <w:tcPr>
            <w:tcW w:w="1980" w:type="dxa"/>
          </w:tcPr>
          <w:p w14:paraId="7D368EB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310D158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虚增收入 少计财务费用 无保留意见</w:t>
            </w:r>
          </w:p>
        </w:tc>
      </w:tr>
    </w:tbl>
    <w:p w14:paraId="40DB7312" w14:textId="77777777" w:rsidR="00B229A7" w:rsidRDefault="00D7072C">
      <w:pPr>
        <w:pStyle w:val="1"/>
      </w:pPr>
      <w:bookmarkStart w:id="7" w:name="_Toc515709070"/>
      <w:bookmarkStart w:id="8" w:name="_Toc104812296"/>
      <w:bookmarkStart w:id="9" w:name="_Toc104812477"/>
      <w:bookmarkStart w:id="10" w:name="_Toc104812575"/>
      <w:r>
        <w:rPr>
          <w:rFonts w:hint="eastAsia"/>
        </w:rPr>
        <w:t>02</w:t>
      </w:r>
      <w:bookmarkEnd w:id="7"/>
      <w:r>
        <w:t xml:space="preserve"> </w:t>
      </w:r>
      <w:proofErr w:type="spellStart"/>
      <w:r>
        <w:t>Wirecard</w:t>
      </w:r>
      <w:proofErr w:type="spellEnd"/>
      <w:r>
        <w:rPr>
          <w:rFonts w:hint="eastAsia"/>
        </w:rPr>
        <w:t>财务造假</w:t>
      </w:r>
      <w:bookmarkEnd w:id="8"/>
      <w:bookmarkEnd w:id="9"/>
      <w:bookmarkEnd w:id="10"/>
    </w:p>
    <w:tbl>
      <w:tblPr>
        <w:tblStyle w:val="a4"/>
        <w:tblW w:w="8532" w:type="dxa"/>
        <w:tblLayout w:type="fixed"/>
        <w:tblLook w:val="04A0" w:firstRow="1" w:lastRow="0" w:firstColumn="1" w:lastColumn="0" w:noHBand="0" w:noVBand="1"/>
      </w:tblPr>
      <w:tblGrid>
        <w:gridCol w:w="1980"/>
        <w:gridCol w:w="6552"/>
      </w:tblGrid>
      <w:tr w:rsidR="00B229A7" w14:paraId="483774DF" w14:textId="77777777">
        <w:tc>
          <w:tcPr>
            <w:tcW w:w="1980" w:type="dxa"/>
          </w:tcPr>
          <w:p w14:paraId="3DDA430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794ADE1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102</w:t>
            </w:r>
          </w:p>
        </w:tc>
      </w:tr>
      <w:tr w:rsidR="00B229A7" w14:paraId="09D5D218" w14:textId="77777777">
        <w:tc>
          <w:tcPr>
            <w:tcW w:w="1980" w:type="dxa"/>
          </w:tcPr>
          <w:p w14:paraId="128B585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06C9E15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w:t>
            </w:r>
            <w:r>
              <w:rPr>
                <w:rFonts w:ascii="宋体" w:hAnsi="宋体" w:hint="eastAsia"/>
                <w:color w:val="000000" w:themeColor="text1"/>
                <w:kern w:val="0"/>
                <w:szCs w:val="21"/>
              </w:rPr>
              <w:t>金融业</w:t>
            </w:r>
          </w:p>
        </w:tc>
      </w:tr>
      <w:tr w:rsidR="00B229A7" w14:paraId="4FB69F7B" w14:textId="77777777">
        <w:tc>
          <w:tcPr>
            <w:tcW w:w="1980" w:type="dxa"/>
          </w:tcPr>
          <w:p w14:paraId="6AE9AB3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215B897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20</w:t>
            </w:r>
            <w:r>
              <w:rPr>
                <w:rFonts w:ascii="宋体" w:hAnsi="宋体" w:hint="eastAsia"/>
                <w:color w:val="000000" w:themeColor="text1"/>
                <w:kern w:val="0"/>
                <w:szCs w:val="21"/>
              </w:rPr>
              <w:t>年</w:t>
            </w:r>
          </w:p>
        </w:tc>
      </w:tr>
      <w:tr w:rsidR="00B229A7" w14:paraId="25707A35" w14:textId="77777777">
        <w:tc>
          <w:tcPr>
            <w:tcW w:w="1980" w:type="dxa"/>
          </w:tcPr>
          <w:p w14:paraId="2C11236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2888DC19" w14:textId="77777777" w:rsidR="00B229A7" w:rsidRDefault="00D7072C">
            <w:pPr>
              <w:spacing w:line="276" w:lineRule="auto"/>
              <w:jc w:val="center"/>
              <w:rPr>
                <w:rFonts w:ascii="宋体" w:hAnsi="宋体"/>
                <w:color w:val="000000" w:themeColor="text1"/>
                <w:spacing w:val="8"/>
                <w:kern w:val="0"/>
                <w:szCs w:val="21"/>
                <w:shd w:val="clear" w:color="auto" w:fill="FFFFFF"/>
              </w:rPr>
            </w:pPr>
            <w:proofErr w:type="spellStart"/>
            <w:r>
              <w:rPr>
                <w:rFonts w:ascii="宋体" w:hAnsi="宋体"/>
                <w:color w:val="000000" w:themeColor="text1"/>
                <w:spacing w:val="8"/>
                <w:kern w:val="0"/>
                <w:szCs w:val="21"/>
                <w:shd w:val="clear" w:color="auto" w:fill="FFFFFF"/>
              </w:rPr>
              <w:t>Wirecard</w:t>
            </w:r>
            <w:proofErr w:type="spellEnd"/>
          </w:p>
        </w:tc>
      </w:tr>
      <w:tr w:rsidR="00B229A7" w14:paraId="401B6737" w14:textId="77777777">
        <w:tc>
          <w:tcPr>
            <w:tcW w:w="1980" w:type="dxa"/>
          </w:tcPr>
          <w:p w14:paraId="670D15E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7C0DFFC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银行、软件</w:t>
            </w:r>
          </w:p>
        </w:tc>
      </w:tr>
      <w:tr w:rsidR="00B229A7" w14:paraId="20B017E5" w14:textId="77777777">
        <w:tc>
          <w:tcPr>
            <w:tcW w:w="1980" w:type="dxa"/>
          </w:tcPr>
          <w:p w14:paraId="765379A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7B6FD3BC"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0C1AD719" w14:textId="77777777" w:rsidR="00B229A7" w:rsidRDefault="00D7072C">
            <w:pPr>
              <w:spacing w:line="276" w:lineRule="auto"/>
              <w:ind w:firstLineChars="200" w:firstLine="420"/>
              <w:rPr>
                <w:rFonts w:ascii="宋体" w:hAnsi="宋体"/>
                <w:color w:val="000000" w:themeColor="text1"/>
                <w:kern w:val="0"/>
                <w:szCs w:val="21"/>
              </w:rPr>
            </w:pP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于1999年在慕尼黑（德国）成立，主要作为互联网繁荣结束时为赌博和色情行业提供金融服务的供应商，在21世纪初，在线支付交易行业稳步扩张。2006年，首席执行官Markus Braun通过收购XCOM AG将</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引入银行业务。这允许Wire Card AG进入借记卡和信用卡发行业务，并获得通用银行执照（“Wire Card AG收购XCOM”）。在进入这些市场时，</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获得了Visa和Mastercard的许可证。在21世纪初，</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成为一家混合而复杂的公司，在多个领域运作。</w:t>
            </w:r>
          </w:p>
          <w:p w14:paraId="7CBAA109" w14:textId="77777777" w:rsidR="00B229A7" w:rsidRDefault="00B229A7">
            <w:pPr>
              <w:spacing w:line="276" w:lineRule="auto"/>
              <w:rPr>
                <w:rFonts w:ascii="宋体" w:hAnsi="宋体"/>
                <w:color w:val="000000" w:themeColor="text1"/>
                <w:kern w:val="0"/>
                <w:szCs w:val="21"/>
              </w:rPr>
            </w:pPr>
          </w:p>
          <w:p w14:paraId="1EC0D70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6704D0D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2008年，</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的会计诚信首次受到德国投资者协会</w:t>
            </w:r>
            <w:proofErr w:type="spellStart"/>
            <w:r>
              <w:rPr>
                <w:rFonts w:ascii="宋体" w:hAnsi="宋体"/>
                <w:color w:val="000000" w:themeColor="text1"/>
                <w:kern w:val="0"/>
                <w:szCs w:val="21"/>
              </w:rPr>
              <w:t>SdK</w:t>
            </w:r>
            <w:proofErr w:type="spellEnd"/>
            <w:r>
              <w:rPr>
                <w:rFonts w:ascii="宋体" w:hAnsi="宋体"/>
                <w:color w:val="000000" w:themeColor="text1"/>
                <w:kern w:val="0"/>
                <w:szCs w:val="21"/>
              </w:rPr>
              <w:t>的挑战。该传奇故事结束时，2011年慕尼黑检察官以卖空和市场操纵罪对</w:t>
            </w:r>
            <w:proofErr w:type="spellStart"/>
            <w:r>
              <w:rPr>
                <w:rFonts w:ascii="宋体" w:hAnsi="宋体"/>
                <w:color w:val="000000" w:themeColor="text1"/>
                <w:kern w:val="0"/>
                <w:szCs w:val="21"/>
              </w:rPr>
              <w:t>SdK</w:t>
            </w:r>
            <w:proofErr w:type="spellEnd"/>
            <w:r>
              <w:rPr>
                <w:rFonts w:ascii="宋体" w:hAnsi="宋体"/>
                <w:color w:val="000000" w:themeColor="text1"/>
                <w:kern w:val="0"/>
                <w:szCs w:val="21"/>
              </w:rPr>
              <w:t xml:space="preserve">官员Tobias </w:t>
            </w:r>
            <w:proofErr w:type="spellStart"/>
            <w:r>
              <w:rPr>
                <w:rFonts w:ascii="宋体" w:hAnsi="宋体"/>
                <w:color w:val="000000" w:themeColor="text1"/>
                <w:kern w:val="0"/>
                <w:szCs w:val="21"/>
              </w:rPr>
              <w:t>Bosler</w:t>
            </w:r>
            <w:proofErr w:type="spellEnd"/>
            <w:r>
              <w:rPr>
                <w:rFonts w:ascii="宋体" w:hAnsi="宋体"/>
                <w:color w:val="000000" w:themeColor="text1"/>
                <w:kern w:val="0"/>
                <w:szCs w:val="21"/>
              </w:rPr>
              <w:t>和Markus Straub进行了判决（Boerse.ARD.de）。因此，开始了一种模式，以牺牲监管机构对</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会计行为的调查为代价，优先打击不道德和非法的卖空者。这种模式在2016年和2019年重复。2008年的丑闻包括对</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不透明报告、可疑的并购活动、激进的利润会计以及与美国非法在线赌博相关的洗钱谣言的指控。在这次丑闻之后，安永成为</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的审计师。</w:t>
            </w:r>
          </w:p>
          <w:p w14:paraId="3ECDEBD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随着</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 xml:space="preserve">的股价从2008年的丑闻中迅速回升，该集团在未来十年中迅速增长。2010年，Jan </w:t>
            </w:r>
            <w:proofErr w:type="spellStart"/>
            <w:r>
              <w:rPr>
                <w:rFonts w:ascii="宋体" w:hAnsi="宋体"/>
                <w:color w:val="000000" w:themeColor="text1"/>
                <w:kern w:val="0"/>
                <w:szCs w:val="21"/>
              </w:rPr>
              <w:t>Marsalek</w:t>
            </w:r>
            <w:proofErr w:type="spellEnd"/>
            <w:r>
              <w:rPr>
                <w:rFonts w:ascii="宋体" w:hAnsi="宋体"/>
                <w:color w:val="000000" w:themeColor="text1"/>
                <w:kern w:val="0"/>
                <w:szCs w:val="21"/>
              </w:rPr>
              <w:t>被任命为首席运营官（COO）。</w:t>
            </w:r>
            <w:r>
              <w:rPr>
                <w:rFonts w:ascii="宋体" w:hAnsi="宋体"/>
                <w:color w:val="000000" w:themeColor="text1"/>
                <w:kern w:val="0"/>
                <w:szCs w:val="21"/>
              </w:rPr>
              <w:lastRenderedPageBreak/>
              <w:t>到2010年，参与2020年最终丑闻的大多数关键参与者都是做出有关</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的道德决定的核心，即</w:t>
            </w:r>
            <w:proofErr w:type="spellStart"/>
            <w:r>
              <w:rPr>
                <w:rFonts w:ascii="宋体" w:hAnsi="宋体"/>
                <w:color w:val="000000" w:themeColor="text1"/>
                <w:kern w:val="0"/>
                <w:szCs w:val="21"/>
              </w:rPr>
              <w:t>Marsalek</w:t>
            </w:r>
            <w:proofErr w:type="spellEnd"/>
            <w:r>
              <w:rPr>
                <w:rFonts w:ascii="宋体" w:hAnsi="宋体"/>
                <w:color w:val="000000" w:themeColor="text1"/>
                <w:kern w:val="0"/>
                <w:szCs w:val="21"/>
              </w:rPr>
              <w:t>、Braun和EY。随着</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的增长和在法兰克福股市的顶峰，外部政府监管机构应该越来越多地参与进来。</w:t>
            </w:r>
          </w:p>
          <w:p w14:paraId="7CDDF929" w14:textId="77777777" w:rsidR="00B229A7" w:rsidRDefault="00B229A7">
            <w:pPr>
              <w:spacing w:line="276" w:lineRule="auto"/>
              <w:rPr>
                <w:rFonts w:ascii="宋体" w:hAnsi="宋体"/>
                <w:color w:val="000000" w:themeColor="text1"/>
                <w:kern w:val="0"/>
                <w:szCs w:val="21"/>
              </w:rPr>
            </w:pPr>
          </w:p>
          <w:p w14:paraId="6AAC9A78"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7AAEE21B" w14:textId="77777777" w:rsidR="00B229A7" w:rsidRDefault="00D7072C">
            <w:pPr>
              <w:spacing w:line="276" w:lineRule="auto"/>
              <w:rPr>
                <w:rFonts w:ascii="宋体" w:hAnsi="宋体"/>
                <w:bCs/>
                <w:color w:val="000000" w:themeColor="text1"/>
                <w:kern w:val="0"/>
                <w:szCs w:val="21"/>
              </w:rPr>
            </w:pPr>
            <w:r>
              <w:rPr>
                <w:rFonts w:ascii="宋体" w:hAnsi="宋体"/>
                <w:b/>
                <w:bCs/>
                <w:color w:val="000000" w:themeColor="text1"/>
                <w:kern w:val="0"/>
                <w:szCs w:val="21"/>
              </w:rPr>
              <w:tab/>
            </w:r>
            <w:r>
              <w:rPr>
                <w:rFonts w:ascii="宋体" w:hAnsi="宋体"/>
                <w:bCs/>
                <w:color w:val="000000" w:themeColor="text1"/>
                <w:kern w:val="0"/>
                <w:szCs w:val="21"/>
              </w:rPr>
              <w:t>经过多年对</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 xml:space="preserve">的密切监控和调查，英国《金融时报》的Dan </w:t>
            </w:r>
            <w:proofErr w:type="spellStart"/>
            <w:r>
              <w:rPr>
                <w:rFonts w:ascii="宋体" w:hAnsi="宋体"/>
                <w:bCs/>
                <w:color w:val="000000" w:themeColor="text1"/>
                <w:kern w:val="0"/>
                <w:szCs w:val="21"/>
              </w:rPr>
              <w:t>McCrum</w:t>
            </w:r>
            <w:proofErr w:type="spellEnd"/>
            <w:r>
              <w:rPr>
                <w:rFonts w:ascii="宋体" w:hAnsi="宋体"/>
                <w:bCs/>
                <w:color w:val="000000" w:themeColor="text1"/>
                <w:kern w:val="0"/>
                <w:szCs w:val="21"/>
              </w:rPr>
              <w:t>于2019年1月下旬发表了一篇文章，指责</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存在会计违规行为，包括“伪造和/或伪造账户”和“作弊、非法背信、腐败和/或洗钱”（Palma和McCrum）。这些指控主要涉及新加坡和亚洲市场的做法。这篇文章重点介绍了“填充书”、“圆费”和追溯等做法。尽管这项“老虎项目”调查主要针对在新加坡为</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运营财务和会计业务的Edo Kurniawan，但它暗示类似的欺诈行为在整个公司普遍存在。</w:t>
            </w:r>
          </w:p>
          <w:p w14:paraId="222510F5" w14:textId="77777777" w:rsidR="00B229A7" w:rsidRDefault="00B229A7">
            <w:pPr>
              <w:spacing w:line="276" w:lineRule="auto"/>
              <w:rPr>
                <w:rFonts w:ascii="宋体" w:hAnsi="宋体"/>
                <w:bCs/>
                <w:color w:val="000000" w:themeColor="text1"/>
                <w:kern w:val="0"/>
                <w:szCs w:val="21"/>
              </w:rPr>
            </w:pPr>
          </w:p>
          <w:p w14:paraId="03085742"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w:t>
            </w:r>
            <w:proofErr w:type="spellStart"/>
            <w:r>
              <w:rPr>
                <w:rFonts w:ascii="宋体" w:hAnsi="宋体"/>
                <w:bCs/>
                <w:color w:val="000000" w:themeColor="text1"/>
                <w:kern w:val="0"/>
                <w:szCs w:val="21"/>
              </w:rPr>
              <w:t>Wirecard</w:t>
            </w:r>
            <w:proofErr w:type="spellEnd"/>
            <w:r>
              <w:rPr>
                <w:rFonts w:ascii="宋体" w:hAnsi="宋体" w:hint="eastAsia"/>
                <w:b/>
                <w:color w:val="000000" w:themeColor="text1"/>
                <w:kern w:val="0"/>
                <w:szCs w:val="21"/>
              </w:rPr>
              <w:t>财务造假分析】</w:t>
            </w:r>
          </w:p>
          <w:p w14:paraId="720820B1"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英国《金融时报》的报告导致股价立即下跌25%，并从其市值中抹去了100亿美元。据德国财政部长称，向英国《金融时报》提交了2018年5月概述指控的“老虎项目摘要”文件的举报人，据称他也于2019年1月将这些文件发送给了BaFin。尽管如此，在英国《金融时报》文章发表后，</w:t>
            </w:r>
            <w:proofErr w:type="spellStart"/>
            <w:r>
              <w:rPr>
                <w:rFonts w:ascii="宋体" w:hAnsi="宋体"/>
                <w:bCs/>
                <w:color w:val="000000" w:themeColor="text1"/>
                <w:kern w:val="0"/>
                <w:szCs w:val="21"/>
              </w:rPr>
              <w:t>BaFin</w:t>
            </w:r>
            <w:proofErr w:type="spellEnd"/>
            <w:r>
              <w:rPr>
                <w:rFonts w:ascii="宋体" w:hAnsi="宋体"/>
                <w:bCs/>
                <w:color w:val="000000" w:themeColor="text1"/>
                <w:kern w:val="0"/>
                <w:szCs w:val="21"/>
              </w:rPr>
              <w:t>暂时禁止卖空</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股票，并开始调查卖空者和英国《金融时报》记者。</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起诉英国《金融时报》诽谤性主张和市场操纵，声称记者和卖空者之间存在勾结。</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还起诉新加坡当局进行刑事调查。与此同时，</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聘请了安永竞争对手毕马威的外部审计。后来，毕马威的特别审计于2020年4月28</w:t>
            </w:r>
            <w:r>
              <w:rPr>
                <w:rFonts w:ascii="宋体" w:hAnsi="宋体" w:hint="eastAsia"/>
                <w:bCs/>
                <w:color w:val="000000" w:themeColor="text1"/>
                <w:kern w:val="0"/>
                <w:szCs w:val="21"/>
              </w:rPr>
              <w:t>日</w:t>
            </w:r>
            <w:r>
              <w:rPr>
                <w:rFonts w:ascii="宋体" w:hAnsi="宋体"/>
                <w:bCs/>
                <w:color w:val="000000" w:themeColor="text1"/>
                <w:kern w:val="0"/>
                <w:szCs w:val="21"/>
              </w:rPr>
              <w:t>披露，它无法核实与第三方公司的某些交易，并在进行审计时发现了几个“障碍”。</w:t>
            </w:r>
          </w:p>
          <w:p w14:paraId="3CDB1C77" w14:textId="77777777" w:rsidR="00B229A7" w:rsidRDefault="00D7072C">
            <w:pPr>
              <w:spacing w:line="276" w:lineRule="auto"/>
              <w:ind w:firstLineChars="200" w:firstLine="420"/>
              <w:rPr>
                <w:rFonts w:ascii="宋体" w:hAnsi="宋体"/>
                <w:bCs/>
                <w:color w:val="000000" w:themeColor="text1"/>
                <w:kern w:val="0"/>
                <w:szCs w:val="21"/>
              </w:rPr>
            </w:pP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似乎在第二个十年开始表现强劲，与日本跨国公司软银集团公司达成了9000亿欧元的交易，被《福布斯》评为全球第36大公司。安永批准了2018年的账目。与此同时，英国《金融时报》继续发布</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不同业务的违规细节和事件，特别是在新加坡、菲律宾和迪拜，</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不断拒绝。英国《金融时报》和</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之间的法律战争一直持续到2019年。</w:t>
            </w:r>
          </w:p>
          <w:p w14:paraId="3CDFDCDE"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在推迟发布2019年审计年度报告后，</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透露，它在2020年6月18</w:t>
            </w:r>
            <w:r>
              <w:rPr>
                <w:rFonts w:ascii="宋体" w:hAnsi="宋体"/>
                <w:bCs/>
                <w:color w:val="000000" w:themeColor="text1"/>
                <w:kern w:val="0"/>
                <w:szCs w:val="21"/>
                <w:vertAlign w:val="superscript"/>
              </w:rPr>
              <w:t>日</w:t>
            </w:r>
            <w:r>
              <w:rPr>
                <w:rFonts w:ascii="宋体" w:hAnsi="宋体"/>
                <w:bCs/>
                <w:color w:val="000000" w:themeColor="text1"/>
                <w:kern w:val="0"/>
                <w:szCs w:val="21"/>
              </w:rPr>
              <w:t>损失了19亿欧元。6月22</w:t>
            </w:r>
            <w:r>
              <w:rPr>
                <w:rFonts w:ascii="宋体" w:hAnsi="宋体"/>
                <w:bCs/>
                <w:color w:val="000000" w:themeColor="text1"/>
                <w:kern w:val="0"/>
                <w:szCs w:val="21"/>
                <w:vertAlign w:val="superscript"/>
              </w:rPr>
              <w:t>日</w:t>
            </w:r>
            <w:r>
              <w:rPr>
                <w:rFonts w:ascii="宋体" w:hAnsi="宋体"/>
                <w:bCs/>
                <w:color w:val="000000" w:themeColor="text1"/>
                <w:kern w:val="0"/>
                <w:szCs w:val="21"/>
              </w:rPr>
              <w:t>，该公司承认“可能不存在缺失的19亿欧元现金”（</w:t>
            </w:r>
            <w:proofErr w:type="spellStart"/>
            <w:r>
              <w:rPr>
                <w:rFonts w:ascii="宋体" w:hAnsi="宋体"/>
                <w:bCs/>
                <w:color w:val="000000" w:themeColor="text1"/>
                <w:kern w:val="0"/>
                <w:szCs w:val="21"/>
              </w:rPr>
              <w:t>Chanjaroen</w:t>
            </w:r>
            <w:proofErr w:type="spellEnd"/>
            <w:r>
              <w:rPr>
                <w:rFonts w:ascii="宋体" w:hAnsi="宋体"/>
                <w:bCs/>
                <w:color w:val="000000" w:themeColor="text1"/>
                <w:kern w:val="0"/>
                <w:szCs w:val="21"/>
              </w:rPr>
              <w:t>）。这证实了来自不同来源对</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的会计违规和欺诈的长期指控。当丢失的钱首次被“发现”时，</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试图将责任推到菲律宾贷款人身上，而菲律宾贷款人反</w:t>
            </w:r>
            <w:r>
              <w:rPr>
                <w:rFonts w:ascii="宋体" w:hAnsi="宋体"/>
                <w:bCs/>
                <w:color w:val="000000" w:themeColor="text1"/>
                <w:kern w:val="0"/>
                <w:szCs w:val="21"/>
              </w:rPr>
              <w:lastRenderedPageBreak/>
              <w:t>过来拒绝了与</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w:t>
            </w:r>
            <w:proofErr w:type="spellStart"/>
            <w:r>
              <w:rPr>
                <w:rFonts w:ascii="宋体" w:hAnsi="宋体"/>
                <w:bCs/>
                <w:color w:val="000000" w:themeColor="text1"/>
                <w:kern w:val="0"/>
                <w:szCs w:val="21"/>
              </w:rPr>
              <w:t>Batino</w:t>
            </w:r>
            <w:proofErr w:type="spellEnd"/>
            <w:r>
              <w:rPr>
                <w:rFonts w:ascii="宋体" w:hAnsi="宋体"/>
                <w:bCs/>
                <w:color w:val="000000" w:themeColor="text1"/>
                <w:kern w:val="0"/>
                <w:szCs w:val="21"/>
              </w:rPr>
              <w:t>）的任何业务。事实上，菲律宾中央银行后来证实，这笔钱从未进入该国。</w:t>
            </w:r>
          </w:p>
          <w:p w14:paraId="7329101B"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在重新安排日期的审计报告没有公布后的一周内，</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的股价暴跌了86%（Henning和</w:t>
            </w:r>
            <w:proofErr w:type="spellStart"/>
            <w:r>
              <w:rPr>
                <w:rFonts w:ascii="宋体" w:hAnsi="宋体"/>
                <w:bCs/>
                <w:color w:val="000000" w:themeColor="text1"/>
                <w:kern w:val="0"/>
                <w:szCs w:val="21"/>
              </w:rPr>
              <w:t>Arons</w:t>
            </w:r>
            <w:proofErr w:type="spellEnd"/>
            <w:r>
              <w:rPr>
                <w:rFonts w:ascii="宋体" w:hAnsi="宋体"/>
                <w:bCs/>
                <w:color w:val="000000" w:themeColor="text1"/>
                <w:kern w:val="0"/>
                <w:szCs w:val="21"/>
              </w:rPr>
              <w:t xml:space="preserve">）。首席运营官Jan </w:t>
            </w:r>
            <w:proofErr w:type="spellStart"/>
            <w:r>
              <w:rPr>
                <w:rFonts w:ascii="宋体" w:hAnsi="宋体"/>
                <w:bCs/>
                <w:color w:val="000000" w:themeColor="text1"/>
                <w:kern w:val="0"/>
                <w:szCs w:val="21"/>
              </w:rPr>
              <w:t>Marsalek</w:t>
            </w:r>
            <w:proofErr w:type="spellEnd"/>
            <w:r>
              <w:rPr>
                <w:rFonts w:ascii="宋体" w:hAnsi="宋体"/>
                <w:bCs/>
                <w:color w:val="000000" w:themeColor="text1"/>
                <w:kern w:val="0"/>
                <w:szCs w:val="21"/>
              </w:rPr>
              <w:t>被停职，首席执行官Markus Braun于2020年6月23日被捕（</w:t>
            </w:r>
            <w:proofErr w:type="spellStart"/>
            <w:r>
              <w:rPr>
                <w:rFonts w:ascii="宋体" w:hAnsi="宋体"/>
                <w:bCs/>
                <w:color w:val="000000" w:themeColor="text1"/>
                <w:kern w:val="0"/>
                <w:szCs w:val="21"/>
              </w:rPr>
              <w:t>Matussek</w:t>
            </w:r>
            <w:proofErr w:type="spellEnd"/>
            <w:r>
              <w:rPr>
                <w:rFonts w:ascii="宋体" w:hAnsi="宋体"/>
                <w:bCs/>
                <w:color w:val="000000" w:themeColor="text1"/>
                <w:kern w:val="0"/>
                <w:szCs w:val="21"/>
              </w:rPr>
              <w:t xml:space="preserve">和Syed）。董事会于6月19日任命James </w:t>
            </w:r>
            <w:proofErr w:type="spellStart"/>
            <w:r>
              <w:rPr>
                <w:rFonts w:ascii="宋体" w:hAnsi="宋体"/>
                <w:bCs/>
                <w:color w:val="000000" w:themeColor="text1"/>
                <w:kern w:val="0"/>
                <w:szCs w:val="21"/>
              </w:rPr>
              <w:t>Freis</w:t>
            </w:r>
            <w:proofErr w:type="spellEnd"/>
            <w:r>
              <w:rPr>
                <w:rFonts w:ascii="宋体" w:hAnsi="宋体"/>
                <w:bCs/>
                <w:color w:val="000000" w:themeColor="text1"/>
                <w:kern w:val="0"/>
                <w:szCs w:val="21"/>
              </w:rPr>
              <w:t>为新首席执行官，这是他在公司工作的第二天。</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于6月25日申请破产，并于6月30</w:t>
            </w:r>
            <w:r>
              <w:rPr>
                <w:rFonts w:ascii="宋体" w:hAnsi="宋体"/>
                <w:bCs/>
                <w:color w:val="000000" w:themeColor="text1"/>
                <w:kern w:val="0"/>
                <w:szCs w:val="21"/>
                <w:vertAlign w:val="superscript"/>
              </w:rPr>
              <w:t>日</w:t>
            </w:r>
            <w:r>
              <w:rPr>
                <w:rFonts w:ascii="宋体" w:hAnsi="宋体"/>
                <w:bCs/>
                <w:color w:val="000000" w:themeColor="text1"/>
                <w:kern w:val="0"/>
                <w:szCs w:val="21"/>
              </w:rPr>
              <w:t>面临贷款人价值8亿欧元的贷款终止，另有5亿欧元将于2020年7月1日终止（Syed、Casiraghi、Graber）。破产不包括慕尼黑的</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银行。慕尼黑检察官</w:t>
            </w:r>
            <w:proofErr w:type="spellStart"/>
            <w:r>
              <w:rPr>
                <w:rFonts w:ascii="宋体" w:hAnsi="宋体"/>
                <w:bCs/>
                <w:color w:val="000000" w:themeColor="text1"/>
                <w:kern w:val="0"/>
                <w:szCs w:val="21"/>
              </w:rPr>
              <w:t>Wolfang</w:t>
            </w:r>
            <w:proofErr w:type="spellEnd"/>
            <w:r>
              <w:rPr>
                <w:rFonts w:ascii="宋体" w:hAnsi="宋体"/>
                <w:bCs/>
                <w:color w:val="000000" w:themeColor="text1"/>
                <w:kern w:val="0"/>
                <w:szCs w:val="21"/>
              </w:rPr>
              <w:t xml:space="preserve"> </w:t>
            </w:r>
            <w:proofErr w:type="spellStart"/>
            <w:r>
              <w:rPr>
                <w:rFonts w:ascii="宋体" w:hAnsi="宋体"/>
                <w:bCs/>
                <w:color w:val="000000" w:themeColor="text1"/>
                <w:kern w:val="0"/>
                <w:szCs w:val="21"/>
              </w:rPr>
              <w:t>Schirp</w:t>
            </w:r>
            <w:proofErr w:type="spellEnd"/>
            <w:r>
              <w:rPr>
                <w:rFonts w:ascii="宋体" w:hAnsi="宋体"/>
                <w:bCs/>
                <w:color w:val="000000" w:themeColor="text1"/>
                <w:kern w:val="0"/>
                <w:szCs w:val="21"/>
              </w:rPr>
              <w:t>正在领导德国对安永的诉讼，罪名是疏忽了2018年的报告，该报告包含明显的违规行为。</w:t>
            </w:r>
            <w:proofErr w:type="spellStart"/>
            <w:r>
              <w:rPr>
                <w:rFonts w:ascii="宋体" w:hAnsi="宋体"/>
                <w:bCs/>
                <w:color w:val="000000" w:themeColor="text1"/>
                <w:kern w:val="0"/>
                <w:szCs w:val="21"/>
              </w:rPr>
              <w:t>BaFin</w:t>
            </w:r>
            <w:proofErr w:type="spellEnd"/>
            <w:r>
              <w:rPr>
                <w:rFonts w:ascii="宋体" w:hAnsi="宋体"/>
                <w:bCs/>
                <w:color w:val="000000" w:themeColor="text1"/>
                <w:kern w:val="0"/>
                <w:szCs w:val="21"/>
              </w:rPr>
              <w:t xml:space="preserve">总裁Felix </w:t>
            </w:r>
            <w:proofErr w:type="spellStart"/>
            <w:r>
              <w:rPr>
                <w:rFonts w:ascii="宋体" w:hAnsi="宋体"/>
                <w:bCs/>
                <w:color w:val="000000" w:themeColor="text1"/>
                <w:kern w:val="0"/>
                <w:szCs w:val="21"/>
              </w:rPr>
              <w:t>Hufeld</w:t>
            </w:r>
            <w:proofErr w:type="spellEnd"/>
            <w:r>
              <w:rPr>
                <w:rFonts w:ascii="宋体" w:hAnsi="宋体"/>
                <w:bCs/>
                <w:color w:val="000000" w:themeColor="text1"/>
                <w:kern w:val="0"/>
                <w:szCs w:val="21"/>
              </w:rPr>
              <w:t>称</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丑闻是一场“彻头彻尾的灾难”，但将责任归咎于</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的管理层和“十名没有充分通知违规行为的审计师”。（舒适）德国财政部长Olaf Scholz为BaFin免受越来越多的审查辩护，并呼吁改变监管要求。</w:t>
            </w:r>
          </w:p>
          <w:p w14:paraId="095BC563"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到2020年6月底，</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的最终崩溃，在</w:t>
            </w:r>
            <w:proofErr w:type="spellStart"/>
            <w:r>
              <w:rPr>
                <w:rFonts w:ascii="宋体" w:hAnsi="宋体"/>
                <w:bCs/>
                <w:color w:val="000000" w:themeColor="text1"/>
                <w:kern w:val="0"/>
                <w:szCs w:val="21"/>
              </w:rPr>
              <w:t>Wirecard</w:t>
            </w:r>
            <w:proofErr w:type="spellEnd"/>
            <w:r>
              <w:rPr>
                <w:rFonts w:ascii="宋体" w:hAnsi="宋体"/>
                <w:bCs/>
                <w:color w:val="000000" w:themeColor="text1"/>
                <w:kern w:val="0"/>
                <w:szCs w:val="21"/>
              </w:rPr>
              <w:t>的二十年运营中，发现了道德困境的关键参与者。</w:t>
            </w:r>
          </w:p>
        </w:tc>
      </w:tr>
      <w:tr w:rsidR="00B229A7" w14:paraId="354660EA" w14:textId="77777777">
        <w:tc>
          <w:tcPr>
            <w:tcW w:w="1980" w:type="dxa"/>
          </w:tcPr>
          <w:p w14:paraId="1E91771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4D93AC50" w14:textId="77777777" w:rsidR="00B229A7" w:rsidRDefault="00D7072C">
            <w:pPr>
              <w:spacing w:line="276" w:lineRule="auto"/>
              <w:jc w:val="center"/>
              <w:rPr>
                <w:rFonts w:ascii="宋体" w:hAnsi="宋体"/>
                <w:b/>
                <w:color w:val="000000" w:themeColor="text1"/>
                <w:kern w:val="0"/>
                <w:szCs w:val="21"/>
              </w:rPr>
            </w:pPr>
            <w:r>
              <w:rPr>
                <w:rFonts w:ascii="宋体" w:hAnsi="宋体" w:hint="eastAsia"/>
                <w:b/>
                <w:color w:val="000000" w:themeColor="text1"/>
                <w:kern w:val="0"/>
                <w:szCs w:val="21"/>
              </w:rPr>
              <w:t>安永</w:t>
            </w:r>
            <w:r>
              <w:rPr>
                <w:rFonts w:ascii="宋体" w:hAnsi="宋体"/>
                <w:b/>
                <w:color w:val="000000" w:themeColor="text1"/>
                <w:kern w:val="0"/>
                <w:szCs w:val="21"/>
              </w:rPr>
              <w:t>会计师事务所</w:t>
            </w:r>
          </w:p>
        </w:tc>
      </w:tr>
      <w:tr w:rsidR="00B229A7" w14:paraId="39F6404B" w14:textId="77777777">
        <w:tc>
          <w:tcPr>
            <w:tcW w:w="1980" w:type="dxa"/>
          </w:tcPr>
          <w:p w14:paraId="6800C16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000888CE"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t>自6月以来，针对</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的欺诈行为进行了进一步的调查和起诉。7月至8月，德国国家检察官逮捕了</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的多名前高管。8月，德国布尔斯银行从DAX指数中删除了</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 xml:space="preserve">于9月被迫终止其在新加坡的服务，而逃犯Jan </w:t>
            </w:r>
            <w:proofErr w:type="spellStart"/>
            <w:r>
              <w:rPr>
                <w:rFonts w:ascii="宋体" w:hAnsi="宋体"/>
                <w:color w:val="000000" w:themeColor="text1"/>
                <w:kern w:val="0"/>
                <w:szCs w:val="21"/>
              </w:rPr>
              <w:t>Marsalek</w:t>
            </w:r>
            <w:proofErr w:type="spellEnd"/>
            <w:r>
              <w:rPr>
                <w:rFonts w:ascii="宋体" w:hAnsi="宋体"/>
                <w:color w:val="000000" w:themeColor="text1"/>
                <w:kern w:val="0"/>
                <w:szCs w:val="21"/>
              </w:rPr>
              <w:t>仍在国际刑警组织的“红色名单”上。11月，在</w:t>
            </w:r>
            <w:proofErr w:type="spellStart"/>
            <w:r>
              <w:rPr>
                <w:rFonts w:ascii="宋体" w:hAnsi="宋体"/>
                <w:color w:val="000000" w:themeColor="text1"/>
                <w:kern w:val="0"/>
                <w:szCs w:val="21"/>
              </w:rPr>
              <w:t>Syncapay</w:t>
            </w:r>
            <w:proofErr w:type="spellEnd"/>
            <w:r>
              <w:rPr>
                <w:rFonts w:ascii="宋体" w:hAnsi="宋体"/>
                <w:color w:val="000000" w:themeColor="text1"/>
                <w:kern w:val="0"/>
                <w:szCs w:val="21"/>
              </w:rPr>
              <w:t>于10月收购北美分行后，西班牙银行桑坦德以1亿欧元收购了</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的欧洲子公司。英国业务于8月被</w:t>
            </w:r>
            <w:proofErr w:type="spellStart"/>
            <w:r>
              <w:rPr>
                <w:rFonts w:ascii="宋体" w:hAnsi="宋体"/>
                <w:color w:val="000000" w:themeColor="text1"/>
                <w:kern w:val="0"/>
                <w:szCs w:val="21"/>
              </w:rPr>
              <w:t>Railsbank</w:t>
            </w:r>
            <w:proofErr w:type="spellEnd"/>
            <w:r>
              <w:rPr>
                <w:rFonts w:ascii="宋体" w:hAnsi="宋体"/>
                <w:color w:val="000000" w:themeColor="text1"/>
                <w:kern w:val="0"/>
                <w:szCs w:val="21"/>
              </w:rPr>
              <w:t>收购，巴西的</w:t>
            </w:r>
            <w:proofErr w:type="spellStart"/>
            <w:r>
              <w:rPr>
                <w:rFonts w:ascii="宋体" w:hAnsi="宋体"/>
                <w:color w:val="000000" w:themeColor="text1"/>
                <w:kern w:val="0"/>
                <w:szCs w:val="21"/>
              </w:rPr>
              <w:t>PagSeguro</w:t>
            </w:r>
            <w:proofErr w:type="spellEnd"/>
            <w:r>
              <w:rPr>
                <w:rFonts w:ascii="宋体" w:hAnsi="宋体"/>
                <w:color w:val="000000" w:themeColor="text1"/>
                <w:kern w:val="0"/>
                <w:szCs w:val="21"/>
              </w:rPr>
              <w:t xml:space="preserve"> Digital收购了</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的巴西业务。显然，</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的破产业务正在所有运营地区慢慢被跨国银行和小型初创企业收购。</w:t>
            </w:r>
          </w:p>
          <w:p w14:paraId="6274E80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关于</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倒闭对德国BaFin和“四巨头”等监管和审计机构产生更大影响，到目前为止几乎没有发生具体变化。尽管如此，德国政府起草了法案，旨在：（1）对审计公司和个人审计师施加更大的独立性和问责制，允许更强大的惩罚性司法手段；（2）赋予BaFin更大的监管权力和调查涉嫌欺诈的自由；（3）每十年强制审计师轮换一次；以及（5）限制公司咨询和审计实践之间的客户重叠。如果这些法案不顾审计师和德国公共会计师协会（WPK）等组织的反对获得通过，它们将是朝着加强问责制和接受道德责任的正确方向迈出的步骤。有意义的变化将使德国和欧洲本十年来最大的会计欺诈案件转变为审计和监管部门的积极重组，除德国和欧盟外，其他国家应实施该重组，以提高会计透明度。</w:t>
            </w:r>
          </w:p>
        </w:tc>
      </w:tr>
      <w:tr w:rsidR="00B229A7" w14:paraId="2DF773A8" w14:textId="77777777">
        <w:tc>
          <w:tcPr>
            <w:tcW w:w="1980" w:type="dxa"/>
          </w:tcPr>
          <w:p w14:paraId="370D460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552" w:type="dxa"/>
          </w:tcPr>
          <w:p w14:paraId="13435627" w14:textId="77777777" w:rsidR="00B229A7" w:rsidRDefault="00D7072C">
            <w:pPr>
              <w:spacing w:line="276" w:lineRule="auto"/>
              <w:rPr>
                <w:rFonts w:ascii="宋体" w:hAnsi="宋体"/>
                <w:b/>
                <w:bCs/>
                <w:color w:val="000000" w:themeColor="text1"/>
                <w:kern w:val="0"/>
                <w:szCs w:val="21"/>
              </w:rPr>
            </w:pPr>
            <w:r>
              <w:rPr>
                <w:rFonts w:ascii="宋体" w:hAnsi="宋体"/>
                <w:b/>
                <w:bCs/>
                <w:color w:val="000000" w:themeColor="text1"/>
                <w:kern w:val="0"/>
                <w:szCs w:val="21"/>
              </w:rPr>
              <w:t>1线卡：谎言之网</w:t>
            </w:r>
          </w:p>
          <w:p w14:paraId="194CDC14" w14:textId="77777777" w:rsidR="00B229A7" w:rsidRDefault="00D7072C">
            <w:pPr>
              <w:spacing w:line="276" w:lineRule="auto"/>
              <w:ind w:firstLineChars="200" w:firstLine="420"/>
              <w:rPr>
                <w:rFonts w:ascii="宋体" w:hAnsi="宋体"/>
                <w:color w:val="000000" w:themeColor="text1"/>
                <w:kern w:val="0"/>
                <w:szCs w:val="21"/>
              </w:rPr>
            </w:pP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在很大程度上建立在谎言框架之上，以实现利润和增长最大化。欺诈被定义为意图非法或不道德地获得利益的欺骗。因此，</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的谎言发展成大规模欺诈。</w:t>
            </w:r>
          </w:p>
          <w:p w14:paraId="34A3B0C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对欺骗和谎言的不道德的理解可以通过伦理学方法，如康德。伊曼纽尔·康德（1724-1804）通过他基于义务论的方法彻底改变了伦理学，这种方法提出了对与错的格言，以及人类应该基于纯粹理性的道德义务。康德提出了“善意”的想法，认为“没有资格，可以被视为好的”。（康德，393）他认为一个人必须出于职责，根据道德原则行事。康德的绝对命令，代表独立于结果的道德“应该”，通过创建独立的道德义务格言和普遍法则，消除了基于结果和结果、目的论、对道德的理解。与考虑最终结果以找到“对更多人的最大好处”的功利主义方法不同，康德的道义学认为，无论最终结果如何，都有义务遵循普遍的道德法则。对康德来说，欺骗是他通过他的3种表述证明的普遍“错误”之一。</w:t>
            </w:r>
          </w:p>
          <w:p w14:paraId="06C2718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“行动就好像你行动的格言将通过你的意志成为自然界的普遍法则。”</w:t>
            </w:r>
          </w:p>
          <w:p w14:paraId="6C8A25B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按照第一个表述，如果撒谎成为普遍法则，语言的可靠性和意义将无效，因此它不能成为“自然界的普遍法则”。同样，个人将无法做出自由的理性选择，因为用于做出这些决定的信息将是虚假的，并通过欺骗进行操纵。由于</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欺诈，如果每个人都通过不准确的会计和利润通胀来欺骗投资者，没有人会投资。此外，欺诈剥夺了交易中客户做出理性决定的自由，因为这些决定是基于欺骗和谎言。因此，根据康德的本能伦理学，撒谎的行为，就像欺诈一样，不能普遍化，因此是不道德的。</w:t>
            </w:r>
          </w:p>
          <w:p w14:paraId="0AD5462E" w14:textId="77777777" w:rsidR="00B229A7" w:rsidRDefault="00D7072C">
            <w:pPr>
              <w:spacing w:line="276" w:lineRule="auto"/>
              <w:ind w:firstLineChars="250" w:firstLine="525"/>
              <w:rPr>
                <w:rFonts w:ascii="宋体" w:hAnsi="宋体"/>
                <w:color w:val="000000" w:themeColor="text1"/>
                <w:kern w:val="0"/>
                <w:szCs w:val="21"/>
              </w:rPr>
            </w:pPr>
            <w:r>
              <w:rPr>
                <w:rFonts w:ascii="宋体" w:hAnsi="宋体"/>
                <w:color w:val="000000" w:themeColor="text1"/>
                <w:kern w:val="0"/>
                <w:szCs w:val="21"/>
              </w:rPr>
              <w:t>相比之下，功利主义观点可以认为，如果欺诈意味着更大比例的人从中受益，那么欺诈并不是不道德的。例如，可以证明欺诈会导致“最大利益最大数量”。有了</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，欺诈允许</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 xml:space="preserve">的增长，因此提供了更多的就业机会和整体财富，增加了个人生计。然而，Edwin </w:t>
            </w:r>
            <w:proofErr w:type="spellStart"/>
            <w:r>
              <w:rPr>
                <w:rFonts w:ascii="宋体" w:hAnsi="宋体"/>
                <w:color w:val="000000" w:themeColor="text1"/>
                <w:kern w:val="0"/>
                <w:szCs w:val="21"/>
              </w:rPr>
              <w:t>R.Micewski</w:t>
            </w:r>
            <w:proofErr w:type="spellEnd"/>
            <w:r>
              <w:rPr>
                <w:rFonts w:ascii="宋体" w:hAnsi="宋体"/>
                <w:color w:val="000000" w:themeColor="text1"/>
                <w:kern w:val="0"/>
                <w:szCs w:val="21"/>
              </w:rPr>
              <w:t>和Carmelita Troy反对在商业中使用功利主义道德。他们的结论是，由于商业中遭受的伤害“通常仅限于物质财产损失”，而不是人的生命或健康的损失，因此后果主义的目的论分析崩溃了（19）。他们断言，“缺乏本体论成分的伦理学，即主要关注行为本身的后果而不是对错性的伦理学，最终根本不是真正的伦理学”，特别是在商业伦理学领域（</w:t>
            </w:r>
            <w:proofErr w:type="spellStart"/>
            <w:r>
              <w:rPr>
                <w:rFonts w:ascii="宋体" w:hAnsi="宋体"/>
                <w:color w:val="000000" w:themeColor="text1"/>
                <w:kern w:val="0"/>
                <w:szCs w:val="21"/>
              </w:rPr>
              <w:t>Micewski</w:t>
            </w:r>
            <w:proofErr w:type="spellEnd"/>
            <w:r>
              <w:rPr>
                <w:rFonts w:ascii="宋体" w:hAnsi="宋体"/>
                <w:color w:val="000000" w:themeColor="text1"/>
                <w:kern w:val="0"/>
                <w:szCs w:val="21"/>
              </w:rPr>
              <w:t>和Troy，19）。</w:t>
            </w:r>
          </w:p>
          <w:p w14:paraId="32F219D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英国《金融时报》2019年的指控指控</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在会计违规行为和欺诈中，特别是在其亚洲业务中，还实行“簿垫”、“四小费”和“追溯”。所有这些不当行为都是不道德的，因为欺骗的核心不道德。</w:t>
            </w:r>
            <w:r>
              <w:rPr>
                <w:rFonts w:ascii="宋体" w:hAnsi="宋体"/>
                <w:color w:val="000000" w:themeColor="text1"/>
                <w:kern w:val="0"/>
                <w:szCs w:val="21"/>
              </w:rPr>
              <w:lastRenderedPageBreak/>
              <w:t>在会计中，“簿记”是指将夸大或虚假的条目显示到公司的账户中。一些公司试图将少量“填充物”作为远见的合理性，例如，将其作为考虑总体通货膨胀的一种方式。然而，它没有向投资者和股东反映准确的数据，这本质上是欺骗和欺诈性的。英国《金融时报》辩称，</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夸大了其账户，以“创造数字，说服香港金融管理局的监管机构发放许可证，以便</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可以在中国境内发放预付银行卡。”这进一步最大限度地发挥了以欺骗为目的手段的行为的不法性。根据康德的第二个提法：</w:t>
            </w:r>
          </w:p>
          <w:p w14:paraId="0CD54F3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“以这样一种方式对待人类，无论是以你自己的人还是以任何其他人的身份对待人类，而不仅仅是达到目的的手段，而且总是同时作为目的”（Kant）</w:t>
            </w:r>
          </w:p>
          <w:p w14:paraId="6E4D37EA" w14:textId="77777777" w:rsidR="00B229A7" w:rsidRDefault="00D7072C">
            <w:pPr>
              <w:spacing w:line="276" w:lineRule="auto"/>
              <w:ind w:firstLineChars="200" w:firstLine="420"/>
              <w:rPr>
                <w:rFonts w:ascii="宋体" w:hAnsi="宋体"/>
                <w:color w:val="000000" w:themeColor="text1"/>
                <w:kern w:val="0"/>
                <w:szCs w:val="21"/>
              </w:rPr>
            </w:pP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欺骗了监管机构，以便将他们用作欺诈手段。同样，当审计员发现</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账户中存在19亿欧元的漏洞时，</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 xml:space="preserve">管理层错误地试图将责任转移到其两家菲律宾贷款人：BDO </w:t>
            </w:r>
            <w:proofErr w:type="spellStart"/>
            <w:r>
              <w:rPr>
                <w:rFonts w:ascii="宋体" w:hAnsi="宋体"/>
                <w:color w:val="000000" w:themeColor="text1"/>
                <w:kern w:val="0"/>
                <w:szCs w:val="21"/>
              </w:rPr>
              <w:t>Unibank</w:t>
            </w:r>
            <w:proofErr w:type="spellEnd"/>
            <w:r>
              <w:rPr>
                <w:rFonts w:ascii="宋体" w:hAnsi="宋体"/>
                <w:color w:val="000000" w:themeColor="text1"/>
                <w:kern w:val="0"/>
                <w:szCs w:val="21"/>
              </w:rPr>
              <w:t>和菲律宾最大的银行菲律宾群岛银行（BPI）。</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试图诋毁这些银行，以掩盖他们的不当行为。</w:t>
            </w:r>
            <w:proofErr w:type="spellStart"/>
            <w:r>
              <w:rPr>
                <w:rFonts w:ascii="宋体" w:hAnsi="宋体"/>
                <w:color w:val="000000" w:themeColor="text1"/>
                <w:kern w:val="0"/>
                <w:szCs w:val="21"/>
              </w:rPr>
              <w:t>Bangko</w:t>
            </w:r>
            <w:proofErr w:type="spellEnd"/>
            <w:r>
              <w:rPr>
                <w:rFonts w:ascii="宋体" w:hAnsi="宋体"/>
                <w:color w:val="000000" w:themeColor="text1"/>
                <w:kern w:val="0"/>
                <w:szCs w:val="21"/>
              </w:rPr>
              <w:t xml:space="preserve"> </w:t>
            </w:r>
            <w:proofErr w:type="spellStart"/>
            <w:r>
              <w:rPr>
                <w:rFonts w:ascii="宋体" w:hAnsi="宋体"/>
                <w:color w:val="000000" w:themeColor="text1"/>
                <w:kern w:val="0"/>
                <w:szCs w:val="21"/>
              </w:rPr>
              <w:t>Sentral</w:t>
            </w:r>
            <w:proofErr w:type="spellEnd"/>
            <w:r>
              <w:rPr>
                <w:rFonts w:ascii="宋体" w:hAnsi="宋体"/>
                <w:color w:val="000000" w:themeColor="text1"/>
                <w:kern w:val="0"/>
                <w:szCs w:val="21"/>
              </w:rPr>
              <w:t xml:space="preserve"> ng </w:t>
            </w:r>
            <w:proofErr w:type="spellStart"/>
            <w:r>
              <w:rPr>
                <w:rFonts w:ascii="宋体" w:hAnsi="宋体"/>
                <w:color w:val="000000" w:themeColor="text1"/>
                <w:kern w:val="0"/>
                <w:szCs w:val="21"/>
              </w:rPr>
              <w:t>Pilipinas</w:t>
            </w:r>
            <w:proofErr w:type="spellEnd"/>
            <w:r>
              <w:rPr>
                <w:rFonts w:ascii="宋体" w:hAnsi="宋体"/>
                <w:color w:val="000000" w:themeColor="text1"/>
                <w:kern w:val="0"/>
                <w:szCs w:val="21"/>
              </w:rPr>
              <w:t>现任州长兼反洗钱委员会主席Benjamin Diokno证明，丢失的钱从未进入该国，这表明“国际金融丑闻使用了该国两家最大银行——BDO和BPI——的名字，试图掩盖肇事者的轨迹”（Dela Cruz）。正如BPI所揭示的那样，</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伪造了与这些银行交易的认证，再次利用这些实体作为实现自我营利目的的手段，并违背了其公平竞争和真相的义务。</w:t>
            </w:r>
          </w:p>
          <w:p w14:paraId="2366EFAA" w14:textId="77777777" w:rsidR="00B229A7" w:rsidRDefault="00D7072C">
            <w:pPr>
              <w:spacing w:line="276" w:lineRule="auto"/>
              <w:rPr>
                <w:rFonts w:ascii="宋体" w:hAnsi="宋体"/>
                <w:b/>
                <w:bCs/>
                <w:color w:val="000000" w:themeColor="text1"/>
                <w:kern w:val="0"/>
                <w:szCs w:val="21"/>
              </w:rPr>
            </w:pPr>
            <w:r>
              <w:rPr>
                <w:rFonts w:ascii="宋体" w:hAnsi="宋体"/>
                <w:b/>
                <w:bCs/>
                <w:color w:val="000000" w:themeColor="text1"/>
                <w:kern w:val="0"/>
                <w:szCs w:val="21"/>
              </w:rPr>
              <w:t>1.1 代管账户</w:t>
            </w:r>
          </w:p>
          <w:p w14:paraId="3F0516B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fldChar w:fldCharType="begin"/>
            </w:r>
            <w:r>
              <w:rPr>
                <w:rFonts w:ascii="宋体" w:hAnsi="宋体"/>
                <w:color w:val="000000" w:themeColor="text1"/>
                <w:kern w:val="0"/>
                <w:szCs w:val="21"/>
              </w:rPr>
              <w:instrText xml:space="preserve"> INCLUDEPICTURE "/var/folders/w9/jpb68q794mxbrt81p6z_vd380000gn/T/com.microsoft.Word/WebArchiveCopyPasteTempFiles/Escrow-Diagram.png" \* MERGEFORMATINET </w:instrText>
            </w:r>
            <w:r>
              <w:rPr>
                <w:rFonts w:ascii="宋体" w:hAnsi="宋体"/>
                <w:color w:val="000000" w:themeColor="text1"/>
                <w:kern w:val="0"/>
                <w:szCs w:val="21"/>
              </w:rPr>
              <w:fldChar w:fldCharType="separate"/>
            </w:r>
            <w:r>
              <w:rPr>
                <w:rFonts w:ascii="宋体" w:hAnsi="宋体"/>
                <w:noProof/>
                <w:color w:val="000000" w:themeColor="text1"/>
                <w:kern w:val="0"/>
                <w:szCs w:val="21"/>
              </w:rPr>
              <w:drawing>
                <wp:inline distT="0" distB="0" distL="0" distR="0" wp14:anchorId="0EB7E586" wp14:editId="3FECFC3A">
                  <wp:extent cx="4023360" cy="2569210"/>
                  <wp:effectExtent l="0" t="0" r="2540" b="0"/>
                  <wp:docPr id="1" name="图片 1" descr="电汇卡托管帐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汇卡托管帐户"/>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23360" cy="2569210"/>
                          </a:xfrm>
                          <a:prstGeom prst="rect">
                            <a:avLst/>
                          </a:prstGeom>
                          <a:noFill/>
                          <a:ln>
                            <a:noFill/>
                          </a:ln>
                        </pic:spPr>
                      </pic:pic>
                    </a:graphicData>
                  </a:graphic>
                </wp:inline>
              </w:drawing>
            </w:r>
            <w:r>
              <w:rPr>
                <w:rFonts w:ascii="宋体" w:hAnsi="宋体"/>
                <w:color w:val="000000" w:themeColor="text1"/>
                <w:kern w:val="0"/>
                <w:szCs w:val="21"/>
              </w:rPr>
              <w:fldChar w:fldCharType="end"/>
            </w:r>
            <w:r>
              <w:rPr>
                <w:rFonts w:ascii="宋体" w:hAnsi="宋体"/>
                <w:color w:val="000000" w:themeColor="text1"/>
                <w:kern w:val="0"/>
                <w:szCs w:val="21"/>
              </w:rPr>
              <w:t>图：代管账户</w:t>
            </w:r>
          </w:p>
          <w:p w14:paraId="414528AC" w14:textId="77777777" w:rsidR="00B229A7" w:rsidRDefault="00D7072C">
            <w:pPr>
              <w:spacing w:line="276" w:lineRule="auto"/>
              <w:ind w:firstLineChars="200" w:firstLine="420"/>
              <w:rPr>
                <w:rFonts w:ascii="宋体" w:hAnsi="宋体"/>
                <w:color w:val="000000" w:themeColor="text1"/>
                <w:kern w:val="0"/>
                <w:szCs w:val="21"/>
              </w:rPr>
            </w:pP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使用代管账户作为欺诈的面纱，这表明需要对这些金融工具进行更大的监督，特别是审计师的监督。原则上，开发代管是为了防止不当行为，确保各方相互支付，并通过第三方节制资金提供承</w:t>
            </w:r>
            <w:r>
              <w:rPr>
                <w:rFonts w:ascii="宋体" w:hAnsi="宋体"/>
                <w:color w:val="000000" w:themeColor="text1"/>
                <w:kern w:val="0"/>
                <w:szCs w:val="21"/>
              </w:rPr>
              <w:lastRenderedPageBreak/>
              <w:t>诺的服务。这些代管帐户允许</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通过小型本地第三方支付公司在新加坡、马来西亚和迪拜等没有许可证的国家开展业务。从中获得的收入据说被存入代管账户。事实上，</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声称，19亿欧元的现金丢失在代管账户中。然而，安永一直未能正确核实这些现金的存在。由于代管账户持有公司主要现金流以外的现金，因此使用这些账户进行欺骗更容易。此外，它不道德地将第三方代理牵涉到欺诈中。</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上的FT Alphaville系列（2015年）解释了这些第三方公司在无证国家过度利润增长的违规行为。事后看来，这表明了使用代管账户掩盖欺诈和收入通胀的早期证据。事实上，2015年</w:t>
            </w:r>
            <w:proofErr w:type="spellStart"/>
            <w:r>
              <w:rPr>
                <w:rFonts w:ascii="宋体" w:hAnsi="宋体"/>
                <w:color w:val="000000" w:themeColor="text1"/>
                <w:kern w:val="0"/>
                <w:szCs w:val="21"/>
              </w:rPr>
              <w:t>JCap</w:t>
            </w:r>
            <w:proofErr w:type="spellEnd"/>
            <w:r>
              <w:rPr>
                <w:rFonts w:ascii="宋体" w:hAnsi="宋体"/>
                <w:color w:val="000000" w:themeColor="text1"/>
                <w:kern w:val="0"/>
                <w:szCs w:val="21"/>
              </w:rPr>
              <w:t>报告声称，许多第三方支付公司基本上不存在或与他们本应开展的大型业务不相容。因此，</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欺诈围绕着这些被忽视的代管账户，尽管据称其中持有大量资金，但审计师对这些账户的监管和核实不足。</w:t>
            </w:r>
          </w:p>
          <w:p w14:paraId="15361F2F" w14:textId="77777777" w:rsidR="00B229A7" w:rsidRDefault="00D7072C">
            <w:pPr>
              <w:spacing w:line="276" w:lineRule="auto"/>
              <w:rPr>
                <w:rFonts w:ascii="宋体" w:hAnsi="宋体"/>
                <w:b/>
                <w:bCs/>
                <w:color w:val="000000" w:themeColor="text1"/>
                <w:kern w:val="0"/>
                <w:szCs w:val="21"/>
              </w:rPr>
            </w:pPr>
            <w:r>
              <w:rPr>
                <w:rFonts w:ascii="宋体" w:hAnsi="宋体"/>
                <w:b/>
                <w:bCs/>
                <w:color w:val="000000" w:themeColor="text1"/>
                <w:kern w:val="0"/>
                <w:szCs w:val="21"/>
              </w:rPr>
              <w:t>2透明度和交换性司法</w:t>
            </w:r>
          </w:p>
          <w:p w14:paraId="5857199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透明度义务是金融道德的核心道德原则。它建立在两个关键思想之上：正义的概念，特别是“交换正义”和罗尔斯的“公平竞争责任”。罗尔斯的“公平竞争职责”是霍布斯开创性社会契约理论和康德本体论的发展。Rawls认为“社会的主要政治、宪法、社会和经济机构，以及它们如何结合在一起，随着时间的推移形成统一的社会合作计划”（Rawls，15）。如果各方都遵守透明度义务，金融市场的相互透明度就是一种“统一的社会合作计划”。罗尔斯“正义即公平”论点的核心是对法律的义务。在金融领域，这项“法律”由监管机构代表，其作用是维护双方同意的公平原则。透明度是金融“社会契约”中相互商定的公平竞争原则之一。</w:t>
            </w:r>
          </w:p>
          <w:p w14:paraId="207E066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 xml:space="preserve">七大支柱研究所将交换正义描述为“商品或服务交换中的公平性”（SPI，“2008年金融危机”）。这种司法模式的核心是“各方必须自由进行交易，不得被胁迫”（同上）。事实上，金融市场建立在交换正义公理之上。约翰·R。Boatright将金融交易“是一种承诺”，依赖于“履行所有承诺的基本道德义务”（18）。扩大道德代理人有选择自由的先决条件，参与交易的个人必须具有“信息对称性”（同上）。Peter </w:t>
            </w:r>
            <w:proofErr w:type="spellStart"/>
            <w:r>
              <w:rPr>
                <w:rFonts w:ascii="宋体" w:hAnsi="宋体"/>
                <w:color w:val="000000" w:themeColor="text1"/>
                <w:kern w:val="0"/>
                <w:szCs w:val="21"/>
              </w:rPr>
              <w:t>Koslowski</w:t>
            </w:r>
            <w:proofErr w:type="spellEnd"/>
            <w:r>
              <w:rPr>
                <w:rFonts w:ascii="宋体" w:hAnsi="宋体"/>
                <w:color w:val="000000" w:themeColor="text1"/>
                <w:kern w:val="0"/>
                <w:szCs w:val="21"/>
              </w:rPr>
              <w:t>概述了金融中交换正义的4个关键要求：（1）反映市场价格；（2）适当的交换；（3）互利和利益；（4）利益平衡。</w:t>
            </w:r>
            <w:proofErr w:type="spellStart"/>
            <w:r>
              <w:rPr>
                <w:rFonts w:ascii="宋体" w:hAnsi="宋体"/>
                <w:color w:val="000000" w:themeColor="text1"/>
                <w:kern w:val="0"/>
                <w:szCs w:val="21"/>
              </w:rPr>
              <w:t>Koslowski</w:t>
            </w:r>
            <w:proofErr w:type="spellEnd"/>
            <w:r>
              <w:rPr>
                <w:rFonts w:ascii="宋体" w:hAnsi="宋体"/>
                <w:color w:val="000000" w:themeColor="text1"/>
                <w:kern w:val="0"/>
                <w:szCs w:val="21"/>
              </w:rPr>
              <w:t>的必要条件指的是个人在追求道德方面的契约关系。由于欺诈和利润通胀，</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未能准确反映其市场价格。股东和投资者在交易时的印象是</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的市值更大，未来预期增长。由于</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的欺诈，这种信息不对称和公司市场价值的虚假反映构成了与投资者的不当交流，违反了交换正义的原则。</w:t>
            </w:r>
          </w:p>
          <w:p w14:paraId="1DC7A47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然而，围绕会计违规和欺诈的丑闻在金融行业并不罕见。因此，开发了多个外部机制，有责任促进透明度和交换性司法。</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丑</w:t>
            </w:r>
            <w:r>
              <w:rPr>
                <w:rFonts w:ascii="宋体" w:hAnsi="宋体"/>
                <w:color w:val="000000" w:themeColor="text1"/>
                <w:kern w:val="0"/>
                <w:szCs w:val="21"/>
              </w:rPr>
              <w:lastRenderedPageBreak/>
              <w:t>闻中这些信托和监管机制的失败显示了其结构的固有缺陷。</w:t>
            </w:r>
          </w:p>
          <w:p w14:paraId="0EFDFC72" w14:textId="77777777" w:rsidR="00B229A7" w:rsidRDefault="00D7072C">
            <w:pPr>
              <w:spacing w:line="276" w:lineRule="auto"/>
              <w:rPr>
                <w:rFonts w:ascii="宋体" w:hAnsi="宋体"/>
                <w:b/>
                <w:bCs/>
                <w:color w:val="000000" w:themeColor="text1"/>
                <w:kern w:val="0"/>
                <w:szCs w:val="21"/>
              </w:rPr>
            </w:pPr>
            <w:r>
              <w:rPr>
                <w:rFonts w:ascii="宋体" w:hAnsi="宋体"/>
                <w:b/>
                <w:bCs/>
                <w:color w:val="000000" w:themeColor="text1"/>
                <w:kern w:val="0"/>
                <w:szCs w:val="21"/>
              </w:rPr>
              <w:t>3 安永的利益冲突</w:t>
            </w:r>
          </w:p>
          <w:p w14:paraId="40CA5B4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在回应</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丑闻时，安永表示：“有明确迹象表明，这是一种精心策划的欺诈行为，涉及世界各地不同机构中的多个方面，故意欺骗”（德国之声）。然而，安永未能看到其在这种以利益冲突为中心的“精心和复杂的欺诈”中的同谋作用。如果有如此“明确的迹象”如此大规模的欺诈，为什么安永没有早点看到它？</w:t>
            </w:r>
          </w:p>
          <w:p w14:paraId="2E1BD58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利益冲突“通过干涉个人行使良好判断的能力，从而危及其道德行为的能力。这种干扰可能导致故意忽视个人的专业或公共义务”（SPI，“利益冲突”）。</w:t>
            </w:r>
          </w:p>
          <w:p w14:paraId="7CDAB09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安永审计部门既定义务是确保监管要求得到维护。该公司声明</w:t>
            </w:r>
            <w:r>
              <w:rPr>
                <w:rFonts w:ascii="宋体" w:hAnsi="宋体" w:hint="eastAsia"/>
                <w:color w:val="000000" w:themeColor="text1"/>
                <w:kern w:val="0"/>
                <w:szCs w:val="21"/>
              </w:rPr>
              <w:t>的目标是</w:t>
            </w:r>
            <w:r>
              <w:rPr>
                <w:rFonts w:ascii="宋体" w:hAnsi="宋体"/>
                <w:color w:val="000000" w:themeColor="text1"/>
                <w:kern w:val="0"/>
                <w:szCs w:val="21"/>
              </w:rPr>
              <w:t xml:space="preserve"> “帮助[组织]满足监管要求，让投资者了解情况，并满足所有利益相关者的需求”。这规定了其监督组织在金融市场内对投资者的透明度义务的义务，这是其目标和道德宗旨的核心。然而，审计公司与其客户之间基于客户的关系，在这种情况下，分别是EY和</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，造成了利益冲突。</w:t>
            </w:r>
          </w:p>
          <w:p w14:paraId="6CB5A54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Boatright认为，利益冲突在金融部门是普遍和不可避免的，称它们“内置在我们金融机构的结构中，只有非常困难才能避免”。他区分了个人和非个人利益冲突，后者更常见。事实上，在这种情况下，安永内部的利益冲突是建立在它提供的服务中，无论是机构性的，因此也是非个人的。这些利益冲突之所以发生，是因为公司应该为自身利益以外的利益服务。签署</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的帐户符合安永的利益，以便它继续被雇用，并拥有一个经常性的稳定客户。然而，安永有责任为客户和自身利益的普遍、非个人的透明度义务服务。</w:t>
            </w:r>
          </w:p>
          <w:p w14:paraId="0F92DB48" w14:textId="77777777" w:rsidR="00B229A7" w:rsidRDefault="00D7072C">
            <w:pPr>
              <w:spacing w:line="276" w:lineRule="auto"/>
              <w:ind w:firstLineChars="200" w:firstLine="420"/>
              <w:rPr>
                <w:rFonts w:ascii="宋体" w:hAnsi="宋体"/>
                <w:color w:val="000000" w:themeColor="text1"/>
                <w:kern w:val="0"/>
                <w:szCs w:val="21"/>
              </w:rPr>
            </w:pP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丑闻发生后，负责监管审计师、会计师和精算师的英国财务报告委员会（FRC）宣布，“四大”会计师事务所——安永、德勤、毕马威、普华永道——必须在2024年6月前将其审计部门与其他业务分开。这是朝着尽量减少该部门结构性利益冲突的正确方向迈出的一步。其他国家应该步FRC的脚步，通过类似的法规。</w:t>
            </w:r>
          </w:p>
          <w:p w14:paraId="0FF31314" w14:textId="77777777" w:rsidR="00B229A7" w:rsidRDefault="00D7072C">
            <w:pPr>
              <w:spacing w:line="276" w:lineRule="auto"/>
              <w:rPr>
                <w:rFonts w:ascii="宋体" w:hAnsi="宋体"/>
                <w:b/>
                <w:bCs/>
                <w:color w:val="000000" w:themeColor="text1"/>
                <w:kern w:val="0"/>
                <w:szCs w:val="21"/>
              </w:rPr>
            </w:pPr>
            <w:r>
              <w:rPr>
                <w:rFonts w:ascii="宋体" w:hAnsi="宋体"/>
                <w:b/>
                <w:bCs/>
                <w:color w:val="000000" w:themeColor="text1"/>
                <w:kern w:val="0"/>
                <w:szCs w:val="21"/>
              </w:rPr>
              <w:t>4 视而视：BaFin、监管捕获和疏忽</w:t>
            </w:r>
          </w:p>
          <w:p w14:paraId="7B2FA96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在德国，</w:t>
            </w:r>
            <w:proofErr w:type="spellStart"/>
            <w:r>
              <w:rPr>
                <w:rFonts w:ascii="宋体" w:hAnsi="宋体"/>
                <w:color w:val="000000" w:themeColor="text1"/>
                <w:kern w:val="0"/>
                <w:szCs w:val="21"/>
              </w:rPr>
              <w:t>BaFin</w:t>
            </w:r>
            <w:proofErr w:type="spellEnd"/>
            <w:r>
              <w:rPr>
                <w:rFonts w:ascii="宋体" w:hAnsi="宋体"/>
                <w:color w:val="000000" w:themeColor="text1"/>
                <w:kern w:val="0"/>
                <w:szCs w:val="21"/>
              </w:rPr>
              <w:t>是金融监督机构，有义务确保各方在德国金融市场履行其透明度义务。这包括</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承担的主要职责和安永承担的监督职责。作为一个监管机构，</w:t>
            </w:r>
            <w:proofErr w:type="spellStart"/>
            <w:r>
              <w:rPr>
                <w:rFonts w:ascii="宋体" w:hAnsi="宋体"/>
                <w:color w:val="000000" w:themeColor="text1"/>
                <w:kern w:val="0"/>
                <w:szCs w:val="21"/>
              </w:rPr>
              <w:t>BaFin</w:t>
            </w:r>
            <w:proofErr w:type="spellEnd"/>
            <w:r>
              <w:rPr>
                <w:rFonts w:ascii="宋体" w:hAnsi="宋体"/>
                <w:color w:val="000000" w:themeColor="text1"/>
                <w:kern w:val="0"/>
                <w:szCs w:val="21"/>
              </w:rPr>
              <w:t>未能监管</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和EY的业务，忽视了各种不道德做法的迹象。</w:t>
            </w:r>
          </w:p>
          <w:p w14:paraId="6E82A4A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BaFin的疏忽可能是监管捕获的结果。监管俘获是一种经济理论，它认为监管机构可能更多地受到他们监管者利益的影响，而不是公共利益。因此，监管机构为那些主导该行业的人（他们应该监管的公司）的商业利益服务。这一理论通常归功于诺贝尔桂冠经济学家乔治·斯</w:t>
            </w:r>
            <w:r>
              <w:rPr>
                <w:rFonts w:ascii="宋体" w:hAnsi="宋体"/>
                <w:color w:val="000000" w:themeColor="text1"/>
                <w:kern w:val="0"/>
                <w:szCs w:val="21"/>
              </w:rPr>
              <w:lastRenderedPageBreak/>
              <w:t>蒂格勒和他的著作《经济监管理论》（1971年）。</w:t>
            </w:r>
          </w:p>
          <w:p w14:paraId="24F3FC4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与监管俘虏相反的经济理论遵循公共利益范式，即监管机构仁慈地为公共利益服务，以改善社会福利。监管捕获理论有助于理解串通是如何发生的，而不是忽视其可能性。它旨在解释为什么监管机构往往未能对其监管的公司执行法律。当监管机构被“抓获”时，它会构成巨大威胁，因为它拥有政府的权威，但将其用于违背其本应服务的公共利益。监管捕获可以通过各种方法进行，例如：发展监管机构和公司之间的密切关系；来自公司的信息不对称；以及腐败的可能性等。</w:t>
            </w:r>
          </w:p>
          <w:p w14:paraId="3F2206A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监管捕获的三步模型通过等级制度来理解其功能：第一，政治主体（</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的德国政府）；第二，监管机构（</w:t>
            </w:r>
            <w:proofErr w:type="spellStart"/>
            <w:r>
              <w:rPr>
                <w:rFonts w:ascii="宋体" w:hAnsi="宋体"/>
                <w:color w:val="000000" w:themeColor="text1"/>
                <w:kern w:val="0"/>
                <w:szCs w:val="21"/>
              </w:rPr>
              <w:t>BaFin</w:t>
            </w:r>
            <w:proofErr w:type="spellEnd"/>
            <w:r>
              <w:rPr>
                <w:rFonts w:ascii="宋体" w:hAnsi="宋体"/>
                <w:color w:val="000000" w:themeColor="text1"/>
                <w:kern w:val="0"/>
                <w:szCs w:val="21"/>
              </w:rPr>
              <w:t>）；第三，代理（</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）。该模型由Tirole根据Stigler的工作于1986年提出。这有助于想象在特定潜在捕获实例中持有道德代理的关键实体，例如在</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丑闻中。</w:t>
            </w:r>
          </w:p>
          <w:p w14:paraId="176562B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就</w:t>
            </w:r>
            <w:proofErr w:type="spellStart"/>
            <w:r>
              <w:rPr>
                <w:rFonts w:ascii="宋体" w:hAnsi="宋体"/>
                <w:color w:val="000000" w:themeColor="text1"/>
                <w:kern w:val="0"/>
                <w:szCs w:val="21"/>
              </w:rPr>
              <w:t>BaFin</w:t>
            </w:r>
            <w:proofErr w:type="spellEnd"/>
            <w:r>
              <w:rPr>
                <w:rFonts w:ascii="宋体" w:hAnsi="宋体"/>
                <w:color w:val="000000" w:themeColor="text1"/>
                <w:kern w:val="0"/>
                <w:szCs w:val="21"/>
              </w:rPr>
              <w:t>而言，由于其似乎成功，政府的利益可能已经被</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的欺诈利益“攫取”。信息不对称和欺诈性会计使</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似乎是德国乃至欧洲最大、最成功的科技公司。该公司明显的成功很可能解释了为什么</w:t>
            </w:r>
            <w:proofErr w:type="spellStart"/>
            <w:r>
              <w:rPr>
                <w:rFonts w:ascii="宋体" w:hAnsi="宋体"/>
                <w:color w:val="000000" w:themeColor="text1"/>
                <w:kern w:val="0"/>
                <w:szCs w:val="21"/>
              </w:rPr>
              <w:t>BaFin</w:t>
            </w:r>
            <w:proofErr w:type="spellEnd"/>
            <w:r>
              <w:rPr>
                <w:rFonts w:ascii="宋体" w:hAnsi="宋体"/>
                <w:color w:val="000000" w:themeColor="text1"/>
                <w:kern w:val="0"/>
                <w:szCs w:val="21"/>
              </w:rPr>
              <w:t>在财政部的支持下一再站在</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一边，并保证其诚实，尽管2010年代有越来越多的证据反对它。支持</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符合政府的利益，因为保持</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的成功培养了投资者对德国科技的信心和乐观，有利于德国，而不是美国等该领域的长期领导者。在</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的欺骗推动下，政府以及BaFin可能都偏袒社会福利和公共利益。</w:t>
            </w:r>
          </w:p>
          <w:p w14:paraId="27882B72" w14:textId="77777777" w:rsidR="00B229A7" w:rsidRDefault="00D7072C">
            <w:pPr>
              <w:spacing w:line="276" w:lineRule="auto"/>
              <w:ind w:firstLineChars="200" w:firstLine="420"/>
              <w:rPr>
                <w:rStyle w:val="11"/>
                <w:rFonts w:ascii="宋体" w:hAnsi="宋体"/>
                <w:i w:val="0"/>
                <w:iCs w:val="0"/>
                <w:color w:val="000000" w:themeColor="text1"/>
                <w:kern w:val="0"/>
                <w:szCs w:val="21"/>
              </w:rPr>
            </w:pPr>
            <w:proofErr w:type="spellStart"/>
            <w:r>
              <w:rPr>
                <w:rFonts w:ascii="宋体" w:hAnsi="宋体"/>
                <w:color w:val="000000" w:themeColor="text1"/>
                <w:kern w:val="0"/>
                <w:szCs w:val="21"/>
              </w:rPr>
              <w:t>BaFin</w:t>
            </w:r>
            <w:proofErr w:type="spellEnd"/>
            <w:r>
              <w:rPr>
                <w:rFonts w:ascii="宋体" w:hAnsi="宋体"/>
                <w:color w:val="000000" w:themeColor="text1"/>
                <w:kern w:val="0"/>
                <w:szCs w:val="21"/>
              </w:rPr>
              <w:t xml:space="preserve">的负责人Felix </w:t>
            </w:r>
            <w:proofErr w:type="spellStart"/>
            <w:r>
              <w:rPr>
                <w:rFonts w:ascii="宋体" w:hAnsi="宋体"/>
                <w:color w:val="000000" w:themeColor="text1"/>
                <w:kern w:val="0"/>
                <w:szCs w:val="21"/>
              </w:rPr>
              <w:t>Hufeld</w:t>
            </w:r>
            <w:proofErr w:type="spellEnd"/>
            <w:r>
              <w:rPr>
                <w:rFonts w:ascii="宋体" w:hAnsi="宋体"/>
                <w:color w:val="000000" w:themeColor="text1"/>
                <w:kern w:val="0"/>
                <w:szCs w:val="21"/>
              </w:rPr>
              <w:t>试图规避直接指责，称“</w:t>
            </w:r>
            <w:proofErr w:type="spellStart"/>
            <w:r>
              <w:rPr>
                <w:rFonts w:ascii="宋体" w:hAnsi="宋体"/>
                <w:color w:val="000000" w:themeColor="text1"/>
                <w:kern w:val="0"/>
                <w:szCs w:val="21"/>
              </w:rPr>
              <w:t>Wirecard</w:t>
            </w:r>
            <w:proofErr w:type="spellEnd"/>
            <w:r>
              <w:rPr>
                <w:rFonts w:ascii="宋体" w:hAnsi="宋体"/>
                <w:color w:val="000000" w:themeColor="text1"/>
                <w:kern w:val="0"/>
                <w:szCs w:val="21"/>
              </w:rPr>
              <w:t>的最高管理层和“十名审计师”未能采取行动或意识到正在发生的事情”，而没有直接认识到自己组织内部需要变革。这种对丑闻的傲慢态度破坏了未来真正自我反思的潜力，并发展了确保金融透明度和公平竞争的更强大的机制。</w:t>
            </w:r>
          </w:p>
        </w:tc>
      </w:tr>
      <w:tr w:rsidR="00B229A7" w14:paraId="5BE592E3" w14:textId="77777777">
        <w:tc>
          <w:tcPr>
            <w:tcW w:w="1980" w:type="dxa"/>
          </w:tcPr>
          <w:p w14:paraId="091CB33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552" w:type="dxa"/>
          </w:tcPr>
          <w:p w14:paraId="2D1363BA" w14:textId="77777777" w:rsidR="00B229A7" w:rsidRDefault="00D7072C">
            <w:pPr>
              <w:widowControl/>
              <w:spacing w:line="276" w:lineRule="auto"/>
              <w:jc w:val="left"/>
              <w:rPr>
                <w:rFonts w:ascii="宋体" w:hAnsi="宋体"/>
                <w:color w:val="000000" w:themeColor="text1"/>
                <w:kern w:val="0"/>
                <w:szCs w:val="21"/>
              </w:rPr>
            </w:pPr>
            <w:r>
              <w:rPr>
                <w:rFonts w:ascii="宋体" w:hAnsi="宋体" w:hint="eastAsia"/>
                <w:color w:val="000000" w:themeColor="text1"/>
                <w:kern w:val="0"/>
                <w:szCs w:val="21"/>
              </w:rPr>
              <w:t>代管账户、审计合谋</w:t>
            </w:r>
          </w:p>
        </w:tc>
      </w:tr>
    </w:tbl>
    <w:p w14:paraId="1140F0C6" w14:textId="77777777" w:rsidR="00B229A7" w:rsidRDefault="00B229A7">
      <w:pPr>
        <w:spacing w:line="276" w:lineRule="auto"/>
        <w:rPr>
          <w:rFonts w:ascii="宋体" w:hAnsi="宋体"/>
          <w:color w:val="000000" w:themeColor="text1"/>
          <w:szCs w:val="21"/>
        </w:rPr>
      </w:pPr>
    </w:p>
    <w:p w14:paraId="03619B66" w14:textId="77777777" w:rsidR="00B229A7" w:rsidRDefault="00D7072C">
      <w:pPr>
        <w:pStyle w:val="1"/>
      </w:pPr>
      <w:bookmarkStart w:id="11" w:name="_Toc104812576"/>
      <w:bookmarkStart w:id="12" w:name="_Toc104812297"/>
      <w:bookmarkStart w:id="13" w:name="_Toc104812478"/>
      <w:r>
        <w:rPr>
          <w:rFonts w:hint="eastAsia"/>
        </w:rPr>
        <w:t>0</w:t>
      </w:r>
      <w:r>
        <w:t>3</w:t>
      </w:r>
      <w:r>
        <w:rPr>
          <w:rFonts w:hint="eastAsia"/>
        </w:rPr>
        <w:t>乐视网财务造假</w:t>
      </w:r>
      <w:bookmarkEnd w:id="11"/>
      <w:bookmarkEnd w:id="12"/>
      <w:bookmarkEnd w:id="13"/>
    </w:p>
    <w:tbl>
      <w:tblPr>
        <w:tblStyle w:val="a4"/>
        <w:tblW w:w="8532" w:type="dxa"/>
        <w:tblLayout w:type="fixed"/>
        <w:tblLook w:val="04A0" w:firstRow="1" w:lastRow="0" w:firstColumn="1" w:lastColumn="0" w:noHBand="0" w:noVBand="1"/>
      </w:tblPr>
      <w:tblGrid>
        <w:gridCol w:w="1980"/>
        <w:gridCol w:w="6552"/>
      </w:tblGrid>
      <w:tr w:rsidR="00B229A7" w14:paraId="41886913" w14:textId="77777777">
        <w:tc>
          <w:tcPr>
            <w:tcW w:w="1980" w:type="dxa"/>
          </w:tcPr>
          <w:p w14:paraId="529345C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76E81C0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1101</w:t>
            </w:r>
          </w:p>
        </w:tc>
      </w:tr>
      <w:tr w:rsidR="00B229A7" w14:paraId="12DEA21E" w14:textId="77777777">
        <w:tc>
          <w:tcPr>
            <w:tcW w:w="1980" w:type="dxa"/>
          </w:tcPr>
          <w:p w14:paraId="2933D5A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4497E95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w:t>
            </w:r>
            <w:r>
              <w:rPr>
                <w:rFonts w:ascii="宋体" w:hAnsi="宋体" w:hint="eastAsia"/>
                <w:color w:val="000000" w:themeColor="text1"/>
                <w:kern w:val="0"/>
                <w:szCs w:val="21"/>
              </w:rPr>
              <w:t>互联网与IT业</w:t>
            </w:r>
          </w:p>
        </w:tc>
      </w:tr>
      <w:tr w:rsidR="00B229A7" w14:paraId="0ABEE687" w14:textId="77777777">
        <w:tc>
          <w:tcPr>
            <w:tcW w:w="1980" w:type="dxa"/>
          </w:tcPr>
          <w:p w14:paraId="01FE1CA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0C9D547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17</w:t>
            </w:r>
            <w:r>
              <w:rPr>
                <w:rFonts w:ascii="宋体" w:hAnsi="宋体" w:hint="eastAsia"/>
                <w:color w:val="000000" w:themeColor="text1"/>
                <w:kern w:val="0"/>
                <w:szCs w:val="21"/>
              </w:rPr>
              <w:t>年</w:t>
            </w:r>
          </w:p>
        </w:tc>
      </w:tr>
      <w:tr w:rsidR="00B229A7" w14:paraId="1F3ACFC9" w14:textId="77777777">
        <w:tc>
          <w:tcPr>
            <w:tcW w:w="1980" w:type="dxa"/>
          </w:tcPr>
          <w:p w14:paraId="589E8C7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557FB475"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乐视网信息技术(北京)股份有限公司</w:t>
            </w:r>
          </w:p>
        </w:tc>
      </w:tr>
      <w:tr w:rsidR="00B229A7" w14:paraId="175F54DF" w14:textId="77777777">
        <w:tc>
          <w:tcPr>
            <w:tcW w:w="1980" w:type="dxa"/>
          </w:tcPr>
          <w:p w14:paraId="2E421F5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案例企业经营范围</w:t>
            </w:r>
          </w:p>
        </w:tc>
        <w:tc>
          <w:tcPr>
            <w:tcW w:w="6552" w:type="dxa"/>
          </w:tcPr>
          <w:p w14:paraId="39B95E3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平板玻璃及玻璃深加工产品、石膏及制品等新型建材</w:t>
            </w:r>
          </w:p>
        </w:tc>
      </w:tr>
      <w:tr w:rsidR="00B229A7" w14:paraId="35625ACB" w14:textId="77777777">
        <w:tc>
          <w:tcPr>
            <w:tcW w:w="1980" w:type="dxa"/>
          </w:tcPr>
          <w:p w14:paraId="3F47A50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3A9322B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9A67A4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乐视集团(简称“乐视”)主要分为上市业务(乐视视频、影视、云、体育、新媒体、盒子、电视、金融)以及非上市业务(乐视手机、汽车、生态农业、电动车、房地产、影业)。乐视网是乐视集团旗下的一个上市公司,成立于2004年,主营业务是以网络视频为基础的广告业务、终端业务、会员及发行业务等,2010年8月成功上市。该公司的上市为乐视提供了主要的资金来源,借助资本优势与政策优势,乐视从小规模的视频网站,逐步发展成乐视生态系统,包含三大体系,涉及百余家公司,企业的整体价值达到3000亿元。随着乐视规模的不断扩大,运转所需的资金量也在日益增加,而乐视的大部分业务由于并不成熟,导致企业盈利根本跟不上规模扩张的速度。乐视集团的董事长贾跃亭利用减持股票、股权质押的方式来为企业提供资金流,表明乐视的资金链已经明显存在问题。即使这样,贾跃亭仍然激进地采取十分冒险的投资策略。2015年之后,贾跃亭更加疯狂地投资了房地产、汽车等一些重资产行业,业务规模持续扩张。2016年年末,巨大的资金缺口导致乐视的所有业务都举步维艰,乐视网不得不紧急停牌。</w:t>
            </w:r>
          </w:p>
          <w:p w14:paraId="42AEB6F0" w14:textId="77777777" w:rsidR="00B229A7" w:rsidRDefault="00B229A7">
            <w:pPr>
              <w:spacing w:line="276" w:lineRule="auto"/>
              <w:rPr>
                <w:rFonts w:ascii="宋体" w:hAnsi="宋体"/>
                <w:b/>
                <w:color w:val="000000" w:themeColor="text1"/>
                <w:kern w:val="0"/>
                <w:szCs w:val="21"/>
              </w:rPr>
            </w:pPr>
          </w:p>
          <w:p w14:paraId="43ACDC4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598C118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2016年11月份，乐视网、乐视控股创始人贾跃亭发布名为《乐视的海水与火焰：是被巨浪吞没还是把海洋煮沸》的公开信承认乐视资金状况出现问题，此后，2016年四季度起，机构开始大批撤离乐视网。相关机构统计数据显示，持有乐视网的基金在2016年四季度未相较2016年三季度末减少了24只。乐视网2017年一季报则显示，此前公司的第二大股东鑫根资本也退出了乐视网前十大股东名单。</w:t>
            </w:r>
          </w:p>
          <w:p w14:paraId="6D89FBB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北京证监局2017年12月25日发布通告，责令乐视网前任董事长贾跃亭于2017年12月31日前回国，切实履行公司实际控制人应尽义务，配合解决公司问题，稳妥处理公司风险，切实保护投资者合法权益。通告称，近期，上市公司乐视网及乐视系相关公司经营困难，贾跃亭作为乐视网实际控制人及前任董事长，在公司急需资金时未履行对上市公司提供无息借款承诺，北京证监局已对贾跃亭违反承诺的行为出具《关于贾跃亭采取责令改正行政监管措施的决定》，截至目前贾跃亭仍未履行承诺且未向北京证监局报送整改报告。</w:t>
            </w:r>
          </w:p>
          <w:p w14:paraId="618A0C0B" w14:textId="77777777" w:rsidR="00B229A7" w:rsidRDefault="00B229A7">
            <w:pPr>
              <w:spacing w:line="276" w:lineRule="auto"/>
              <w:rPr>
                <w:rFonts w:ascii="宋体" w:hAnsi="宋体"/>
                <w:b/>
                <w:color w:val="000000" w:themeColor="text1"/>
                <w:kern w:val="0"/>
                <w:szCs w:val="21"/>
              </w:rPr>
            </w:pPr>
          </w:p>
          <w:p w14:paraId="07FCF25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0DE8CB9F" w14:textId="77777777" w:rsidR="00B229A7" w:rsidRDefault="00D7072C">
            <w:pPr>
              <w:spacing w:line="276" w:lineRule="auto"/>
              <w:rPr>
                <w:rFonts w:ascii="宋体" w:hAnsi="宋体"/>
                <w:bCs/>
                <w:color w:val="000000" w:themeColor="text1"/>
                <w:kern w:val="0"/>
                <w:szCs w:val="21"/>
              </w:rPr>
            </w:pPr>
            <w:r>
              <w:rPr>
                <w:rFonts w:ascii="宋体" w:hAnsi="宋体"/>
                <w:b/>
                <w:bCs/>
                <w:color w:val="000000" w:themeColor="text1"/>
                <w:kern w:val="0"/>
                <w:szCs w:val="21"/>
              </w:rPr>
              <w:tab/>
            </w:r>
            <w:r>
              <w:rPr>
                <w:rFonts w:ascii="宋体" w:hAnsi="宋体" w:hint="eastAsia"/>
                <w:bCs/>
                <w:color w:val="000000" w:themeColor="text1"/>
                <w:kern w:val="0"/>
                <w:szCs w:val="21"/>
              </w:rPr>
              <w:t>乐视网上述连续10年虚增业绩的行为致使其报送和披露的IPO招股说明书、2010年至2016年年报存在虚假记载，违反了2005年修订的《中华人民共和国证券法》（以下简称《证券法》）第六十三条的</w:t>
            </w:r>
            <w:r>
              <w:rPr>
                <w:rFonts w:ascii="宋体" w:hAnsi="宋体" w:hint="eastAsia"/>
                <w:bCs/>
                <w:color w:val="000000" w:themeColor="text1"/>
                <w:kern w:val="0"/>
                <w:szCs w:val="21"/>
              </w:rPr>
              <w:lastRenderedPageBreak/>
              <w:t>规定，构成《证券法》第一百九十三条所述的信息披露违法行为。</w:t>
            </w:r>
            <w:r>
              <w:rPr>
                <w:rFonts w:ascii="宋体" w:hAnsi="宋体"/>
                <w:bCs/>
                <w:color w:val="000000" w:themeColor="text1"/>
                <w:kern w:val="0"/>
                <w:szCs w:val="21"/>
              </w:rPr>
              <w:t>时任高管的申请人，未勤勉尽责，在有关定期报告确认意见上签字并保证所披露的信息真实、准确、完整，属于其他直接责任人员</w:t>
            </w:r>
            <w:r>
              <w:rPr>
                <w:rFonts w:ascii="宋体" w:hAnsi="宋体" w:hint="eastAsia"/>
                <w:bCs/>
                <w:color w:val="000000" w:themeColor="text1"/>
                <w:kern w:val="0"/>
                <w:szCs w:val="21"/>
              </w:rPr>
              <w:t>。</w:t>
            </w:r>
          </w:p>
          <w:p w14:paraId="36D83D19" w14:textId="77777777" w:rsidR="00B229A7" w:rsidRDefault="00B229A7">
            <w:pPr>
              <w:spacing w:line="276" w:lineRule="auto"/>
              <w:rPr>
                <w:rFonts w:ascii="宋体" w:hAnsi="宋体"/>
                <w:b/>
                <w:color w:val="000000" w:themeColor="text1"/>
                <w:kern w:val="0"/>
                <w:szCs w:val="21"/>
              </w:rPr>
            </w:pPr>
          </w:p>
          <w:p w14:paraId="20ACB39D"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【乐视网财务造假分析】</w:t>
            </w:r>
          </w:p>
          <w:p w14:paraId="1C73451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（一）乐视网未按规定披露关联交易</w:t>
            </w:r>
          </w:p>
          <w:p w14:paraId="0D2F0A0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4月17日，乐视网以“增资款”名义转给全资子公司重庆乐视小额贷款公司（以下简称乐视小贷）2.1亿元，乐视小贷收到上述2.1亿元后，立即以贷款名义分7笔每笔3000万元将资金转给7家乐视网关联公司，上述7家公司收到资金后，当天便将资金全部转给乐视控股（北京）有限公司（以下简称乐视控股）。上述贷款构成关联交易，根据《深圳证券交易所创业板股票上市规则（2014年修订）》第10.2.4条“交易金额在100万元以上，且占上市公司最近一期经审计净资产绝对值0.5%以上的关联交易，应当经董事会审议后及时披露”的规定，上述事项是应当经乐视网董事会审议并及时披露的关联交易事项，但乐视网未按规定及时披露，违反了《证券法》第六十三条、第六十七条第一款、第二款第十二项和《上市公司信息披露管理办法》（证监会令第40号）第四十八条的规定，构成《证券法》第一百九十三条第一款所述的信息披露违法行为。</w:t>
            </w:r>
          </w:p>
          <w:p w14:paraId="60A18E7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（二）乐视网未披露为乐视控股等公司提供担保事项</w:t>
            </w:r>
          </w:p>
          <w:p w14:paraId="30E3E4E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2016年2月，乐视网对乐视控股在乐视云计算机有限公司《股权收购及担保合同》项下的回购义务提供无限连带保证，担保金额为10亿元，至2019年可能承担的最大回购金额为17.5亿元，占最近一期</w:t>
            </w:r>
            <w:r>
              <w:rPr>
                <w:rFonts w:ascii="宋体" w:hAnsi="宋体"/>
                <w:color w:val="000000" w:themeColor="text1"/>
                <w:kern w:val="0"/>
                <w:szCs w:val="21"/>
              </w:rPr>
              <w:t>（</w:t>
            </w:r>
            <w:r>
              <w:rPr>
                <w:rFonts w:ascii="宋体" w:hAnsi="宋体" w:hint="eastAsia"/>
                <w:color w:val="000000" w:themeColor="text1"/>
                <w:kern w:val="0"/>
                <w:szCs w:val="21"/>
              </w:rPr>
              <w:t>2014年）经审计净资产的29.92%（最大回购金额占比52.35%）。乐视致新电子科技（天津）有限公司（以下简称乐视致新）系乐视网2012年至2017年并表子公司。2016年12月，乐视致新对其关联公司对外应付货款和存货采购共计5208.37万美元提供担保，金额折合人民币3.47亿元，占乐视网最近一期（2015年）经审计净资产的9.10%。2015年4月、2016年4月乐视网对乐视体育文化发展有限公司A+轮、B轮融资的投资者承担回购义务，分别涉及回购金额10.2亿元和103.95亿元，分别占最近一期（2014年、2015年）经审计净资产的30%和272.48%。</w:t>
            </w:r>
          </w:p>
          <w:p w14:paraId="31D0E15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根据《深圳证券交易所创业板股票上市规则（2014年修订）》，上述三项均属应及时披露的事项，但乐视网未按规定及时披露,也未在2016年年报中披露，违反了《证券法》第六十三条、第六十七条第一款、第二款第十二项和《上市公司信息披露管理办法》（证监会令第40号）第三十条第二款第十七项的规定，构成《证券法》第一百九十三条第一款所述的信息披露违法行为。</w:t>
            </w:r>
          </w:p>
        </w:tc>
      </w:tr>
      <w:tr w:rsidR="00B229A7" w14:paraId="46C3961B" w14:textId="77777777">
        <w:tc>
          <w:tcPr>
            <w:tcW w:w="1980" w:type="dxa"/>
          </w:tcPr>
          <w:p w14:paraId="1941E57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100C6677" w14:textId="77777777" w:rsidR="00B229A7" w:rsidRDefault="00D7072C">
            <w:pPr>
              <w:spacing w:line="276" w:lineRule="auto"/>
              <w:jc w:val="center"/>
              <w:rPr>
                <w:rFonts w:ascii="宋体" w:hAnsi="宋体"/>
                <w:b/>
                <w:color w:val="000000" w:themeColor="text1"/>
                <w:kern w:val="0"/>
                <w:szCs w:val="21"/>
              </w:rPr>
            </w:pPr>
            <w:r>
              <w:rPr>
                <w:rFonts w:ascii="宋体" w:hAnsi="宋体"/>
                <w:b/>
                <w:color w:val="000000" w:themeColor="text1"/>
                <w:kern w:val="0"/>
                <w:szCs w:val="21"/>
              </w:rPr>
              <w:t>信永中和会计师事务所</w:t>
            </w:r>
          </w:p>
        </w:tc>
      </w:tr>
      <w:tr w:rsidR="00B229A7" w14:paraId="23EF4F52" w14:textId="77777777">
        <w:tc>
          <w:tcPr>
            <w:tcW w:w="1980" w:type="dxa"/>
          </w:tcPr>
          <w:p w14:paraId="5862707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538132D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一是对乐视网2007年至2016年连续十年财务造假，致使2010年报送和披露的IPO申报材料、2010年至2016年年报存在虚假记载的行为，未依法披露关联交易、对外担保的行为以及对</w:t>
            </w:r>
            <w:r>
              <w:rPr>
                <w:rFonts w:ascii="宋体" w:hAnsi="宋体"/>
                <w:color w:val="000000" w:themeColor="text1"/>
                <w:kern w:val="0"/>
                <w:szCs w:val="21"/>
              </w:rPr>
              <w:t>贾跃亭</w:t>
            </w:r>
            <w:r>
              <w:rPr>
                <w:rFonts w:ascii="宋体" w:hAnsi="宋体" w:hint="eastAsia"/>
                <w:color w:val="000000" w:themeColor="text1"/>
                <w:kern w:val="0"/>
                <w:szCs w:val="21"/>
              </w:rPr>
              <w:t>、贾某芳履行承诺的披露存在虚假记载、重大遗漏的行为，根据《证券法》第一百九十三条的规定，对乐视网责令改正，给予警告，并处以60万元罚款；</w:t>
            </w:r>
            <w:r>
              <w:rPr>
                <w:rFonts w:ascii="宋体" w:hAnsi="宋体"/>
                <w:color w:val="000000" w:themeColor="text1"/>
                <w:kern w:val="0"/>
                <w:szCs w:val="21"/>
              </w:rPr>
              <w:t>对申请人给予警告，并处以5万元罚款</w:t>
            </w:r>
            <w:r>
              <w:rPr>
                <w:rFonts w:ascii="宋体" w:hAnsi="宋体" w:hint="eastAsia"/>
                <w:color w:val="000000" w:themeColor="text1"/>
                <w:kern w:val="0"/>
                <w:szCs w:val="21"/>
              </w:rPr>
              <w:t>。</w:t>
            </w:r>
          </w:p>
          <w:p w14:paraId="1E89138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二是对2016年乐视网非公开发行欺诈发行行为，根据《证券法》第一百八十九条的规定，对乐视网处以募集资金百分之五即2.4亿元罚款。</w:t>
            </w:r>
          </w:p>
          <w:p w14:paraId="0BBE708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申请人复议请求</w:t>
            </w:r>
            <w:r>
              <w:rPr>
                <w:rFonts w:ascii="宋体" w:hAnsi="宋体"/>
                <w:color w:val="000000" w:themeColor="text1"/>
                <w:kern w:val="0"/>
                <w:szCs w:val="21"/>
              </w:rPr>
              <w:t>撤销</w:t>
            </w:r>
            <w:r>
              <w:rPr>
                <w:rFonts w:ascii="宋体" w:hAnsi="宋体" w:hint="eastAsia"/>
                <w:color w:val="000000" w:themeColor="text1"/>
                <w:kern w:val="0"/>
                <w:szCs w:val="21"/>
              </w:rPr>
              <w:t>《行政处罚决定书》</w:t>
            </w:r>
            <w:r>
              <w:rPr>
                <w:rFonts w:ascii="宋体" w:hAnsi="宋体"/>
                <w:color w:val="000000" w:themeColor="text1"/>
                <w:kern w:val="0"/>
                <w:szCs w:val="21"/>
              </w:rPr>
              <w:t>对其作出的行政处罚决定</w:t>
            </w:r>
            <w:r>
              <w:rPr>
                <w:rFonts w:ascii="宋体" w:hAnsi="宋体" w:hint="eastAsia"/>
                <w:color w:val="000000" w:themeColor="text1"/>
                <w:kern w:val="0"/>
                <w:szCs w:val="21"/>
              </w:rPr>
              <w:t>，主要理由为：</w:t>
            </w:r>
            <w:r>
              <w:rPr>
                <w:rFonts w:ascii="宋体" w:hAnsi="宋体"/>
                <w:color w:val="000000" w:themeColor="text1"/>
                <w:kern w:val="0"/>
                <w:szCs w:val="21"/>
              </w:rPr>
              <w:t>1.申请人作为一般高级管理人员，入职乐视网仅两年时间，且仅负责品牌广告收入业务，已经尽到勤勉义务，不应承担行政责任。2.申请人以第三方专业机构作为判断依据，在主管财务的负责人已经签字审核的前提下，已经尽到商业判断规则，不应承担责任。</w:t>
            </w:r>
          </w:p>
        </w:tc>
      </w:tr>
      <w:tr w:rsidR="00B229A7" w14:paraId="720BE066" w14:textId="77777777">
        <w:tc>
          <w:tcPr>
            <w:tcW w:w="1980" w:type="dxa"/>
          </w:tcPr>
          <w:p w14:paraId="2EC2CEB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552" w:type="dxa"/>
          </w:tcPr>
          <w:p w14:paraId="027FFDD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(一)不断完善监管制度与法律法规</w:t>
            </w:r>
          </w:p>
          <w:p w14:paraId="033B15E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从乐视财务造假案例分析来看,乐视的大股东利用一些关联交易非关联化、涉嫌隐藏重要信息的非公允关联方交易行为,有意在合并财报层面做亏少数股东权益来实现归属于母公司所有者的净利润最大化,粉饰财务报表吸引投资,待股价上涨后再减持套现实现利益最大化,将部分资金又弥补给子公司作为运营资金,使子公司能够继续正常运转。因为乐视关联方交易方式比较独特,如乐视会员收入要通过乐视移动手机的销售来实现,但是乐视年报中对会员收入分摊、手机售价定价方法等并未公布细节,也未有数据支持,这给乐视关联方交易的盈余管理提供了操纵空间。而监管部门在监管过程中未关注到关联信息披露的完整性,这凸显了会计准则在实际操作中执行不到位的现状。建议改进有关关联方交易的会计准则和法律法规。如进一步明确关联方定义及信息披露要求,确定关联方判断标准,降低审计人员对关联方信息误判、漏判的可能性,同时加大对不恰当关联方交易的处罚力度。我国对关联方交易信息披露的针对性不强、信息有用性低等。因此,应该要求上市公司披露关联方、关联方交易、关联方交易发生的可能性、重要程度等信息,同时建议上市公司用定性与定量相结合的方式进行披露,尽量不使用模糊性表达,直接对关联方、关联方的重要程度、与关联方相关的经济活动和事项进行说明。监管部门根据重要程度对关联方实施分类监管,关联方越重要,对其披露的要求就越高。</w:t>
            </w:r>
          </w:p>
          <w:p w14:paraId="0CC2FF4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(二)利用互联网技术改进监管方式</w:t>
            </w:r>
          </w:p>
          <w:p w14:paraId="2FC7390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改进监管方式是提高监管水平和效率的必要条件。乐视通过财务</w:t>
            </w:r>
            <w:r>
              <w:rPr>
                <w:rFonts w:ascii="宋体" w:hAnsi="宋体"/>
                <w:color w:val="000000" w:themeColor="text1"/>
                <w:kern w:val="0"/>
                <w:szCs w:val="21"/>
              </w:rPr>
              <w:lastRenderedPageBreak/>
              <w:t>造假成功上市,上市后又顺利再融资,造假长达十年之久才东窗事发。这表明我国以财务报表为重点审查目标的传统会计监管方式存在漏洞。以瑞幸咖啡为例,浑水公司动用多名人员,利用数月的时间挖掘和分析财务数据才实现做空瑞幸的目的,这也从侧面说明了靠人工揭露财务造假的难度之大。由于人工监管效率低和难度大,监管部门主要侧重于事后监管,即审查财务报表。乐视事件也不例外,乐视为互联网企业,主要通过线上交易,传统监管方式难以全面覆盖线上业务和关联方交易。可以借鉴浑水公司披露瑞幸咖啡财务造假报告中,利用匿名调查员、独立第三方收证的方式,同时利用前沿的区块链、云计算、大数据、人工智能等互联网技术收集数据,形成“精准+动态”监管,提高监管效能。</w:t>
            </w:r>
          </w:p>
          <w:p w14:paraId="08E37A4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首先,监管机构可以建设会计监管大数据平台,集财政、税务、证券、工商、境外做空机构等不同主体掌握的多方位信息于一体,依托“云物链”等新型技术提高数据挖掘能力和风险预警能力,拓展数据分析的广度和深度,做到“精准+动态”监管。建立大数据监管平台后,可利用大数据技术集成被监管对象的财务信息,利用数据挖掘技术捕捉有价值的数据信息,对其进行纵向分析并生成财务指标表,表中异常波动的数据将被作为重点检测对象。同时结合财务造假信息库,选择敏感的财务指标作为数据监测对象,按照行业、地区、规模的不同划分进行横向分析,与同类型的企业各指标进行比较,筛选出问题企业再进一步精准调查。其次,将监管过程规范化,形成一套标准体系,比如监管程序的制定、监管数据范围的确定、监管证据效力的认定等等。最后,利用人工智能、云计算等科技进行实时监测,掌握市场实际情况,依靠信息技术实时监控目标企业的经济业务活动,一旦发现风险即可锁定目标进行调查干预,实现全过程、全方位的实时动态监管模式。真正实现事前监管和事中监管,及时发现风险,预防违法行为,维持市场秩序,保护社会公众利益。</w:t>
            </w:r>
          </w:p>
          <w:p w14:paraId="19D7016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(三)推进会计监管合作多元化</w:t>
            </w:r>
          </w:p>
          <w:p w14:paraId="685CF5A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传统的会计监管模式因程序复杂、监管部门远离市场、各个部门各自为政以及信息不共享等问题导致监管效力低下。在数字经济时代,信息逐渐扁平化,社会团体和平台也能便利地获取大量信息,会计监管可以利用多方有效力量形成监管合力,使会计监管合作多元化。因此,不但要加强监管机构各部门之间的沟通协调,信息共享,同时还要利用做空机构等第三方的协助。在进行监管合作的过程中,各监管方应该明确自己的监管界限,互相协同配合。例如,利用区块链技术完善政府监管部门与注册会计师行业协会、证券交易所等自律组织之间的信息互通和责任分配机制,通过资源整合,提升监管质量,实现公共管理目标。合作监管方之间的信息应通过连接系统的数据接口实现数据共享,借</w:t>
            </w:r>
            <w:r>
              <w:rPr>
                <w:rFonts w:ascii="宋体" w:hAnsi="宋体"/>
                <w:color w:val="000000" w:themeColor="text1"/>
                <w:kern w:val="0"/>
                <w:szCs w:val="21"/>
              </w:rPr>
              <w:lastRenderedPageBreak/>
              <w:t>助智能合约技术推动监管工作协同联动,建立风险预防和风险处理机制。同时,政府监管部门还应鼓励社会群体、网络平台等非政府机构积极地参与到大众监管的队伍中来。这些非政府机构依靠其主体基数优势、信息获取优势、技术优势可以成为信息共享中心,按照政府监管机构的要求承担日常性的会计监管工作,进而形成“非政府主体日常监管、政府主体整体监控”的模式。</w:t>
            </w:r>
          </w:p>
          <w:p w14:paraId="5148D478"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Fonts w:ascii="宋体" w:hAnsi="宋体"/>
                <w:color w:val="000000" w:themeColor="text1"/>
                <w:kern w:val="0"/>
                <w:szCs w:val="21"/>
              </w:rPr>
              <w:t>监管机构可以建设会计监管大数据平台,集财政、税务、证券、工商、境外做空机构等不同主体掌握的多方位信息于一体,依托“云物链”等新型技术提高数据挖掘能力和风险预警能力,拓展数据分析的广度和深度,做到“精准+动态”监管。建立大数据监管平台后,可利用大数据技术集成被监管对象的财务信息,利用数据挖掘技术捕捉有价值的数据信息,对其进行纵向分析并生成财务指标表,表中异常波动的数据将被作为重点检测对象。</w:t>
            </w:r>
          </w:p>
        </w:tc>
      </w:tr>
      <w:tr w:rsidR="00B229A7" w14:paraId="24912287" w14:textId="77777777">
        <w:tc>
          <w:tcPr>
            <w:tcW w:w="1980" w:type="dxa"/>
          </w:tcPr>
          <w:p w14:paraId="4CAC9CF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552" w:type="dxa"/>
          </w:tcPr>
          <w:p w14:paraId="150EAFF0"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rPr>
              <w:t>关联方交易、违规担保</w:t>
            </w:r>
          </w:p>
          <w:p w14:paraId="6F80357E" w14:textId="77777777" w:rsidR="00B229A7" w:rsidRDefault="00B229A7">
            <w:pPr>
              <w:widowControl/>
              <w:spacing w:line="276" w:lineRule="auto"/>
              <w:jc w:val="left"/>
              <w:rPr>
                <w:rFonts w:ascii="宋体" w:hAnsi="宋体"/>
                <w:color w:val="000000" w:themeColor="text1"/>
                <w:kern w:val="0"/>
                <w:szCs w:val="21"/>
              </w:rPr>
            </w:pPr>
          </w:p>
        </w:tc>
      </w:tr>
    </w:tbl>
    <w:p w14:paraId="6EE66357" w14:textId="77777777" w:rsidR="00B229A7" w:rsidRDefault="00B229A7">
      <w:pPr>
        <w:spacing w:line="276" w:lineRule="auto"/>
        <w:rPr>
          <w:rFonts w:ascii="宋体" w:hAnsi="宋体"/>
          <w:color w:val="000000" w:themeColor="text1"/>
          <w:szCs w:val="21"/>
        </w:rPr>
      </w:pPr>
    </w:p>
    <w:p w14:paraId="177DF9B1" w14:textId="77777777" w:rsidR="00B229A7" w:rsidRDefault="00D7072C">
      <w:pPr>
        <w:pStyle w:val="1"/>
      </w:pPr>
      <w:bookmarkStart w:id="14" w:name="_Toc104812298"/>
      <w:bookmarkStart w:id="15" w:name="_Toc104812479"/>
      <w:bookmarkStart w:id="16" w:name="_Toc104812577"/>
      <w:r>
        <w:rPr>
          <w:rFonts w:hint="eastAsia"/>
        </w:rPr>
        <w:t>0</w:t>
      </w:r>
      <w:r>
        <w:t>4</w:t>
      </w:r>
      <w:r>
        <w:rPr>
          <w:rFonts w:hint="eastAsia"/>
        </w:rPr>
        <w:t>金亚科技财务造假</w:t>
      </w:r>
      <w:bookmarkEnd w:id="14"/>
      <w:bookmarkEnd w:id="15"/>
      <w:bookmarkEnd w:id="16"/>
    </w:p>
    <w:tbl>
      <w:tblPr>
        <w:tblStyle w:val="a4"/>
        <w:tblW w:w="8532" w:type="dxa"/>
        <w:tblLayout w:type="fixed"/>
        <w:tblLook w:val="04A0" w:firstRow="1" w:lastRow="0" w:firstColumn="1" w:lastColumn="0" w:noHBand="0" w:noVBand="1"/>
      </w:tblPr>
      <w:tblGrid>
        <w:gridCol w:w="1980"/>
        <w:gridCol w:w="6552"/>
      </w:tblGrid>
      <w:tr w:rsidR="00B229A7" w14:paraId="61903461" w14:textId="77777777">
        <w:tc>
          <w:tcPr>
            <w:tcW w:w="1980" w:type="dxa"/>
          </w:tcPr>
          <w:p w14:paraId="56E0C32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07ABB6C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1102</w:t>
            </w:r>
          </w:p>
        </w:tc>
      </w:tr>
      <w:tr w:rsidR="00B229A7" w14:paraId="0AA0FDDE" w14:textId="77777777">
        <w:tc>
          <w:tcPr>
            <w:tcW w:w="1980" w:type="dxa"/>
          </w:tcPr>
          <w:p w14:paraId="743654A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6359E48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w:t>
            </w:r>
            <w:r>
              <w:rPr>
                <w:rFonts w:ascii="宋体" w:hAnsi="宋体" w:hint="eastAsia"/>
                <w:color w:val="000000" w:themeColor="text1"/>
                <w:kern w:val="0"/>
                <w:szCs w:val="21"/>
              </w:rPr>
              <w:t>互联网与IT业</w:t>
            </w:r>
          </w:p>
        </w:tc>
      </w:tr>
      <w:tr w:rsidR="00B229A7" w14:paraId="670010C9" w14:textId="77777777">
        <w:tc>
          <w:tcPr>
            <w:tcW w:w="1980" w:type="dxa"/>
          </w:tcPr>
          <w:p w14:paraId="5D37D39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41BC11B4" w14:textId="48957B4A"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15</w:t>
            </w:r>
            <w:r>
              <w:rPr>
                <w:rFonts w:ascii="宋体" w:hAnsi="宋体" w:hint="eastAsia"/>
                <w:color w:val="000000" w:themeColor="text1"/>
                <w:kern w:val="0"/>
                <w:szCs w:val="21"/>
              </w:rPr>
              <w:t>年</w:t>
            </w:r>
          </w:p>
        </w:tc>
      </w:tr>
      <w:tr w:rsidR="00B229A7" w14:paraId="26DD9191" w14:textId="77777777">
        <w:tc>
          <w:tcPr>
            <w:tcW w:w="1980" w:type="dxa"/>
          </w:tcPr>
          <w:p w14:paraId="0890EC8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3ACEB409"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金亚科技股份有限公司</w:t>
            </w:r>
          </w:p>
        </w:tc>
      </w:tr>
      <w:tr w:rsidR="00B229A7" w14:paraId="1E93E025" w14:textId="77777777">
        <w:tc>
          <w:tcPr>
            <w:tcW w:w="1980" w:type="dxa"/>
          </w:tcPr>
          <w:p w14:paraId="1D26286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5BE941F3"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数字化用户信息网络终端产品、电子产品、通信设备的设计开发、生产、销售和服务；网络技术的开发和服务；</w:t>
            </w:r>
          </w:p>
        </w:tc>
      </w:tr>
      <w:tr w:rsidR="00B229A7" w14:paraId="226C0968" w14:textId="77777777">
        <w:tc>
          <w:tcPr>
            <w:tcW w:w="1980" w:type="dxa"/>
          </w:tcPr>
          <w:p w14:paraId="2A0AAF4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76F212D9"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FC9FE8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金亚科技成立于1999年11月18日，公司股票于2009年10月30日在深圳证券交易所挂牌交易。金亚科技在A股挂牌10年时间，周旭辉为公司的控股股东和实际控制人。2020年8月3日，深交所将对金亚科技股票进行摘牌。</w:t>
            </w:r>
          </w:p>
          <w:p w14:paraId="43373A78" w14:textId="77777777" w:rsidR="00B229A7" w:rsidRDefault="00B229A7">
            <w:pPr>
              <w:spacing w:line="276" w:lineRule="auto"/>
              <w:rPr>
                <w:rFonts w:ascii="宋体" w:hAnsi="宋体"/>
                <w:b/>
                <w:color w:val="000000" w:themeColor="text1"/>
                <w:kern w:val="0"/>
                <w:szCs w:val="21"/>
              </w:rPr>
            </w:pPr>
          </w:p>
          <w:p w14:paraId="38CADFDE"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59FB0C0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2008年至2009年7月期间，被告人周旭辉作为金亚科技的股东、董事长及实际控制人，为使公司在A股顺利上市挂牌交易，以公司名义授意时任财务总监花纯国、销售经理郑林强等人进行财务数据造假，并要求公司其他部门员工予以协助配合，虚增、夸大公司2006年度至2008年度以及2009年第一、二季度营业收入及盈利能力。公司在向</w:t>
            </w:r>
            <w:r>
              <w:rPr>
                <w:rFonts w:ascii="宋体" w:hAnsi="宋体"/>
                <w:color w:val="000000" w:themeColor="text1"/>
                <w:kern w:val="0"/>
                <w:szCs w:val="21"/>
              </w:rPr>
              <w:lastRenderedPageBreak/>
              <w:t>证监会提交的《首次公开发行股票并在创业板上市招股说明书》等文件中使用上述虚假数据，隐瞒公司真实经营状况。</w:t>
            </w:r>
          </w:p>
          <w:p w14:paraId="0F0A6F13" w14:textId="77777777" w:rsidR="00B229A7" w:rsidRDefault="00B229A7">
            <w:pPr>
              <w:spacing w:line="276" w:lineRule="auto"/>
              <w:rPr>
                <w:rFonts w:ascii="宋体" w:hAnsi="宋体"/>
                <w:b/>
                <w:color w:val="000000" w:themeColor="text1"/>
                <w:kern w:val="0"/>
                <w:szCs w:val="21"/>
              </w:rPr>
            </w:pPr>
          </w:p>
          <w:p w14:paraId="1E53D44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1103F10E"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金亚科技2013年大幅亏损，为扭转公司亏损，时任公司董事长周旭辉授意时任财务总监丁勇和进行财务数据造假，通过虚构客户、伪造合同、伪造银行单据、伪造材料产品收发记录、隐瞒费用支出等方式虚增利润。</w:t>
            </w:r>
          </w:p>
          <w:p w14:paraId="5F435537"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2015年4月1日，公司依据虚假的账套核算数据对外披露了《金亚科技股份有限公司2014年度报告》。经鉴定，公司截止2014年12月31日的真实营业收入为1.29亿元，营业成本为1.75亿元，利润总额为-0.45亿元，公司2014年真实的经营情况处于亏损状态。</w:t>
            </w:r>
          </w:p>
          <w:p w14:paraId="3529027C"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公司对外披露的2014年年报中营业收入作假金额为0.72亿元，作假幅度为披露金额的35.83%；净利润作假金额为0.84亿元，作假幅度为披露金额的213.72%；净资产作假金额为3.46亿元，作假幅度为披露金额的51.68%，公司通过上述财务处理方式使公司2014年年度报告利润总额由亏损变为盈利。</w:t>
            </w:r>
          </w:p>
          <w:p w14:paraId="01513148" w14:textId="77777777" w:rsidR="00B229A7" w:rsidRDefault="00B229A7">
            <w:pPr>
              <w:spacing w:line="276" w:lineRule="auto"/>
              <w:rPr>
                <w:rFonts w:ascii="宋体" w:hAnsi="宋体"/>
                <w:b/>
                <w:color w:val="000000" w:themeColor="text1"/>
                <w:kern w:val="0"/>
                <w:szCs w:val="21"/>
              </w:rPr>
            </w:pPr>
          </w:p>
          <w:p w14:paraId="22DC4FA7"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【金亚科技财务造假分析】</w:t>
            </w:r>
          </w:p>
          <w:p w14:paraId="78E891D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(一)虚增货币资金、营业收入，虚增净利润</w:t>
            </w:r>
          </w:p>
          <w:p w14:paraId="0D30824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金亚科技20112015年货币资金分别为47852.2万元，53328.8万元，57472.2万元；34523.4万元，21718.6万元，2013~2014年货币资金减少了66.5%，而同行业的亿通科技货币资金减少了18.9%，二者差距悬殊，调整后的2014年年报中，金亚科技货币资金为12428.9，调减了22094.5万元，货币资金下降幅度之大，可能在2014年以前就存在货币资金造假问题。2012~13年期间，公司的营业收入和营业成本分别增长了24.57%和42.20%，而净利润却下降了512%，甚至在13年出现了负的净利润。2014年调整后的营业收入和净利润分别为52789.77万元和646.16万元，虚增营业收入3033.17万元，虚增净利润1931.11万元。</w:t>
            </w:r>
          </w:p>
          <w:p w14:paraId="19017A8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(二)虚构预付工程款</w:t>
            </w:r>
          </w:p>
          <w:p w14:paraId="68C6B6D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2014年金亚科技下属子公司金亚智能与四川宏山签订金额为77500万元工程建造合同，需要先预付31000万元的工程款项，但实际上这笔款项没有实际支付，导致现金流量表相关项目金额发生重大变化，这一做法是将虚增收入和利润所导致的资金缺口向外转出，从而减少虚构资金的压力，实现财务报表平衡，几年前万福生科财务造假也用过这一手段。而供应商四川宏山建设工程有限公司在2015年初因连续3年未按规定要求参与企业年度检验，被泸州市工商行政管理</w:t>
            </w:r>
            <w:r>
              <w:rPr>
                <w:rFonts w:ascii="宋体" w:hAnsi="宋体" w:hint="eastAsia"/>
                <w:color w:val="000000" w:themeColor="text1"/>
                <w:kern w:val="0"/>
                <w:szCs w:val="21"/>
              </w:rPr>
              <w:lastRenderedPageBreak/>
              <w:t>局吊销营业执照，而审计机构立信会计师事务所有能力和足够的时间查出这一会计差错，却依旧出具无保留的审计意见，这显然是审计机构的失职。</w:t>
            </w:r>
          </w:p>
          <w:p w14:paraId="2A60D3C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(三)应收账款和在建工程存在造假</w:t>
            </w:r>
          </w:p>
          <w:p w14:paraId="5FA987A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2010~2013年，随着收入的增加应收账款周转率整体有所下降，说明应收账款的增加幅度大于收入的增长幅度。14年营业收入有所下降，应收账款也小幅降低，其周转率应维持不变或变动较小，但应收账款周转率却是上升。通过金亚科技公布的自查报告和年报可以看出，2014年应收账款虚增了3213.27万元，估计不仅2014年应收账款造假，以前年度也可能出现造假行为。而在建工程由2010年的3万元到2012年的1298万元，且到2015年9月，在建工程增长到9382万元，增长速度之快，让人惊讶，仅仅2014年第三季度就比第二季度增长了11231.9万元，谜一样的增长速度，与同行业相比是不正常的。</w:t>
            </w:r>
          </w:p>
          <w:p w14:paraId="05C6165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(四)大股东将部分公司资金占为己用</w:t>
            </w:r>
          </w:p>
          <w:p w14:paraId="1B54E1E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根据金亚科技公开的2015年年报，该公司实际控制人周旭辉将2.2亿公司资金挪为已用，遭证监会调查后，周旭辉以其所持天象互动10%股权作为对价归还了占用的上市公司资金2.2亿元。</w:t>
            </w:r>
          </w:p>
        </w:tc>
      </w:tr>
      <w:tr w:rsidR="00B229A7" w14:paraId="6763F2D7" w14:textId="77777777">
        <w:tc>
          <w:tcPr>
            <w:tcW w:w="1980" w:type="dxa"/>
          </w:tcPr>
          <w:p w14:paraId="25B1992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294C18E6" w14:textId="77777777" w:rsidR="00B229A7" w:rsidRDefault="00D7072C">
            <w:pPr>
              <w:spacing w:line="276" w:lineRule="auto"/>
              <w:jc w:val="center"/>
              <w:rPr>
                <w:rFonts w:ascii="宋体" w:hAnsi="宋体"/>
                <w:b/>
                <w:color w:val="000000" w:themeColor="text1"/>
                <w:kern w:val="0"/>
                <w:szCs w:val="21"/>
              </w:rPr>
            </w:pPr>
            <w:r>
              <w:rPr>
                <w:rFonts w:ascii="宋体" w:hAnsi="宋体" w:hint="eastAsia"/>
                <w:b/>
                <w:color w:val="000000" w:themeColor="text1"/>
                <w:kern w:val="0"/>
                <w:szCs w:val="21"/>
              </w:rPr>
              <w:t>立信会计师事务所</w:t>
            </w:r>
          </w:p>
        </w:tc>
      </w:tr>
      <w:tr w:rsidR="00B229A7" w14:paraId="54CA7179" w14:textId="77777777">
        <w:tc>
          <w:tcPr>
            <w:tcW w:w="1980" w:type="dxa"/>
          </w:tcPr>
          <w:p w14:paraId="0068004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30DFFD1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法院认为，金亚科技在招股说明书中隐瞒重要事实、编造重大虚假内容，发行股票，数额巨大，被告人周旭辉作为公司直接负责的主管人员，被告人花纯国、郑林强作为公司其他直接责任人员，其行为均已构成欺诈发行股票罪。</w:t>
            </w:r>
          </w:p>
          <w:p w14:paraId="1BFD058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法院最终判决，金亚科技犯欺诈发行股票罪，判处罚金人民币392万元；被告人周旭辉数罪并罚，决定执行有期徒刑三年，缓刑五年，并处罚金人民币10万元，另有多个责任人也被判刑。</w:t>
            </w:r>
          </w:p>
        </w:tc>
      </w:tr>
      <w:tr w:rsidR="00B229A7" w14:paraId="309958EA" w14:textId="77777777">
        <w:tc>
          <w:tcPr>
            <w:tcW w:w="1980" w:type="dxa"/>
          </w:tcPr>
          <w:p w14:paraId="75700FD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552" w:type="dxa"/>
          </w:tcPr>
          <w:p w14:paraId="671C7F9F"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(一)加大公司治理力度，优化公司股权结构，完善公司内部控制</w:t>
            </w:r>
          </w:p>
          <w:p w14:paraId="4B58F2C5"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创业板的上市公司，一般公司治理结构都存在一定的问题，只是为了上市，新建立一套空壳的完善的公司治理结构，导致了内部控制名存实亡，本文认为，公司尤其是上市公司应该建立一套完整的内部控制体系，尤其是内部审计制度，完善内部审计体系，同时可以适当引进投资者，优化公司股权结构，从而改善公司治理现存的问题。</w:t>
            </w:r>
          </w:p>
          <w:p w14:paraId="2E663AA5"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(二)规范中介机构管理</w:t>
            </w:r>
          </w:p>
          <w:p w14:paraId="22E4A5EF"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公司能进行财务造假，与中介机构脱不了关系，中介机构面对丰厚的利润诱惑，违背自己的职业操守，帮助公司进行造假，严重损害投资者的利益，本文认为，中介机构要自身加强管理，加强诚信意识，遵守自己的职业操守；完善保荐人的业绩考核激励制度和选择项目的标准；审计机构自身要加强人员道德素质管理。</w:t>
            </w:r>
          </w:p>
          <w:p w14:paraId="38BE7B12"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(三)政府和监管机构要完善相应的法律法规，加大惩罚力度</w:t>
            </w:r>
          </w:p>
          <w:p w14:paraId="7E8432AF"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lastRenderedPageBreak/>
              <w:t>财务造假是一个永恒的话题，政府和监管机构要不断完善相关法律法规，减少法律漏洞，同时要加大这方面的刑事和行政处罚力度，减少财务造假事件的发生。</w:t>
            </w:r>
          </w:p>
        </w:tc>
      </w:tr>
      <w:tr w:rsidR="00B229A7" w14:paraId="2E780CDE" w14:textId="77777777">
        <w:tc>
          <w:tcPr>
            <w:tcW w:w="1980" w:type="dxa"/>
          </w:tcPr>
          <w:p w14:paraId="05F4CDD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552" w:type="dxa"/>
          </w:tcPr>
          <w:p w14:paraId="1B8A94B8" w14:textId="77777777" w:rsidR="00B229A7" w:rsidRDefault="00D7072C">
            <w:pPr>
              <w:widowControl/>
              <w:spacing w:line="276" w:lineRule="auto"/>
              <w:jc w:val="left"/>
              <w:rPr>
                <w:rFonts w:ascii="宋体" w:hAnsi="宋体"/>
                <w:color w:val="000000" w:themeColor="text1"/>
                <w:kern w:val="0"/>
                <w:szCs w:val="21"/>
              </w:rPr>
            </w:pPr>
            <w:r>
              <w:rPr>
                <w:rFonts w:ascii="宋体" w:hAnsi="宋体" w:hint="eastAsia"/>
                <w:color w:val="000000" w:themeColor="text1"/>
                <w:kern w:val="0"/>
                <w:szCs w:val="21"/>
              </w:rPr>
              <w:t>虚增货币资金、虚构工程款</w:t>
            </w:r>
          </w:p>
        </w:tc>
      </w:tr>
    </w:tbl>
    <w:p w14:paraId="4E927910" w14:textId="77777777" w:rsidR="00B229A7" w:rsidRDefault="00B229A7">
      <w:pPr>
        <w:spacing w:line="276" w:lineRule="auto"/>
        <w:rPr>
          <w:rFonts w:ascii="宋体" w:hAnsi="宋体"/>
          <w:color w:val="000000" w:themeColor="text1"/>
          <w:szCs w:val="21"/>
        </w:rPr>
      </w:pPr>
    </w:p>
    <w:p w14:paraId="643B418A" w14:textId="77777777" w:rsidR="00B229A7" w:rsidRDefault="00D7072C">
      <w:pPr>
        <w:pStyle w:val="1"/>
      </w:pPr>
      <w:bookmarkStart w:id="17" w:name="_Toc104812480"/>
      <w:bookmarkStart w:id="18" w:name="_Toc104812299"/>
      <w:bookmarkStart w:id="19" w:name="_Toc104812578"/>
      <w:r>
        <w:rPr>
          <w:rFonts w:hint="eastAsia"/>
        </w:rPr>
        <w:t>0</w:t>
      </w:r>
      <w:r>
        <w:t>5</w:t>
      </w:r>
      <w:r>
        <w:rPr>
          <w:rFonts w:hint="eastAsia"/>
        </w:rPr>
        <w:t>保千里财务造假</w:t>
      </w:r>
      <w:bookmarkEnd w:id="17"/>
      <w:bookmarkEnd w:id="18"/>
      <w:bookmarkEnd w:id="19"/>
    </w:p>
    <w:tbl>
      <w:tblPr>
        <w:tblStyle w:val="a4"/>
        <w:tblW w:w="8532" w:type="dxa"/>
        <w:tblLayout w:type="fixed"/>
        <w:tblLook w:val="04A0" w:firstRow="1" w:lastRow="0" w:firstColumn="1" w:lastColumn="0" w:noHBand="0" w:noVBand="1"/>
      </w:tblPr>
      <w:tblGrid>
        <w:gridCol w:w="1980"/>
        <w:gridCol w:w="6552"/>
      </w:tblGrid>
      <w:tr w:rsidR="00B229A7" w14:paraId="7D629DBC" w14:textId="77777777">
        <w:tc>
          <w:tcPr>
            <w:tcW w:w="1980" w:type="dxa"/>
          </w:tcPr>
          <w:p w14:paraId="504E261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6118543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1103</w:t>
            </w:r>
          </w:p>
        </w:tc>
      </w:tr>
      <w:tr w:rsidR="00B229A7" w14:paraId="3119D6FE" w14:textId="77777777">
        <w:tc>
          <w:tcPr>
            <w:tcW w:w="1980" w:type="dxa"/>
          </w:tcPr>
          <w:p w14:paraId="4B4A2F8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780D4B9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w:t>
            </w:r>
            <w:r>
              <w:rPr>
                <w:rFonts w:ascii="宋体" w:hAnsi="宋体" w:hint="eastAsia"/>
                <w:color w:val="000000" w:themeColor="text1"/>
                <w:kern w:val="0"/>
                <w:szCs w:val="21"/>
              </w:rPr>
              <w:t>互联网与IT业</w:t>
            </w:r>
          </w:p>
        </w:tc>
      </w:tr>
      <w:tr w:rsidR="00B229A7" w14:paraId="30923F24" w14:textId="77777777">
        <w:tc>
          <w:tcPr>
            <w:tcW w:w="1980" w:type="dxa"/>
          </w:tcPr>
          <w:p w14:paraId="4759A0E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547F3E9F" w14:textId="765F695A"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1</w:t>
            </w:r>
            <w:r>
              <w:rPr>
                <w:rFonts w:ascii="宋体" w:hAnsi="宋体" w:hint="eastAsia"/>
                <w:color w:val="000000" w:themeColor="text1"/>
                <w:kern w:val="0"/>
                <w:szCs w:val="21"/>
              </w:rPr>
              <w:t>9年</w:t>
            </w:r>
          </w:p>
        </w:tc>
      </w:tr>
      <w:tr w:rsidR="00B229A7" w14:paraId="3D2ECCE9" w14:textId="77777777">
        <w:tc>
          <w:tcPr>
            <w:tcW w:w="1980" w:type="dxa"/>
          </w:tcPr>
          <w:p w14:paraId="758D18B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40F975F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保千里视像科技集团股份有限公司</w:t>
            </w:r>
          </w:p>
        </w:tc>
      </w:tr>
      <w:tr w:rsidR="00B229A7" w14:paraId="48D11A46" w14:textId="77777777">
        <w:tc>
          <w:tcPr>
            <w:tcW w:w="1980" w:type="dxa"/>
          </w:tcPr>
          <w:p w14:paraId="4777D41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5B117C0E"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电子摄像技术、计算机软硬件研发、生产、销售、租赁</w:t>
            </w:r>
          </w:p>
        </w:tc>
      </w:tr>
      <w:tr w:rsidR="00B229A7" w14:paraId="173BAF98" w14:textId="77777777">
        <w:tc>
          <w:tcPr>
            <w:tcW w:w="1980" w:type="dxa"/>
          </w:tcPr>
          <w:p w14:paraId="18E9CC9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5C59A80C"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7690B83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保千里全称为江苏保千里视像科技集团股份有限公司，成立于</w:t>
            </w:r>
            <w:r>
              <w:rPr>
                <w:rFonts w:ascii="宋体" w:hAnsi="宋体"/>
                <w:color w:val="000000" w:themeColor="text1"/>
                <w:kern w:val="0"/>
                <w:szCs w:val="21"/>
              </w:rPr>
              <w:t xml:space="preserve">1997 </w:t>
            </w:r>
            <w:r>
              <w:rPr>
                <w:rFonts w:ascii="宋体" w:hAnsi="宋体" w:hint="eastAsia"/>
                <w:color w:val="000000" w:themeColor="text1"/>
                <w:kern w:val="0"/>
                <w:szCs w:val="21"/>
              </w:rPr>
              <w:t>年</w:t>
            </w:r>
            <w:r>
              <w:rPr>
                <w:rFonts w:ascii="宋体" w:hAnsi="宋体"/>
                <w:color w:val="000000" w:themeColor="text1"/>
                <w:kern w:val="0"/>
                <w:szCs w:val="21"/>
              </w:rPr>
              <w:t xml:space="preserve">6 </w:t>
            </w:r>
            <w:r>
              <w:rPr>
                <w:rFonts w:ascii="宋体" w:hAnsi="宋体" w:hint="eastAsia"/>
                <w:color w:val="000000" w:themeColor="text1"/>
                <w:kern w:val="0"/>
                <w:szCs w:val="21"/>
              </w:rPr>
              <w:t>月</w:t>
            </w:r>
            <w:r>
              <w:rPr>
                <w:rFonts w:ascii="宋体" w:hAnsi="宋体"/>
                <w:color w:val="000000" w:themeColor="text1"/>
                <w:kern w:val="0"/>
                <w:szCs w:val="21"/>
              </w:rPr>
              <w:t>18</w:t>
            </w:r>
            <w:r>
              <w:rPr>
                <w:rFonts w:ascii="宋体" w:hAnsi="宋体" w:hint="eastAsia"/>
                <w:color w:val="000000" w:themeColor="text1"/>
                <w:kern w:val="0"/>
                <w:szCs w:val="21"/>
              </w:rPr>
              <w:t xml:space="preserve">日，公司法定代表人为庄敏。保千里于 </w:t>
            </w:r>
            <w:r>
              <w:rPr>
                <w:rFonts w:ascii="宋体" w:hAnsi="宋体"/>
                <w:color w:val="000000" w:themeColor="text1"/>
                <w:kern w:val="0"/>
                <w:szCs w:val="21"/>
              </w:rPr>
              <w:t xml:space="preserve">2015 </w:t>
            </w:r>
            <w:r>
              <w:rPr>
                <w:rFonts w:ascii="宋体" w:hAnsi="宋体" w:hint="eastAsia"/>
                <w:color w:val="000000" w:themeColor="text1"/>
                <w:kern w:val="0"/>
                <w:szCs w:val="21"/>
              </w:rPr>
              <w:t>年</w:t>
            </w:r>
            <w:r>
              <w:rPr>
                <w:rFonts w:ascii="宋体" w:hAnsi="宋体"/>
                <w:color w:val="000000" w:themeColor="text1"/>
                <w:kern w:val="0"/>
                <w:szCs w:val="21"/>
              </w:rPr>
              <w:t>4</w:t>
            </w:r>
            <w:r>
              <w:rPr>
                <w:rFonts w:ascii="宋体" w:hAnsi="宋体" w:hint="eastAsia"/>
                <w:color w:val="000000" w:themeColor="text1"/>
                <w:kern w:val="0"/>
                <w:szCs w:val="21"/>
              </w:rPr>
              <w:t>月</w:t>
            </w:r>
            <w:r>
              <w:rPr>
                <w:rFonts w:ascii="宋体" w:hAnsi="宋体"/>
                <w:color w:val="000000" w:themeColor="text1"/>
                <w:kern w:val="0"/>
                <w:szCs w:val="21"/>
              </w:rPr>
              <w:t>2</w:t>
            </w:r>
            <w:r>
              <w:rPr>
                <w:rFonts w:ascii="宋体" w:hAnsi="宋体" w:hint="eastAsia"/>
                <w:color w:val="000000" w:themeColor="text1"/>
                <w:kern w:val="0"/>
                <w:szCs w:val="21"/>
              </w:rPr>
              <w:t xml:space="preserve">日借壳中达股份上市，庄敏持有保千里 </w:t>
            </w:r>
            <w:r>
              <w:rPr>
                <w:rFonts w:ascii="宋体" w:hAnsi="宋体"/>
                <w:color w:val="000000" w:themeColor="text1"/>
                <w:kern w:val="0"/>
                <w:szCs w:val="21"/>
              </w:rPr>
              <w:t>37%</w:t>
            </w:r>
            <w:r>
              <w:rPr>
                <w:rFonts w:ascii="宋体" w:hAnsi="宋体" w:hint="eastAsia"/>
                <w:color w:val="000000" w:themeColor="text1"/>
                <w:kern w:val="0"/>
                <w:szCs w:val="21"/>
              </w:rPr>
              <w:t xml:space="preserve">的股份，是保千里的第一大股东。公司主营业务为安防监控设备、夜视仪商用液晶屏等高端视像产品的研发、生产和销售等。保千里下属电子视像业务公司主要经营范围有为客户提供高端视像解决方案，电子产品、计算机软硬件的研发及销售。主要产品有打令 </w:t>
            </w:r>
            <w:r>
              <w:rPr>
                <w:rFonts w:ascii="宋体" w:hAnsi="宋体"/>
                <w:color w:val="000000" w:themeColor="text1"/>
                <w:kern w:val="0"/>
                <w:szCs w:val="21"/>
              </w:rPr>
              <w:t xml:space="preserve">VR </w:t>
            </w:r>
            <w:r>
              <w:rPr>
                <w:rFonts w:ascii="宋体" w:hAnsi="宋体" w:hint="eastAsia"/>
                <w:color w:val="000000" w:themeColor="text1"/>
                <w:kern w:val="0"/>
                <w:szCs w:val="21"/>
              </w:rPr>
              <w:t xml:space="preserve">手机、智联宝、汽车夜视仪等。 </w:t>
            </w:r>
          </w:p>
          <w:p w14:paraId="28F8DADF" w14:textId="77777777" w:rsidR="00B229A7" w:rsidRDefault="00B229A7">
            <w:pPr>
              <w:spacing w:line="276" w:lineRule="auto"/>
              <w:rPr>
                <w:rFonts w:ascii="宋体" w:hAnsi="宋体"/>
                <w:b/>
                <w:color w:val="000000" w:themeColor="text1"/>
                <w:kern w:val="0"/>
                <w:szCs w:val="21"/>
              </w:rPr>
            </w:pPr>
          </w:p>
          <w:p w14:paraId="6DF16743"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611375C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 xml:space="preserve">2014 </w:t>
            </w:r>
            <w:r>
              <w:rPr>
                <w:rFonts w:ascii="宋体" w:hAnsi="宋体" w:hint="eastAsia"/>
                <w:color w:val="000000" w:themeColor="text1"/>
                <w:kern w:val="0"/>
                <w:szCs w:val="21"/>
              </w:rPr>
              <w:t>年</w:t>
            </w:r>
            <w:r>
              <w:rPr>
                <w:rFonts w:ascii="宋体" w:hAnsi="宋体"/>
                <w:color w:val="000000" w:themeColor="text1"/>
                <w:kern w:val="0"/>
                <w:szCs w:val="21"/>
              </w:rPr>
              <w:t>5</w:t>
            </w:r>
            <w:r>
              <w:rPr>
                <w:rFonts w:ascii="宋体" w:hAnsi="宋体" w:hint="eastAsia"/>
                <w:color w:val="000000" w:themeColor="text1"/>
                <w:kern w:val="0"/>
                <w:szCs w:val="21"/>
              </w:rPr>
              <w:t>月</w:t>
            </w:r>
            <w:r>
              <w:rPr>
                <w:rFonts w:ascii="宋体" w:hAnsi="宋体"/>
                <w:color w:val="000000" w:themeColor="text1"/>
                <w:kern w:val="0"/>
                <w:szCs w:val="21"/>
              </w:rPr>
              <w:t>26</w:t>
            </w:r>
            <w:r>
              <w:rPr>
                <w:rFonts w:ascii="宋体" w:hAnsi="宋体" w:hint="eastAsia"/>
                <w:color w:val="000000" w:themeColor="text1"/>
                <w:kern w:val="0"/>
                <w:szCs w:val="21"/>
              </w:rPr>
              <w:t xml:space="preserve">日，中达股份发布了重组预案，预案指出，中达股份拟向其控股股东申达集团出售中达股份截止本次交易基准日的全部资产、负债和业务。中达股份拟通过非公开发行股份的方式，向庄敏、日昇创沅、陈海昌、庄明及蒋俊杰这五位发行对象购买其合计持有的保千里的 </w:t>
            </w:r>
            <w:r>
              <w:rPr>
                <w:rFonts w:ascii="宋体" w:hAnsi="宋体"/>
                <w:color w:val="000000" w:themeColor="text1"/>
                <w:kern w:val="0"/>
                <w:szCs w:val="21"/>
              </w:rPr>
              <w:t>100%</w:t>
            </w:r>
            <w:r>
              <w:rPr>
                <w:rFonts w:ascii="宋体" w:hAnsi="宋体" w:hint="eastAsia"/>
                <w:color w:val="000000" w:themeColor="text1"/>
                <w:kern w:val="0"/>
                <w:szCs w:val="21"/>
              </w:rPr>
              <w:t>股权。拟购买的总资产的估值不超过</w:t>
            </w:r>
            <w:r>
              <w:rPr>
                <w:rFonts w:ascii="宋体" w:hAnsi="宋体"/>
                <w:color w:val="000000" w:themeColor="text1"/>
                <w:kern w:val="0"/>
                <w:szCs w:val="21"/>
              </w:rPr>
              <w:t>30</w:t>
            </w:r>
            <w:r>
              <w:rPr>
                <w:rFonts w:ascii="宋体" w:hAnsi="宋体" w:hint="eastAsia"/>
                <w:color w:val="000000" w:themeColor="text1"/>
                <w:kern w:val="0"/>
                <w:szCs w:val="21"/>
              </w:rPr>
              <w:t xml:space="preserve">亿元，共计发行数量不超过 </w:t>
            </w:r>
            <w:r>
              <w:rPr>
                <w:rFonts w:ascii="宋体" w:hAnsi="宋体"/>
                <w:color w:val="000000" w:themeColor="text1"/>
                <w:kern w:val="0"/>
                <w:szCs w:val="21"/>
              </w:rPr>
              <w:t xml:space="preserve">14.15 </w:t>
            </w:r>
            <w:r>
              <w:rPr>
                <w:rFonts w:ascii="宋体" w:hAnsi="宋体" w:hint="eastAsia"/>
                <w:color w:val="000000" w:themeColor="text1"/>
                <w:kern w:val="0"/>
                <w:szCs w:val="21"/>
              </w:rPr>
              <w:t>亿股，发行价格为每股</w:t>
            </w:r>
            <w:r>
              <w:rPr>
                <w:rFonts w:ascii="宋体" w:hAnsi="宋体"/>
                <w:color w:val="000000" w:themeColor="text1"/>
                <w:kern w:val="0"/>
                <w:szCs w:val="21"/>
              </w:rPr>
              <w:t>2.12</w:t>
            </w:r>
            <w:r>
              <w:rPr>
                <w:rFonts w:ascii="宋体" w:hAnsi="宋体" w:hint="eastAsia"/>
                <w:color w:val="000000" w:themeColor="text1"/>
                <w:kern w:val="0"/>
                <w:szCs w:val="21"/>
              </w:rPr>
              <w:t>元。交易完成后，公司实际控制人由原控制人变更为庄敏。以上重组预案于</w:t>
            </w:r>
            <w:r>
              <w:rPr>
                <w:rFonts w:ascii="宋体" w:hAnsi="宋体"/>
                <w:color w:val="000000" w:themeColor="text1"/>
                <w:kern w:val="0"/>
                <w:szCs w:val="21"/>
              </w:rPr>
              <w:t>2015</w:t>
            </w:r>
            <w:r>
              <w:rPr>
                <w:rFonts w:ascii="宋体" w:hAnsi="宋体" w:hint="eastAsia"/>
                <w:color w:val="000000" w:themeColor="text1"/>
                <w:kern w:val="0"/>
                <w:szCs w:val="21"/>
              </w:rPr>
              <w:t>年</w:t>
            </w:r>
            <w:r>
              <w:rPr>
                <w:rFonts w:ascii="宋体" w:hAnsi="宋体"/>
                <w:color w:val="000000" w:themeColor="text1"/>
                <w:kern w:val="0"/>
                <w:szCs w:val="21"/>
              </w:rPr>
              <w:t>3</w:t>
            </w:r>
            <w:r>
              <w:rPr>
                <w:rFonts w:ascii="宋体" w:hAnsi="宋体" w:hint="eastAsia"/>
                <w:color w:val="000000" w:themeColor="text1"/>
                <w:kern w:val="0"/>
                <w:szCs w:val="21"/>
              </w:rPr>
              <w:t>月完成，</w:t>
            </w:r>
            <w:r>
              <w:rPr>
                <w:rFonts w:ascii="宋体" w:hAnsi="宋体"/>
                <w:color w:val="000000" w:themeColor="text1"/>
                <w:kern w:val="0"/>
                <w:szCs w:val="21"/>
              </w:rPr>
              <w:t>2015</w:t>
            </w:r>
            <w:r>
              <w:rPr>
                <w:rFonts w:ascii="宋体" w:hAnsi="宋体" w:hint="eastAsia"/>
                <w:color w:val="000000" w:themeColor="text1"/>
                <w:kern w:val="0"/>
                <w:szCs w:val="21"/>
              </w:rPr>
              <w:t>年</w:t>
            </w:r>
            <w:r>
              <w:rPr>
                <w:rFonts w:ascii="宋体" w:hAnsi="宋体"/>
                <w:color w:val="000000" w:themeColor="text1"/>
                <w:kern w:val="0"/>
                <w:szCs w:val="21"/>
              </w:rPr>
              <w:t>5</w:t>
            </w:r>
            <w:r>
              <w:rPr>
                <w:rFonts w:ascii="宋体" w:hAnsi="宋体" w:hint="eastAsia"/>
                <w:color w:val="000000" w:themeColor="text1"/>
                <w:kern w:val="0"/>
                <w:szCs w:val="21"/>
              </w:rPr>
              <w:t>月，中达股份正式更名为保千里，</w:t>
            </w:r>
            <w:r>
              <w:rPr>
                <w:rFonts w:ascii="宋体" w:hAnsi="宋体"/>
                <w:color w:val="000000" w:themeColor="text1"/>
                <w:kern w:val="0"/>
                <w:szCs w:val="21"/>
              </w:rPr>
              <w:t xml:space="preserve">2015 </w:t>
            </w:r>
            <w:r>
              <w:rPr>
                <w:rFonts w:ascii="宋体" w:hAnsi="宋体" w:hint="eastAsia"/>
                <w:color w:val="000000" w:themeColor="text1"/>
                <w:kern w:val="0"/>
                <w:szCs w:val="21"/>
              </w:rPr>
              <w:t>年上半年公司股价暴涨近</w:t>
            </w:r>
            <w:r>
              <w:rPr>
                <w:rFonts w:ascii="宋体" w:hAnsi="宋体"/>
                <w:color w:val="000000" w:themeColor="text1"/>
                <w:kern w:val="0"/>
                <w:szCs w:val="21"/>
              </w:rPr>
              <w:t>400%</w:t>
            </w:r>
            <w:r>
              <w:rPr>
                <w:rFonts w:ascii="宋体" w:hAnsi="宋体" w:hint="eastAsia"/>
                <w:color w:val="000000" w:themeColor="text1"/>
                <w:kern w:val="0"/>
                <w:szCs w:val="21"/>
              </w:rPr>
              <w:t xml:space="preserve">。 </w:t>
            </w:r>
          </w:p>
          <w:p w14:paraId="4299C6E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 xml:space="preserve">至此，保千里完成了借壳上市，股东庄敏、日昇创沅、陈海昌、庄明、蒋俊杰对公 司此后三年的净利润做出了承诺，承诺保千里 </w:t>
            </w:r>
            <w:r>
              <w:rPr>
                <w:rFonts w:ascii="宋体" w:hAnsi="宋体"/>
                <w:color w:val="000000" w:themeColor="text1"/>
                <w:kern w:val="0"/>
                <w:szCs w:val="21"/>
              </w:rPr>
              <w:t xml:space="preserve">2015 </w:t>
            </w:r>
            <w:r>
              <w:rPr>
                <w:rFonts w:ascii="宋体" w:hAnsi="宋体" w:hint="eastAsia"/>
                <w:color w:val="000000" w:themeColor="text1"/>
                <w:kern w:val="0"/>
                <w:szCs w:val="21"/>
              </w:rPr>
              <w:t>年度、</w:t>
            </w:r>
            <w:r>
              <w:rPr>
                <w:rFonts w:ascii="宋体" w:hAnsi="宋体"/>
                <w:color w:val="000000" w:themeColor="text1"/>
                <w:kern w:val="0"/>
                <w:szCs w:val="21"/>
              </w:rPr>
              <w:t xml:space="preserve">2016 </w:t>
            </w:r>
            <w:r>
              <w:rPr>
                <w:rFonts w:ascii="宋体" w:hAnsi="宋体" w:hint="eastAsia"/>
                <w:color w:val="000000" w:themeColor="text1"/>
                <w:kern w:val="0"/>
                <w:szCs w:val="21"/>
              </w:rPr>
              <w:t>年度</w:t>
            </w:r>
            <w:r>
              <w:rPr>
                <w:rFonts w:ascii="宋体" w:hAnsi="宋体"/>
                <w:color w:val="000000" w:themeColor="text1"/>
                <w:kern w:val="0"/>
                <w:szCs w:val="21"/>
              </w:rPr>
              <w:t>2017</w:t>
            </w:r>
            <w:r>
              <w:rPr>
                <w:rFonts w:ascii="宋体" w:hAnsi="宋体" w:hint="eastAsia"/>
                <w:color w:val="000000" w:themeColor="text1"/>
                <w:kern w:val="0"/>
                <w:szCs w:val="21"/>
              </w:rPr>
              <w:t xml:space="preserve">年度扣除 非经常性损益后的预测净利润分别不低于 </w:t>
            </w:r>
            <w:r>
              <w:rPr>
                <w:rFonts w:ascii="宋体" w:hAnsi="宋体"/>
                <w:color w:val="000000" w:themeColor="text1"/>
                <w:kern w:val="0"/>
                <w:szCs w:val="21"/>
              </w:rPr>
              <w:t xml:space="preserve">2.83 </w:t>
            </w:r>
            <w:r>
              <w:rPr>
                <w:rFonts w:ascii="宋体" w:hAnsi="宋体" w:hint="eastAsia"/>
                <w:color w:val="000000" w:themeColor="text1"/>
                <w:kern w:val="0"/>
                <w:szCs w:val="21"/>
              </w:rPr>
              <w:t>亿元、</w:t>
            </w:r>
            <w:r>
              <w:rPr>
                <w:rFonts w:ascii="宋体" w:hAnsi="宋体"/>
                <w:color w:val="000000" w:themeColor="text1"/>
                <w:kern w:val="0"/>
                <w:szCs w:val="21"/>
              </w:rPr>
              <w:t xml:space="preserve">3.66 </w:t>
            </w:r>
            <w:r>
              <w:rPr>
                <w:rFonts w:ascii="宋体" w:hAnsi="宋体" w:hint="eastAsia"/>
                <w:color w:val="000000" w:themeColor="text1"/>
                <w:kern w:val="0"/>
                <w:szCs w:val="21"/>
              </w:rPr>
              <w:t>亿元、</w:t>
            </w:r>
            <w:r>
              <w:rPr>
                <w:rFonts w:ascii="宋体" w:hAnsi="宋体"/>
                <w:color w:val="000000" w:themeColor="text1"/>
                <w:kern w:val="0"/>
                <w:szCs w:val="21"/>
              </w:rPr>
              <w:t>4.44</w:t>
            </w:r>
            <w:r>
              <w:rPr>
                <w:rFonts w:ascii="宋体" w:hAnsi="宋体" w:hint="eastAsia"/>
                <w:color w:val="000000" w:themeColor="text1"/>
                <w:kern w:val="0"/>
                <w:szCs w:val="21"/>
              </w:rPr>
              <w:t xml:space="preserve">亿元。 </w:t>
            </w:r>
          </w:p>
          <w:p w14:paraId="2071736D" w14:textId="77777777" w:rsidR="00B229A7" w:rsidRDefault="00B229A7">
            <w:pPr>
              <w:spacing w:line="276" w:lineRule="auto"/>
              <w:rPr>
                <w:rFonts w:ascii="宋体" w:hAnsi="宋体"/>
                <w:b/>
                <w:color w:val="000000" w:themeColor="text1"/>
                <w:kern w:val="0"/>
                <w:szCs w:val="21"/>
              </w:rPr>
            </w:pPr>
          </w:p>
          <w:p w14:paraId="3B65E3B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4EDD58B1" w14:textId="77777777" w:rsidR="00B229A7" w:rsidRDefault="00D7072C">
            <w:pPr>
              <w:spacing w:line="276" w:lineRule="auto"/>
              <w:rPr>
                <w:rFonts w:ascii="宋体" w:hAnsi="宋体"/>
                <w:bCs/>
                <w:color w:val="000000" w:themeColor="text1"/>
                <w:kern w:val="0"/>
                <w:szCs w:val="21"/>
              </w:rPr>
            </w:pPr>
            <w:r>
              <w:rPr>
                <w:rFonts w:ascii="宋体" w:hAnsi="宋体"/>
                <w:b/>
                <w:bCs/>
                <w:color w:val="000000" w:themeColor="text1"/>
                <w:kern w:val="0"/>
                <w:szCs w:val="21"/>
              </w:rPr>
              <w:tab/>
            </w:r>
            <w:r>
              <w:rPr>
                <w:rFonts w:ascii="宋体" w:hAnsi="宋体"/>
                <w:bCs/>
                <w:color w:val="000000" w:themeColor="text1"/>
                <w:kern w:val="0"/>
                <w:szCs w:val="21"/>
              </w:rPr>
              <w:t>2017</w:t>
            </w:r>
            <w:r>
              <w:rPr>
                <w:rFonts w:ascii="宋体" w:hAnsi="宋体" w:hint="eastAsia"/>
                <w:bCs/>
                <w:color w:val="000000" w:themeColor="text1"/>
                <w:kern w:val="0"/>
                <w:szCs w:val="21"/>
              </w:rPr>
              <w:t>年</w:t>
            </w:r>
            <w:r>
              <w:rPr>
                <w:rFonts w:ascii="宋体" w:hAnsi="宋体"/>
                <w:bCs/>
                <w:color w:val="000000" w:themeColor="text1"/>
                <w:kern w:val="0"/>
                <w:szCs w:val="21"/>
              </w:rPr>
              <w:t>12</w:t>
            </w:r>
            <w:r>
              <w:rPr>
                <w:rFonts w:ascii="宋体" w:hAnsi="宋体" w:hint="eastAsia"/>
                <w:bCs/>
                <w:color w:val="000000" w:themeColor="text1"/>
                <w:kern w:val="0"/>
                <w:szCs w:val="21"/>
              </w:rPr>
              <w:t xml:space="preserve">月，保千里在公告中宣布:原实际控制人庄敏涉嫌以多种手段侵占上市公司利益。公告称，发现由庄敏主导的对外投资、大额预付账款交易、违规担保等事项存在诸多疑点，董事会决定公司向证券监管部门及公安机关报案，进一步仔细核查问题，并通过司法途径最大限度追回公司损失，维护公司及广大投资者的合法权益。 </w:t>
            </w:r>
          </w:p>
          <w:p w14:paraId="1CA05226" w14:textId="77777777" w:rsidR="00B229A7" w:rsidRDefault="00B229A7">
            <w:pPr>
              <w:spacing w:line="276" w:lineRule="auto"/>
              <w:rPr>
                <w:rFonts w:ascii="宋体" w:hAnsi="宋体"/>
                <w:b/>
                <w:color w:val="000000" w:themeColor="text1"/>
                <w:kern w:val="0"/>
                <w:szCs w:val="21"/>
              </w:rPr>
            </w:pPr>
          </w:p>
          <w:p w14:paraId="4D7C3918"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【保千里财务造假分析】</w:t>
            </w:r>
          </w:p>
          <w:p w14:paraId="31A73DE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一、未按规定披露关联方及关联交易</w:t>
            </w:r>
          </w:p>
          <w:p w14:paraId="77FE041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2015年至2017年9月，保千里实际控制人、时任保千里董事长庄敏以扶持小微企业为名，与深圳市车米云图科技有限公司、深圳市心悦云端技术有限公司、广州优果蔬网络科技有限公司等共20家小微企业合作，实际控制了上述企业的经营和财务。庄敏指挥其下属以投资名义为这些小微企业注入资金，用于购买保千里的产品，并使用上述企业银行账户进行具体的采购付款操作。根据《企业会计准则第36号-关联方披露》第三条的规定，这20家小微企业属于庄敏控制的企业，与保千里构成关联方，其与保千里之间的购销业务属于关联交易。</w:t>
            </w:r>
          </w:p>
          <w:p w14:paraId="66EF729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二、未按规定披露对外担保情况</w:t>
            </w:r>
          </w:p>
          <w:p w14:paraId="0B0B15E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2016年至2017年，保千里下属子公司深圳市保千里电子有限公司（以下简称保千里电子）、深圳市图雅丽特种技术有限公司在深圳南山宝生村镇银行股份有限公司和洛银金融租赁公司为深圳志豪供应链有限公司、深圳市同威盛世科技有限公司等12家企业共计12笔借款提供担保，金额总计7.05亿。保千里未就上述担保进行临时信息披露，也未在当期年度报告和半年度报告中予以披露。</w:t>
            </w:r>
          </w:p>
          <w:p w14:paraId="4353B74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三、未按规定披露大股东股份被司法冻结事项</w:t>
            </w:r>
          </w:p>
          <w:p w14:paraId="7DAAE46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2017年9月12日，庄敏所持有保千里1亿股股份被江苏省南京市中级人民法院执行司法冻结；2017年9月25日，庄敏所持公司股份0.68亿股被湖南省高级人民法院执行司法冻结。保千里未及时进行信息披露。</w:t>
            </w:r>
          </w:p>
          <w:p w14:paraId="2009137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以上事实，有上市公司定期报告、上市公司会议文件、相关人员询问笔录、涉案银行账户转账记录、有关财务凭证、保证合同等证据证明，足以认定。</w:t>
            </w:r>
          </w:p>
        </w:tc>
      </w:tr>
      <w:tr w:rsidR="00B229A7" w14:paraId="077C8A3F" w14:textId="77777777">
        <w:tc>
          <w:tcPr>
            <w:tcW w:w="1980" w:type="dxa"/>
          </w:tcPr>
          <w:p w14:paraId="67CC100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1A8F5354" w14:textId="77777777" w:rsidR="00B229A7" w:rsidRDefault="00D7072C">
            <w:pPr>
              <w:spacing w:line="276" w:lineRule="auto"/>
              <w:jc w:val="center"/>
              <w:rPr>
                <w:rFonts w:ascii="宋体" w:hAnsi="宋体"/>
                <w:b/>
                <w:color w:val="000000" w:themeColor="text1"/>
                <w:kern w:val="0"/>
                <w:szCs w:val="21"/>
              </w:rPr>
            </w:pPr>
            <w:r>
              <w:rPr>
                <w:rFonts w:ascii="宋体" w:hAnsi="宋体" w:hint="eastAsia"/>
                <w:b/>
                <w:color w:val="000000" w:themeColor="text1"/>
                <w:kern w:val="0"/>
                <w:szCs w:val="21"/>
              </w:rPr>
              <w:t>立信</w:t>
            </w:r>
            <w:r>
              <w:rPr>
                <w:rFonts w:ascii="宋体" w:hAnsi="宋体"/>
                <w:b/>
                <w:color w:val="000000" w:themeColor="text1"/>
                <w:kern w:val="0"/>
                <w:szCs w:val="21"/>
              </w:rPr>
              <w:t>会计师事务所</w:t>
            </w:r>
          </w:p>
        </w:tc>
      </w:tr>
      <w:tr w:rsidR="00B229A7" w14:paraId="76DE436A" w14:textId="77777777">
        <w:tc>
          <w:tcPr>
            <w:tcW w:w="1980" w:type="dxa"/>
          </w:tcPr>
          <w:p w14:paraId="4FD0465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04282F7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一、依据《证券法》第二百一十四条的规定，对庄敏责令改正，给予警告，并处以60万元罚款；对陈海昌、庄明、蒋俊杰责令改正，给予警告，并分别处以15万元罚款。</w:t>
            </w:r>
          </w:p>
          <w:p w14:paraId="14B174E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二、依据《证券法》第一百九十三条第一款的规定，对保千里责</w:t>
            </w:r>
            <w:r>
              <w:rPr>
                <w:rFonts w:ascii="宋体" w:hAnsi="宋体" w:hint="eastAsia"/>
                <w:color w:val="000000" w:themeColor="text1"/>
                <w:kern w:val="0"/>
                <w:szCs w:val="21"/>
              </w:rPr>
              <w:lastRenderedPageBreak/>
              <w:t>令改正，给予警告，并处以40万元罚款；对童爱平、王务云给予警告，并分别处以20万元罚款；对林硕奇、王培琴、茅建华、费滨海、沙智慧给予警告，并分别处以10万元罚款。</w:t>
            </w:r>
          </w:p>
        </w:tc>
      </w:tr>
      <w:tr w:rsidR="00B229A7" w14:paraId="5AA95732" w14:textId="77777777">
        <w:tc>
          <w:tcPr>
            <w:tcW w:w="1980" w:type="dxa"/>
          </w:tcPr>
          <w:p w14:paraId="47CD2BA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552" w:type="dxa"/>
          </w:tcPr>
          <w:p w14:paraId="250F652E"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rPr>
              <w:t>关联方交易、违规担保</w:t>
            </w:r>
          </w:p>
        </w:tc>
      </w:tr>
    </w:tbl>
    <w:p w14:paraId="2D830FED" w14:textId="77777777" w:rsidR="00B229A7" w:rsidRDefault="00B229A7">
      <w:pPr>
        <w:spacing w:line="276" w:lineRule="auto"/>
        <w:rPr>
          <w:rFonts w:ascii="宋体" w:hAnsi="宋体"/>
          <w:color w:val="000000" w:themeColor="text1"/>
          <w:szCs w:val="21"/>
        </w:rPr>
      </w:pPr>
    </w:p>
    <w:p w14:paraId="1806CD1E" w14:textId="77777777" w:rsidR="00B229A7" w:rsidRDefault="00D7072C">
      <w:pPr>
        <w:pStyle w:val="1"/>
      </w:pPr>
      <w:bookmarkStart w:id="20" w:name="_Toc104812579"/>
      <w:bookmarkStart w:id="21" w:name="_Toc104812481"/>
      <w:bookmarkStart w:id="22" w:name="_Toc104812300"/>
      <w:r>
        <w:rPr>
          <w:rFonts w:hint="eastAsia"/>
        </w:rPr>
        <w:t>0</w:t>
      </w:r>
      <w:r>
        <w:t>6</w:t>
      </w:r>
      <w:r>
        <w:rPr>
          <w:rFonts w:hint="eastAsia"/>
        </w:rPr>
        <w:t>蓝山科技财务造假</w:t>
      </w:r>
      <w:bookmarkEnd w:id="20"/>
      <w:bookmarkEnd w:id="21"/>
      <w:bookmarkEnd w:id="22"/>
    </w:p>
    <w:tbl>
      <w:tblPr>
        <w:tblStyle w:val="a4"/>
        <w:tblW w:w="8532" w:type="dxa"/>
        <w:tblLayout w:type="fixed"/>
        <w:tblLook w:val="04A0" w:firstRow="1" w:lastRow="0" w:firstColumn="1" w:lastColumn="0" w:noHBand="0" w:noVBand="1"/>
      </w:tblPr>
      <w:tblGrid>
        <w:gridCol w:w="1980"/>
        <w:gridCol w:w="6552"/>
      </w:tblGrid>
      <w:tr w:rsidR="00B229A7" w14:paraId="6F26D5F2" w14:textId="77777777">
        <w:tc>
          <w:tcPr>
            <w:tcW w:w="1980" w:type="dxa"/>
          </w:tcPr>
          <w:p w14:paraId="57F7BF7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5678B0E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1104</w:t>
            </w:r>
          </w:p>
        </w:tc>
      </w:tr>
      <w:tr w:rsidR="00B229A7" w14:paraId="55CE27CE" w14:textId="77777777">
        <w:tc>
          <w:tcPr>
            <w:tcW w:w="1980" w:type="dxa"/>
          </w:tcPr>
          <w:p w14:paraId="3FEA8AD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23DC4EF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w:t>
            </w:r>
            <w:r>
              <w:rPr>
                <w:rFonts w:ascii="宋体" w:hAnsi="宋体" w:hint="eastAsia"/>
                <w:color w:val="000000" w:themeColor="text1"/>
                <w:kern w:val="0"/>
                <w:szCs w:val="21"/>
              </w:rPr>
              <w:t>互联网与IT业</w:t>
            </w:r>
          </w:p>
        </w:tc>
      </w:tr>
      <w:tr w:rsidR="00B229A7" w14:paraId="6F071D9D" w14:textId="77777777">
        <w:tc>
          <w:tcPr>
            <w:tcW w:w="1980" w:type="dxa"/>
          </w:tcPr>
          <w:p w14:paraId="60D9EE0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238CE3A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22</w:t>
            </w:r>
            <w:r>
              <w:rPr>
                <w:rFonts w:ascii="宋体" w:hAnsi="宋体" w:hint="eastAsia"/>
                <w:color w:val="000000" w:themeColor="text1"/>
                <w:kern w:val="0"/>
                <w:szCs w:val="21"/>
              </w:rPr>
              <w:t>年</w:t>
            </w:r>
          </w:p>
        </w:tc>
      </w:tr>
      <w:tr w:rsidR="00B229A7" w14:paraId="3E029912" w14:textId="77777777">
        <w:tc>
          <w:tcPr>
            <w:tcW w:w="1980" w:type="dxa"/>
          </w:tcPr>
          <w:p w14:paraId="7F0811F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73A5E30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北京蓝山科技股份有限公司</w:t>
            </w:r>
          </w:p>
        </w:tc>
      </w:tr>
      <w:tr w:rsidR="00B229A7" w14:paraId="6A3A3528" w14:textId="77777777">
        <w:tc>
          <w:tcPr>
            <w:tcW w:w="1980" w:type="dxa"/>
          </w:tcPr>
          <w:p w14:paraId="04B71D3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7FE75F26"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生产光纤收发器、IP交换机、光端机；研发光纤收发器、IP交换机、光端机；系统控制软件的开发、转让；技术咨询、技术服务、技术培训。</w:t>
            </w:r>
          </w:p>
        </w:tc>
      </w:tr>
      <w:tr w:rsidR="00B229A7" w14:paraId="47CDE1F7" w14:textId="77777777">
        <w:tc>
          <w:tcPr>
            <w:tcW w:w="1980" w:type="dxa"/>
          </w:tcPr>
          <w:p w14:paraId="56161F3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29B85919"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03EDEF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北京蓝山科技股份有限公司于2005-09-20在</w:t>
            </w:r>
            <w:r>
              <w:rPr>
                <w:rFonts w:ascii="宋体" w:hAnsi="宋体" w:hint="eastAsia"/>
                <w:color w:val="000000" w:themeColor="text1"/>
                <w:kern w:val="0"/>
                <w:szCs w:val="21"/>
              </w:rPr>
              <w:t>北京市工商行政管理局</w:t>
            </w:r>
            <w:r>
              <w:rPr>
                <w:rFonts w:ascii="宋体" w:hAnsi="宋体"/>
                <w:color w:val="000000" w:themeColor="text1"/>
                <w:kern w:val="0"/>
                <w:szCs w:val="21"/>
              </w:rPr>
              <w:t>（登记业务及档案查询在所在地工商分局办理。）登记成立。法定代表人谭澍，公司经营范围包括生产光纤收发器、IP交换机、光端机（限分支机构经营）等。</w:t>
            </w:r>
          </w:p>
          <w:p w14:paraId="26FB6246" w14:textId="77777777" w:rsidR="00B229A7" w:rsidRDefault="00B229A7">
            <w:pPr>
              <w:spacing w:line="276" w:lineRule="auto"/>
              <w:rPr>
                <w:rFonts w:ascii="宋体" w:hAnsi="宋体"/>
                <w:b/>
                <w:color w:val="000000" w:themeColor="text1"/>
                <w:kern w:val="0"/>
                <w:szCs w:val="21"/>
              </w:rPr>
            </w:pPr>
          </w:p>
          <w:p w14:paraId="14F5DD0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372D98A8"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2020年4月29日，蓝山科技公告了向不特定合格投资者公开发行股票说明书（申报稿）等公开发行并在精选层挂牌的申请文件。在全国股转公司自律审查及证监会现场检查过程中，发现蓝山科技信息披露真实性存疑，涉嫌违反《证券法》《非上市公众公司监督管理办法》等相关规定，证监会按程序对蓝山科技启动立案调查。</w:t>
            </w:r>
          </w:p>
          <w:p w14:paraId="6B463E91" w14:textId="77777777" w:rsidR="00B229A7" w:rsidRDefault="00B229A7">
            <w:pPr>
              <w:spacing w:line="276" w:lineRule="auto"/>
              <w:rPr>
                <w:rFonts w:ascii="宋体" w:hAnsi="宋体"/>
                <w:b/>
                <w:color w:val="000000" w:themeColor="text1"/>
                <w:kern w:val="0"/>
                <w:szCs w:val="21"/>
              </w:rPr>
            </w:pPr>
          </w:p>
          <w:p w14:paraId="00DB4334"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76ADE58C" w14:textId="77777777" w:rsidR="00B229A7" w:rsidRDefault="00D7072C">
            <w:pPr>
              <w:spacing w:line="276" w:lineRule="auto"/>
              <w:rPr>
                <w:rFonts w:ascii="宋体" w:hAnsi="宋体"/>
                <w:b/>
                <w:bCs/>
                <w:color w:val="000000" w:themeColor="text1"/>
                <w:kern w:val="0"/>
                <w:szCs w:val="21"/>
              </w:rPr>
            </w:pPr>
            <w:r>
              <w:rPr>
                <w:rFonts w:ascii="宋体" w:hAnsi="宋体"/>
                <w:b/>
                <w:bCs/>
                <w:color w:val="000000" w:themeColor="text1"/>
                <w:kern w:val="0"/>
                <w:szCs w:val="21"/>
              </w:rPr>
              <w:tab/>
            </w:r>
            <w:r>
              <w:rPr>
                <w:rFonts w:ascii="宋体" w:hAnsi="宋体"/>
                <w:color w:val="000000" w:themeColor="text1"/>
                <w:kern w:val="0"/>
                <w:szCs w:val="21"/>
              </w:rPr>
              <w:t>2022年4月1日，证监会公布2021年证监稽查20起典型违法案例，其中包括蓝山科技欺诈发行及相关中介机构未勤勉尽责案。本案是一起新三板公司欺诈发行的典型案件。</w:t>
            </w:r>
            <w:r>
              <w:rPr>
                <w:rFonts w:ascii="宋体" w:hAnsi="宋体"/>
                <w:bCs/>
                <w:color w:val="000000" w:themeColor="text1"/>
                <w:kern w:val="0"/>
                <w:szCs w:val="21"/>
              </w:rPr>
              <w:t>2017年至2019年，北京蓝山科技股份有限公司（简称蓝山科技）通过虚构购销业务、研发业务等方式，累计虚增收入8亿余元，虚增研发支出2亿余元，虚增利润8000余万元，导致公开发行文件存在虚假记载。华龙证券股份有限公司、中兴财光华会计师事务所、北京市天元律师事务所、开元资产评</w:t>
            </w:r>
            <w:r>
              <w:rPr>
                <w:rFonts w:ascii="宋体" w:hAnsi="宋体"/>
                <w:bCs/>
                <w:color w:val="000000" w:themeColor="text1"/>
                <w:kern w:val="0"/>
                <w:szCs w:val="21"/>
              </w:rPr>
              <w:lastRenderedPageBreak/>
              <w:t>估有限公司为蓝山科技提供相关证券服务，未按业务规则审慎核查，出具的报告存在虚假记载。</w:t>
            </w:r>
          </w:p>
          <w:p w14:paraId="084C2CE4" w14:textId="77777777" w:rsidR="00B229A7" w:rsidRDefault="00B229A7">
            <w:pPr>
              <w:spacing w:line="276" w:lineRule="auto"/>
              <w:rPr>
                <w:rFonts w:ascii="宋体" w:hAnsi="宋体"/>
                <w:b/>
                <w:color w:val="000000" w:themeColor="text1"/>
                <w:kern w:val="0"/>
                <w:szCs w:val="21"/>
              </w:rPr>
            </w:pPr>
          </w:p>
          <w:p w14:paraId="6D62DD99"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【三峡新材财务造假分析】</w:t>
            </w:r>
          </w:p>
          <w:p w14:paraId="04DC2E5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一、蓝山科技2017年、2018年、2019年年度报告存在虚假记载</w:t>
            </w:r>
          </w:p>
          <w:p w14:paraId="0DE9BD7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(一)蓝山科技2017至2019年度通过虚增银行存款、虚构销售业务、虚构研发支出、虚列运费支出以虚增收入、资产和利润</w:t>
            </w:r>
          </w:p>
          <w:p w14:paraId="5B15F7C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1.蓝山科技虚增银行存款余额</w:t>
            </w:r>
          </w:p>
          <w:p w14:paraId="74CFC26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根据蓝山科技2017年、2018年年度报告,2017年、2018年年末蓝山科技账面银行存款余额分别为8,864.99万元、4,743.07万元。经查,2017年、2018年年末蓝山科技实际银行存款余额分别为630.05万元、333.87万元,蓝山科技通过虚假记账方式虚增银行存款。其中,2017年末虚增银行存款余额8,234.94万元,虚增比例为92.89%,占当期净资产的10.19%;2018年末虚增银行存款余额4,409.20万元,虚增比例为92.96%,占当期净资产的4.92%。</w:t>
            </w:r>
          </w:p>
          <w:p w14:paraId="6161778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2.蓝山科技虚构循环购销业务,虚增收入、资产和利润</w:t>
            </w:r>
          </w:p>
          <w:p w14:paraId="73326F6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根据设立意图、人员关系、财务管理、员工工资及福利发放、资料保管等方面的证据,北京天越五洲科技有限公司、北京康居网络科技有限公司、北京博雅君立科技有限公司、成都可勤达尔科技有限公司、成都蜀晟科学技术研究所(以下简称成都蜀晟)、北京拓普星际科技有限公司(以下简称拓普星际)、北京伊普赛斯电子设备有限公司(以下简称伊普赛斯)、北京吉祥林克通讯技术有限公司、北京天雨鸿大网络科技有限公司、北京中创昊天物联科技有限公司(以下简称中创昊天)等公司均由蓝山科技实际控制人谭某、</w:t>
            </w:r>
            <w:proofErr w:type="spellStart"/>
            <w:r>
              <w:rPr>
                <w:rFonts w:ascii="宋体" w:hAnsi="宋体" w:hint="eastAsia"/>
                <w:color w:val="000000" w:themeColor="text1"/>
                <w:kern w:val="0"/>
                <w:szCs w:val="21"/>
              </w:rPr>
              <w:t>Zhaoxxmei</w:t>
            </w:r>
            <w:proofErr w:type="spellEnd"/>
            <w:r>
              <w:rPr>
                <w:rFonts w:ascii="宋体" w:hAnsi="宋体" w:hint="eastAsia"/>
                <w:color w:val="000000" w:themeColor="text1"/>
                <w:kern w:val="0"/>
                <w:szCs w:val="21"/>
              </w:rPr>
              <w:t>(中文名赵某梅,以下称赵某梅)实际控制。根据《企业会计准则第36号—关联方披露》第四条第十项以及《非上市公众公司信息披露管理办法》(证监会令第162号)第六十五条第四项的规定,上述公司为蓝山科技关联方。蓝山科技在2017年至2019年年报和2020年4月29日《向不特定合格投资者公开发行股票说明书(申报稿)》(以下简称《公开发行说明书》)中对其与中创昊天的关联关系未披露或披露不准确,未披露其与其他9家公司的关联关系。</w:t>
            </w:r>
          </w:p>
          <w:p w14:paraId="70E8663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蓝山科技通过上述未如实披露的关联方以及外部客户、供应商虚构无实际生产、无实物流转的采购销售循环业务,在采购、生产、销售、库管、物流运输、财务记账等各个环节实施全链条造假。2017年至2019年,蓝山科技及其全资子公司北京中经赛博科技有限公司(以下简称中经赛博)通过虚构采购销售循环业务虚增收入共计81,092.26万元,虚增销售利润(毛利,下同)共计24,588.96万元,虚增存货共计10,610.68万元,虚增应收账款共计6,303.33万元。其中:2017年虚增</w:t>
            </w:r>
            <w:r>
              <w:rPr>
                <w:rFonts w:ascii="宋体" w:hAnsi="宋体" w:hint="eastAsia"/>
                <w:color w:val="000000" w:themeColor="text1"/>
                <w:kern w:val="0"/>
                <w:szCs w:val="21"/>
              </w:rPr>
              <w:lastRenderedPageBreak/>
              <w:t>销售收入29,224.26万元,虚增销售利润10,031.72万元,虚增存货6,070.71万元,虚增应收账款400.39万元;2018年虚增销售收入18,740.36万元,虚增销售利润5,449.07万元,虚增存货4,539.97万元,虚增应收账款2,768.77万元;2019年虚增销售收入33,127.64万元,虚增销售利润9,078.17万元,虚增应收账款3,134.17万元。</w:t>
            </w:r>
          </w:p>
          <w:p w14:paraId="1EA6DF0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3.蓝山科技虚构研发业务和研发支出,虚增资产和研发费用</w:t>
            </w:r>
          </w:p>
          <w:p w14:paraId="02C77B5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至2019年,蓝山科技研发支出(含研究阶段支出和开发阶段支出,下同)共计44,237.03万元,均采取合作研发方式,主要研发服务供应商为蓝山科技关联方成都蜀晟、拓普星际等公司。经查,蓝山科技存在自身不具备实际研发能力、项目研发人员及验收专家未实际参与研发和验收工作、研发成果未与生产对接、伪造现场应对中介机构走访、编造研发资料应对全国股转公司审查问询等情况,无真实研发业务。</w:t>
            </w:r>
          </w:p>
          <w:p w14:paraId="39D3AA5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至2019年,蓝山科技虚构与成都蜀晟、拓普星际的研发合同及付款,虚构研发支出共计24,858.80万元(不含税,下同),从而虚增资产和虚增管理费用。其中:2017年虚构研发支出5,144.39万元,虚增管理费用4,682.12万元,2017年年末虚增资产总额462.27万元;2018年虚构研发支出13,172.78万元,虚增管理费用3,032.16万元,2018年年末虚增资产总额10,602.89万元;2019年虚构研发支出6,541.63万元,虚增管理费用3,534.44万元,2019年年末虚增资产总额13,610.08万元。</w:t>
            </w:r>
          </w:p>
          <w:p w14:paraId="083AE7D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4.蓝山科技虚列运费支出</w:t>
            </w:r>
          </w:p>
          <w:p w14:paraId="56DCBC8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蓝山科技对外销售的货物均由蓝山科技安排运输并承担运费,由其唯一物流商北京新月联合汽车有限公司(以下简称新月联合)负责承运。经查,新月联合从未实际向蓝山科技提供过物流运输服务,蓝山科技也未实际发生运费支出,所有发出货物均为虚假。根据蓝山科技财务账簿,2017年至2019年,蓝山科技虚列对新月联合的运费支出共计4,146.75万元。其中:2017年度虚列运费支出1,363.29万元,2018年度虚列运费支出1,259.42万元,2019年度虚列运费支出1,524.04万元。</w:t>
            </w:r>
          </w:p>
          <w:p w14:paraId="6D3890C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综上,2017至2019年期间,蓝山科技通过上述手段虚增销售收入共计81,092.26万元,虚增利润总额共计8,848.32(按实际收入乘以相应综合毛利率计算的对利润影响数,下同)万元。其中:2017年虚增销售收入29,224.26万元,占当期披露收入总额的43.20%,虚增利润总额3,966.29万元,占当期披露利润总额的51.90%,虚增年末资产总额15,148.29万元,占当年年末资产总额的13.69%;2018年虚增销售收入18,740.36万元,占当期披露收入总额的29.18%,虚增利润总额1,019.05万元,占当期披露利润总额的22.16%,虚增年末资产总额</w:t>
            </w:r>
            <w:r>
              <w:rPr>
                <w:rFonts w:ascii="宋体" w:hAnsi="宋体" w:hint="eastAsia"/>
                <w:color w:val="000000" w:themeColor="text1"/>
                <w:kern w:val="0"/>
                <w:szCs w:val="21"/>
              </w:rPr>
              <w:lastRenderedPageBreak/>
              <w:t>22,062.63万元,占当年年末资产总额的20.56%;2019年虚增销售收入33,127.64万元,占当期披露收入总额的49.17%,虚增利润总额3,862.98万元,占当期披露利润总额的80.67%,虚增年末资产总额16,062.11万元,占当年年末资产总额的14.20%。</w:t>
            </w:r>
          </w:p>
          <w:p w14:paraId="2E1816E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(二)蓝山科技虚构处置出售资产</w:t>
            </w:r>
          </w:p>
          <w:p w14:paraId="6D33CE0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2019年12月,蓝山科技及中经赛博因调整生产模式处置出售生产设备,销售金额为4,383.18万元(含税)。经查,蓝山科技虚构该处置出售生产设备业务,购买方伊普赛斯实际为蓝山科技关联方且蓝山科技未实际收到出售款项,蓝山科技虚构处置出售生产设备4,383.18万元(含税),占2019年年末净资产的4.89%。</w:t>
            </w:r>
          </w:p>
          <w:p w14:paraId="77738CC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二、蓝山科技公开发行文件编造重大虚假内容</w:t>
            </w:r>
          </w:p>
          <w:p w14:paraId="26ED7F6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(一)蓝山科技公开发行情况</w:t>
            </w:r>
          </w:p>
          <w:p w14:paraId="003D275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2020年4月29日,蓝山科技向全国中小企业股份转让系统有限责任公司(以下简称全国股转公司)提交《公开发行说明书》并进行了公告,拟向不特定合格投资者公开发行不超过8,000万股。9月22日,蓝山科技向全国股转公司提交了《关于终止股票向不特定合格投资者公开发行并在精选层挂牌的申请》,申请撤回申请文件。9月25日,全国股转公司决定终止蓝山科技精选层挂牌申请文件的审查。</w:t>
            </w:r>
          </w:p>
          <w:p w14:paraId="451A68A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(二)蓝山科技公开发行文件“财务会计信息”部分编造重大虚假内容</w:t>
            </w:r>
          </w:p>
          <w:p w14:paraId="212CBB4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蓝山科技公告的《公开发行说明书》中包括蓝山科技2017年至2019年三年的财务数据。如前所述,蓝山科技通过虚增银行存款、虚构销售业务、虚构研发支出、虚列运费支出方式,虚增收入、资产和利润,导致《公开发行说明书》中“财务会计信息”部分编造重大虚假内容。</w:t>
            </w:r>
          </w:p>
          <w:p w14:paraId="4C19BCB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(三)蓝山科技公开发行文件“业务和技术”部分编造重大虚假内容</w:t>
            </w:r>
          </w:p>
          <w:p w14:paraId="126A2A4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蓝山科技在其公告的《公开发行说明书》中“业务和技术”部分披露:2019年10月中旬,蓝山科技决定处置生产设备;2020年1月,交易对方已支付全部设备款项,相关设备全部处置完毕;经第三届董事会第二次会议、2020年第一次临时股东大会审议批准,蓝山科技生产模式由以自主生产模式为主,调整为外协加工生产模式。如前所述,蓝山科技虚构处置出售生产设备,导致“业务和技术”部分存在编造重大虚假内容情形。</w:t>
            </w:r>
          </w:p>
          <w:p w14:paraId="0DE49F3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(四)蓝山科技公开发行文件“公司治理与独立性”部分编造重大虚假内容</w:t>
            </w:r>
          </w:p>
          <w:p w14:paraId="16BBD38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经查明,蓝山科技会计核算存在严重账实不符,未依据原始凭证记账,未按规定装订会计档案。时任财务总监赵某虹长期未实际履职,由蓝山科技实际控制人赵某梅实际履行包括财务在内的所有内部管理职责。蓝山科技在会计核算、董事及高级管理人员履职等公司治理方面</w:t>
            </w:r>
            <w:r>
              <w:rPr>
                <w:rFonts w:ascii="宋体" w:hAnsi="宋体" w:hint="eastAsia"/>
                <w:color w:val="000000" w:themeColor="text1"/>
                <w:kern w:val="0"/>
                <w:szCs w:val="21"/>
              </w:rPr>
              <w:lastRenderedPageBreak/>
              <w:t>存在严重缺陷。蓝山科技公告的《公开发行说明书》中“公司治理与独立性”部分存在编造重大虚假内容情形。</w:t>
            </w:r>
          </w:p>
          <w:p w14:paraId="3EAE826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以上事实,有蓝山科技相关定期报告和公开发行文件、会议决议、财务资料、情况说明、银行账户资料、研发材料,相关客户、供应商提供的财务资料、情况说明,工商资料,相关人员询问笔录等证据证明,足以认定。</w:t>
            </w:r>
          </w:p>
        </w:tc>
      </w:tr>
      <w:tr w:rsidR="00B229A7" w14:paraId="5BEE5C2F" w14:textId="77777777">
        <w:tc>
          <w:tcPr>
            <w:tcW w:w="1980" w:type="dxa"/>
          </w:tcPr>
          <w:p w14:paraId="4062A92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24012B7F" w14:textId="77777777" w:rsidR="00B229A7" w:rsidRDefault="00D7072C">
            <w:pPr>
              <w:spacing w:line="276" w:lineRule="auto"/>
              <w:jc w:val="center"/>
              <w:rPr>
                <w:rFonts w:ascii="宋体" w:hAnsi="宋体"/>
                <w:b/>
                <w:color w:val="000000" w:themeColor="text1"/>
                <w:kern w:val="0"/>
                <w:szCs w:val="21"/>
              </w:rPr>
            </w:pPr>
            <w:r>
              <w:rPr>
                <w:rFonts w:ascii="宋体" w:hAnsi="宋体"/>
                <w:b/>
                <w:color w:val="000000" w:themeColor="text1"/>
                <w:kern w:val="0"/>
                <w:szCs w:val="21"/>
              </w:rPr>
              <w:t>中兴财光华会计师事务所</w:t>
            </w:r>
          </w:p>
        </w:tc>
      </w:tr>
      <w:tr w:rsidR="00B229A7" w14:paraId="67AAA163" w14:textId="77777777">
        <w:tc>
          <w:tcPr>
            <w:tcW w:w="1980" w:type="dxa"/>
          </w:tcPr>
          <w:p w14:paraId="625367F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34C94AD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对蓝山科技2017年至2019年年度报告财务数据存在虚假记载的行为,根据当事人违法行为的事实、性质、情节与社会危害程度,并结合违法行为跨越新旧《证券法》适用的特别情形,依据2019年《监督管理办法》第八十二条、《证券法》第一百九十七条第二款的规定,我会决定:对蓝山科技责令改正,给予警告,并处以200万元罚款。</w:t>
            </w:r>
          </w:p>
          <w:p w14:paraId="29493CE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对蓝山科技欺诈发行行为,根据当事人违法行为的事实、性质、情节与社会危害程度,依据2019年《监督管理办法》第七十八条第一款、《证券法》第一百八十一条第一款的规定,我会决定:对蓝山科技责令改正,给予警告,并处以200万元罚款。</w:t>
            </w:r>
          </w:p>
          <w:p w14:paraId="79B31E9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综合上述两项行政处罚意见,我会决定:对蓝山科技责令改正,给予警告,并处以400万元罚款。</w:t>
            </w:r>
          </w:p>
        </w:tc>
      </w:tr>
      <w:tr w:rsidR="00B229A7" w14:paraId="5B20E185" w14:textId="77777777">
        <w:tc>
          <w:tcPr>
            <w:tcW w:w="1980" w:type="dxa"/>
          </w:tcPr>
          <w:p w14:paraId="17FE34E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552" w:type="dxa"/>
          </w:tcPr>
          <w:p w14:paraId="0E401E8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自新三板设立以来，证监会坚持服务创新型、创业型、成长型中小企业的市场定位，秉持监管与服务并举、规范和发展并重的理念，坚持市场化、法治化方向，突出市场包容性和制度灵活性，力求满足不同类型、不同阶段中小企业差异化融资需求，强化对中小企业的培育、规范和服务功能，形成了具有特色的基础制度和包容、多元的服务体系，使新三板初步成为资本市场服务中小企业的重要平台。需要强调的是，包容不代表没有“底线”，新三板作为依据《证券法》设立和监管的全国性证券交易场所，也是一个严格依法监管的市场，市场参与各方均应遵规守法，坚守法律“红线”要求。挂牌公司作为公众公司是信息披露第一责任人，应当确保信息披露真实、准确、完整；证券公司、证券服务机构应当切实勤勉尽责，做好资本市场“看门人”。证监会始终按照“敬畏市场”“敬畏法治”的要求，严格履行监管职责，以信息披露为中心，把“该管的”管住管好，督促各方归位尽责，建立健康的新三板市场生态。</w:t>
            </w:r>
          </w:p>
          <w:p w14:paraId="4CE07CCF" w14:textId="77777777" w:rsidR="00B229A7" w:rsidRDefault="00D7072C">
            <w:pPr>
              <w:spacing w:line="276" w:lineRule="auto"/>
              <w:rPr>
                <w:rStyle w:val="11"/>
                <w:rFonts w:ascii="宋体" w:hAnsi="宋体"/>
                <w:i w:val="0"/>
                <w:iCs w:val="0"/>
                <w:color w:val="000000" w:themeColor="text1"/>
                <w:kern w:val="0"/>
                <w:szCs w:val="21"/>
              </w:rPr>
            </w:pPr>
            <w:r>
              <w:rPr>
                <w:rFonts w:ascii="宋体" w:hAnsi="宋体" w:hint="eastAsia"/>
                <w:color w:val="000000" w:themeColor="text1"/>
                <w:kern w:val="0"/>
                <w:szCs w:val="21"/>
              </w:rPr>
              <w:t xml:space="preserve">　　下一步，证监会将按照党中央、国务院关于金融服务中小企业和实体经济的战略部署，依据“建制度、不干预、零容忍”的要求，扎实推进深化新三板改革工作，持续完善各项基础制度，提高包容性和精准性，同时严厉打击财务造假、信息披露违规以及中介机构严重失职等扰乱市场秩序的违法违规行为，防止“带病闯关”，净化市场生态，保护投资者合法权益。</w:t>
            </w:r>
          </w:p>
        </w:tc>
      </w:tr>
      <w:tr w:rsidR="00B229A7" w14:paraId="63D3D90B" w14:textId="77777777">
        <w:tc>
          <w:tcPr>
            <w:tcW w:w="1980" w:type="dxa"/>
          </w:tcPr>
          <w:p w14:paraId="1778A0B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552" w:type="dxa"/>
          </w:tcPr>
          <w:p w14:paraId="09BAF19D"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rPr>
              <w:t>虚增银行存款、虚构销售业务、虚构研发支出、虚列运费支出以虚增收入、资产和利润</w:t>
            </w:r>
          </w:p>
        </w:tc>
      </w:tr>
    </w:tbl>
    <w:p w14:paraId="513A6000" w14:textId="77777777" w:rsidR="00B229A7" w:rsidRDefault="00B229A7">
      <w:pPr>
        <w:spacing w:line="276" w:lineRule="auto"/>
        <w:rPr>
          <w:rFonts w:ascii="宋体" w:hAnsi="宋体"/>
          <w:color w:val="000000" w:themeColor="text1"/>
          <w:szCs w:val="21"/>
        </w:rPr>
      </w:pPr>
    </w:p>
    <w:p w14:paraId="4781B425" w14:textId="77777777" w:rsidR="00B229A7" w:rsidRDefault="00D7072C">
      <w:pPr>
        <w:pStyle w:val="1"/>
      </w:pPr>
      <w:bookmarkStart w:id="23" w:name="_Toc104812482"/>
      <w:bookmarkStart w:id="24" w:name="_Toc104812301"/>
      <w:bookmarkStart w:id="25" w:name="_Toc104812580"/>
      <w:r>
        <w:rPr>
          <w:rFonts w:hint="eastAsia"/>
        </w:rPr>
        <w:t>0</w:t>
      </w:r>
      <w:r>
        <w:t>7</w:t>
      </w:r>
      <w:r>
        <w:rPr>
          <w:rFonts w:hint="eastAsia"/>
        </w:rPr>
        <w:t>斯太尔财务造假</w:t>
      </w:r>
      <w:bookmarkEnd w:id="23"/>
      <w:bookmarkEnd w:id="24"/>
      <w:bookmarkEnd w:id="25"/>
    </w:p>
    <w:tbl>
      <w:tblPr>
        <w:tblStyle w:val="a4"/>
        <w:tblW w:w="8532" w:type="dxa"/>
        <w:tblLayout w:type="fixed"/>
        <w:tblLook w:val="04A0" w:firstRow="1" w:lastRow="0" w:firstColumn="1" w:lastColumn="0" w:noHBand="0" w:noVBand="1"/>
      </w:tblPr>
      <w:tblGrid>
        <w:gridCol w:w="1980"/>
        <w:gridCol w:w="6552"/>
      </w:tblGrid>
      <w:tr w:rsidR="00B229A7" w14:paraId="5A730563" w14:textId="77777777">
        <w:tc>
          <w:tcPr>
            <w:tcW w:w="1980" w:type="dxa"/>
          </w:tcPr>
          <w:p w14:paraId="55E8C89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5E64C1F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701</w:t>
            </w:r>
          </w:p>
        </w:tc>
      </w:tr>
      <w:tr w:rsidR="00B229A7" w14:paraId="6506D280" w14:textId="77777777">
        <w:tc>
          <w:tcPr>
            <w:tcW w:w="1980" w:type="dxa"/>
          </w:tcPr>
          <w:p w14:paraId="09A2982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3DB5082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7</w:t>
            </w:r>
            <w:r>
              <w:rPr>
                <w:rFonts w:ascii="宋体" w:hAnsi="宋体" w:hint="eastAsia"/>
                <w:color w:val="000000" w:themeColor="text1"/>
                <w:kern w:val="0"/>
                <w:szCs w:val="21"/>
              </w:rPr>
              <w:t>制造业</w:t>
            </w:r>
          </w:p>
        </w:tc>
      </w:tr>
      <w:tr w:rsidR="00B229A7" w14:paraId="360A0687" w14:textId="77777777">
        <w:tc>
          <w:tcPr>
            <w:tcW w:w="1980" w:type="dxa"/>
          </w:tcPr>
          <w:p w14:paraId="51C66EE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4498D40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21</w:t>
            </w:r>
            <w:r>
              <w:rPr>
                <w:rFonts w:ascii="宋体" w:hAnsi="宋体" w:hint="eastAsia"/>
                <w:color w:val="000000" w:themeColor="text1"/>
                <w:kern w:val="0"/>
                <w:szCs w:val="21"/>
              </w:rPr>
              <w:t>年</w:t>
            </w:r>
          </w:p>
        </w:tc>
      </w:tr>
      <w:tr w:rsidR="00B229A7" w14:paraId="04C1A6E8" w14:textId="77777777">
        <w:tc>
          <w:tcPr>
            <w:tcW w:w="1980" w:type="dxa"/>
          </w:tcPr>
          <w:p w14:paraId="39A92C8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2A1F105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斯太尔动力股份有限公司</w:t>
            </w:r>
          </w:p>
        </w:tc>
      </w:tr>
      <w:tr w:rsidR="00B229A7" w14:paraId="1CBEF61D" w14:textId="77777777">
        <w:tc>
          <w:tcPr>
            <w:tcW w:w="1980" w:type="dxa"/>
          </w:tcPr>
          <w:p w14:paraId="142CBD9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1372233F"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汽车配件制造、销售；经营本企业自产机电产品、成套设备及相关技术的出口业务；经营本企业生产、科研所需的原辅材料、机械设备、仪器仪表、备品备件及技术的进口业务</w:t>
            </w:r>
          </w:p>
        </w:tc>
      </w:tr>
      <w:tr w:rsidR="00B229A7" w14:paraId="07AC3F42" w14:textId="77777777">
        <w:tc>
          <w:tcPr>
            <w:tcW w:w="1980" w:type="dxa"/>
          </w:tcPr>
          <w:p w14:paraId="64F4824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13371CDD"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445B04C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斯太尔动力股份有限公司，其原名为湖北博盈投资股份有限公司，主要做汽车配件的制造与销售，1997年在深交所上市。斯太尔也是国内的动力系统解决方案供应商，在中国被奉为一代“重卡教父”。2021年7月22日，斯太尔退市。</w:t>
            </w:r>
          </w:p>
          <w:p w14:paraId="72D4275A" w14:textId="77777777" w:rsidR="00B229A7" w:rsidRDefault="00B229A7">
            <w:pPr>
              <w:spacing w:line="276" w:lineRule="auto"/>
              <w:rPr>
                <w:rFonts w:ascii="宋体" w:hAnsi="宋体"/>
                <w:color w:val="000000" w:themeColor="text1"/>
                <w:kern w:val="0"/>
                <w:szCs w:val="21"/>
              </w:rPr>
            </w:pPr>
          </w:p>
          <w:p w14:paraId="4FF6A3B3"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43F2FB8B"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2019年6月27日晚间，*ST斯太（维权）公告称，收到中国证监会 《调查通知书》（深专调查通字2019140号），因公司涉嫌信息披露违法违规被立案调查。2021年6月2日，深交所决定对斯太尔动力股份有限公司股票实施重大违法强制退市，公司股票终止上市</w:t>
            </w:r>
            <w:r>
              <w:rPr>
                <w:rFonts w:ascii="宋体" w:hAnsi="宋体" w:hint="eastAsia"/>
                <w:bCs/>
                <w:color w:val="000000" w:themeColor="text1"/>
                <w:kern w:val="0"/>
                <w:szCs w:val="21"/>
              </w:rPr>
              <w:t>。</w:t>
            </w:r>
          </w:p>
          <w:p w14:paraId="5BA8E474" w14:textId="77777777" w:rsidR="00B229A7" w:rsidRDefault="00D7072C">
            <w:pPr>
              <w:spacing w:line="276" w:lineRule="auto"/>
              <w:rPr>
                <w:rFonts w:ascii="宋体" w:hAnsi="宋体"/>
                <w:bCs/>
                <w:color w:val="000000" w:themeColor="text1"/>
                <w:kern w:val="0"/>
                <w:szCs w:val="21"/>
              </w:rPr>
            </w:pPr>
            <w:r>
              <w:rPr>
                <w:rFonts w:ascii="宋体" w:hAnsi="宋体"/>
                <w:bCs/>
                <w:color w:val="000000" w:themeColor="text1"/>
                <w:kern w:val="0"/>
                <w:szCs w:val="21"/>
              </w:rPr>
              <w:t>2021年6月10日，深市公司*ST斯太在被依法依规作出终止上市决定后，股票正式进入退市整理期交易，这家“新德隆系”公司退出资本市场舞台已成定局。</w:t>
            </w:r>
          </w:p>
          <w:p w14:paraId="795111A0" w14:textId="77777777" w:rsidR="00B229A7" w:rsidRDefault="00B229A7">
            <w:pPr>
              <w:spacing w:line="276" w:lineRule="auto"/>
              <w:rPr>
                <w:rFonts w:ascii="宋体" w:hAnsi="宋体"/>
                <w:b/>
                <w:color w:val="000000" w:themeColor="text1"/>
                <w:kern w:val="0"/>
                <w:szCs w:val="21"/>
              </w:rPr>
            </w:pPr>
          </w:p>
          <w:p w14:paraId="361E1F03"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3C98818B"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bCs/>
                <w:color w:val="000000" w:themeColor="text1"/>
                <w:kern w:val="0"/>
                <w:szCs w:val="21"/>
              </w:rPr>
              <w:t>2021年3月31日，中国证监会下达了对斯太尔动力股份有限公司（简称“斯太尔”）以及公司的19名责任主体的行政处罚决定书，处罚原因是因为斯太尔有虚假记载2014～2016年年度报告的财务数据、披露实际控制人的信息不真实等违法事实，财务造假总额高达3.6亿元。而中兴财光华会计师事务所（特殊普通合伙）（简称“中兴财光华”）在2013～2019年提供给斯太尔审计服务，这些斯太尔的违法行为无疑表明了中兴财光华对斯太尔的审计是失败的。</w:t>
            </w:r>
          </w:p>
          <w:p w14:paraId="41AE87F7" w14:textId="77777777" w:rsidR="00B229A7" w:rsidRDefault="00B229A7">
            <w:pPr>
              <w:spacing w:line="276" w:lineRule="auto"/>
              <w:rPr>
                <w:rFonts w:ascii="宋体" w:hAnsi="宋体"/>
                <w:b/>
                <w:color w:val="000000" w:themeColor="text1"/>
                <w:kern w:val="0"/>
                <w:szCs w:val="21"/>
              </w:rPr>
            </w:pPr>
          </w:p>
          <w:p w14:paraId="5FA2D9B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lastRenderedPageBreak/>
              <w:t>【斯太尔财务造假分析】</w:t>
            </w:r>
          </w:p>
          <w:p w14:paraId="0587D45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一、2014-2016年年度报告的财务数据存在虚假记载</w:t>
            </w:r>
          </w:p>
          <w:p w14:paraId="46E90B2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（一）2014年年度报告虚增营业收入及利润</w:t>
            </w:r>
          </w:p>
          <w:p w14:paraId="755DCE4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2015年4月30日，斯太尔公告《2014年年度报告》，对外披露2014年度营业收入74,073.20万元，利润总额2,249.98万元，净利润984.69万元。</w:t>
            </w:r>
          </w:p>
          <w:p w14:paraId="2AC058D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经查，斯太尔通过虚构技术许可业务，将武进国家高新技术产业开发区管理委员会（以下简称武进高新区管委会）拨付的1亿元用于斯太尔柴油发动机项目的专项扶持资金，以子公司斯太尔动力（江苏）投资有限公司（以下简称江苏斯太尔）EM11柴油发动机专有技术许可收入入账，并在扣除税金后确认为主营业务收入，据此虚增2014年度营业收入9,433.96万元，虚增利润总额9,433.96万元，虚增净利润7,075.47万元，并导致斯太尔在2014年年度报告中将亏损披露为盈利。</w:t>
            </w:r>
          </w:p>
          <w:p w14:paraId="301CBCC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（二）2015年年度报告虚减营业外收入及利润</w:t>
            </w:r>
          </w:p>
          <w:p w14:paraId="59829FC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2016年3月18日，斯太尔公告《2015年年度报告》，对外披露2015年度营业收入34,657.52万元，利润总额-20,490.32万元，净利润-19,493.88万元。</w:t>
            </w:r>
          </w:p>
          <w:p w14:paraId="0338FA8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经查，斯太尔通过变更政府奖励款受益人的方式，将武进高新区管委会应付斯太尔动力（常州）发动机有限公司（以下简称常州斯太尔）的8,050万元政府奖励款实际支付给其他公司。斯太尔2015年度报告未披露上述事项，造成虚减2015年度营业外收入8,050万元，虚减利润总额8,050万元。</w:t>
            </w:r>
          </w:p>
          <w:p w14:paraId="3BEECC7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（三）2016年年度报告虚增营业收入及利润</w:t>
            </w:r>
          </w:p>
          <w:p w14:paraId="5327453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2017年4月28日，斯太尔公告《2016年年度报告》，对外披露2016年度营业收入35,640.67万元，利润总额7,680.42万元，净利润4,374.78万元。</w:t>
            </w:r>
          </w:p>
          <w:p w14:paraId="2496C76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经查，斯太尔通过虚构技术许可业务，将其从江苏中关村科技产业园管理委员会（以下简称江苏中关村管委会）预收的2亿元政府奖励资金，包装成子公司江苏斯太尔的三款非道路柴油发动机技术许可收入，虚增2016年度营业收入18,867.92万元，扣除相关成本后虚增利润总额18,847.72万元，虚增净利润14,135.79万元，并导致斯太尔在2016年年度报告中将亏损披露为盈利。</w:t>
            </w:r>
          </w:p>
          <w:p w14:paraId="476CFA1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二、实际控制人披露不实</w:t>
            </w:r>
          </w:p>
          <w:p w14:paraId="3AC2E9E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斯太尔2014、2015、2016年年度报告披露，山东英达钢结构有限公司（以下简称英达钢构）为控股股东，冯文杰为实际控制人。</w:t>
            </w:r>
          </w:p>
          <w:p w14:paraId="6293D01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经查，自2013年底至2017年底，唐万新、张业光、唐万川通过主导斯太尔非公开发行、与投资人约定收益分成、实际承担业绩补偿、</w:t>
            </w:r>
            <w:r>
              <w:rPr>
                <w:rFonts w:ascii="宋体" w:hAnsi="宋体" w:hint="eastAsia"/>
                <w:color w:val="000000" w:themeColor="text1"/>
                <w:kern w:val="0"/>
                <w:szCs w:val="21"/>
              </w:rPr>
              <w:lastRenderedPageBreak/>
              <w:t>派驻管理团队控制董事会和管理层等方式，取得了经营管理权，能够实际支配公司的行为，是斯太尔的实际控制人。斯太尔2014、2015、2016年年度报告关于实际控制人的信息存在虚假记载。</w:t>
            </w:r>
          </w:p>
          <w:p w14:paraId="5BA3747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上述违法事实，有公司公告、相关定期报告、董事会决议、监事会决议、定期报告书面确认意见、相关审计报告、账务资料、银行单据、合同或协议文件、工商资料、询问笔录、情况说明及相关附件等证据证明，足以认定。</w:t>
            </w:r>
          </w:p>
          <w:p w14:paraId="28B7350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斯太尔的上述行为违反了2005年《证券法》第六十三条的规定，构成2005年《证券法》第一百九十三条第一款所述“发行人、上市公司或者其他信息披露义务人未按照规定披露信息，或者披露的信息有虚假记载、误导性陈述或者重大遗漏”的行为。</w:t>
            </w:r>
          </w:p>
          <w:p w14:paraId="177ADBF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斯太尔时任董事长刘晓疆直接参与、组织、实施了2014年至2016年度财务造假，并在2014年至2016年年度报告签署书面确认意见。时任董事、总经理吴晓白直接参与、组织、实施了2014、2015年度财务造假，并在2014年至2016年年度报告签署书面确认意见。刘晓疆、吴晓白是对斯太尔信息披露违法行为直接负责的主管人员。</w:t>
            </w:r>
          </w:p>
          <w:p w14:paraId="5F55349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时任财务总监姚炯，负责公司财务工作，以主管会计工作负责人身份签署了斯太尔2014年至2016年年度财务报告，并在上述年度报告签署书面确认意见。时任董事、董事会秘书孙琛，负责公司的信息披露工作，在公司2014年至2016年年度报告签署书面确认意见。姚炯、孙琛是斯太尔信息披露违法行为的其他直接责任人员。</w:t>
            </w:r>
          </w:p>
          <w:p w14:paraId="62CFAF5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时任董事冯文杰、邹书航、李晓振，时任监事高立用、陈序才、王茜、王厚斌、邓娟娟，时任副总经理刘一民、楼新芳在斯太尔2014年至2016年年度报告签署书面确认意见。时任副总经理伊浩风在2014年至2015年年度报告签署书面确认意见。上述人员未按照勤勉尽责要求，对相关信息披露事项履行确认、审核职责，为相关年度报告虚假记载的其他直接责任人员。</w:t>
            </w:r>
          </w:p>
          <w:p w14:paraId="5485992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唐万新、张业光、唐万川作为斯太尔实际控制人，知悉并隐瞒了财务造假相关事项等应当披露的信息。其中张业光直接参与、组织、实施了2016年度财务造假。唐万新、张业光、唐万川的以上行为构成2005年《证券法》第一百九十三条第三款所述“发行人、上市公司或者其他信息披露义务人的控股股东、实际控制人指使从事前两款违法行为”的情形。</w:t>
            </w:r>
          </w:p>
          <w:p w14:paraId="245262FD" w14:textId="77777777" w:rsidR="00B229A7" w:rsidRDefault="00B229A7">
            <w:pPr>
              <w:spacing w:line="276" w:lineRule="auto"/>
              <w:rPr>
                <w:rFonts w:ascii="宋体" w:hAnsi="宋体"/>
                <w:b/>
                <w:color w:val="000000" w:themeColor="text1"/>
                <w:kern w:val="0"/>
                <w:szCs w:val="21"/>
              </w:rPr>
            </w:pPr>
          </w:p>
        </w:tc>
      </w:tr>
      <w:tr w:rsidR="00B229A7" w14:paraId="2CB58DFA" w14:textId="77777777">
        <w:tc>
          <w:tcPr>
            <w:tcW w:w="1980" w:type="dxa"/>
          </w:tcPr>
          <w:p w14:paraId="7603750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7DAE8F1F" w14:textId="77777777" w:rsidR="00B229A7" w:rsidRDefault="00D7072C">
            <w:pPr>
              <w:spacing w:line="276" w:lineRule="auto"/>
              <w:jc w:val="center"/>
              <w:rPr>
                <w:rFonts w:ascii="宋体" w:hAnsi="宋体"/>
                <w:b/>
                <w:color w:val="000000" w:themeColor="text1"/>
                <w:kern w:val="0"/>
                <w:szCs w:val="21"/>
              </w:rPr>
            </w:pPr>
            <w:r>
              <w:rPr>
                <w:rFonts w:ascii="宋体" w:hAnsi="宋体"/>
                <w:b/>
                <w:color w:val="000000" w:themeColor="text1"/>
                <w:kern w:val="0"/>
                <w:szCs w:val="21"/>
              </w:rPr>
              <w:t>中兴财光华会计师事务所</w:t>
            </w:r>
          </w:p>
        </w:tc>
      </w:tr>
      <w:tr w:rsidR="00B229A7" w14:paraId="7375BB6D" w14:textId="77777777">
        <w:tc>
          <w:tcPr>
            <w:tcW w:w="1980" w:type="dxa"/>
          </w:tcPr>
          <w:p w14:paraId="4C14711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4743147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斯太尔动力股份有限公司（以下简称斯太尔动力）2014至2016年年度报告中的财务数据以及关于实际控制人的信息存在虚假记载。斯太尔动力上述行为违反了2005年修订的《中华人民共和国证券法》</w:t>
            </w:r>
            <w:r>
              <w:rPr>
                <w:rFonts w:ascii="宋体" w:hAnsi="宋体" w:hint="eastAsia"/>
                <w:color w:val="000000" w:themeColor="text1"/>
                <w:kern w:val="0"/>
                <w:szCs w:val="21"/>
              </w:rPr>
              <w:lastRenderedPageBreak/>
              <w:t>（以下简称2005年《证券法》）第六十三条的规定，构成2005年《证券法》第一百九十三条第一款所述信息披露违法行为。对于斯太尔动力上述信息披露违法行为，时任15名董事、监事、高级管理人员为直接负责的主管人员和其他直接责任人员。唐某新、张某光、唐某川作为斯太尔动力实际控制人，知悉并隐瞒了财务造假相关事项等应当披露的信息。依据2005年《证券法》第一百九十三条第一款、第三款的规定，被申请人决定：对斯太尔动力责令改正，给予警告并处以60万元罚款；对时任15名董事、监事、高级管理人员给予警告，并分别处以5万元、15万元、30万元罚款；对实际控制人唐某新、张某光、唐某川给予警告，并分别处以60万元罚款。</w:t>
            </w:r>
          </w:p>
        </w:tc>
      </w:tr>
      <w:tr w:rsidR="00B229A7" w14:paraId="1118261A" w14:textId="77777777">
        <w:tc>
          <w:tcPr>
            <w:tcW w:w="1980" w:type="dxa"/>
          </w:tcPr>
          <w:p w14:paraId="06A4316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552" w:type="dxa"/>
          </w:tcPr>
          <w:p w14:paraId="6407BFA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（一）相关监管机构方面</w:t>
            </w:r>
          </w:p>
          <w:p w14:paraId="184FC92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1、加大对公司财务造假的惩处力度。</w:t>
            </w:r>
          </w:p>
          <w:p w14:paraId="47E4971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许多公司进行财务造假，是因为违规付出的成本低，相比预期利益而言代价很小。相关机构要加强监督，应当针对舞弊行为给予严惩，提高罚款和民事处罚程度，提高上市标准，只有加强了违规成本，才能让潜在舞弊者放弃进行财务造假的想法。相关机构通过建立经济赔偿制度，可以要求上市公司补偿利益相关者的损失，进而有效防范财务造假行为的发生。相关机构对造成严重后果的公司处罚必须落到实处，除了采取一般处罚措施对失去独立性的主要责任人严厉处罚，还要处以刑事处罚。</w:t>
            </w:r>
          </w:p>
          <w:p w14:paraId="2785107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2、加强对审计行业的监管。</w:t>
            </w:r>
          </w:p>
          <w:p w14:paraId="36D6820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第一，相关监管机构应当对审计行业形成有效和相匹配的监管以及执法，采取相应的措施来监督会计师事务所可以科学全面地评估承接业务所需成本，严禁低价揽客及迎合客户等有损审计独立性的情形，推动注册会计师遵守职业准则，加强人们对财务报告与审计报告的信任程度。第二，相关监管机构需要对行业监管环境进行优化，实现政府监管与行业自律监管共同发展、相互配合的局面，促进审计市场的公平竞争。相关监管机构对会计师事务所的可承接业务量可以进行评估，并根据规模的大小确定其可承接的业务量。</w:t>
            </w:r>
          </w:p>
          <w:p w14:paraId="5E46E84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（二）被审计单位方面</w:t>
            </w:r>
          </w:p>
          <w:p w14:paraId="6149222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1、优化治理机制，完善治理结构。</w:t>
            </w:r>
          </w:p>
          <w:p w14:paraId="4DAF83B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第一，斯太尔应当确保董事会、监事会和股东大会相互施加有效约束，使治理机制得到进一步的优化；第二，斯太尔应加强股东大会在斯太尔的分量，让股东大会的职能能够更好地履行，完善治理结构；第三，斯太尔要让监事会能够承担起自身的工作责任，需要增强监事会的监督作用；第四，斯太尔进一步说明独立董事选任的程序。比如，说明独立董事选任过程中的候选人数、候选人信息的来源渠道以及选任过程中的投票情形等。这些信息的披露也能用于公司其他高级管理</w:t>
            </w:r>
            <w:r>
              <w:rPr>
                <w:rFonts w:ascii="宋体" w:hAnsi="宋体"/>
                <w:color w:val="000000" w:themeColor="text1"/>
                <w:kern w:val="0"/>
                <w:szCs w:val="21"/>
              </w:rPr>
              <w:lastRenderedPageBreak/>
              <w:t>人员的选聘，以协助第三方了解公司内部情况。</w:t>
            </w:r>
          </w:p>
          <w:p w14:paraId="615CC5A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2、完善内部控制制度，强化审计委员会职能。</w:t>
            </w:r>
          </w:p>
          <w:p w14:paraId="3F170D5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斯太尔需要对内部控制制度进行完善。公司有着健全的内部控制体系能有效防止财务造假，如果公司内控有缺陷，会导致财务造假的可能性增加。第一，可以加强审计委员会的职能，提高审计委员会的独立性，所有成员必须是独立非执行董事，其中一半以上必须有会计审计的经验。另外，由其对内部审计部门进行直接的管辖；第二，可以建立健全反馈机制。内控制度的反馈机制可以设置由专人专职负责，及时记录与反馈公司内控制度中的问题，定期向上汇总报告，再让公司针对问题采取有效的措施去解决。</w:t>
            </w:r>
          </w:p>
          <w:p w14:paraId="726726C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（三）会计师事务所与注册会计师方面</w:t>
            </w:r>
          </w:p>
          <w:p w14:paraId="7A489E2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1、加强会计师事务所的内部管理。</w:t>
            </w:r>
          </w:p>
          <w:p w14:paraId="4EE7240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第一，会计师事务所应选择更为科学合理的考核激励机制。当会计师事务所有不同的计划时，可以以此设置不同的考核指标，进而总结出对应的工作绩效；可以通过工作目标和关键绩效指标在工作结果绩效成绩中占的权重，来评估工作绩效。第二，会计师事务所要有选择地承接审计业务，可以对客户的经营情况等做一个评估，审慎决定审计对象；为了确保审计的高质量，需要对高风险客户最大限度地规避。第三，会计师事务所应注意要增强对注册会计师的监督，并重视每位注册会计师的独立性。</w:t>
            </w:r>
          </w:p>
          <w:p w14:paraId="145E7B9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2、提升注册会计师的专业胜任能力。</w:t>
            </w:r>
          </w:p>
          <w:p w14:paraId="07B6F45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注册会计师要逐步提高专业胜任能力，保持独立性。一方面会计师事务所在进行人员选聘时，应提高进入门槛，多方位综合考核，选择高素质人才；另一方面注册会计师在执业过程中应当重视知识的更新，学习新的财务会计制度，加强职业后续教育。因此，会计师事务所应组织学术讲座，按期进行案例研究的活动，不仅从员工的职业能力发展入手，提高员工的专业知识，避免在审计过程中没有考虑全面等情况的发生而导致审计失败；还要加大职业道德教育的内容，提高员工的职业道德素养。</w:t>
            </w:r>
          </w:p>
          <w:p w14:paraId="10C7995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3、保持注册会计师应有的职业谨慎性。</w:t>
            </w:r>
          </w:p>
          <w:p w14:paraId="5451CD1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注册会计师应当充分清楚被审计单位和其环境的情况，对于内控存在缺陷的被审计单位要进行必要的关注，时刻保持谨慎性。注册会计师应透彻了解企业的经营状况和经营风险，对重大错报的可能性和后果的严重性有一个更好的评估。注册会计师对异常点要始终保持高度怀疑，将舞弊发生频率高的财务报表项目在审计计划阶段划分为高风险的审计领域，并且对于特定审计程序要选择有经验的注册会计师执行。</w:t>
            </w:r>
          </w:p>
          <w:p w14:paraId="613586D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4、运用大数据技术收集审计证据。</w:t>
            </w:r>
          </w:p>
          <w:p w14:paraId="5D834C6F"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Fonts w:ascii="宋体" w:hAnsi="宋体"/>
                <w:color w:val="000000" w:themeColor="text1"/>
                <w:kern w:val="0"/>
                <w:szCs w:val="21"/>
              </w:rPr>
              <w:lastRenderedPageBreak/>
              <w:t>随着时代的发展，大数据、云计算等新兴信息技术逐步与传统的业务相结合，审计工作的模式及流程不断优化。例如，网络爬虫技术可以自动收集网络信息，提高数据挖掘速度，扩大数据分析范围。通过爬虫技术得到的审计证据可以降低审计风险，能够使审计失败出现的情况减少，所以要提高注册会计师对大数据技术的接受度。因此，在审计过程中，注册会计师可以利用数据收集技术获取相关信息，并以此为基础对实质性测试程序进行改进或调整，这可以防止审计失败。在审计中使用网络爬虫技术等大数据技术，可以帮助注册会计师增强对外部信息的洞察力，提高审计效率与审计质量。</w:t>
            </w:r>
          </w:p>
        </w:tc>
      </w:tr>
      <w:tr w:rsidR="00B229A7" w14:paraId="4696CA23" w14:textId="77777777">
        <w:tc>
          <w:tcPr>
            <w:tcW w:w="1980" w:type="dxa"/>
          </w:tcPr>
          <w:p w14:paraId="667A7CD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552" w:type="dxa"/>
          </w:tcPr>
          <w:p w14:paraId="04157785" w14:textId="77777777" w:rsidR="00B229A7" w:rsidRDefault="00D7072C">
            <w:pPr>
              <w:widowControl/>
              <w:spacing w:line="276" w:lineRule="auto"/>
              <w:jc w:val="left"/>
              <w:rPr>
                <w:rFonts w:ascii="宋体" w:hAnsi="宋体"/>
                <w:color w:val="000000" w:themeColor="text1"/>
                <w:kern w:val="0"/>
                <w:szCs w:val="21"/>
              </w:rPr>
            </w:pPr>
            <w:r>
              <w:rPr>
                <w:rFonts w:ascii="宋体" w:hAnsi="宋体" w:hint="eastAsia"/>
                <w:color w:val="000000" w:themeColor="text1"/>
                <w:kern w:val="0"/>
                <w:szCs w:val="21"/>
              </w:rPr>
              <w:t>虚增营业收入及利润、实际控制人披露不实</w:t>
            </w:r>
          </w:p>
        </w:tc>
      </w:tr>
    </w:tbl>
    <w:p w14:paraId="21D5699F" w14:textId="77777777" w:rsidR="00B229A7" w:rsidRDefault="00B229A7">
      <w:pPr>
        <w:spacing w:line="276" w:lineRule="auto"/>
        <w:rPr>
          <w:rFonts w:ascii="宋体" w:hAnsi="宋体"/>
          <w:color w:val="000000" w:themeColor="text1"/>
          <w:szCs w:val="21"/>
        </w:rPr>
      </w:pPr>
    </w:p>
    <w:p w14:paraId="1341C87D" w14:textId="77777777" w:rsidR="00B229A7" w:rsidRDefault="00D7072C">
      <w:pPr>
        <w:pStyle w:val="1"/>
      </w:pPr>
      <w:bookmarkStart w:id="26" w:name="_Toc104812302"/>
      <w:bookmarkStart w:id="27" w:name="_Toc104812581"/>
      <w:bookmarkStart w:id="28" w:name="_Toc104812483"/>
      <w:r>
        <w:rPr>
          <w:rFonts w:hint="eastAsia"/>
        </w:rPr>
        <w:t>0</w:t>
      </w:r>
      <w:r>
        <w:t>8</w:t>
      </w:r>
      <w:r>
        <w:rPr>
          <w:rFonts w:hint="eastAsia"/>
        </w:rPr>
        <w:t>德邦证券未勤勉尽责案</w:t>
      </w:r>
      <w:bookmarkEnd w:id="26"/>
      <w:bookmarkEnd w:id="27"/>
      <w:bookmarkEnd w:id="28"/>
    </w:p>
    <w:tbl>
      <w:tblPr>
        <w:tblStyle w:val="a4"/>
        <w:tblW w:w="8532" w:type="dxa"/>
        <w:tblLayout w:type="fixed"/>
        <w:tblLook w:val="04A0" w:firstRow="1" w:lastRow="0" w:firstColumn="1" w:lastColumn="0" w:noHBand="0" w:noVBand="1"/>
      </w:tblPr>
      <w:tblGrid>
        <w:gridCol w:w="1980"/>
        <w:gridCol w:w="6552"/>
      </w:tblGrid>
      <w:tr w:rsidR="00B229A7" w14:paraId="32AE5D3C" w14:textId="77777777">
        <w:tc>
          <w:tcPr>
            <w:tcW w:w="1980" w:type="dxa"/>
          </w:tcPr>
          <w:p w14:paraId="5DB5211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08C2C28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103</w:t>
            </w:r>
          </w:p>
        </w:tc>
      </w:tr>
      <w:tr w:rsidR="00B229A7" w14:paraId="426E646F" w14:textId="77777777">
        <w:tc>
          <w:tcPr>
            <w:tcW w:w="1980" w:type="dxa"/>
          </w:tcPr>
          <w:p w14:paraId="663BA19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18B3BD3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w:t>
            </w:r>
            <w:r>
              <w:rPr>
                <w:rFonts w:ascii="宋体" w:hAnsi="宋体" w:hint="eastAsia"/>
                <w:color w:val="000000" w:themeColor="text1"/>
                <w:kern w:val="0"/>
                <w:szCs w:val="21"/>
              </w:rPr>
              <w:t>金融业</w:t>
            </w:r>
          </w:p>
        </w:tc>
      </w:tr>
      <w:tr w:rsidR="00B229A7" w14:paraId="0B82C5B2" w14:textId="77777777">
        <w:tc>
          <w:tcPr>
            <w:tcW w:w="1980" w:type="dxa"/>
          </w:tcPr>
          <w:p w14:paraId="200FC96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18AEF89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1</w:t>
            </w:r>
            <w:r>
              <w:rPr>
                <w:rFonts w:ascii="宋体" w:hAnsi="宋体" w:hint="eastAsia"/>
                <w:color w:val="000000" w:themeColor="text1"/>
                <w:kern w:val="0"/>
                <w:szCs w:val="21"/>
              </w:rPr>
              <w:t>9年</w:t>
            </w:r>
          </w:p>
        </w:tc>
      </w:tr>
      <w:tr w:rsidR="00B229A7" w14:paraId="5B76FE4E" w14:textId="77777777">
        <w:tc>
          <w:tcPr>
            <w:tcW w:w="1980" w:type="dxa"/>
          </w:tcPr>
          <w:p w14:paraId="32E6EA2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5FB26FC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德邦证券股份有限公司</w:t>
            </w:r>
          </w:p>
        </w:tc>
      </w:tr>
      <w:tr w:rsidR="00B229A7" w14:paraId="5391552F" w14:textId="77777777">
        <w:tc>
          <w:tcPr>
            <w:tcW w:w="1980" w:type="dxa"/>
          </w:tcPr>
          <w:p w14:paraId="7F06EE7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47F66BC6"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证券经纪，证券投资咨询，与证券交易、证券投资活动有关的财务顾问，证券承销与保荐，证券自营，融资融券，代销金融产品，为期货公司提供中间介绍业务，证券投资基金代销，以及经监管机构批准的其他业务。 </w:t>
            </w:r>
          </w:p>
        </w:tc>
      </w:tr>
      <w:tr w:rsidR="00B229A7" w14:paraId="17721793" w14:textId="77777777">
        <w:tc>
          <w:tcPr>
            <w:tcW w:w="1980" w:type="dxa"/>
          </w:tcPr>
          <w:p w14:paraId="097DC62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3927134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B1BF14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德邦证券股份有限公司成立于2003年5月， [1]  2015年完成股份制改造，是一家拥有全牌照的全国性综合类证券公司。 [2]  业务范围涵盖证券、期货、公募基金、另类投资、私募基金等诸多方面的综合性金融服务平台。</w:t>
            </w:r>
          </w:p>
          <w:p w14:paraId="6A03D9C7" w14:textId="77777777" w:rsidR="00B229A7" w:rsidRDefault="00B229A7">
            <w:pPr>
              <w:spacing w:line="276" w:lineRule="auto"/>
              <w:rPr>
                <w:rFonts w:ascii="宋体" w:hAnsi="宋体"/>
                <w:b/>
                <w:color w:val="000000" w:themeColor="text1"/>
                <w:kern w:val="0"/>
                <w:szCs w:val="21"/>
              </w:rPr>
            </w:pPr>
          </w:p>
          <w:p w14:paraId="30C68ED8"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4C62CF5B" w14:textId="77777777" w:rsidR="00B229A7" w:rsidRDefault="00D7072C">
            <w:pPr>
              <w:spacing w:line="276" w:lineRule="auto"/>
              <w:rPr>
                <w:rFonts w:ascii="宋体" w:hAnsi="宋体"/>
                <w:bCs/>
                <w:color w:val="000000" w:themeColor="text1"/>
                <w:kern w:val="0"/>
                <w:szCs w:val="21"/>
              </w:rPr>
            </w:pPr>
            <w:r>
              <w:rPr>
                <w:rFonts w:ascii="宋体" w:hAnsi="宋体"/>
                <w:b/>
                <w:bCs/>
                <w:color w:val="000000" w:themeColor="text1"/>
                <w:kern w:val="0"/>
                <w:szCs w:val="21"/>
              </w:rPr>
              <w:tab/>
            </w:r>
            <w:r>
              <w:rPr>
                <w:rFonts w:ascii="宋体" w:hAnsi="宋体" w:hint="eastAsia"/>
                <w:bCs/>
                <w:color w:val="000000" w:themeColor="text1"/>
                <w:kern w:val="0"/>
                <w:szCs w:val="21"/>
              </w:rPr>
              <w:t>德邦证券的上述行为违反了《证券法》第三十一条、《公司债券发行与交易管理办法》第七条，构成《证券法》第一百九十一条第（三）项所述的情形。</w:t>
            </w:r>
          </w:p>
          <w:p w14:paraId="05B9BC90"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五洋建设债券项目负责人周丞玮直接负责项目主要核查工作，并在核查意见上签字，五洋建设债券项目的承做部门负责人曹榕对整个项目具有主导作用，周丞玮、曹榕未对五洋建设债券项目的风险核查问题保持应有关注，是德邦证券违法行为直接负责的主管人员。德邦</w:t>
            </w:r>
            <w:r>
              <w:rPr>
                <w:rFonts w:ascii="宋体" w:hAnsi="宋体" w:hint="eastAsia"/>
                <w:bCs/>
                <w:color w:val="000000" w:themeColor="text1"/>
                <w:kern w:val="0"/>
                <w:szCs w:val="21"/>
              </w:rPr>
              <w:lastRenderedPageBreak/>
              <w:t>证券分管债券业务副总裁和债券承销业务负责人林燕，对于德邦证券在五洋建设债券承销过程中的相关问题未保持应有关注；五洋建设债券项目组成员吴皓炜、罗健对于五洋建设债券项目的相关问题未保持应有关注。林燕、吴皓炜、罗健均在核查意见上签字，是德邦证券违法行为的其他直接责任人员。</w:t>
            </w:r>
          </w:p>
          <w:p w14:paraId="4183A65F" w14:textId="77777777" w:rsidR="00B229A7" w:rsidRDefault="00B229A7">
            <w:pPr>
              <w:spacing w:line="276" w:lineRule="auto"/>
              <w:rPr>
                <w:rFonts w:ascii="宋体" w:hAnsi="宋体"/>
                <w:b/>
                <w:color w:val="000000" w:themeColor="text1"/>
                <w:kern w:val="0"/>
                <w:szCs w:val="21"/>
              </w:rPr>
            </w:pPr>
          </w:p>
          <w:p w14:paraId="72925DF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【德邦证券未勤勉尽责案】</w:t>
            </w:r>
          </w:p>
          <w:p w14:paraId="742C4D5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一、德邦证券未充分核查五洋建设应收账款问题</w:t>
            </w:r>
          </w:p>
          <w:p w14:paraId="62A0A0E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2015年7月17日，五洋建设获准发行票面总金额不超过13.6亿元的公司债券。德邦证券作为主承销商，为五洋建设发行债券出具了《德邦证券关于五洋建设公开发行公司债券之核查意见》（以下简称核查意见）。德邦证券取得的承销费收入为18,574,400.00元。</w:t>
            </w:r>
          </w:p>
          <w:p w14:paraId="4749C01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截至2015年第一季度，五洋建设应收账款数额为300,329.65万元，占资产总额的比重为30.51%。根据德邦证券提供的工作底稿，德邦证券质控内核初审意见认为应收账款在资产总额中占比较高，并提请内核委员及项目组关注应收账款回收风险问题。根据德邦证券的核查意见，“内部核查部门和内核委员会关注的主要问题及其落实情况”第一条为“请说明截至目前为止主要项目的结算情况，是否与合同约定相符，应收账款是否存在回收风险，存货是否存在减值风险”。项目组成员未实际查阅有关明细资料，未充分调查企业的应收款项形成原因、收回的可能性等，仅根据对发行人问询，回复内部核查部门及内核委员会五洋建设应收账款回收风险较小。</w:t>
            </w:r>
          </w:p>
          <w:p w14:paraId="735A399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德邦证券作为主承销商，未充分核查公开发行募集文件的真实性和准确性，在关注到五洋建设应收账款回收风险问题时，未充分履行核查程序，违反了《证券法》第三十一条“证券公司承销证券，应当对公开发行募集文件的真实性、准确性、完整性进行核查”和《公司债券发行与交易管理办法》第七条“为公司债券发行提供服务的承销机构、资信评级机构、受托管理人、会计师事务所、资产评估机构、律师事务所等专业机构和人员应当勤勉尽责，严格遵守执业规范和监管规则，按规定和约定履行义务”的规定。</w:t>
            </w:r>
          </w:p>
          <w:p w14:paraId="675F775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二、德邦证券对于投资性房地产未充分履行核查程序</w:t>
            </w:r>
          </w:p>
          <w:p w14:paraId="54734F8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五洋建设为申请公开发行提交的债券募集说明书列示的合并财务报表显示，截至2015年3月31日，投资性房地产38.93亿元，占总资产的比例为39.55%。根据德邦证券提供的工作底稿，德邦证券质控内核初审意见提请内核委员会及项目组关注，投资性房地产在发行人资产中占比较高，并要求项目组说明投资性房地产的具体内容及位置、经营情况、公允价值确定依据、目前的市场价值。根据德邦证券的核查意见，“内部核查部门和内核委员会关注的主要问题及其落实情况”</w:t>
            </w:r>
            <w:r>
              <w:rPr>
                <w:rFonts w:ascii="宋体" w:hAnsi="宋体" w:hint="eastAsia"/>
                <w:color w:val="000000" w:themeColor="text1"/>
                <w:kern w:val="0"/>
                <w:szCs w:val="21"/>
              </w:rPr>
              <w:lastRenderedPageBreak/>
              <w:t>第五条为“请说明投资性房地产的具体内容及位置、经营情况、公允价值确定依据、目前的市场价值”。对此项目组答复“所有的投资性房地产均取得了资产评估报告，并以此确定公允价值，具体形式、位置、价值确认依据均在评估报告中提及，项目组已取得了这些评估报告”。事实上，项目组并未获取五洋建设所有投资性房地产的资产评估报告，且东舜百货和华联商厦两处投资性房地产入账依据为房地产价值咨询报告，而非资产评估报告。德邦证券对于投资性房地产未充分履行核查程序。</w:t>
            </w:r>
          </w:p>
          <w:p w14:paraId="66BFBE7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德邦证券的上述行为违反了《公司债券发行与交易管理办法》第七条“为公司债券发行提供服务的承销机构、资信评级机构、受托管理人、会计师事务所、资产评估机构、律师事务所等专业机构和人员应当勤勉尽责，严格遵守执业规范和监管规则，按规定和约定履行义务”的相关规定。</w:t>
            </w:r>
          </w:p>
          <w:p w14:paraId="64FAF12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三、德邦证券未将沈阳五洲投资性房地产出售问题写入核查意见</w:t>
            </w:r>
          </w:p>
          <w:p w14:paraId="0A029D7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相关邮件记录及询问笔录显示，德邦证券项目组成员知悉2015年五洋建设控股子公司沈阳五洲商业广场发展有限公司（以下简称沈阳五洲）已与沈阳出版发行集团有限公司签订协议，将东舜百货以大幅低于公允价值的价格对其出售，可能会对五洋建设产生重要影响，但德邦证券未依照《公开发行证券的公司信息披露内容与格式准则第24号--公开发行债券申请文件（2015年修订）》（以下简称《24号准则》）附录第三章3-1（5）的要求将此写入核查意见中。</w:t>
            </w:r>
          </w:p>
          <w:p w14:paraId="2160BE5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德邦证券的上述行为违反了《公司债券发行与交易管理办法》第七条“为公司债券发行提供服务的承销机构、资信评级机构、受托管理人、会计师事务所、资产评估机构、律师事务所等专业机构和人员应当勤勉尽责，严格遵守执业规范和监管规则，按规定和约定履行义务”的规定。</w:t>
            </w:r>
          </w:p>
        </w:tc>
      </w:tr>
      <w:tr w:rsidR="00B229A7" w14:paraId="3CC952E1" w14:textId="77777777">
        <w:tc>
          <w:tcPr>
            <w:tcW w:w="1980" w:type="dxa"/>
          </w:tcPr>
          <w:p w14:paraId="0EFF165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6B0869A2" w14:textId="77777777" w:rsidR="00B229A7" w:rsidRDefault="00D7072C">
            <w:pPr>
              <w:spacing w:line="276" w:lineRule="auto"/>
              <w:jc w:val="center"/>
              <w:rPr>
                <w:rFonts w:ascii="宋体" w:hAnsi="宋体"/>
                <w:b/>
                <w:color w:val="000000" w:themeColor="text1"/>
                <w:kern w:val="0"/>
                <w:szCs w:val="21"/>
              </w:rPr>
            </w:pPr>
            <w:r>
              <w:rPr>
                <w:rFonts w:ascii="宋体" w:hAnsi="宋体" w:hint="eastAsia"/>
                <w:b/>
                <w:color w:val="000000" w:themeColor="text1"/>
                <w:kern w:val="0"/>
                <w:szCs w:val="21"/>
              </w:rPr>
              <w:t>证监会</w:t>
            </w:r>
          </w:p>
        </w:tc>
      </w:tr>
      <w:tr w:rsidR="00B229A7" w14:paraId="0F1F2CA5" w14:textId="77777777">
        <w:tc>
          <w:tcPr>
            <w:tcW w:w="1980" w:type="dxa"/>
          </w:tcPr>
          <w:p w14:paraId="127D524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6CCA9E7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一、对德邦证券责令改正，给予警告，没收违法所得18,574,400.00元，并处以55万元罚款；</w:t>
            </w:r>
          </w:p>
          <w:p w14:paraId="342E6DA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二、对周丞玮、曹榕给予警告，并分别处以25万元罚款，撤销证券从业资格；</w:t>
            </w:r>
          </w:p>
          <w:p w14:paraId="7430CC6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三、对林燕、吴皓炜、罗健给予警告，并分别处以15万元罚款。</w:t>
            </w:r>
          </w:p>
        </w:tc>
      </w:tr>
      <w:tr w:rsidR="00B229A7" w14:paraId="36847174" w14:textId="77777777">
        <w:tc>
          <w:tcPr>
            <w:tcW w:w="1980" w:type="dxa"/>
          </w:tcPr>
          <w:p w14:paraId="3A006E8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552" w:type="dxa"/>
          </w:tcPr>
          <w:p w14:paraId="3D9C76C0"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rPr>
              <w:t>应收帐款审计、</w:t>
            </w:r>
            <w:r>
              <w:rPr>
                <w:rFonts w:ascii="宋体" w:hAnsi="宋体" w:hint="eastAsia"/>
                <w:color w:val="000000" w:themeColor="text1"/>
                <w:kern w:val="0"/>
                <w:szCs w:val="21"/>
              </w:rPr>
              <w:t>未充分履行核查程序</w:t>
            </w:r>
          </w:p>
        </w:tc>
      </w:tr>
    </w:tbl>
    <w:p w14:paraId="1201307B" w14:textId="77777777" w:rsidR="00B229A7" w:rsidRDefault="00B229A7">
      <w:pPr>
        <w:spacing w:line="276" w:lineRule="auto"/>
        <w:rPr>
          <w:rFonts w:ascii="宋体" w:hAnsi="宋体"/>
          <w:color w:val="000000" w:themeColor="text1"/>
          <w:szCs w:val="21"/>
        </w:rPr>
      </w:pPr>
    </w:p>
    <w:p w14:paraId="52ADA125" w14:textId="77777777" w:rsidR="00B229A7" w:rsidRDefault="00D7072C">
      <w:pPr>
        <w:pStyle w:val="1"/>
      </w:pPr>
      <w:bookmarkStart w:id="29" w:name="_Toc104812484"/>
      <w:bookmarkStart w:id="30" w:name="_Toc104812303"/>
      <w:bookmarkStart w:id="31" w:name="_Toc104812582"/>
      <w:r>
        <w:rPr>
          <w:rFonts w:hint="eastAsia"/>
        </w:rPr>
        <w:lastRenderedPageBreak/>
        <w:t>0</w:t>
      </w:r>
      <w:r>
        <w:t>9</w:t>
      </w:r>
      <w:r>
        <w:rPr>
          <w:rFonts w:hint="eastAsia"/>
        </w:rPr>
        <w:t>华龙证券行政处罚案</w:t>
      </w:r>
      <w:bookmarkEnd w:id="29"/>
      <w:bookmarkEnd w:id="30"/>
      <w:bookmarkEnd w:id="31"/>
    </w:p>
    <w:tbl>
      <w:tblPr>
        <w:tblStyle w:val="a4"/>
        <w:tblW w:w="8532" w:type="dxa"/>
        <w:tblLayout w:type="fixed"/>
        <w:tblLook w:val="04A0" w:firstRow="1" w:lastRow="0" w:firstColumn="1" w:lastColumn="0" w:noHBand="0" w:noVBand="1"/>
      </w:tblPr>
      <w:tblGrid>
        <w:gridCol w:w="1980"/>
        <w:gridCol w:w="6552"/>
      </w:tblGrid>
      <w:tr w:rsidR="00B229A7" w14:paraId="052AC6F5" w14:textId="77777777">
        <w:tc>
          <w:tcPr>
            <w:tcW w:w="1980" w:type="dxa"/>
          </w:tcPr>
          <w:p w14:paraId="6A0BE6B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659E4E3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104</w:t>
            </w:r>
          </w:p>
        </w:tc>
      </w:tr>
      <w:tr w:rsidR="00B229A7" w14:paraId="090ABD25" w14:textId="77777777">
        <w:tc>
          <w:tcPr>
            <w:tcW w:w="1980" w:type="dxa"/>
          </w:tcPr>
          <w:p w14:paraId="551F62F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3024A64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w:t>
            </w:r>
            <w:r>
              <w:rPr>
                <w:rFonts w:ascii="宋体" w:hAnsi="宋体" w:hint="eastAsia"/>
                <w:color w:val="000000" w:themeColor="text1"/>
                <w:kern w:val="0"/>
                <w:szCs w:val="21"/>
              </w:rPr>
              <w:t>金融业</w:t>
            </w:r>
          </w:p>
        </w:tc>
      </w:tr>
      <w:tr w:rsidR="00B229A7" w14:paraId="26E1C9DB" w14:textId="77777777">
        <w:tc>
          <w:tcPr>
            <w:tcW w:w="1980" w:type="dxa"/>
          </w:tcPr>
          <w:p w14:paraId="7C06EA6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305ACFC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22</w:t>
            </w:r>
            <w:r>
              <w:rPr>
                <w:rFonts w:ascii="宋体" w:hAnsi="宋体" w:hint="eastAsia"/>
                <w:color w:val="000000" w:themeColor="text1"/>
                <w:kern w:val="0"/>
                <w:szCs w:val="21"/>
              </w:rPr>
              <w:t>年</w:t>
            </w:r>
          </w:p>
        </w:tc>
      </w:tr>
      <w:tr w:rsidR="00B229A7" w14:paraId="67462DAD" w14:textId="77777777">
        <w:tc>
          <w:tcPr>
            <w:tcW w:w="1980" w:type="dxa"/>
          </w:tcPr>
          <w:p w14:paraId="3F0991C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6D295F9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华龙证券股份有限公司</w:t>
            </w:r>
          </w:p>
        </w:tc>
      </w:tr>
      <w:tr w:rsidR="00B229A7" w14:paraId="76D246B2" w14:textId="77777777">
        <w:tc>
          <w:tcPr>
            <w:tcW w:w="1980" w:type="dxa"/>
          </w:tcPr>
          <w:p w14:paraId="0A533AA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35FE460E"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证券经纪；证券投资咨询；与证券交易、证券投资活动有关的财务顾问；证券承销与保荐；证券自营；证券资产管理；融资融券；代销金融产品；证券投资基金代销；为期货公司提供中间介绍业务；以及中国证监会批准或允许开展的其他业务。</w:t>
            </w:r>
          </w:p>
        </w:tc>
      </w:tr>
      <w:tr w:rsidR="00B229A7" w14:paraId="7F52E347" w14:textId="77777777">
        <w:tc>
          <w:tcPr>
            <w:tcW w:w="1980" w:type="dxa"/>
          </w:tcPr>
          <w:p w14:paraId="7BEF230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201FDA3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0103A15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华龙证券股份有限公司于2001年4月30日在甘肃省工商行政管理局登记成立。法定代表人李晓安，公司经营范围包括证券经纪；证券投资咨询；与证券交易、证券投资活动有关的财务顾问等。</w:t>
            </w:r>
          </w:p>
          <w:p w14:paraId="035137EA" w14:textId="77777777" w:rsidR="00B229A7" w:rsidRDefault="00B229A7">
            <w:pPr>
              <w:spacing w:line="276" w:lineRule="auto"/>
              <w:rPr>
                <w:rFonts w:ascii="宋体" w:hAnsi="宋体"/>
                <w:b/>
                <w:color w:val="000000" w:themeColor="text1"/>
                <w:kern w:val="0"/>
                <w:szCs w:val="21"/>
              </w:rPr>
            </w:pPr>
          </w:p>
          <w:p w14:paraId="5DDAAD0D"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292DB50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2020年4月29日,蓝山科技向全国中小企业股份转让系统有限责任公司(以下简称全国股转公司)提交《向不特定合格投资者公开发行股票说明书(申报稿)》(以下简称《公开发行说明书》)并进行了公告,拟向不特定合格投资者公开发行不超过8,000万股。9月22日,蓝山科技向全国股转公司提交了《关于终止股票向不特定合格投资者公开发行并在精选层挂牌的申请》,申请撤回申请文件。9月25日,全国股转公司决定终止蓝山科技精选层挂牌申请文件的审查。</w:t>
            </w:r>
          </w:p>
          <w:p w14:paraId="5986D55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蓝山科技公告的《公开发行说明书》中包括了蓝山科技2017年至2019年三年的财务数据。我会已查明,蓝山科技通过虚增银行存款、虚构销售业务、虚构研发支出、虚列运费支出等方式,虚增收入、资产和利润,导致《公开发行说明书》中“财务会计信息”“业务和技术”“公司治理与独立性”部分编造重大虚假内容。</w:t>
            </w:r>
          </w:p>
          <w:p w14:paraId="24B23D00" w14:textId="77777777" w:rsidR="00B229A7" w:rsidRDefault="00B229A7">
            <w:pPr>
              <w:spacing w:line="276" w:lineRule="auto"/>
              <w:rPr>
                <w:rFonts w:ascii="宋体" w:hAnsi="宋体"/>
                <w:b/>
                <w:color w:val="000000" w:themeColor="text1"/>
                <w:kern w:val="0"/>
                <w:szCs w:val="21"/>
              </w:rPr>
            </w:pPr>
          </w:p>
          <w:p w14:paraId="64DAE1C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3C151CD0" w14:textId="77777777" w:rsidR="00B229A7" w:rsidRDefault="00D7072C">
            <w:pPr>
              <w:spacing w:line="276" w:lineRule="auto"/>
              <w:rPr>
                <w:rFonts w:ascii="宋体" w:hAnsi="宋体"/>
                <w:bCs/>
                <w:color w:val="000000" w:themeColor="text1"/>
                <w:kern w:val="0"/>
                <w:szCs w:val="21"/>
              </w:rPr>
            </w:pPr>
            <w:r>
              <w:rPr>
                <w:rFonts w:ascii="宋体" w:hAnsi="宋体"/>
                <w:b/>
                <w:bCs/>
                <w:color w:val="000000" w:themeColor="text1"/>
                <w:kern w:val="0"/>
                <w:szCs w:val="21"/>
              </w:rPr>
              <w:tab/>
            </w:r>
            <w:r>
              <w:rPr>
                <w:rFonts w:ascii="宋体" w:hAnsi="宋体" w:hint="eastAsia"/>
                <w:bCs/>
                <w:color w:val="000000" w:themeColor="text1"/>
                <w:kern w:val="0"/>
                <w:szCs w:val="21"/>
              </w:rPr>
              <w:t>蓝山科技公开发行股票项目(以下简称蓝山科技项目)由华龙证券担任保荐机构,华龙证券北京分公司承揽承做,时任华龙证券北京分公司总经理的孙某担任项目承揽人,赵宏志、李纪元担任保荐代表人。华龙证券与蓝山科技先后签订辅导、保荐及主承销协议,实际就蓝山科技项目收费150万元。</w:t>
            </w:r>
          </w:p>
          <w:p w14:paraId="10FF18E7"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2020年4月,华龙证券向全国股转公司递交了《关于北京蓝山科技股份有限公司公开发行股票并在精选层挂牌之发行保荐书》(以下简</w:t>
            </w:r>
            <w:r>
              <w:rPr>
                <w:rFonts w:ascii="宋体" w:hAnsi="宋体" w:hint="eastAsia"/>
                <w:bCs/>
                <w:color w:val="000000" w:themeColor="text1"/>
                <w:kern w:val="0"/>
                <w:szCs w:val="21"/>
              </w:rPr>
              <w:lastRenderedPageBreak/>
              <w:t>称《发行保荐书》)、《关于北京蓝山科技股份有限公司公开发行股票并在精选层挂牌之推荐书》(以下简称《挂牌推荐书》)等,推荐蓝山科技的股票在精选层挂牌。其中,《发行保荐书》《挂牌推荐书》由蓝山科技于2020年4月29日公告披露。</w:t>
            </w:r>
          </w:p>
          <w:p w14:paraId="256B1862" w14:textId="77777777" w:rsidR="00B229A7" w:rsidRDefault="00B229A7">
            <w:pPr>
              <w:spacing w:line="276" w:lineRule="auto"/>
              <w:rPr>
                <w:rFonts w:ascii="宋体" w:hAnsi="宋体"/>
                <w:bCs/>
                <w:color w:val="000000" w:themeColor="text1"/>
                <w:kern w:val="0"/>
                <w:szCs w:val="21"/>
              </w:rPr>
            </w:pPr>
          </w:p>
          <w:p w14:paraId="18931F8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【华龙证券行政处罚案】</w:t>
            </w:r>
          </w:p>
          <w:p w14:paraId="5F2C384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(一)华龙证券对蓝山科技的关联关系核查未勤勉尽责</w:t>
            </w:r>
          </w:p>
          <w:p w14:paraId="3E78FB2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经查明,北京天越五洲科技有限公司(以下简称天越五洲)、北京康居网络科技有限公司(以下简称康居网络)、北京博雅君立科技有限公司(以下简称博雅君立)、北京吉祥林克通讯技术有限公司(以下简称吉祥林克)、北京拓普星际科技有限公司(以下简称拓普星际)均为蓝山科技的关联法人。华龙证券针对上述公司开展的关联关系核查未能勤勉尽责。具体如下:</w:t>
            </w:r>
          </w:p>
          <w:p w14:paraId="4246DEF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1.华龙证券工作底稿中天越五洲电话号码与蓝山科技电话总机号码相同,与蓝山科技相关公司号码明显邻近。天越五洲的法定代表人与蓝山科技的关联公司北京中创昊天物联科技有限公司时任股东和监事为同一人。天越五洲注册地址、办公地址均为虚拟地址,且与访谈地址、回函地址不一致。</w:t>
            </w:r>
          </w:p>
          <w:p w14:paraId="33E418C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华龙证券工作底稿中康居网络联系电话与蓝山科技传真号、电话总机号相同。回函地址与注册地址、发货地址均不一致。李某晶代表天越五洲接受华龙证券的访谈,代表康居网络对华龙证券询证函回函。天越五洲及其关联公司康居网络与蓝山科技均存在业务往来,访谈记录与实际情况不一致。</w:t>
            </w:r>
          </w:p>
          <w:p w14:paraId="5098220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3.华龙证券工作底稿中博雅君立设立时法定代表人为魏某颖,博雅君立与蓝山科技相关公司之间的业务合同和往来单据也多有魏某颖签名。华龙证券在尽职调查工作记录中记载魏某颖为蓝山科技关联公司北京中经蓝山文化交流有限公司小股东,在尽职调查底稿中留存的蓝山科技子公司北京中经赛博科技有限公司(以下简称中经赛博)股东会记录记录人为魏某颖。蓝山科技员工通讯录显示魏某颖为蓝山科技网络部员工。</w:t>
            </w:r>
          </w:p>
          <w:p w14:paraId="775D364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4.华龙证券工作底稿中吉祥林克联系电话实际为蓝山科技使用的电话号码。华龙证券在已核查到蓝山科技财务总监之女报告期内任吉祥林克监事的情况下,未进一步开展审慎核查。</w:t>
            </w:r>
          </w:p>
          <w:p w14:paraId="4DF96C8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5.华龙证券工作底稿中拓普星际电话号码与蓝山科技使用的电话号码相同。华龙证券工作底稿显示拓普星际具有研发人员45人,但底稿中拓普星际工商资料年度报告显示该公司2016至2018年缴纳社保人数分别为0、0、1。华龙证券在对拓普星际人员访谈中,未核实当事人身份,访谈地址、办公地址与拓普星际的注册地址不一致。</w:t>
            </w:r>
          </w:p>
          <w:p w14:paraId="74C4A22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lastRenderedPageBreak/>
              <w:t>对于上述异常情况,华龙证券未尽到注意义务,未履行必要的审慎核查,未能发现上述公司与蓝山科技的关联关系,违反了《保荐人尽职调查工作准则》第二十五条的规定。</w:t>
            </w:r>
          </w:p>
          <w:p w14:paraId="368D6D5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(二)华龙证券的函证程序存在缺陷</w:t>
            </w:r>
          </w:p>
          <w:p w14:paraId="6AA94F7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1.对供应商、客户的函证程序存在缺陷</w:t>
            </w:r>
          </w:p>
          <w:p w14:paraId="7C5986E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华龙证券对所有供应商、客户的函证均无发出的快递原始单据,对供应商、客户的询证函均由华龙证券制作后交给蓝山科技工作人员,并要求供应商、客户直接回函快递至华龙证券。蓝山科技发函前会提前联系供应商、客户,要求在虚假函证上配合盖章。华龙证券发函未保持独立,发函程序完全失控,无法确保函证的结果真实客观。</w:t>
            </w:r>
          </w:p>
          <w:p w14:paraId="1199387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仅有部分询证函的回函快递单,且无法与询证函一一对应。在函证过程中,华龙证券与蓝山科技的供应商、客户没有独立进行联系。华龙证券收到回函后,未就回函的单位、寄件人、地址、电话等与被询证方进行核实,天越五洲、康居网络的回函地址与注册地址、发函地址不一致,部分回函快递单显示是直接由蓝山科技员工的手机号发出。</w:t>
            </w:r>
          </w:p>
          <w:p w14:paraId="3E18F4E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记录其对华宇金信(北京)软件有限公司(以下简称华宇金信)2017年度账面金额和销售金额分别进行了函证。但华宇金信出具说明称无法确认收到过也未回复过上述询证函,且询证函中的华宇金信盖章与华宇金信真实印章不一致。</w:t>
            </w:r>
          </w:p>
          <w:p w14:paraId="5E77B4B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记录其对深圳创新科技术有限公司(以下简称创新科)、创新科技术有限公司(以下简称创新科技术)分别进行了函证。然而,创新科出具说明称针对2019年度创新科应收账款、存货及交易金额的函证,针对2020年上半年创新科应收账款和存货的函证,创新科无法确认是否进行过函证,询证函中的财务数据与公司数据不一致。另外,2020年7月20日创新科的回函快递单上回函人员联系电话与实际情况不一致。</w:t>
            </w:r>
          </w:p>
          <w:p w14:paraId="315D44F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记录其对北京裕源大通科技股份有限公司(以下简称裕源大通)2017年存货和交易金额进行了函证。华龙证券工作底稿中未见裕源大通的回函快递单,裕源大通出具说明称未收到也未回复上述询证函,且询证函中的财务数据与公司数据不一致。</w:t>
            </w:r>
          </w:p>
          <w:p w14:paraId="622BD28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华龙证券工作底稿中记录北京航天紫光科技有限公司为蓝山科技2019年度第三大供应商,但工作底稿中未见对其2019年采购金额的函证材料。</w:t>
            </w:r>
          </w:p>
          <w:p w14:paraId="46388F9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2.对银行的函证程序存在缺陷</w:t>
            </w:r>
          </w:p>
          <w:p w14:paraId="02E941B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2017至2019年,蓝山科技及其子公司在中国工商银行北京大屯路支行(以下简称工行大屯路支行)设有三个账户,分别为蓝山科技基本户(账户后四位2985)、中经赛博基本户(账户后四位4770)和北京蓝山</w:t>
            </w:r>
            <w:r>
              <w:rPr>
                <w:rFonts w:ascii="宋体" w:hAnsi="宋体" w:hint="eastAsia"/>
                <w:color w:val="000000" w:themeColor="text1"/>
                <w:kern w:val="0"/>
                <w:szCs w:val="21"/>
              </w:rPr>
              <w:lastRenderedPageBreak/>
              <w:t>量子科技有限公司账户(账户后四位4645)。华龙证券于2020年2月、4月先后两次对工行大屯路支行进行函证,其中,2月,针对该三个账户在2019年12月31日的账户余额;4月,针对该三个账户在2017年12月31日和2018年12月31日的账户余额。华龙证券工作底稿中保存了询证函的回函。</w:t>
            </w:r>
          </w:p>
          <w:p w14:paraId="498AC34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华龙证券未独立发函,发函程序完全失控,华龙证券制作完询证函后直接交给蓝山科技工作人员,未独立前往银行进行询证,华龙证券保存的回函快递单中没有工行大屯路支行的回函快递单。</w:t>
            </w:r>
          </w:p>
          <w:p w14:paraId="6B7149D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经工行大屯路支行核实,该行未收到华龙证券就该三个账户在2017年12月31日和2018年12月31日账户余额进行的函证,也未出具过回函。华龙证券工作底稿中关于2020年4月21日向工行大屯路支行函证而获得的该三个账户在2017年12月31日和2018年12月31日的账户余额,均与实际不符。此外,华龙证券工作底稿中涉及2017年12月31日、2018年12月31日两个时点的六份询证函回函与涉及2019年12月31日时点的三份询证函回函格式不一致,与真实余额不符的2017年12月31日、2018年12月31日两个时点的账户余额询证函回函均没有工行系统打印编码,存在明显异常。</w:t>
            </w:r>
          </w:p>
          <w:p w14:paraId="7429A00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(三)华龙证券对供应商、客户的访谈程序存在缺陷</w:t>
            </w:r>
          </w:p>
          <w:p w14:paraId="7BEE1DB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访谈不独立,程序失控,无法确保访谈内容的真实客观。华龙证券制作访谈提纲后通过微信发给蓝山科技工作人员,由蓝山科技提前反馈带回复的访谈记录。蓝山科技员工承认并没有就访谈记录中的问题与客户及供应商有过沟通,访谈记录中的答案肯定不是供应商及客户填写的或与客户及供应商沟通之后填写的,这些访谈记录中的答案很多并非实际情况。</w:t>
            </w:r>
          </w:p>
          <w:p w14:paraId="78F6CD3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进行现场访谈前,会先将已有回复的访谈记录打印出来,再由蓝山科技工作人员带到供应商、客户处进行简单询问、确认并签字拍照。在访谈过程中,华龙证券未与供应商、客户独立联系,未有效核实访谈当事人身份。</w:t>
            </w:r>
          </w:p>
          <w:p w14:paraId="2F2BD22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华龙证券访谈记录附有向对方公司确认相关业务金额的确认函,部分确认函只有访谈人签字,无公司盖章。</w:t>
            </w:r>
          </w:p>
          <w:p w14:paraId="3F2A294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东华软件、华宇金信、创新科、裕源大通均提供说明称未提供过华龙证券工作底稿中的访谈内容。华龙证券2020年2月25日对李某娇的访谈记录签名有误,东华软件提供说明称李某娇未在该访谈记录上签字,且签字与其名字不符。华龙证券2020年5月21日对东华软件张某进行访谈,东华软件提供说明称公司无此员工。裕源大通提供说明称访谈记录中的访谈地点既非其注册地也非其办公地。创新科、裕源大通提供说明均称访谈记录及确认函中的数据均与公司实际财务数据不一致。北京商海文天科技发展有限公司(以下简称商海文天)的黄某</w:t>
            </w:r>
            <w:r>
              <w:rPr>
                <w:rFonts w:ascii="宋体" w:hAnsi="宋体" w:hint="eastAsia"/>
                <w:color w:val="000000" w:themeColor="text1"/>
                <w:kern w:val="0"/>
                <w:szCs w:val="21"/>
              </w:rPr>
              <w:lastRenderedPageBreak/>
              <w:t>花称从未接受过华龙证券的访谈,未见过、未签署过华龙证券工作底稿中的访谈记录,访谈记录中照片里的人员和地点均不是商海文天的人员和办公地点。</w:t>
            </w:r>
          </w:p>
          <w:p w14:paraId="4F7DDC4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此外,华龙证券在部分访谈底稿中未记录访谈地址,因此未发现天越五洲访谈地址与注册地、收货地的差异,以致未对天越五洲的注册地和收货地进行必要核查,未能发现天越五洲的注册地和收货地为虚拟地址,以及其与蓝山科技的业务均为虚假销售业务。</w:t>
            </w:r>
          </w:p>
          <w:p w14:paraId="2A78BA6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(四)华龙证券对蓝山科技研发支出的核查存在缺陷</w:t>
            </w:r>
          </w:p>
          <w:p w14:paraId="7493F21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未访谈蓝山科技认定的核心研发人员之一汪某;对另一核心研发人员周某也仅做一般性访谈,未确认资本化率较高的原因等关键性问题。未见华龙证券就科研成果验收事项访谈相关专家,经查明,项目验收文件上验收专家的签字均为伪造。对于已毕业的名校学生长期与蓝山科技签订劳务合同、担任研发部兼职助理这一异常情况,华龙证券未尽到注意义务,未履行必要的审慎核查,实际上,上述人员早已不在蓝山科技兼职。</w:t>
            </w:r>
          </w:p>
          <w:p w14:paraId="6ABBFD3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合作研发机构基本情况》记载拓普星际具有研发人员45人,底稿中工商资料年度报告显示该公司2016至2018年缴纳社保人数分别为0、0、1。《合作研发机构基本情况》记载成都蜀晟科学技术研究所(以下简称成都蜀晟)具有研发人员52人,底稿中工商资料年度报告显示该公司2016至2018年缴纳社保人数均为0。两公司所声称的人员规模与工商信息具有明显差距,华龙证券未尽到注意义务,未履行必要的审慎核查。</w:t>
            </w:r>
          </w:p>
          <w:p w14:paraId="48ED966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未独立开展对合作研发机构的函证、访谈,相关程序完全失控,无法确保函证、访谈内容真实客观。经查明,华龙证券在访谈中会见的拓普星际工作人员和办公地址均系伪造,华龙证券未有效核实当事人身份。</w:t>
            </w:r>
          </w:p>
          <w:p w14:paraId="5DB0819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(五)华龙证券对销售业务运输环节的核查存在缺陷</w:t>
            </w:r>
          </w:p>
          <w:p w14:paraId="5768DF0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的货运单材料仅有发货方信息和收货方信息,既无承运人信息,也无承运人的盖章,华龙证券未尽到注意义务,未履行必要的审慎核查。华龙证券在已经发现北京新月联合汽车有限公司(以下简称新月联合)的办公地址、货运业务存在异常的情况下,未履行必要的审慎核查,导致未能发现蓝山科技虚假记载支付新月联合运输费的情况。</w:t>
            </w:r>
          </w:p>
          <w:p w14:paraId="6D406FC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(六)华龙证券对出售生产设备的核查存在缺陷</w:t>
            </w:r>
          </w:p>
          <w:p w14:paraId="5C0CD82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蓝山科技及中经赛博向北京伊普赛斯电子设备有限公司(以下简称伊普赛斯)出售生产设备,金额较大。</w:t>
            </w:r>
          </w:p>
          <w:p w14:paraId="73CDD05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华龙证券工作底稿中伊普赛斯的电话号码与蓝山科技电话号码邻近。华龙证券未对出售的生产设备进行现场核查,在申报前未关注到伊</w:t>
            </w:r>
            <w:r>
              <w:rPr>
                <w:rFonts w:ascii="宋体" w:hAnsi="宋体" w:hint="eastAsia"/>
                <w:color w:val="000000" w:themeColor="text1"/>
                <w:kern w:val="0"/>
                <w:szCs w:val="21"/>
              </w:rPr>
              <w:lastRenderedPageBreak/>
              <w:t>普赛斯注册时间晚于合同签订时间的异常情况。华龙证券调取了民生金融租赁股份有限公司(以下简称民生租赁)与蓝山科技、中经赛博之间的融资租赁合同,其中明确约定相关设备的所有权归属于民生租赁。蓝山科技、中经赛博与伊普赛斯之间的生产设备销售合同的出售标的就是前述融资租赁合同中约定的出售回租设备。华龙证券仅从蓝山科技获取了一份《关于民生租赁设备质押说明》,未关注到前述生产设备的所有权归民生租赁且双方并非质押关系,未履行必要的审慎核查。民生租赁出具说明称从未收到承租人出售相关生产设备的申请,也从未出具前述设备质押说明。</w:t>
            </w:r>
          </w:p>
          <w:p w14:paraId="39BEC14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(七)华龙证券对蓝山科技公司治理的核查存在缺陷</w:t>
            </w:r>
          </w:p>
          <w:p w14:paraId="660A47D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在尽职调查中未访谈蓝山科技全部董监高人员。华龙证券在尽职调查中已发现蓝山科技财务总监赵某虹长年不实际履职,但未进一步核查赵某虹在公司文件的签字情况,也未在申报文件中指出蓝山科技的公司治理存在严重缺陷。</w:t>
            </w:r>
          </w:p>
          <w:p w14:paraId="3373DF8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华龙证券工作底稿中未见蓝山科技销售、采购合同相关的银行转账凭证,华龙证券未关注蓝山科技原始凭证中是否缺少银行转账凭证,未履行必要的审慎核查。</w:t>
            </w:r>
          </w:p>
        </w:tc>
      </w:tr>
      <w:tr w:rsidR="00B229A7" w14:paraId="797754AB" w14:textId="77777777">
        <w:tc>
          <w:tcPr>
            <w:tcW w:w="1980" w:type="dxa"/>
          </w:tcPr>
          <w:p w14:paraId="29E6259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7D3BC812" w14:textId="77777777" w:rsidR="00B229A7" w:rsidRDefault="00D7072C">
            <w:pPr>
              <w:spacing w:line="276" w:lineRule="auto"/>
              <w:jc w:val="center"/>
              <w:rPr>
                <w:rFonts w:ascii="宋体" w:hAnsi="宋体"/>
                <w:b/>
                <w:color w:val="000000" w:themeColor="text1"/>
                <w:kern w:val="0"/>
                <w:szCs w:val="21"/>
              </w:rPr>
            </w:pPr>
            <w:r>
              <w:rPr>
                <w:rFonts w:ascii="宋体" w:hAnsi="宋体" w:hint="eastAsia"/>
                <w:b/>
                <w:color w:val="000000" w:themeColor="text1"/>
                <w:kern w:val="0"/>
                <w:szCs w:val="21"/>
              </w:rPr>
              <w:t>证监会</w:t>
            </w:r>
          </w:p>
        </w:tc>
      </w:tr>
      <w:tr w:rsidR="00B229A7" w14:paraId="33059B18" w14:textId="77777777">
        <w:tc>
          <w:tcPr>
            <w:tcW w:w="1980" w:type="dxa"/>
          </w:tcPr>
          <w:p w14:paraId="71F8275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580950B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一、对华龙证券股份有限公司责令改正,给予警告,没收业务收入150万元,并处以300万元罚款;</w:t>
            </w:r>
          </w:p>
          <w:p w14:paraId="786AC49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二、对赵宏志、李纪元给予警告,并分别处以50万元罚款。</w:t>
            </w:r>
          </w:p>
        </w:tc>
      </w:tr>
      <w:tr w:rsidR="00B229A7" w14:paraId="5482F8BC" w14:textId="77777777">
        <w:tc>
          <w:tcPr>
            <w:tcW w:w="1980" w:type="dxa"/>
          </w:tcPr>
          <w:p w14:paraId="791BBC7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552" w:type="dxa"/>
          </w:tcPr>
          <w:p w14:paraId="3819E56B" w14:textId="77777777" w:rsidR="00B229A7" w:rsidRDefault="00D7072C">
            <w:pPr>
              <w:widowControl/>
              <w:spacing w:line="276" w:lineRule="auto"/>
              <w:jc w:val="left"/>
              <w:rPr>
                <w:rFonts w:ascii="宋体" w:hAnsi="宋体"/>
                <w:color w:val="000000" w:themeColor="text1"/>
                <w:kern w:val="0"/>
                <w:szCs w:val="21"/>
              </w:rPr>
            </w:pPr>
            <w:r>
              <w:rPr>
                <w:rFonts w:ascii="宋体" w:hAnsi="宋体" w:hint="eastAsia"/>
                <w:color w:val="000000" w:themeColor="text1"/>
                <w:kern w:val="0"/>
                <w:szCs w:val="21"/>
              </w:rPr>
              <w:t>关联关系、函证程序</w:t>
            </w:r>
          </w:p>
        </w:tc>
      </w:tr>
    </w:tbl>
    <w:p w14:paraId="3F8D2D59" w14:textId="77777777" w:rsidR="00B229A7" w:rsidRDefault="00B229A7">
      <w:pPr>
        <w:spacing w:line="276" w:lineRule="auto"/>
        <w:rPr>
          <w:rFonts w:ascii="宋体" w:hAnsi="宋体"/>
          <w:color w:val="000000" w:themeColor="text1"/>
          <w:szCs w:val="21"/>
        </w:rPr>
      </w:pPr>
    </w:p>
    <w:p w14:paraId="26117C23" w14:textId="77777777" w:rsidR="00B229A7" w:rsidRDefault="00D7072C">
      <w:pPr>
        <w:pStyle w:val="1"/>
      </w:pPr>
      <w:bookmarkStart w:id="32" w:name="_Toc104812304"/>
      <w:bookmarkStart w:id="33" w:name="_Toc104812583"/>
      <w:bookmarkStart w:id="34" w:name="_Toc104812485"/>
      <w:r>
        <w:t>10</w:t>
      </w:r>
      <w:r>
        <w:rPr>
          <w:rFonts w:hint="eastAsia"/>
        </w:rPr>
        <w:t>银信评估未勤勉尽责案</w:t>
      </w:r>
      <w:bookmarkEnd w:id="32"/>
      <w:bookmarkEnd w:id="33"/>
      <w:bookmarkEnd w:id="34"/>
    </w:p>
    <w:tbl>
      <w:tblPr>
        <w:tblStyle w:val="a4"/>
        <w:tblW w:w="8532" w:type="dxa"/>
        <w:tblLayout w:type="fixed"/>
        <w:tblLook w:val="04A0" w:firstRow="1" w:lastRow="0" w:firstColumn="1" w:lastColumn="0" w:noHBand="0" w:noVBand="1"/>
      </w:tblPr>
      <w:tblGrid>
        <w:gridCol w:w="1980"/>
        <w:gridCol w:w="6552"/>
      </w:tblGrid>
      <w:tr w:rsidR="00B229A7" w14:paraId="2914C62E" w14:textId="77777777">
        <w:tc>
          <w:tcPr>
            <w:tcW w:w="1980" w:type="dxa"/>
          </w:tcPr>
          <w:p w14:paraId="07D4052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6BD6C37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105</w:t>
            </w:r>
          </w:p>
        </w:tc>
      </w:tr>
      <w:tr w:rsidR="00B229A7" w14:paraId="2B4B6673" w14:textId="77777777">
        <w:tc>
          <w:tcPr>
            <w:tcW w:w="1980" w:type="dxa"/>
          </w:tcPr>
          <w:p w14:paraId="1D039D9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2EC088C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金融业</w:t>
            </w:r>
          </w:p>
        </w:tc>
      </w:tr>
      <w:tr w:rsidR="00B229A7" w14:paraId="716BFA40" w14:textId="77777777">
        <w:tc>
          <w:tcPr>
            <w:tcW w:w="1980" w:type="dxa"/>
          </w:tcPr>
          <w:p w14:paraId="06A619C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2D38A70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18</w:t>
            </w:r>
            <w:r>
              <w:rPr>
                <w:rFonts w:ascii="宋体" w:hAnsi="宋体" w:hint="eastAsia"/>
                <w:color w:val="000000" w:themeColor="text1"/>
                <w:kern w:val="0"/>
                <w:szCs w:val="21"/>
              </w:rPr>
              <w:t>年</w:t>
            </w:r>
          </w:p>
        </w:tc>
      </w:tr>
      <w:tr w:rsidR="00B229A7" w14:paraId="4E659968" w14:textId="77777777">
        <w:tc>
          <w:tcPr>
            <w:tcW w:w="1980" w:type="dxa"/>
          </w:tcPr>
          <w:p w14:paraId="566C531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14BDBF6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银信资产评估有限公司</w:t>
            </w:r>
          </w:p>
        </w:tc>
      </w:tr>
      <w:tr w:rsidR="00B229A7" w14:paraId="5D99BAA5" w14:textId="77777777">
        <w:tc>
          <w:tcPr>
            <w:tcW w:w="1980" w:type="dxa"/>
          </w:tcPr>
          <w:p w14:paraId="2ABAF85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61D5AEA4"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资产评估、验证、年检；企业经营效益审核、工程核价；资产评估咨询；会计、财务、经济管理业务咨询；税务登记代理；会计、财务人员培训，房地产价格估价（准B级）</w:t>
            </w:r>
          </w:p>
        </w:tc>
      </w:tr>
      <w:tr w:rsidR="00B229A7" w14:paraId="664A06E3" w14:textId="77777777">
        <w:tc>
          <w:tcPr>
            <w:tcW w:w="1980" w:type="dxa"/>
          </w:tcPr>
          <w:p w14:paraId="6D9A297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4E3514FE"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6573239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上海银信资产评估有限公司是一家注册为有限责任公司的专业资产评估机构，注册资本为人民币200万元。公司现有从业人员590人，</w:t>
            </w:r>
            <w:r>
              <w:rPr>
                <w:rFonts w:ascii="宋体" w:hAnsi="宋体"/>
                <w:color w:val="000000" w:themeColor="text1"/>
                <w:kern w:val="0"/>
                <w:szCs w:val="21"/>
              </w:rPr>
              <w:lastRenderedPageBreak/>
              <w:t>各类工程、技术、经济、财务类专业人员70%以上具有中高级专业职称。此外还拥有一批研究机构和大学的专家、学者，提供强大的技术和理论支持。</w:t>
            </w:r>
          </w:p>
          <w:p w14:paraId="0D2A725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公司2005年初经过英国NQA公司评审，核准通过了公司的ISO 9001：2000质量管理体系的认证，并获得英国UKAS和美国ANAB等两个质认证体系的认证标志。</w:t>
            </w:r>
          </w:p>
          <w:p w14:paraId="307041F4" w14:textId="77777777" w:rsidR="00B229A7" w:rsidRDefault="00B229A7">
            <w:pPr>
              <w:spacing w:line="276" w:lineRule="auto"/>
              <w:rPr>
                <w:rFonts w:ascii="宋体" w:hAnsi="宋体"/>
                <w:b/>
                <w:color w:val="000000" w:themeColor="text1"/>
                <w:kern w:val="0"/>
                <w:szCs w:val="21"/>
              </w:rPr>
            </w:pPr>
          </w:p>
          <w:p w14:paraId="5D9EEDC7"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3514D7B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2014年2月14日，中安消股份有限公司（原名上海飞乐股份有限公司）决定向深圳市中恒汇志投资有限公司发行股份，购买其持有的中安消技术有限公司（以下简称中安消技术）100%股权，银信评估为此次重大资产重组的评估机构。</w:t>
            </w:r>
          </w:p>
          <w:p w14:paraId="7BA45AF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2014年4月25日，银信评估出具《上海飞乐股份有限公司拟收购中安消技术有限公司股权所涉及的中安消技术有限公司股东全部权益价值评估项目资产评估报告书》（以下简称《资产评估报告》），采用收益法评估，中安消技术评估值为28.59亿元，评估增值约为26.91亿元，增值率1,597.19%。银信评估本次项目合计收费160万元，签字评估师为杨建平、林美芹，首席评估师为梅惠民。</w:t>
            </w:r>
          </w:p>
          <w:p w14:paraId="6B420374" w14:textId="77777777" w:rsidR="00B229A7" w:rsidRDefault="00B229A7">
            <w:pPr>
              <w:spacing w:line="276" w:lineRule="auto"/>
              <w:rPr>
                <w:rFonts w:ascii="宋体" w:hAnsi="宋体"/>
                <w:b/>
                <w:color w:val="000000" w:themeColor="text1"/>
                <w:kern w:val="0"/>
                <w:szCs w:val="21"/>
              </w:rPr>
            </w:pPr>
          </w:p>
          <w:p w14:paraId="5E8B57A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【银信评估未勤勉尽责案】</w:t>
            </w:r>
          </w:p>
          <w:p w14:paraId="22AD70E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2013年11月，中安消技术与黔西南州政府签订《黔西南教育信息化工程项目建设战略合作框架协议》（以下简称《框架协议》），项目总金额4.5亿元，其中预计2014年确认收入3.42亿元，占银信评估评估时所依据的中安消本部在手合同及意向合同约4.7亿元的70%，占中安消技术本部2014年度预测营业收入约5.3亿元的65%，占中安消技术2014年度预测营业收入约13.2亿元的26%。</w:t>
            </w:r>
          </w:p>
          <w:p w14:paraId="72D1880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根据《框架协议》内容，中安消技术需要在框架协议内与黔西南州各县（市）人民政府、义龙新区管委会自行签订项目建设合同和还款协议，黔西南州政府积极推进上述双方签订合作合同。黔西南州政府2016年8月15日出具的说明载明，该《框架协议》仅为合作框架协议，具体实施需通过公开招投标程序确定承建单位，且在已完成招标的各县（市、区）中，均无中安消技术中标。</w:t>
            </w:r>
          </w:p>
          <w:p w14:paraId="6B5CC8F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银信评估未对“班班通”项目《框架协议》予以充分关注，未通过询问、函证、核对等方式进行调查，未保持应有的职业谨慎，没有对收益预测履行必要的分析、判断和调整程序，没有在考虑未来各种可能性及其影响的基础上（“班班通”项目需要经过政府招投标程序，该项目营业收入具有重大不确定性）合理确定评估假设，形成未来收益预测，造成收益预测值和评估值严重虚增，致使评估值不真实。银</w:t>
            </w:r>
            <w:r>
              <w:rPr>
                <w:rFonts w:ascii="宋体" w:hAnsi="宋体" w:hint="eastAsia"/>
                <w:color w:val="000000" w:themeColor="text1"/>
                <w:kern w:val="0"/>
                <w:szCs w:val="21"/>
              </w:rPr>
              <w:lastRenderedPageBreak/>
              <w:t>信评估的上述行为不符合《资产评估准则—评估程序》第十九条、《资产评估准则—企业价值》第七条、第二十七条的规定。</w:t>
            </w:r>
          </w:p>
          <w:p w14:paraId="619683C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银信评估对中安消技术评估项目进行资产评估时，未勤勉尽责，不符合资产评估准则的相关规定，导致出具的评估报告存在误导性陈述，违反了《证券法》第二十条第二款“为证券发行出具有关文件的证券服务机构和人员，必须严格履行法定职责，保证其所出具文件的真实性、准确性、完整性”和第一百七十三条“证券服务机构为证券的发行、上市、交易等证券业务活动制作、出具审计报告、资产评估报告、财务顾问报告、资信评级报告或者法律意见书等文件，应当勤勉尽责，对所依据的文件资料内容的真实性、准确性、完整性进行核查和验证”的规定，构成《证券法》第二百二十三条所述“证券服务机构未勤勉尽责，所制作、出具的文件有虚假记载、误导性陈述或者重大遗漏”的情形。梅惠民、杨建平、林美芹为直接负责的主管人员。</w:t>
            </w:r>
          </w:p>
        </w:tc>
      </w:tr>
      <w:tr w:rsidR="00B229A7" w14:paraId="6B6D383D" w14:textId="77777777">
        <w:tc>
          <w:tcPr>
            <w:tcW w:w="1980" w:type="dxa"/>
          </w:tcPr>
          <w:p w14:paraId="40F7290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64ECCC79" w14:textId="77777777" w:rsidR="00B229A7" w:rsidRDefault="00D7072C">
            <w:pPr>
              <w:spacing w:line="276" w:lineRule="auto"/>
              <w:jc w:val="center"/>
              <w:rPr>
                <w:rFonts w:ascii="宋体" w:hAnsi="宋体"/>
                <w:b/>
                <w:color w:val="000000" w:themeColor="text1"/>
                <w:kern w:val="0"/>
                <w:szCs w:val="21"/>
              </w:rPr>
            </w:pPr>
            <w:r>
              <w:rPr>
                <w:rFonts w:ascii="宋体" w:hAnsi="宋体" w:hint="eastAsia"/>
                <w:b/>
                <w:color w:val="000000" w:themeColor="text1"/>
                <w:kern w:val="0"/>
                <w:szCs w:val="21"/>
              </w:rPr>
              <w:t>证监会</w:t>
            </w:r>
          </w:p>
        </w:tc>
      </w:tr>
      <w:tr w:rsidR="00B229A7" w14:paraId="5CCA810F" w14:textId="77777777">
        <w:tc>
          <w:tcPr>
            <w:tcW w:w="1980" w:type="dxa"/>
          </w:tcPr>
          <w:p w14:paraId="581366C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7B5AF2C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一、责令银信资产评估有限公司改正，没收评估业务收入160万元，并处以480万元罚款；</w:t>
            </w:r>
          </w:p>
          <w:p w14:paraId="6B209A4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二、对梅惠民、杨建平、林美芹给予警告，并分别处以5万元罚款。</w:t>
            </w:r>
          </w:p>
        </w:tc>
      </w:tr>
      <w:tr w:rsidR="00B229A7" w14:paraId="1903DE0D" w14:textId="77777777">
        <w:tc>
          <w:tcPr>
            <w:tcW w:w="1980" w:type="dxa"/>
          </w:tcPr>
          <w:p w14:paraId="5FC6075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552" w:type="dxa"/>
          </w:tcPr>
          <w:p w14:paraId="4B15A911"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rPr>
              <w:t>资产评估</w:t>
            </w:r>
          </w:p>
        </w:tc>
      </w:tr>
    </w:tbl>
    <w:p w14:paraId="446A4947" w14:textId="77777777" w:rsidR="00B229A7" w:rsidRDefault="00B229A7">
      <w:pPr>
        <w:spacing w:line="276" w:lineRule="auto"/>
        <w:rPr>
          <w:rFonts w:ascii="宋体" w:hAnsi="宋体"/>
          <w:color w:val="000000" w:themeColor="text1"/>
          <w:szCs w:val="21"/>
        </w:rPr>
      </w:pPr>
    </w:p>
    <w:p w14:paraId="3C89F73E" w14:textId="77777777" w:rsidR="00B229A7" w:rsidRDefault="00D7072C">
      <w:pPr>
        <w:pStyle w:val="1"/>
      </w:pPr>
      <w:bookmarkStart w:id="35" w:name="_Toc104812305"/>
      <w:bookmarkStart w:id="36" w:name="_Toc104812486"/>
      <w:bookmarkStart w:id="37" w:name="_Toc104812584"/>
      <w:r>
        <w:t>11</w:t>
      </w:r>
      <w:r>
        <w:rPr>
          <w:rFonts w:hint="eastAsia"/>
        </w:rPr>
        <w:t>-</w:t>
      </w:r>
      <w:r>
        <w:t xml:space="preserve">20 </w:t>
      </w:r>
      <w:r>
        <w:rPr>
          <w:rFonts w:hint="eastAsia"/>
        </w:rPr>
        <w:t>主要分析人：曹艺佳</w:t>
      </w:r>
      <w:bookmarkEnd w:id="35"/>
      <w:bookmarkEnd w:id="36"/>
      <w:bookmarkEnd w:id="37"/>
    </w:p>
    <w:p w14:paraId="13DEE62F" w14:textId="77777777" w:rsidR="00B229A7" w:rsidRDefault="00D7072C">
      <w:pPr>
        <w:pStyle w:val="1"/>
      </w:pPr>
      <w:bookmarkStart w:id="38" w:name="_Toc104812487"/>
      <w:bookmarkStart w:id="39" w:name="_Toc104812585"/>
      <w:bookmarkStart w:id="40" w:name="_Toc104812306"/>
      <w:r>
        <w:rPr>
          <w:rFonts w:hint="eastAsia"/>
        </w:rPr>
        <w:t>1</w:t>
      </w:r>
      <w:r>
        <w:t>1</w:t>
      </w:r>
      <w:r>
        <w:rPr>
          <w:rFonts w:hint="eastAsia"/>
        </w:rPr>
        <w:t>九好集团财务舞弊事件</w:t>
      </w:r>
      <w:bookmarkEnd w:id="38"/>
      <w:bookmarkEnd w:id="39"/>
      <w:bookmarkEnd w:id="40"/>
    </w:p>
    <w:tbl>
      <w:tblPr>
        <w:tblStyle w:val="a4"/>
        <w:tblpPr w:leftFromText="180" w:rightFromText="180" w:horzAnchor="margin" w:tblpY="516"/>
        <w:tblW w:w="8296" w:type="dxa"/>
        <w:tblLayout w:type="fixed"/>
        <w:tblLook w:val="04A0" w:firstRow="1" w:lastRow="0" w:firstColumn="1" w:lastColumn="0" w:noHBand="0" w:noVBand="1"/>
      </w:tblPr>
      <w:tblGrid>
        <w:gridCol w:w="1980"/>
        <w:gridCol w:w="6316"/>
      </w:tblGrid>
      <w:tr w:rsidR="00B229A7" w14:paraId="79CFC2DD" w14:textId="77777777">
        <w:tc>
          <w:tcPr>
            <w:tcW w:w="1980" w:type="dxa"/>
          </w:tcPr>
          <w:p w14:paraId="693158B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252439F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1105</w:t>
            </w:r>
          </w:p>
        </w:tc>
      </w:tr>
      <w:tr w:rsidR="00B229A7" w14:paraId="19C97621" w14:textId="77777777">
        <w:tc>
          <w:tcPr>
            <w:tcW w:w="1980" w:type="dxa"/>
          </w:tcPr>
          <w:p w14:paraId="3273A33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案例</w:t>
            </w:r>
            <w:r>
              <w:rPr>
                <w:rFonts w:ascii="宋体" w:hAnsi="宋体"/>
                <w:color w:val="000000" w:themeColor="text1"/>
                <w:kern w:val="0"/>
                <w:szCs w:val="21"/>
              </w:rPr>
              <w:t>行业类别</w:t>
            </w:r>
          </w:p>
        </w:tc>
        <w:tc>
          <w:tcPr>
            <w:tcW w:w="6316" w:type="dxa"/>
          </w:tcPr>
          <w:p w14:paraId="1948D2BE"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11</w:t>
            </w:r>
            <w:r>
              <w:rPr>
                <w:rFonts w:ascii="宋体" w:hAnsi="宋体" w:hint="eastAsia"/>
                <w:color w:val="000000" w:themeColor="text1"/>
                <w:kern w:val="0"/>
                <w:szCs w:val="21"/>
              </w:rPr>
              <w:t>互联网及I</w:t>
            </w:r>
            <w:r>
              <w:rPr>
                <w:rFonts w:ascii="宋体" w:hAnsi="宋体"/>
                <w:color w:val="000000" w:themeColor="text1"/>
                <w:kern w:val="0"/>
                <w:szCs w:val="21"/>
              </w:rPr>
              <w:t>T</w:t>
            </w:r>
            <w:r>
              <w:rPr>
                <w:rFonts w:ascii="宋体" w:hAnsi="宋体" w:hint="eastAsia"/>
                <w:color w:val="000000" w:themeColor="text1"/>
                <w:kern w:val="0"/>
                <w:szCs w:val="21"/>
              </w:rPr>
              <w:t>类</w:t>
            </w:r>
          </w:p>
        </w:tc>
      </w:tr>
      <w:tr w:rsidR="00B229A7" w14:paraId="56B2FB16" w14:textId="77777777">
        <w:tc>
          <w:tcPr>
            <w:tcW w:w="1980" w:type="dxa"/>
          </w:tcPr>
          <w:p w14:paraId="60C57ED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139F05EC"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2017</w:t>
            </w:r>
            <w:r>
              <w:rPr>
                <w:rFonts w:ascii="宋体" w:hAnsi="宋体" w:hint="eastAsia"/>
                <w:color w:val="000000" w:themeColor="text1"/>
                <w:kern w:val="0"/>
                <w:szCs w:val="21"/>
              </w:rPr>
              <w:t>年</w:t>
            </w:r>
          </w:p>
        </w:tc>
      </w:tr>
      <w:tr w:rsidR="00B229A7" w14:paraId="09DFD9FA" w14:textId="77777777">
        <w:tc>
          <w:tcPr>
            <w:tcW w:w="1980" w:type="dxa"/>
          </w:tcPr>
          <w:p w14:paraId="2B57585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50E55AF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九好网络科技集团有限公司</w:t>
            </w:r>
          </w:p>
        </w:tc>
      </w:tr>
      <w:tr w:rsidR="00B229A7" w14:paraId="280E32F3" w14:textId="77777777">
        <w:tc>
          <w:tcPr>
            <w:tcW w:w="1980" w:type="dxa"/>
          </w:tcPr>
          <w:p w14:paraId="6BBA054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5A69CDE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互联网服务</w:t>
            </w:r>
            <w:r>
              <w:rPr>
                <w:rFonts w:ascii="宋体" w:hAnsi="宋体"/>
                <w:color w:val="000000" w:themeColor="text1"/>
                <w:kern w:val="0"/>
                <w:szCs w:val="21"/>
              </w:rPr>
              <w:t>类</w:t>
            </w:r>
          </w:p>
        </w:tc>
      </w:tr>
      <w:tr w:rsidR="00B229A7" w14:paraId="1DB37652" w14:textId="77777777">
        <w:tc>
          <w:tcPr>
            <w:tcW w:w="1980" w:type="dxa"/>
          </w:tcPr>
          <w:p w14:paraId="43C5680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0735710D"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83EA74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原浙江九好办公服务集团有限公司（现更名为九好网络科技集团有限公司，以下简称九好集团）是一家从事后勤托管平台服务的大型企业集团。截至2016年4月23日，郭丛军及其配偶在九好集团中共同占有股份56.02%，以股权判定实际控制权，该夫妇为九好集团实际控制人。九好集团通过为供应商和客户构建服务平台，为两者提供包括九大类后勤托管服务，涵盖了餐饮、物业、办公、IT、传媒、劳保、差旅、物流、金融等领域。九好集团根据客户需求展开规模化的供需匹配，遴选优质供应商批量化进行项目对接和合同签订。</w:t>
            </w:r>
          </w:p>
          <w:p w14:paraId="06A471C4"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6DAD224D" w14:textId="77777777" w:rsidR="00B229A7" w:rsidRDefault="00D7072C">
            <w:pPr>
              <w:spacing w:line="276" w:lineRule="auto"/>
              <w:rPr>
                <w:rFonts w:ascii="宋体" w:hAnsi="宋体"/>
                <w:color w:val="000000" w:themeColor="text1"/>
                <w:kern w:val="0"/>
                <w:szCs w:val="21"/>
              </w:rPr>
            </w:pPr>
            <w:r>
              <w:rPr>
                <w:rFonts w:ascii="宋体" w:hAnsi="宋体"/>
                <w:b/>
                <w:bCs/>
                <w:color w:val="000000" w:themeColor="text1"/>
                <w:kern w:val="0"/>
                <w:szCs w:val="21"/>
              </w:rPr>
              <w:tab/>
            </w:r>
            <w:r>
              <w:rPr>
                <w:rFonts w:ascii="宋体" w:hAnsi="宋体" w:hint="eastAsia"/>
                <w:color w:val="000000" w:themeColor="text1"/>
                <w:kern w:val="0"/>
                <w:szCs w:val="21"/>
              </w:rPr>
              <w:t>2015年，鞍山重型矿山机器股份有限公司（股票代码：002667，以下简称鞍重股份）发出公告，拟与郭丛军实际控制的九好集团进行重大资产置换，鞍重股份以其全部资产（除货币资金2.29亿外）和负债作为置入资产（以交易日为价格基准日），以九好集团全部股权作为置出资产，将置入资产作价5.95亿元，置出资产作价37.18亿元进行置换，差额部分由交易标的作价差额31.23亿元以发行股份方式予以补足。</w:t>
            </w:r>
          </w:p>
          <w:p w14:paraId="2609C35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九好集团作价37.18亿元,三年业绩承诺额13亿元，资产置换差额发行股份发行价为每股16.23元，鞍重股份2015年4月7日发布重大事项停牌前交易价格为47.65元，到2015年5月29日除权日价格26.17元，同年12月18日，最高价格达87.79元，为发行价的2-5倍。</w:t>
            </w:r>
          </w:p>
          <w:p w14:paraId="5F985CB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3月11日，证监会认定九好集团存在以下违法事实：自2013年起，连续三年虚增主营业务收入2.65亿元，并在2015年虚增相关贸易收入57万元，虚构银行存款3亿元。同时为逃避监管及“修饰”财务数据，九好集团采取向他方借款的形式，购买银行的理财产品或定期存单，并通过为该单位进行担保质押的形式筹集与归还资金。</w:t>
            </w:r>
          </w:p>
          <w:p w14:paraId="732AA0F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证监会就九好集团信息披露虚假记载和重大遗漏等严重违法行为，责令改正并作出警告、罚款等处分，罚款金额为60万元，九好集团实际控制人郭丛军终身市场禁入，其他相关责任方10年以下不等年限的市场禁入。</w:t>
            </w:r>
          </w:p>
          <w:p w14:paraId="456E098F"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【案例分析】</w:t>
            </w:r>
          </w:p>
          <w:p w14:paraId="29718718"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lastRenderedPageBreak/>
              <w:t>（一）九好集团财务舞弊主要手段</w:t>
            </w:r>
          </w:p>
          <w:p w14:paraId="03587CE3"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1.虚增主营业务收入</w:t>
            </w:r>
          </w:p>
          <w:p w14:paraId="74BBC9C8"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九好集团财务舞弊的关键点在其将虚增的主营业务收入（即平台服务费收入）混淆到数目众多的供应商和客户中，利用其有真实的往来的供应商、客户混淆视听，虚构业务，达到虚增收入的目的。同时，九好集团伙同部分上下游客户，通过制造账户流水，伪造收入回款。九好集团2013年至2015年通过虚构业务、虚增业绩等方式增加业务收入超2.6亿元，占三年内服务费收入总额的37.36%。</w:t>
            </w:r>
          </w:p>
          <w:p w14:paraId="6338FC22"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2.虚增其他收入</w:t>
            </w:r>
          </w:p>
          <w:p w14:paraId="1C2D9592"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杭州融康信息技术有限公司（以下简称“融康信息”）为九好集团下游客户之一。依据九好集团披露的审计报告，其确认了来自融康信息的57.5万元的销售收入及账款回收。但融康信息并未确认收货，同时九好集团也将该笔货款退回。从会计准则的规定来看，该笔业务不满足销售收入的确认条件。</w:t>
            </w:r>
          </w:p>
          <w:p w14:paraId="1BCFC720"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3.虚增货币资金，未披露应尽事宜</w:t>
            </w:r>
          </w:p>
          <w:p w14:paraId="0D16DC3D"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一是虚增货币资金3亿元。2015年1月，九好集团采取虚构收回其他应收款1.7亿元、虚构银行存款转入0.47亿元、转出1亿元资金但不进行账务处理等方式形成虚增货币资金3.17亿元。同年3月，九好集团虚构郭丛军退回购房款0.12亿元，账面虚假资金扩大至3.29亿元。同月，杭州好融实业有限公司向九好集团转入资金1.6亿元，九好集团虚假记载成1.31亿元，少计收回0.29亿元。九好集团到此账面虚增货币资金3亿元。</w:t>
            </w:r>
          </w:p>
          <w:p w14:paraId="410BB9D2"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二是未披露3亿元借款及银行存款质押。从2015年3月开始，为逃避监管及“修饰”财务数据，九好集团采取向他方借款的形式，购买银行的理财产品或定期存单，并以此为质押物，为他方进行质押担保，通过开具银行承兑汇票并随后以贴现的方式将资金变现并归还借款。</w:t>
            </w:r>
          </w:p>
          <w:p w14:paraId="79E486D3"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通过该种资金处理方式，九好集团实现虚增账面货币资金3亿元的目的，同时在进行资产重组时公开披露的《重大资产重组报告书》一文中，并未披露质押的3亿银行存单。</w:t>
            </w:r>
          </w:p>
          <w:p w14:paraId="4F154F2D" w14:textId="77777777" w:rsidR="00B229A7" w:rsidRDefault="00B229A7">
            <w:pPr>
              <w:spacing w:line="276" w:lineRule="auto"/>
              <w:rPr>
                <w:rFonts w:ascii="宋体" w:hAnsi="宋体"/>
                <w:bCs/>
                <w:color w:val="000000" w:themeColor="text1"/>
                <w:kern w:val="0"/>
                <w:szCs w:val="21"/>
              </w:rPr>
            </w:pPr>
          </w:p>
          <w:p w14:paraId="7F8B5B5E"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（二）九好集团财务舞弊的动机分析</w:t>
            </w:r>
          </w:p>
          <w:p w14:paraId="203D262D"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1.巨额利益驱使</w:t>
            </w:r>
          </w:p>
          <w:p w14:paraId="64EE5E18"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股市中巨大的暴富效应及风险极低的示范效应刺激着拟上市企业高管们想方设法的争取上市融资。鞍重股份在公布并购重组预案之后，公司股价从26.17冲上87.79元高位，涨幅高达221.93%，而同期大盘仅上涨0.49%,板块涨幅为-0.78%。巨额利益驱使了此次铤而走险的财务舞弊案。</w:t>
            </w:r>
          </w:p>
          <w:p w14:paraId="279C9F14"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lastRenderedPageBreak/>
              <w:t>2.公司股权高度集中</w:t>
            </w:r>
          </w:p>
          <w:p w14:paraId="3E8F8C5F"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在九好集团历史沿革中，经过多次股权转让后，截至2016年4月23日，郭丛军及其配偶在九好集团中共同占有股份56.02%，为九好集团的控股股东及实际控制人，其他股东只有极少甚至没有话语权。因此，股权的高度集中提供了财务舞弊的内在机会。</w:t>
            </w:r>
          </w:p>
          <w:p w14:paraId="2408E4A4"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3.资本市场监管机制薄弱</w:t>
            </w:r>
          </w:p>
          <w:p w14:paraId="0438300A"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我国资本市场主体监管意识和力量较为薄弱、监管水平较低。九好集团连续虚构利润，且数额巨大，但负责其审计的利安达会计师事务所均以无保留意见审计报告交付广大投资者。同时，我国对财务舞弊的惩罚力度过轻和较低的违法成本导致了相关利益方不惜铤而走险。九好集团涉案金额巨大，但即使被顶格处罚，舞弊成功后借壳上市即可获利的数十亿资金，为顶格处罚金额60万元的1000倍以上。</w:t>
            </w:r>
          </w:p>
          <w:p w14:paraId="7A97958B"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4.企业管理层自身道德观念缺乏</w:t>
            </w:r>
          </w:p>
          <w:p w14:paraId="2450F241"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缺乏道德观念的管理层则会寻求各种理由来实施财务舞弊。九好集团在2013年至2015年间虚增巨额收入且隐瞒3亿元银行存款质押，企业管理层认为只是暂时性舞弊，借壳上市后，财务数据自然会正常规范化。九好集团管理层只着眼于当前的利益追求，而忽视本身应承担的社会责任。</w:t>
            </w:r>
          </w:p>
          <w:p w14:paraId="506A6BB9" w14:textId="77777777" w:rsidR="00B229A7" w:rsidRDefault="00B229A7">
            <w:pPr>
              <w:spacing w:line="276" w:lineRule="auto"/>
              <w:rPr>
                <w:rFonts w:ascii="宋体" w:hAnsi="宋体"/>
                <w:color w:val="000000" w:themeColor="text1"/>
                <w:kern w:val="0"/>
                <w:szCs w:val="21"/>
              </w:rPr>
            </w:pPr>
          </w:p>
        </w:tc>
      </w:tr>
      <w:tr w:rsidR="00B229A7" w14:paraId="67A9B164" w14:textId="77777777">
        <w:tc>
          <w:tcPr>
            <w:tcW w:w="1980" w:type="dxa"/>
          </w:tcPr>
          <w:p w14:paraId="08CEE0A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038D881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利安达会计师事务所</w:t>
            </w:r>
          </w:p>
        </w:tc>
      </w:tr>
      <w:tr w:rsidR="00B229A7" w14:paraId="3185682F" w14:textId="77777777">
        <w:tc>
          <w:tcPr>
            <w:tcW w:w="1980" w:type="dxa"/>
          </w:tcPr>
          <w:p w14:paraId="7407328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532A3FC8"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1.充分了解被审计单位及其环境</w:t>
            </w:r>
          </w:p>
          <w:p w14:paraId="16DDB44D"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对被审计单位及其环境进行详细且充分的调查和分析是审计程序进行的首要环节。根据《中国注册会计师审计准则》相关规定，注册会计师应通过审查、分析、问询等途径充分掌握被审计单位，即九好集团的性质、商业模式、股权构成、业务范围、内控制度、企业文化和同业对比等情况，分析其可能存在的舞弊风险。</w:t>
            </w:r>
          </w:p>
          <w:p w14:paraId="525A9CE1" w14:textId="77777777" w:rsidR="00B229A7" w:rsidRDefault="00B229A7">
            <w:pPr>
              <w:spacing w:line="276" w:lineRule="auto"/>
              <w:rPr>
                <w:rStyle w:val="11"/>
                <w:rFonts w:ascii="宋体" w:hAnsi="宋体"/>
                <w:i w:val="0"/>
                <w:iCs w:val="0"/>
                <w:color w:val="000000" w:themeColor="text1"/>
                <w:kern w:val="0"/>
                <w:szCs w:val="21"/>
              </w:rPr>
            </w:pPr>
          </w:p>
          <w:p w14:paraId="79413256"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2.设计完善的审计程序</w:t>
            </w:r>
          </w:p>
          <w:p w14:paraId="5534FBD6"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在对可能存在舞弊风险进行评估的基础上，注册会计师应针对性的设计完善的审计程序，如分析财务报表、查询业务和银行存款的真实情况等，对九好集团的财务情况进行核实，具体程序如下：</w:t>
            </w:r>
          </w:p>
          <w:p w14:paraId="6CAE1E7A"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一是分析财务报表。根据资产负债表、利润表和现金流量表之间的勾稽关系，主营业务收入的虚增，在银行存款、应收账款、营业收入和未分配利润中都会有相应的变动。因此，审计机构应着重审计九好集团的银行存款、应收账款、营业收入和未分配利润等科目。</w:t>
            </w:r>
          </w:p>
          <w:p w14:paraId="6ED41113"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二是核实业务真实情况。目前网络技术比较发达，企业信息基</w:t>
            </w:r>
            <w:r>
              <w:rPr>
                <w:rStyle w:val="11"/>
                <w:rFonts w:ascii="宋体" w:hAnsi="宋体" w:hint="eastAsia"/>
                <w:i w:val="0"/>
                <w:iCs w:val="0"/>
                <w:color w:val="000000" w:themeColor="text1"/>
                <w:kern w:val="0"/>
                <w:szCs w:val="21"/>
              </w:rPr>
              <w:lastRenderedPageBreak/>
              <w:t>本都已上传联网，审计机构可以通过启信宝、企查查、天眼查等了解九好集团及其客户、供应商的相关情况。</w:t>
            </w:r>
          </w:p>
          <w:p w14:paraId="589FEF53"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三是查询银行存款真实情况。通过到相关银行调查九好集团开户信息、征信记录、关联担保、资产质押和资金流水等，核查九好集团资产质押情况和资金虚增情况。</w:t>
            </w:r>
          </w:p>
          <w:p w14:paraId="0AAD32E0" w14:textId="77777777" w:rsidR="00B229A7" w:rsidRDefault="00B229A7">
            <w:pPr>
              <w:spacing w:line="276" w:lineRule="auto"/>
              <w:rPr>
                <w:rStyle w:val="11"/>
                <w:rFonts w:ascii="宋体" w:hAnsi="宋体"/>
                <w:i w:val="0"/>
                <w:iCs w:val="0"/>
                <w:color w:val="000000" w:themeColor="text1"/>
                <w:kern w:val="0"/>
                <w:szCs w:val="21"/>
              </w:rPr>
            </w:pPr>
          </w:p>
        </w:tc>
      </w:tr>
      <w:tr w:rsidR="00B229A7" w14:paraId="7C88D3CF" w14:textId="77777777">
        <w:tc>
          <w:tcPr>
            <w:tcW w:w="1980" w:type="dxa"/>
          </w:tcPr>
          <w:p w14:paraId="65FA9E6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5A9AB7C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虚增收入、财务舞弊、虚增货币资金</w:t>
            </w:r>
          </w:p>
        </w:tc>
      </w:tr>
    </w:tbl>
    <w:p w14:paraId="2832A4D6" w14:textId="77777777" w:rsidR="00B229A7" w:rsidRDefault="00B229A7">
      <w:pPr>
        <w:spacing w:line="276" w:lineRule="auto"/>
        <w:rPr>
          <w:rFonts w:ascii="宋体" w:hAnsi="宋体"/>
          <w:color w:val="000000" w:themeColor="text1"/>
          <w:szCs w:val="21"/>
        </w:rPr>
      </w:pPr>
    </w:p>
    <w:p w14:paraId="39EA6A4D" w14:textId="77777777" w:rsidR="00B229A7" w:rsidRDefault="00D7072C">
      <w:pPr>
        <w:pStyle w:val="1"/>
      </w:pPr>
      <w:bookmarkStart w:id="41" w:name="_Toc104812586"/>
      <w:bookmarkStart w:id="42" w:name="_Toc104812307"/>
      <w:bookmarkStart w:id="43" w:name="_Toc104812488"/>
      <w:r>
        <w:t>1</w:t>
      </w:r>
      <w:r>
        <w:rPr>
          <w:rFonts w:hint="eastAsia"/>
        </w:rPr>
        <w:t>2</w:t>
      </w:r>
      <w:r>
        <w:rPr>
          <w:rFonts w:hint="eastAsia"/>
        </w:rPr>
        <w:t>萨蒂扬事件</w:t>
      </w:r>
      <w:bookmarkEnd w:id="41"/>
      <w:bookmarkEnd w:id="42"/>
      <w:bookmarkEnd w:id="43"/>
    </w:p>
    <w:tbl>
      <w:tblPr>
        <w:tblStyle w:val="a4"/>
        <w:tblW w:w="8296" w:type="dxa"/>
        <w:tblLayout w:type="fixed"/>
        <w:tblLook w:val="04A0" w:firstRow="1" w:lastRow="0" w:firstColumn="1" w:lastColumn="0" w:noHBand="0" w:noVBand="1"/>
      </w:tblPr>
      <w:tblGrid>
        <w:gridCol w:w="1980"/>
        <w:gridCol w:w="6316"/>
      </w:tblGrid>
      <w:tr w:rsidR="00B229A7" w14:paraId="26942800" w14:textId="77777777">
        <w:tc>
          <w:tcPr>
            <w:tcW w:w="1980" w:type="dxa"/>
          </w:tcPr>
          <w:p w14:paraId="70FCED8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323140E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1106</w:t>
            </w:r>
          </w:p>
        </w:tc>
      </w:tr>
      <w:tr w:rsidR="00B229A7" w14:paraId="5812B222" w14:textId="77777777">
        <w:tc>
          <w:tcPr>
            <w:tcW w:w="1980" w:type="dxa"/>
          </w:tcPr>
          <w:p w14:paraId="1CCF5D6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5A3FAE68"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11</w:t>
            </w:r>
            <w:r>
              <w:rPr>
                <w:rFonts w:ascii="宋体" w:hAnsi="宋体" w:hint="eastAsia"/>
                <w:color w:val="000000" w:themeColor="text1"/>
                <w:kern w:val="0"/>
                <w:szCs w:val="21"/>
              </w:rPr>
              <w:t>互联网及IT类</w:t>
            </w:r>
          </w:p>
        </w:tc>
      </w:tr>
      <w:tr w:rsidR="00B229A7" w14:paraId="3CC40191" w14:textId="77777777">
        <w:tc>
          <w:tcPr>
            <w:tcW w:w="1980" w:type="dxa"/>
          </w:tcPr>
          <w:p w14:paraId="6048A0D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5D4F0D7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2009年</w:t>
            </w:r>
          </w:p>
        </w:tc>
      </w:tr>
      <w:tr w:rsidR="00B229A7" w14:paraId="765ABE90" w14:textId="77777777">
        <w:tc>
          <w:tcPr>
            <w:tcW w:w="1980" w:type="dxa"/>
          </w:tcPr>
          <w:p w14:paraId="467CFD2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4407B29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萨蒂扬软件技术有限公司</w:t>
            </w:r>
          </w:p>
        </w:tc>
      </w:tr>
      <w:tr w:rsidR="00B229A7" w14:paraId="6209DE93" w14:textId="77777777">
        <w:tc>
          <w:tcPr>
            <w:tcW w:w="1980" w:type="dxa"/>
          </w:tcPr>
          <w:p w14:paraId="124DA29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4763FDB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信息咨询与服务</w:t>
            </w:r>
            <w:r>
              <w:rPr>
                <w:rFonts w:ascii="宋体" w:hAnsi="宋体"/>
                <w:color w:val="000000" w:themeColor="text1"/>
                <w:kern w:val="0"/>
                <w:szCs w:val="21"/>
              </w:rPr>
              <w:t>类</w:t>
            </w:r>
          </w:p>
        </w:tc>
      </w:tr>
      <w:tr w:rsidR="00B229A7" w14:paraId="4CC69508" w14:textId="77777777">
        <w:tc>
          <w:tcPr>
            <w:tcW w:w="1980" w:type="dxa"/>
          </w:tcPr>
          <w:p w14:paraId="2FAC9FF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0C81BC8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682A0278"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萨蒂扬软件技术有限公司（纽约证券交易所代码： SAY ）是一家全球性信息技术咨询与服务供应商，它提供一系列的专业技术，旨在帮助客户重新策划与重新创造其业务，在不断变化的市场中竞争成功。</w:t>
            </w:r>
          </w:p>
          <w:p w14:paraId="2EADB2B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萨蒂扬拥有 28,000 名技术高超的专业人员，在现场、非现场、离岸与近岸工作，为多个产业领域的公司提供度身定制的信息技术解决方案。萨蒂扬的理念与服务导致了巨大的技术变革，满足了最严格的国际质量标准。位于印度、美国、英国、阿拉伯联合酋长国、加拿大、匈牙利、马来西亚、新加坡、中国、日本与澳大利亚的萨蒂扬开发中心为全球 469 家公司提供服务，其中 152 家为财富全球 500 强与财富美国 500 强企业。萨蒂扬在六大洲 55 个国家设有办事处。</w:t>
            </w:r>
          </w:p>
          <w:p w14:paraId="58AE4A1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【案例背景</w:t>
            </w:r>
            <w:r>
              <w:rPr>
                <w:rFonts w:ascii="宋体" w:hAnsi="宋体"/>
                <w:b/>
                <w:color w:val="000000" w:themeColor="text1"/>
                <w:kern w:val="0"/>
                <w:szCs w:val="21"/>
              </w:rPr>
              <w:t>】</w:t>
            </w:r>
          </w:p>
          <w:p w14:paraId="315CF088" w14:textId="77777777" w:rsidR="00B229A7" w:rsidRDefault="00D7072C">
            <w:pPr>
              <w:spacing w:line="276" w:lineRule="auto"/>
              <w:rPr>
                <w:rFonts w:ascii="宋体" w:hAnsi="宋体"/>
                <w:bCs/>
                <w:color w:val="000000" w:themeColor="text1"/>
                <w:kern w:val="0"/>
                <w:szCs w:val="21"/>
              </w:rPr>
            </w:pPr>
            <w:r>
              <w:rPr>
                <w:rFonts w:ascii="宋体" w:hAnsi="宋体"/>
                <w:bCs/>
                <w:color w:val="000000" w:themeColor="text1"/>
                <w:kern w:val="0"/>
                <w:szCs w:val="21"/>
              </w:rPr>
              <w:tab/>
            </w:r>
            <w:r>
              <w:rPr>
                <w:rFonts w:ascii="宋体" w:hAnsi="宋体" w:hint="eastAsia"/>
                <w:bCs/>
                <w:color w:val="000000" w:themeColor="text1"/>
                <w:kern w:val="0"/>
                <w:szCs w:val="21"/>
              </w:rPr>
              <w:t>在截至2</w:t>
            </w:r>
            <w:r>
              <w:rPr>
                <w:rFonts w:ascii="宋体" w:hAnsi="宋体"/>
                <w:bCs/>
                <w:color w:val="000000" w:themeColor="text1"/>
                <w:kern w:val="0"/>
                <w:szCs w:val="21"/>
              </w:rPr>
              <w:t>008</w:t>
            </w:r>
            <w:r>
              <w:rPr>
                <w:rFonts w:ascii="宋体" w:hAnsi="宋体" w:hint="eastAsia"/>
                <w:bCs/>
                <w:color w:val="000000" w:themeColor="text1"/>
                <w:kern w:val="0"/>
                <w:szCs w:val="21"/>
              </w:rPr>
              <w:t>年3月3</w:t>
            </w:r>
            <w:r>
              <w:rPr>
                <w:rFonts w:ascii="宋体" w:hAnsi="宋体"/>
                <w:bCs/>
                <w:color w:val="000000" w:themeColor="text1"/>
                <w:kern w:val="0"/>
                <w:szCs w:val="21"/>
              </w:rPr>
              <w:t>1</w:t>
            </w:r>
            <w:r>
              <w:rPr>
                <w:rFonts w:ascii="宋体" w:hAnsi="宋体" w:hint="eastAsia"/>
                <w:bCs/>
                <w:color w:val="000000" w:themeColor="text1"/>
                <w:kern w:val="0"/>
                <w:szCs w:val="21"/>
              </w:rPr>
              <w:t>日的财年中，萨蒂扬公布的销售额为2</w:t>
            </w:r>
            <w:r>
              <w:rPr>
                <w:rFonts w:ascii="宋体" w:hAnsi="宋体"/>
                <w:bCs/>
                <w:color w:val="000000" w:themeColor="text1"/>
                <w:kern w:val="0"/>
                <w:szCs w:val="21"/>
              </w:rPr>
              <w:t>1</w:t>
            </w:r>
            <w:r>
              <w:rPr>
                <w:rFonts w:ascii="宋体" w:hAnsi="宋体" w:hint="eastAsia"/>
                <w:bCs/>
                <w:color w:val="000000" w:themeColor="text1"/>
                <w:kern w:val="0"/>
                <w:szCs w:val="21"/>
              </w:rPr>
              <w:t>亿美元，利润为4</w:t>
            </w:r>
            <w:r>
              <w:rPr>
                <w:rFonts w:ascii="宋体" w:hAnsi="宋体"/>
                <w:bCs/>
                <w:color w:val="000000" w:themeColor="text1"/>
                <w:kern w:val="0"/>
                <w:szCs w:val="21"/>
              </w:rPr>
              <w:t>.2755</w:t>
            </w:r>
            <w:r>
              <w:rPr>
                <w:rFonts w:ascii="宋体" w:hAnsi="宋体" w:hint="eastAsia"/>
                <w:bCs/>
                <w:color w:val="000000" w:themeColor="text1"/>
                <w:kern w:val="0"/>
                <w:szCs w:val="21"/>
              </w:rPr>
              <w:t>亿美元，同比增幅高达4</w:t>
            </w:r>
            <w:r>
              <w:rPr>
                <w:rFonts w:ascii="宋体" w:hAnsi="宋体"/>
                <w:bCs/>
                <w:color w:val="000000" w:themeColor="text1"/>
                <w:kern w:val="0"/>
                <w:szCs w:val="21"/>
              </w:rPr>
              <w:t>8%</w:t>
            </w:r>
            <w:r>
              <w:rPr>
                <w:rFonts w:ascii="宋体" w:hAnsi="宋体" w:hint="eastAsia"/>
                <w:bCs/>
                <w:color w:val="000000" w:themeColor="text1"/>
                <w:kern w:val="0"/>
                <w:szCs w:val="21"/>
              </w:rPr>
              <w:t>和3</w:t>
            </w:r>
            <w:r>
              <w:rPr>
                <w:rFonts w:ascii="宋体" w:hAnsi="宋体"/>
                <w:bCs/>
                <w:color w:val="000000" w:themeColor="text1"/>
                <w:kern w:val="0"/>
                <w:szCs w:val="21"/>
              </w:rPr>
              <w:t>5.5%</w:t>
            </w:r>
            <w:r>
              <w:rPr>
                <w:rFonts w:ascii="宋体" w:hAnsi="宋体" w:hint="eastAsia"/>
                <w:bCs/>
                <w:color w:val="000000" w:themeColor="text1"/>
                <w:kern w:val="0"/>
                <w:szCs w:val="21"/>
              </w:rPr>
              <w:t>。不过，随着金融危机全面爆发，萨蒂扬的不少海外客户都遭受重创，由此也直接冲击到该公司的收入。</w:t>
            </w:r>
          </w:p>
          <w:p w14:paraId="5584504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5008501D" w14:textId="77777777" w:rsidR="00B229A7" w:rsidRDefault="00D7072C">
            <w:pPr>
              <w:spacing w:line="276" w:lineRule="auto"/>
              <w:rPr>
                <w:rFonts w:ascii="宋体" w:hAnsi="宋体"/>
                <w:color w:val="000000" w:themeColor="text1"/>
                <w:kern w:val="0"/>
                <w:szCs w:val="21"/>
              </w:rPr>
            </w:pPr>
            <w:r>
              <w:rPr>
                <w:rFonts w:ascii="宋体" w:hAnsi="宋体"/>
                <w:b/>
                <w:bCs/>
                <w:color w:val="000000" w:themeColor="text1"/>
                <w:kern w:val="0"/>
                <w:szCs w:val="21"/>
              </w:rPr>
              <w:tab/>
            </w:r>
            <w:r>
              <w:rPr>
                <w:rFonts w:ascii="宋体" w:hAnsi="宋体" w:hint="eastAsia"/>
                <w:color w:val="000000" w:themeColor="text1"/>
                <w:kern w:val="0"/>
                <w:szCs w:val="21"/>
              </w:rPr>
              <w:t>自2006年开始，拉贾用自己和其它投资者所持的股票作抵押，</w:t>
            </w:r>
            <w:r>
              <w:rPr>
                <w:rFonts w:ascii="宋体" w:hAnsi="宋体" w:hint="eastAsia"/>
                <w:color w:val="000000" w:themeColor="text1"/>
                <w:kern w:val="0"/>
                <w:szCs w:val="21"/>
              </w:rPr>
              <w:lastRenderedPageBreak/>
              <w:t>向银行贷款以填补公司收入。在过去07、08两年里为萨蒂扬公司总共筹集2.5亿美元贷款．而这些贷款并未在萨蒂扬的资产负债表中公布，而是直接注入萨蒂扬的账户，以帮助其弥补收入上的不足。这些贷款主要是基于各种担保获得的，是为了确保萨蒂扬能够继续运营。</w:t>
            </w:r>
          </w:p>
          <w:p w14:paraId="69F65BB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2008年12月17日，拉贾试图将两家公司（其儿子名下的公司）高价（16亿美元）“出售”给萨蒂扬，用以充当萨蒂扬的“虚拟资产”，但计划被泄露而天折。由于此次失败，公司4名董事突然辞职。公司在孟买交易所的股价大跌，创16年来最大跌幅……在萨蒂扬公司发表最初公告之后，美林公司以企业管理问题为由调低了萨蒂扬公司的股票投资评级……美林公司将其评级降为“跑输大盘”。此后破绽如同被点燃的鞭炮，噼哩啪啦炸开了。</w:t>
            </w:r>
          </w:p>
          <w:p w14:paraId="2B28C2D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2008年12月23日，世界银行宣布，由于涉嫌向世行工作人员赠送了“不适当利益”，萨蒂扬没有资格参加8年内的竞标。</w:t>
            </w:r>
          </w:p>
          <w:p w14:paraId="55C7594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金融危机爆发后，拉贾手中所持股票价值大跌，这导致公司收入不足。随后银行开始拍卖拉贾的抵押品……一顿闷头乱棍后，拉贾被彻底打懵，其执掌的萨蒂扬巨大的财务漏洞浮出水面。</w:t>
            </w:r>
          </w:p>
          <w:p w14:paraId="5BB96C0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2009年1月7日，萨蒂扬（ Satyam ）创始人兼主席拉贾（ Ramalinga Raju ）当天向董事会提交的一封辞职信称，他在过去数年中虚报公司的债务与债权，最终随着公司规模急剧扩大而达到“难以维持的比例”。他承认，该公司长期以来进行财务数据造假，通过虚增收入，低报负债，虚造10亿美元收入。该消息一时间造成印度股票市场震荡，对于有意投资印度的全球投资者信心产生重大打击。</w:t>
            </w:r>
          </w:p>
          <w:p w14:paraId="737179C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受到财务丑闻拖累，萨蒂扬公司的股价7日暴跌78%，报39.95卢比。股市大盘也受到拖累，在当天周边股市全线大涨的情况下，孟买证交所基准 Sensex 指数下跌7.3%，收于9586.88点。该公司在纽约上市的美国存托凭证周三则暂停交易。8日，印度股市因假期休市。</w:t>
            </w:r>
          </w:p>
          <w:p w14:paraId="635A3E4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2009年11月27日印度中央调查局称萨蒂扬软件技术有限公司的会计欺诈案目前预估的涉案金额为25.8亿美元，远高于该局此前所预测的金额（15.3亿美元）。</w:t>
            </w:r>
          </w:p>
          <w:p w14:paraId="181337D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每一步都为了保持车轮继续运转，以保证按时支付员工工资，”拉贾在信中称。拉贾坦诚，第一次“作案”是为了弥平一次受损严重的难看季报，但是此后“骑虎难下，以至于不收手才能保证自己无事”。《印度快报》没有具体说，“第一次作案”发生在什么时候，但是据拉贾承认，“那是很多年前的事情了。”</w:t>
            </w:r>
          </w:p>
          <w:p w14:paraId="34518F4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在日前向萨蒂扬董事会提交的一封5页的自白信中，拉贾透露</w:t>
            </w:r>
            <w:r>
              <w:rPr>
                <w:rFonts w:ascii="宋体" w:hAnsi="宋体" w:hint="eastAsia"/>
                <w:color w:val="000000" w:themeColor="text1"/>
                <w:kern w:val="0"/>
                <w:szCs w:val="21"/>
              </w:rPr>
              <w:lastRenderedPageBreak/>
              <w:t>了他的造假手法。据他称，最初，公司的实际营运利润与账面上显示的数据差距并不大，但随着公司规模的扩大和成本的上升，缺口也越来越大。拉贾担心，如果公司被发现表现不佳，则可能会引发其他企业发起收购，进而导致这一缺口曝光，因此他便想方设法隐瞒事实。</w:t>
            </w:r>
          </w:p>
          <w:p w14:paraId="37F2EA7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w:t>
            </w:r>
            <w:r>
              <w:rPr>
                <w:rFonts w:ascii="宋体" w:hAnsi="宋体"/>
                <w:color w:val="000000" w:themeColor="text1"/>
                <w:kern w:val="0"/>
                <w:szCs w:val="21"/>
              </w:rPr>
              <w:t>1</w:t>
            </w:r>
            <w:r>
              <w:rPr>
                <w:rFonts w:ascii="宋体" w:hAnsi="宋体" w:hint="eastAsia"/>
                <w:color w:val="000000" w:themeColor="text1"/>
                <w:kern w:val="0"/>
                <w:szCs w:val="21"/>
              </w:rPr>
              <w:t>）拉贾称，他用自己和其他支持者所持股票作抵押，在过去两年里为萨蒂扬总共筹集了2.5亿美元贷款。这些贷款并未在萨蒂扬的资产负债表中公布，主要是基于各种担保获得的，是为了确保萨蒂扬能够继续运营。</w:t>
            </w:r>
          </w:p>
          <w:p w14:paraId="7D19B63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（2）萨蒂扬的前高管以及部分前审计人员伪造了客户身份，并以这些伪造客户的姓名开出了虚假发票，从而将该公司的应收夸大了9</w:t>
            </w:r>
            <w:r>
              <w:rPr>
                <w:rFonts w:ascii="宋体" w:hAnsi="宋体"/>
                <w:color w:val="000000" w:themeColor="text1"/>
                <w:kern w:val="0"/>
                <w:szCs w:val="21"/>
              </w:rPr>
              <w:t>217</w:t>
            </w:r>
            <w:r>
              <w:rPr>
                <w:rFonts w:ascii="宋体" w:hAnsi="宋体" w:hint="eastAsia"/>
                <w:color w:val="000000" w:themeColor="text1"/>
                <w:kern w:val="0"/>
                <w:szCs w:val="21"/>
              </w:rPr>
              <w:t>万美元左右。该局称，基于夸大的应收数据，萨蒂扬已经发放了极值约合4</w:t>
            </w:r>
            <w:r>
              <w:rPr>
                <w:rFonts w:ascii="宋体" w:hAnsi="宋体"/>
                <w:color w:val="000000" w:themeColor="text1"/>
                <w:kern w:val="0"/>
                <w:szCs w:val="21"/>
              </w:rPr>
              <w:t>930</w:t>
            </w:r>
            <w:r>
              <w:rPr>
                <w:rFonts w:ascii="宋体" w:hAnsi="宋体" w:hint="eastAsia"/>
                <w:color w:val="000000" w:themeColor="text1"/>
                <w:kern w:val="0"/>
                <w:szCs w:val="21"/>
              </w:rPr>
              <w:t>万美元的股息。萨蒂扬还在收购商业程序外包公司</w:t>
            </w:r>
            <w:proofErr w:type="spellStart"/>
            <w:r>
              <w:rPr>
                <w:rFonts w:ascii="宋体" w:hAnsi="宋体" w:hint="eastAsia"/>
                <w:color w:val="000000" w:themeColor="text1"/>
                <w:kern w:val="0"/>
                <w:szCs w:val="21"/>
              </w:rPr>
              <w:t>Ni</w:t>
            </w:r>
            <w:r>
              <w:rPr>
                <w:rFonts w:ascii="宋体" w:hAnsi="宋体"/>
                <w:color w:val="000000" w:themeColor="text1"/>
                <w:kern w:val="0"/>
                <w:szCs w:val="21"/>
              </w:rPr>
              <w:t>puna</w:t>
            </w:r>
            <w:proofErr w:type="spellEnd"/>
            <w:r>
              <w:rPr>
                <w:rFonts w:ascii="宋体" w:hAnsi="宋体" w:hint="eastAsia"/>
                <w:color w:val="000000" w:themeColor="text1"/>
                <w:kern w:val="0"/>
                <w:szCs w:val="21"/>
              </w:rPr>
              <w:t>时伪造了价值高达约合3</w:t>
            </w:r>
            <w:r>
              <w:rPr>
                <w:rFonts w:ascii="宋体" w:hAnsi="宋体"/>
                <w:color w:val="000000" w:themeColor="text1"/>
                <w:kern w:val="0"/>
                <w:szCs w:val="21"/>
              </w:rPr>
              <w:t>858</w:t>
            </w:r>
            <w:r>
              <w:rPr>
                <w:rFonts w:ascii="宋体" w:hAnsi="宋体" w:hint="eastAsia"/>
                <w:color w:val="000000" w:themeColor="text1"/>
                <w:kern w:val="0"/>
                <w:szCs w:val="21"/>
              </w:rPr>
              <w:t>万美元的银行账户。</w:t>
            </w:r>
          </w:p>
          <w:p w14:paraId="5E71284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（3）随着公司财富缩水，财务欺骗也越来越难以隐瞒。拉贾在2</w:t>
            </w:r>
            <w:r>
              <w:rPr>
                <w:rFonts w:ascii="宋体" w:hAnsi="宋体"/>
                <w:color w:val="000000" w:themeColor="text1"/>
                <w:kern w:val="0"/>
                <w:szCs w:val="21"/>
              </w:rPr>
              <w:t>009</w:t>
            </w:r>
            <w:r>
              <w:rPr>
                <w:rFonts w:ascii="宋体" w:hAnsi="宋体" w:hint="eastAsia"/>
                <w:color w:val="000000" w:themeColor="text1"/>
                <w:kern w:val="0"/>
                <w:szCs w:val="21"/>
              </w:rPr>
              <w:t>年1月7日辞职信中公开承认，他向投资者虚报了1</w:t>
            </w:r>
            <w:r>
              <w:rPr>
                <w:rFonts w:ascii="宋体" w:hAnsi="宋体"/>
                <w:color w:val="000000" w:themeColor="text1"/>
                <w:kern w:val="0"/>
                <w:szCs w:val="21"/>
              </w:rPr>
              <w:t>0</w:t>
            </w:r>
            <w:r>
              <w:rPr>
                <w:rFonts w:ascii="宋体" w:hAnsi="宋体" w:hint="eastAsia"/>
                <w:color w:val="000000" w:themeColor="text1"/>
                <w:kern w:val="0"/>
                <w:szCs w:val="21"/>
              </w:rPr>
              <w:t>亿美元。他夸大了过去几年的公司利润和债券规模，少报了公司负债。</w:t>
            </w:r>
          </w:p>
          <w:p w14:paraId="3623688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拉贾在信中说，在截至9月30日的财季中，虚报现金与银行存款达实际数额近10倍，并低报了负债，虚增债权5倍多。同时，该季度公司虚报利润为1.36亿美元，超过实际利润10倍。萨蒂扬的实际销售额为4.34亿美元，但公司公布的数据是5.55亿美元。萨蒂扬公布的利润是1.36亿美元，但实际利润只有1250万美元。拉贾说，该公司还公布可用现金为11亿美元，但实际只有6600万美元。不过拉贾坚持认为，他并未因虚増业绩而获得财务利益。</w:t>
            </w:r>
          </w:p>
          <w:p w14:paraId="076E3ED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从表面上看，身为纽约上市公司的萨蒂扬公司所做的一切都是按章办事，又有国际知名的会计师事务所审计其账目，依据印度和美国的会计准则出具审计意见。此外，独立董事的人数符合法规要求，且这些独立董事均有优秀的职业背景，包括一名哈佛大学商学院的教授和一名前任联邦内阁大臣。</w:t>
            </w:r>
          </w:p>
          <w:p w14:paraId="2B6C92B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拉贾先生在他那份著名的5页辞职信中概述了财务舞弊，并表示董事会其他成员（无论是前任还是现任）均未能察觉到财务方面的异常情况。对此，监管机构未能防备，而分析人士及专家则认为会计和审计实务存在“系统性缺陷”。公司账目上94％的现金都是虚构的，拉贾先生认为巧妙的操作现金流可能是舞弊未被发现的原因所在。</w:t>
            </w:r>
          </w:p>
          <w:p w14:paraId="7F46736A" w14:textId="77777777" w:rsidR="00B229A7" w:rsidRDefault="00B229A7">
            <w:pPr>
              <w:spacing w:line="276" w:lineRule="auto"/>
              <w:rPr>
                <w:rFonts w:ascii="宋体" w:hAnsi="宋体"/>
                <w:color w:val="000000" w:themeColor="text1"/>
                <w:kern w:val="0"/>
                <w:szCs w:val="21"/>
              </w:rPr>
            </w:pPr>
          </w:p>
        </w:tc>
      </w:tr>
      <w:tr w:rsidR="00B229A7" w14:paraId="53A6AE3B" w14:textId="77777777">
        <w:tc>
          <w:tcPr>
            <w:tcW w:w="1980" w:type="dxa"/>
          </w:tcPr>
          <w:p w14:paraId="7950208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11FDE0D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普华永道会计师事务所印度分公司</w:t>
            </w:r>
          </w:p>
        </w:tc>
      </w:tr>
      <w:tr w:rsidR="00B229A7" w14:paraId="4E8DE941" w14:textId="77777777">
        <w:tc>
          <w:tcPr>
            <w:tcW w:w="1980" w:type="dxa"/>
          </w:tcPr>
          <w:p w14:paraId="3C76F46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w:t>
            </w:r>
            <w:r>
              <w:rPr>
                <w:rFonts w:ascii="宋体" w:hAnsi="宋体"/>
                <w:color w:val="000000" w:themeColor="text1"/>
                <w:kern w:val="0"/>
                <w:szCs w:val="21"/>
              </w:rPr>
              <w:lastRenderedPageBreak/>
              <w:t>考</w:t>
            </w:r>
          </w:p>
        </w:tc>
        <w:tc>
          <w:tcPr>
            <w:tcW w:w="6316" w:type="dxa"/>
          </w:tcPr>
          <w:p w14:paraId="3A8A4378"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lastRenderedPageBreak/>
              <w:t>1、普华永道忽略了若干财务预警信号</w:t>
            </w:r>
          </w:p>
          <w:p w14:paraId="654B33B3"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lastRenderedPageBreak/>
              <w:t>据《金融时报》报道称：在2008年春天美国上市公司会计监管委员会官员视察了普华永道印度分公司后，美国审计监管机构就对普华永道印度分公司对萨蒂扬公司的审计工作提出质疑。但是由于负责萨蒂扬软件技术有限公司财务审计的普华永道，数年以来一直对萨蒂扬的财务结果签字认可，但并未发现该公司创始人兼董事长的造假行为，因此会计师事务所并没有引起重视。</w:t>
            </w:r>
          </w:p>
          <w:p w14:paraId="110B4374"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与其他同行业相比，公司公布的数据非常漂亮。在截至2008年3月31日的财年中，萨蒂扬公布的销售额为21亿美元，利润为4.2755亿美元。这相当于当年的收入和利润分别较上年增长了48％和35.5%。</w:t>
            </w:r>
          </w:p>
          <w:p w14:paraId="7827826B"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2、显失审慎的注册会计师</w:t>
            </w:r>
          </w:p>
          <w:p w14:paraId="1EC33570"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普华永道印度分公司的审计工作没有采取职业怀疑态度。这种态度是审计诚信的基石，也是投资者的合理期望。在欺诈行为曝光后，负责萨蒂扬公司审计事务的普华永道印度分公司工作团队成员表示，他们没有执行确认程序，而是在很大程度上依赖于萨蒂扬公司自己的陈述，因为他们相信萨蒂扬公司的前首席执行官和高管诚实可靠，未曾怀疑该公司假造了审计文件……</w:t>
            </w:r>
          </w:p>
          <w:p w14:paraId="41E5D930"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负责萨蒂扬公司审计工作的普华永道印度分公司合伙人和员工未能坚持执行有关现金、现金等价物余额和萨蒂扬公司应收账款的确认程序。未能适当执行第三方确认程序导致萨蒂扬公司的欺诈行为直到其原首席执行官在2009年1月公开承认的时候才被发觉。未能执行确认程序并不仅限于对萨蒂扬公司的审计工作，更说明了普华永道印度分公司质量控制的失败。</w:t>
            </w:r>
          </w:p>
          <w:p w14:paraId="29C9D590"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在相关时期，普华永道印度分公司的质量控制系统未能发现公司的各个工作团队通常都不对审计客户执行现金收支确认程序，并且很少质疑他们从客户那里收到的确认答复的真实性。尽管每年都进行质量检查，但普华永道印度分公司直到2009年1月才发现这种失职行为。</w:t>
            </w:r>
          </w:p>
          <w:p w14:paraId="3F12C7F5"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由于没有遵守 PCAOB 的标准，普华永道班加罗尔分公司发布的萨蒂扬公司审计报告并不准确。结果，普华永道印度分公司的失职行为成为了萨蒂扬公司财务造假的帮凶。</w:t>
            </w:r>
          </w:p>
        </w:tc>
      </w:tr>
      <w:tr w:rsidR="00B229A7" w14:paraId="54175B1D" w14:textId="77777777">
        <w:tc>
          <w:tcPr>
            <w:tcW w:w="1980" w:type="dxa"/>
          </w:tcPr>
          <w:p w14:paraId="353A47F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17E8ABE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筹资贷款；虚报现金；虚报负债；系统性缺陷</w:t>
            </w:r>
          </w:p>
        </w:tc>
      </w:tr>
    </w:tbl>
    <w:p w14:paraId="1F0F4918" w14:textId="77777777" w:rsidR="00B229A7" w:rsidRDefault="00B229A7">
      <w:pPr>
        <w:spacing w:line="276" w:lineRule="auto"/>
        <w:rPr>
          <w:rFonts w:ascii="宋体" w:hAnsi="宋体"/>
          <w:color w:val="000000" w:themeColor="text1"/>
          <w:szCs w:val="21"/>
        </w:rPr>
      </w:pPr>
    </w:p>
    <w:p w14:paraId="2873E43A" w14:textId="77777777" w:rsidR="00B229A7" w:rsidRDefault="00D7072C">
      <w:pPr>
        <w:pStyle w:val="1"/>
      </w:pPr>
      <w:bookmarkStart w:id="44" w:name="_Toc104812308"/>
      <w:bookmarkStart w:id="45" w:name="_Toc104812587"/>
      <w:bookmarkStart w:id="46" w:name="_Toc104812489"/>
      <w:r>
        <w:lastRenderedPageBreak/>
        <w:t>13</w:t>
      </w:r>
      <w:r>
        <w:rPr>
          <w:rFonts w:hint="eastAsia"/>
        </w:rPr>
        <w:t>中粮资本</w:t>
      </w:r>
      <w:bookmarkEnd w:id="44"/>
      <w:bookmarkEnd w:id="45"/>
      <w:bookmarkEnd w:id="46"/>
    </w:p>
    <w:tbl>
      <w:tblPr>
        <w:tblStyle w:val="a4"/>
        <w:tblW w:w="8296" w:type="dxa"/>
        <w:tblLayout w:type="fixed"/>
        <w:tblLook w:val="04A0" w:firstRow="1" w:lastRow="0" w:firstColumn="1" w:lastColumn="0" w:noHBand="0" w:noVBand="1"/>
      </w:tblPr>
      <w:tblGrid>
        <w:gridCol w:w="1980"/>
        <w:gridCol w:w="6316"/>
      </w:tblGrid>
      <w:tr w:rsidR="00B229A7" w14:paraId="25CCF515" w14:textId="77777777">
        <w:tc>
          <w:tcPr>
            <w:tcW w:w="1980" w:type="dxa"/>
          </w:tcPr>
          <w:p w14:paraId="01075BF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1260C75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106</w:t>
            </w:r>
          </w:p>
        </w:tc>
      </w:tr>
      <w:tr w:rsidR="00B229A7" w14:paraId="7DE43B89" w14:textId="77777777">
        <w:tc>
          <w:tcPr>
            <w:tcW w:w="1980" w:type="dxa"/>
          </w:tcPr>
          <w:p w14:paraId="42E2F1B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1760F6AE"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01</w:t>
            </w:r>
            <w:r>
              <w:rPr>
                <w:rFonts w:ascii="宋体" w:hAnsi="宋体" w:hint="eastAsia"/>
                <w:color w:val="000000" w:themeColor="text1"/>
                <w:kern w:val="0"/>
                <w:szCs w:val="21"/>
              </w:rPr>
              <w:t>金融业</w:t>
            </w:r>
          </w:p>
        </w:tc>
      </w:tr>
      <w:tr w:rsidR="00B229A7" w14:paraId="7349E0C0" w14:textId="77777777">
        <w:tc>
          <w:tcPr>
            <w:tcW w:w="1980" w:type="dxa"/>
          </w:tcPr>
          <w:p w14:paraId="37CCFE2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4E3F73C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w:t>
            </w:r>
            <w:r>
              <w:rPr>
                <w:rFonts w:ascii="宋体" w:hAnsi="宋体"/>
                <w:color w:val="000000" w:themeColor="text1"/>
                <w:kern w:val="0"/>
                <w:szCs w:val="21"/>
              </w:rPr>
              <w:t>021</w:t>
            </w:r>
            <w:r>
              <w:rPr>
                <w:rFonts w:ascii="宋体" w:hAnsi="宋体" w:hint="eastAsia"/>
                <w:color w:val="000000" w:themeColor="text1"/>
                <w:kern w:val="0"/>
                <w:szCs w:val="21"/>
              </w:rPr>
              <w:t>年</w:t>
            </w:r>
          </w:p>
        </w:tc>
      </w:tr>
      <w:tr w:rsidR="00B229A7" w14:paraId="4EB643DB" w14:textId="77777777">
        <w:tc>
          <w:tcPr>
            <w:tcW w:w="1980" w:type="dxa"/>
          </w:tcPr>
          <w:p w14:paraId="744013D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594532A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中粮资本控股股份有限公司</w:t>
            </w:r>
          </w:p>
        </w:tc>
      </w:tr>
      <w:tr w:rsidR="00B229A7" w14:paraId="71B8301B" w14:textId="77777777">
        <w:tc>
          <w:tcPr>
            <w:tcW w:w="1980" w:type="dxa"/>
          </w:tcPr>
          <w:p w14:paraId="4156120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1DFF99B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金融投资</w:t>
            </w:r>
            <w:r>
              <w:rPr>
                <w:rFonts w:ascii="宋体" w:hAnsi="宋体"/>
                <w:color w:val="000000" w:themeColor="text1"/>
                <w:kern w:val="0"/>
                <w:szCs w:val="21"/>
              </w:rPr>
              <w:t>类</w:t>
            </w:r>
          </w:p>
        </w:tc>
      </w:tr>
      <w:tr w:rsidR="00B229A7" w14:paraId="0556BF12" w14:textId="77777777">
        <w:tc>
          <w:tcPr>
            <w:tcW w:w="1980" w:type="dxa"/>
          </w:tcPr>
          <w:p w14:paraId="421A71F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0B93222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69294C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中粮资本投资有限公司于1997年06月27日成立。法定代表人孙彦敏，公司经营范围包括：投资与资产管理；企业管理；投资策划及咨询服务；国内贸易及进出口业务；设备及房屋租赁；电子商务等。</w:t>
            </w:r>
          </w:p>
          <w:p w14:paraId="60616E6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14D456E8" w14:textId="77777777" w:rsidR="00B229A7" w:rsidRDefault="00D7072C">
            <w:pPr>
              <w:spacing w:line="276" w:lineRule="auto"/>
              <w:rPr>
                <w:rFonts w:ascii="宋体" w:hAnsi="宋体"/>
                <w:color w:val="000000" w:themeColor="text1"/>
                <w:kern w:val="0"/>
                <w:szCs w:val="21"/>
              </w:rPr>
            </w:pPr>
            <w:r>
              <w:rPr>
                <w:rFonts w:ascii="宋体" w:hAnsi="宋体"/>
                <w:b/>
                <w:bCs/>
                <w:color w:val="000000" w:themeColor="text1"/>
                <w:kern w:val="0"/>
                <w:szCs w:val="21"/>
              </w:rPr>
              <w:tab/>
            </w:r>
            <w:r>
              <w:rPr>
                <w:rFonts w:ascii="宋体" w:hAnsi="宋体" w:hint="eastAsia"/>
                <w:color w:val="000000" w:themeColor="text1"/>
                <w:kern w:val="0"/>
                <w:szCs w:val="21"/>
              </w:rPr>
              <w:t>本公司审计意见为无保留意见，以下主要介绍审计报告中内容：</w:t>
            </w:r>
          </w:p>
          <w:p w14:paraId="3116C9B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一、审计意见</w:t>
            </w:r>
          </w:p>
          <w:p w14:paraId="524442BF"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我们审计了中粮资本控股股份有限公司（以下简称中粮资本）财务报表，包括</w:t>
            </w:r>
            <w:r>
              <w:rPr>
                <w:rFonts w:ascii="宋体" w:hAnsi="宋体"/>
                <w:color w:val="000000" w:themeColor="text1"/>
                <w:kern w:val="0"/>
                <w:szCs w:val="21"/>
              </w:rPr>
              <w:t> </w:t>
            </w:r>
            <w:r>
              <w:rPr>
                <w:rFonts w:ascii="宋体" w:hAnsi="宋体"/>
                <w:color w:val="000000" w:themeColor="text1"/>
                <w:kern w:val="0"/>
                <w:szCs w:val="21"/>
              </w:rPr>
              <w:t>2021</w:t>
            </w:r>
            <w:r>
              <w:rPr>
                <w:rFonts w:ascii="宋体" w:hAnsi="宋体" w:hint="eastAsia"/>
                <w:color w:val="000000" w:themeColor="text1"/>
                <w:kern w:val="0"/>
                <w:szCs w:val="21"/>
              </w:rPr>
              <w:t>年</w:t>
            </w:r>
            <w:r>
              <w:rPr>
                <w:rFonts w:ascii="宋体" w:hAnsi="宋体"/>
                <w:color w:val="000000" w:themeColor="text1"/>
                <w:kern w:val="0"/>
                <w:szCs w:val="21"/>
              </w:rPr>
              <w:t> </w:t>
            </w:r>
            <w:r>
              <w:rPr>
                <w:rFonts w:ascii="宋体" w:hAnsi="宋体"/>
                <w:color w:val="000000" w:themeColor="text1"/>
                <w:kern w:val="0"/>
                <w:szCs w:val="21"/>
              </w:rPr>
              <w:t>12 </w:t>
            </w:r>
            <w:r>
              <w:rPr>
                <w:rFonts w:ascii="宋体" w:hAnsi="宋体" w:hint="eastAsia"/>
                <w:color w:val="000000" w:themeColor="text1"/>
                <w:kern w:val="0"/>
                <w:szCs w:val="21"/>
              </w:rPr>
              <w:t>月</w:t>
            </w:r>
            <w:r>
              <w:rPr>
                <w:rFonts w:ascii="宋体" w:hAnsi="宋体"/>
                <w:color w:val="000000" w:themeColor="text1"/>
                <w:kern w:val="0"/>
                <w:szCs w:val="21"/>
              </w:rPr>
              <w:t> </w:t>
            </w:r>
            <w:r>
              <w:rPr>
                <w:rFonts w:ascii="宋体" w:hAnsi="宋体"/>
                <w:color w:val="000000" w:themeColor="text1"/>
                <w:kern w:val="0"/>
                <w:szCs w:val="21"/>
              </w:rPr>
              <w:t>31 </w:t>
            </w:r>
            <w:r>
              <w:rPr>
                <w:rFonts w:ascii="宋体" w:hAnsi="宋体" w:hint="eastAsia"/>
                <w:color w:val="000000" w:themeColor="text1"/>
                <w:kern w:val="0"/>
                <w:szCs w:val="21"/>
              </w:rPr>
              <w:t>日的合并及母公司资产负债表，</w:t>
            </w:r>
            <w:r>
              <w:rPr>
                <w:rFonts w:ascii="宋体" w:hAnsi="宋体"/>
                <w:color w:val="000000" w:themeColor="text1"/>
                <w:kern w:val="0"/>
                <w:szCs w:val="21"/>
              </w:rPr>
              <w:t>2021 </w:t>
            </w:r>
            <w:r>
              <w:rPr>
                <w:rFonts w:ascii="宋体" w:hAnsi="宋体" w:hint="eastAsia"/>
                <w:color w:val="000000" w:themeColor="text1"/>
                <w:kern w:val="0"/>
                <w:szCs w:val="21"/>
              </w:rPr>
              <w:t>年度的合并及母公司利润表、合并及母公司现金流量表、合并及母公司股东权益变动表以及相关财务报表附注。</w:t>
            </w:r>
          </w:p>
          <w:p w14:paraId="1FC1831D"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我们认为，后附的财务报表在所有重大方面按照企业会计准则的规定编制，公允反映了中粮资本</w:t>
            </w:r>
            <w:r>
              <w:rPr>
                <w:rFonts w:ascii="宋体" w:hAnsi="宋体"/>
                <w:color w:val="000000" w:themeColor="text1"/>
                <w:kern w:val="0"/>
                <w:szCs w:val="21"/>
              </w:rPr>
              <w:t> </w:t>
            </w:r>
            <w:r>
              <w:rPr>
                <w:rFonts w:ascii="宋体" w:hAnsi="宋体"/>
                <w:color w:val="000000" w:themeColor="text1"/>
                <w:kern w:val="0"/>
                <w:szCs w:val="21"/>
              </w:rPr>
              <w:t>2021 </w:t>
            </w:r>
            <w:r>
              <w:rPr>
                <w:rFonts w:ascii="宋体" w:hAnsi="宋体" w:hint="eastAsia"/>
                <w:color w:val="000000" w:themeColor="text1"/>
                <w:kern w:val="0"/>
                <w:szCs w:val="21"/>
              </w:rPr>
              <w:t>年</w:t>
            </w:r>
            <w:r>
              <w:rPr>
                <w:rFonts w:ascii="宋体" w:hAnsi="宋体"/>
                <w:color w:val="000000" w:themeColor="text1"/>
                <w:kern w:val="0"/>
                <w:szCs w:val="21"/>
              </w:rPr>
              <w:t> </w:t>
            </w:r>
            <w:r>
              <w:rPr>
                <w:rFonts w:ascii="宋体" w:hAnsi="宋体"/>
                <w:color w:val="000000" w:themeColor="text1"/>
                <w:kern w:val="0"/>
                <w:szCs w:val="21"/>
              </w:rPr>
              <w:t>12 </w:t>
            </w:r>
            <w:r>
              <w:rPr>
                <w:rFonts w:ascii="宋体" w:hAnsi="宋体" w:hint="eastAsia"/>
                <w:color w:val="000000" w:themeColor="text1"/>
                <w:kern w:val="0"/>
                <w:szCs w:val="21"/>
              </w:rPr>
              <w:t>月</w:t>
            </w:r>
            <w:r>
              <w:rPr>
                <w:rFonts w:ascii="宋体" w:hAnsi="宋体"/>
                <w:color w:val="000000" w:themeColor="text1"/>
                <w:kern w:val="0"/>
                <w:szCs w:val="21"/>
              </w:rPr>
              <w:t> </w:t>
            </w:r>
            <w:r>
              <w:rPr>
                <w:rFonts w:ascii="宋体" w:hAnsi="宋体"/>
                <w:color w:val="000000" w:themeColor="text1"/>
                <w:kern w:val="0"/>
                <w:szCs w:val="21"/>
              </w:rPr>
              <w:t>31 </w:t>
            </w:r>
            <w:r>
              <w:rPr>
                <w:rFonts w:ascii="宋体" w:hAnsi="宋体" w:hint="eastAsia"/>
                <w:color w:val="000000" w:themeColor="text1"/>
                <w:kern w:val="0"/>
                <w:szCs w:val="21"/>
              </w:rPr>
              <w:t>日的合并及母公司财务状况以及</w:t>
            </w:r>
            <w:r>
              <w:rPr>
                <w:rFonts w:ascii="宋体" w:hAnsi="宋体"/>
                <w:color w:val="000000" w:themeColor="text1"/>
                <w:kern w:val="0"/>
                <w:szCs w:val="21"/>
              </w:rPr>
              <w:t> </w:t>
            </w:r>
            <w:r>
              <w:rPr>
                <w:rFonts w:ascii="宋体" w:hAnsi="宋体"/>
                <w:color w:val="000000" w:themeColor="text1"/>
                <w:kern w:val="0"/>
                <w:szCs w:val="21"/>
              </w:rPr>
              <w:t>2021 </w:t>
            </w:r>
            <w:r>
              <w:rPr>
                <w:rFonts w:ascii="宋体" w:hAnsi="宋体" w:hint="eastAsia"/>
                <w:color w:val="000000" w:themeColor="text1"/>
                <w:kern w:val="0"/>
                <w:szCs w:val="21"/>
              </w:rPr>
              <w:t>年度的合并及母公司</w:t>
            </w:r>
          </w:p>
          <w:p w14:paraId="5DCFAE5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经营成果和现金流量。</w:t>
            </w:r>
          </w:p>
          <w:p w14:paraId="035F883D"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二、形成审计意见的基础</w:t>
            </w:r>
          </w:p>
          <w:p w14:paraId="02FA36B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我们按照中国注册会计师审计准则的规定执行了审计工作。审计报告的“注册会计师对财务报表审计的责任”部分进一步阐述了我们在这些准则下的责任。按照中国注册会计师职业道德守则，我们独立于中粮资本，并履行了职业道德方面的其他责任。我们相信，我们获取的审计证据是充分、适当的，为发表审计意见提供了基础。</w:t>
            </w:r>
          </w:p>
          <w:p w14:paraId="54121147"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三、关键审计事项</w:t>
            </w:r>
          </w:p>
          <w:p w14:paraId="542DA1DE"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关键审计事项是我们根据职业判断，认为对本期财务报表审计最为重要的事项。这些事项的应对以对财务报表整体进行审计并形成审计意见为背景，我们不对这些事项单独发表意见。我们在审计中识别出的关键审计事项如下：</w:t>
            </w:r>
          </w:p>
          <w:p w14:paraId="75A7A0A8"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lastRenderedPageBreak/>
              <w:drawing>
                <wp:inline distT="0" distB="0" distL="0" distR="0" wp14:anchorId="01951FE8" wp14:editId="50F5AACC">
                  <wp:extent cx="3225165" cy="2689860"/>
                  <wp:effectExtent l="0" t="0" r="0" b="0"/>
                  <wp:docPr id="4" name="图片 4"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文本&#10;&#10;中度可信度描述已自动生成"/>
                          <pic:cNvPicPr>
                            <a:picLocks noChangeAspect="1"/>
                          </pic:cNvPicPr>
                        </pic:nvPicPr>
                        <pic:blipFill>
                          <a:blip r:embed="rId10"/>
                          <a:stretch>
                            <a:fillRect/>
                          </a:stretch>
                        </pic:blipFill>
                        <pic:spPr>
                          <a:xfrm>
                            <a:off x="0" y="0"/>
                            <a:ext cx="3240912" cy="2702707"/>
                          </a:xfrm>
                          <a:prstGeom prst="rect">
                            <a:avLst/>
                          </a:prstGeom>
                        </pic:spPr>
                      </pic:pic>
                    </a:graphicData>
                  </a:graphic>
                </wp:inline>
              </w:drawing>
            </w:r>
          </w:p>
          <w:p w14:paraId="3ACB3329"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0" distR="0" wp14:anchorId="7BA631B1" wp14:editId="31CD59F3">
                  <wp:extent cx="3649980" cy="2881630"/>
                  <wp:effectExtent l="0" t="0" r="7620" b="0"/>
                  <wp:docPr id="2" name="图片 2" descr="一些文字和图片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一些文字和图片的手机截图&#10;&#10;描述已自动生成"/>
                          <pic:cNvPicPr>
                            <a:picLocks noChangeAspect="1"/>
                          </pic:cNvPicPr>
                        </pic:nvPicPr>
                        <pic:blipFill>
                          <a:blip r:embed="rId11"/>
                          <a:stretch>
                            <a:fillRect/>
                          </a:stretch>
                        </pic:blipFill>
                        <pic:spPr>
                          <a:xfrm>
                            <a:off x="0" y="0"/>
                            <a:ext cx="3652878" cy="2883977"/>
                          </a:xfrm>
                          <a:prstGeom prst="rect">
                            <a:avLst/>
                          </a:prstGeom>
                        </pic:spPr>
                      </pic:pic>
                    </a:graphicData>
                  </a:graphic>
                </wp:inline>
              </w:drawing>
            </w:r>
          </w:p>
          <w:p w14:paraId="2076758D"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lastRenderedPageBreak/>
              <w:drawing>
                <wp:inline distT="0" distB="0" distL="0" distR="0" wp14:anchorId="2E00827D" wp14:editId="649ACCA0">
                  <wp:extent cx="3873500" cy="3886835"/>
                  <wp:effectExtent l="0" t="0" r="0" b="0"/>
                  <wp:docPr id="3" name="图片 3" descr="一些文字和图片的手机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一些文字和图片的手机截图&#10;&#10;中度可信度描述已自动生成"/>
                          <pic:cNvPicPr>
                            <a:picLocks noChangeAspect="1"/>
                          </pic:cNvPicPr>
                        </pic:nvPicPr>
                        <pic:blipFill>
                          <a:blip r:embed="rId12"/>
                          <a:stretch>
                            <a:fillRect/>
                          </a:stretch>
                        </pic:blipFill>
                        <pic:spPr>
                          <a:xfrm>
                            <a:off x="0" y="0"/>
                            <a:ext cx="3873500" cy="3886835"/>
                          </a:xfrm>
                          <a:prstGeom prst="rect">
                            <a:avLst/>
                          </a:prstGeom>
                        </pic:spPr>
                      </pic:pic>
                    </a:graphicData>
                  </a:graphic>
                </wp:inline>
              </w:drawing>
            </w:r>
          </w:p>
          <w:p w14:paraId="7B886AE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四、其他信息</w:t>
            </w:r>
          </w:p>
          <w:p w14:paraId="3B7A011A"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中粮资本管理层（以下简称管理层）对其他信息负责。其他信息包括中粮资本</w:t>
            </w:r>
            <w:r>
              <w:rPr>
                <w:rFonts w:ascii="宋体" w:hAnsi="宋体"/>
                <w:color w:val="000000" w:themeColor="text1"/>
                <w:kern w:val="0"/>
                <w:szCs w:val="21"/>
              </w:rPr>
              <w:t> </w:t>
            </w:r>
            <w:r>
              <w:rPr>
                <w:rFonts w:ascii="宋体" w:hAnsi="宋体"/>
                <w:color w:val="000000" w:themeColor="text1"/>
                <w:kern w:val="0"/>
                <w:szCs w:val="21"/>
              </w:rPr>
              <w:t>2021</w:t>
            </w:r>
            <w:r>
              <w:rPr>
                <w:rFonts w:ascii="宋体" w:hAnsi="宋体" w:hint="eastAsia"/>
                <w:color w:val="000000" w:themeColor="text1"/>
                <w:kern w:val="0"/>
                <w:szCs w:val="21"/>
              </w:rPr>
              <w:t>年年度报告中涵盖的信息，但不包括财务报表和我们的审计报告。</w:t>
            </w:r>
          </w:p>
          <w:p w14:paraId="52890C8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我们对财务报表发表的审计意见不涵盖其他信息，我们也不对其他信息发表任何形式的鉴证结论。</w:t>
            </w:r>
          </w:p>
          <w:p w14:paraId="6EB3495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结合我们对财务报表的审计，我们的责任是阅读其他信息，在此过程中，考虑其他信息是否与财务报表或我们在审计过程中了解到的情况存在重大不一致或者似乎存在重大错报。</w:t>
            </w:r>
          </w:p>
          <w:p w14:paraId="6F11CA2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基于我们已执行的工作，如果我们确定其他信息存在重大错报，我们应当报告该事实。在这方面，我们无任何事项需要报告。</w:t>
            </w:r>
          </w:p>
          <w:p w14:paraId="1885068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五、管理层和治理层对财务报表的责任</w:t>
            </w:r>
          </w:p>
          <w:p w14:paraId="4257F9C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管理层负责按照企业会计准则的规定编制财务报表，使其实现公允反映，并设计、执行和维护必要的内部控制，以使财务报表不存在由于舞弊或错误导致的重大错报。</w:t>
            </w:r>
          </w:p>
          <w:p w14:paraId="441527FF"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在编制财务报表时，管理层负责评估中粮资本的持续经营能力，披露与持续经营相关的事项（如适用），并运用持续经营假设，除非管理层计划清算中粮资本、终止运营或别无其他现实的选择。</w:t>
            </w:r>
          </w:p>
          <w:p w14:paraId="7AAC3507"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治理层负责监督中粮资本的财务报告过程。</w:t>
            </w:r>
          </w:p>
          <w:p w14:paraId="3B7B541D"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p>
        </w:tc>
      </w:tr>
      <w:tr w:rsidR="00B229A7" w14:paraId="7F0E2311" w14:textId="77777777">
        <w:tc>
          <w:tcPr>
            <w:tcW w:w="1980" w:type="dxa"/>
          </w:tcPr>
          <w:p w14:paraId="6BECC38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75169990" w14:textId="77777777" w:rsidR="00B229A7" w:rsidRDefault="00D7072C">
            <w:pPr>
              <w:spacing w:line="276" w:lineRule="auto"/>
              <w:rPr>
                <w:rFonts w:ascii="宋体" w:hAnsi="宋体"/>
                <w:color w:val="000000" w:themeColor="text1"/>
                <w:kern w:val="0"/>
                <w:szCs w:val="21"/>
              </w:rPr>
            </w:pPr>
            <w:r>
              <w:rPr>
                <w:rFonts w:ascii="宋体" w:hAnsi="宋体" w:cs="Arial"/>
                <w:color w:val="000000" w:themeColor="text1"/>
                <w:kern w:val="0"/>
                <w:szCs w:val="21"/>
                <w:shd w:val="clear" w:color="auto" w:fill="FFFFFF"/>
              </w:rPr>
              <w:t>信永中和会计师事务所（特殊普通合伙）</w:t>
            </w:r>
          </w:p>
        </w:tc>
      </w:tr>
      <w:tr w:rsidR="00B229A7" w14:paraId="47F0DBF7" w14:textId="77777777">
        <w:tc>
          <w:tcPr>
            <w:tcW w:w="1980" w:type="dxa"/>
          </w:tcPr>
          <w:p w14:paraId="5C6449D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0E70E6D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在审计过程中注册会计师对财务报表审计的责任</w:t>
            </w:r>
          </w:p>
          <w:p w14:paraId="1C55838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做出的经济决策，则通常认为错报是重大的。</w:t>
            </w:r>
          </w:p>
          <w:p w14:paraId="17A2AFD3"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在按照审计准则执行审计工作的过程中，要运用职业判断，并保持职业怀疑。同时也要执行以下工作：</w:t>
            </w:r>
          </w:p>
          <w:p w14:paraId="574001D3"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w:t>
            </w:r>
            <w:r>
              <w:rPr>
                <w:rFonts w:ascii="宋体" w:hAnsi="宋体"/>
                <w:color w:val="000000" w:themeColor="text1"/>
                <w:kern w:val="0"/>
                <w:szCs w:val="21"/>
              </w:rPr>
              <w:t>1</w:t>
            </w:r>
            <w:r>
              <w:rPr>
                <w:rFonts w:ascii="宋体" w:hAnsi="宋体" w:hint="eastAsia"/>
                <w:color w:val="000000" w:themeColor="text1"/>
                <w:kern w:val="0"/>
                <w:szCs w:val="21"/>
              </w:rP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4D92E32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w:t>
            </w:r>
            <w:r>
              <w:rPr>
                <w:rFonts w:ascii="宋体" w:hAnsi="宋体"/>
                <w:color w:val="000000" w:themeColor="text1"/>
                <w:kern w:val="0"/>
                <w:szCs w:val="21"/>
              </w:rPr>
              <w:t>2</w:t>
            </w:r>
            <w:r>
              <w:rPr>
                <w:rFonts w:ascii="宋体" w:hAnsi="宋体" w:hint="eastAsia"/>
                <w:color w:val="000000" w:themeColor="text1"/>
                <w:kern w:val="0"/>
                <w:szCs w:val="21"/>
              </w:rPr>
              <w:t>）了解与审计相关的内部控制，以设计恰当的审计程序。</w:t>
            </w:r>
          </w:p>
          <w:p w14:paraId="17203CE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w:t>
            </w:r>
            <w:r>
              <w:rPr>
                <w:rFonts w:ascii="宋体" w:hAnsi="宋体" w:hint="eastAsia"/>
                <w:color w:val="000000" w:themeColor="text1"/>
                <w:kern w:val="0"/>
                <w:szCs w:val="21"/>
              </w:rPr>
              <w:t>（</w:t>
            </w:r>
            <w:r>
              <w:rPr>
                <w:rFonts w:ascii="宋体" w:hAnsi="宋体"/>
                <w:color w:val="000000" w:themeColor="text1"/>
                <w:kern w:val="0"/>
                <w:szCs w:val="21"/>
              </w:rPr>
              <w:t>3</w:t>
            </w:r>
            <w:r>
              <w:rPr>
                <w:rFonts w:ascii="宋体" w:hAnsi="宋体" w:hint="eastAsia"/>
                <w:color w:val="000000" w:themeColor="text1"/>
                <w:kern w:val="0"/>
                <w:szCs w:val="21"/>
              </w:rPr>
              <w:t>）评价管理层选用会计政策的恰当性和做出会计估计及相关披露的合理性。</w:t>
            </w:r>
          </w:p>
          <w:p w14:paraId="4ACD7AE7" w14:textId="77777777" w:rsidR="00B229A7" w:rsidRDefault="00B229A7">
            <w:pPr>
              <w:spacing w:line="276" w:lineRule="auto"/>
              <w:rPr>
                <w:rStyle w:val="11"/>
                <w:rFonts w:ascii="宋体" w:hAnsi="宋体"/>
                <w:i w:val="0"/>
                <w:iCs w:val="0"/>
                <w:color w:val="000000" w:themeColor="text1"/>
                <w:kern w:val="0"/>
                <w:szCs w:val="21"/>
              </w:rPr>
            </w:pPr>
          </w:p>
        </w:tc>
      </w:tr>
      <w:tr w:rsidR="00B229A7" w14:paraId="5FD6DDA9" w14:textId="77777777">
        <w:tc>
          <w:tcPr>
            <w:tcW w:w="1980" w:type="dxa"/>
          </w:tcPr>
          <w:p w14:paraId="7E3369B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316" w:type="dxa"/>
          </w:tcPr>
          <w:p w14:paraId="156BB3A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保留意见；识别风险；关键审计事项</w:t>
            </w:r>
          </w:p>
        </w:tc>
      </w:tr>
    </w:tbl>
    <w:p w14:paraId="510282BF" w14:textId="77777777" w:rsidR="00B229A7" w:rsidRDefault="00B229A7">
      <w:pPr>
        <w:spacing w:line="276" w:lineRule="auto"/>
        <w:rPr>
          <w:rFonts w:ascii="宋体" w:hAnsi="宋体"/>
          <w:color w:val="000000" w:themeColor="text1"/>
          <w:szCs w:val="21"/>
        </w:rPr>
      </w:pPr>
    </w:p>
    <w:p w14:paraId="685EB7DF" w14:textId="77777777" w:rsidR="00B229A7" w:rsidRDefault="00D7072C">
      <w:pPr>
        <w:pStyle w:val="1"/>
      </w:pPr>
      <w:bookmarkStart w:id="47" w:name="_Toc104812490"/>
      <w:bookmarkStart w:id="48" w:name="_Toc104812309"/>
      <w:bookmarkStart w:id="49" w:name="_Toc104812588"/>
      <w:r>
        <w:t>14</w:t>
      </w:r>
      <w:r>
        <w:rPr>
          <w:rFonts w:hint="eastAsia"/>
        </w:rPr>
        <w:t>中行双鸭山支行</w:t>
      </w:r>
      <w:bookmarkEnd w:id="47"/>
      <w:bookmarkEnd w:id="48"/>
      <w:bookmarkEnd w:id="49"/>
    </w:p>
    <w:tbl>
      <w:tblPr>
        <w:tblStyle w:val="a4"/>
        <w:tblW w:w="8296" w:type="dxa"/>
        <w:tblLayout w:type="fixed"/>
        <w:tblLook w:val="04A0" w:firstRow="1" w:lastRow="0" w:firstColumn="1" w:lastColumn="0" w:noHBand="0" w:noVBand="1"/>
      </w:tblPr>
      <w:tblGrid>
        <w:gridCol w:w="1980"/>
        <w:gridCol w:w="6316"/>
      </w:tblGrid>
      <w:tr w:rsidR="00B229A7" w14:paraId="1955784F" w14:textId="77777777">
        <w:tc>
          <w:tcPr>
            <w:tcW w:w="1980" w:type="dxa"/>
          </w:tcPr>
          <w:p w14:paraId="14C0C1B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41D4BCA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107</w:t>
            </w:r>
          </w:p>
        </w:tc>
      </w:tr>
      <w:tr w:rsidR="00B229A7" w14:paraId="72DA327C" w14:textId="77777777">
        <w:tc>
          <w:tcPr>
            <w:tcW w:w="1980" w:type="dxa"/>
          </w:tcPr>
          <w:p w14:paraId="7EF51FE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1CD6ADE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金融业</w:t>
            </w:r>
          </w:p>
        </w:tc>
      </w:tr>
      <w:tr w:rsidR="00B229A7" w14:paraId="17058D37" w14:textId="77777777">
        <w:tc>
          <w:tcPr>
            <w:tcW w:w="1980" w:type="dxa"/>
          </w:tcPr>
          <w:p w14:paraId="37CFA86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347C138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200</w:t>
            </w:r>
            <w:r>
              <w:rPr>
                <w:rFonts w:ascii="宋体" w:hAnsi="宋体"/>
                <w:color w:val="000000" w:themeColor="text1"/>
                <w:kern w:val="0"/>
                <w:szCs w:val="21"/>
              </w:rPr>
              <w:t>6</w:t>
            </w:r>
            <w:r>
              <w:rPr>
                <w:rFonts w:ascii="宋体" w:hAnsi="宋体" w:hint="eastAsia"/>
                <w:color w:val="000000" w:themeColor="text1"/>
                <w:kern w:val="0"/>
                <w:szCs w:val="21"/>
              </w:rPr>
              <w:t>年</w:t>
            </w:r>
          </w:p>
        </w:tc>
      </w:tr>
      <w:tr w:rsidR="00B229A7" w14:paraId="220EFB88" w14:textId="77777777">
        <w:tc>
          <w:tcPr>
            <w:tcW w:w="1980" w:type="dxa"/>
          </w:tcPr>
          <w:p w14:paraId="4B073DC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6FDA3AC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中国银行双鸭山四马路支行</w:t>
            </w:r>
          </w:p>
        </w:tc>
      </w:tr>
      <w:tr w:rsidR="00B229A7" w14:paraId="0C080714" w14:textId="77777777">
        <w:tc>
          <w:tcPr>
            <w:tcW w:w="1980" w:type="dxa"/>
          </w:tcPr>
          <w:p w14:paraId="33D44C4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727EF84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银行</w:t>
            </w:r>
            <w:r>
              <w:rPr>
                <w:rFonts w:ascii="宋体" w:hAnsi="宋体"/>
                <w:color w:val="000000" w:themeColor="text1"/>
                <w:kern w:val="0"/>
                <w:szCs w:val="21"/>
              </w:rPr>
              <w:t>类</w:t>
            </w:r>
          </w:p>
        </w:tc>
      </w:tr>
      <w:tr w:rsidR="00B229A7" w14:paraId="75B1128C" w14:textId="77777777">
        <w:tc>
          <w:tcPr>
            <w:tcW w:w="1980" w:type="dxa"/>
          </w:tcPr>
          <w:p w14:paraId="2B0435C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5B90C167"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【案例背景</w:t>
            </w:r>
            <w:r>
              <w:rPr>
                <w:rFonts w:ascii="宋体" w:hAnsi="宋体"/>
                <w:b/>
                <w:color w:val="000000" w:themeColor="text1"/>
                <w:kern w:val="0"/>
                <w:szCs w:val="21"/>
              </w:rPr>
              <w:t>】</w:t>
            </w:r>
          </w:p>
          <w:p w14:paraId="5B5874A4" w14:textId="77777777" w:rsidR="00B229A7" w:rsidRDefault="00D7072C">
            <w:pPr>
              <w:spacing w:line="276" w:lineRule="auto"/>
              <w:rPr>
                <w:rFonts w:ascii="宋体" w:hAnsi="宋体"/>
                <w:bCs/>
                <w:color w:val="000000" w:themeColor="text1"/>
                <w:kern w:val="0"/>
                <w:szCs w:val="21"/>
              </w:rPr>
            </w:pPr>
            <w:r>
              <w:rPr>
                <w:rFonts w:ascii="宋体" w:hAnsi="宋体"/>
                <w:b/>
                <w:color w:val="000000" w:themeColor="text1"/>
                <w:kern w:val="0"/>
                <w:szCs w:val="21"/>
              </w:rPr>
              <w:tab/>
            </w:r>
            <w:r>
              <w:rPr>
                <w:rFonts w:ascii="宋体" w:hAnsi="宋体"/>
                <w:bCs/>
                <w:color w:val="000000" w:themeColor="text1"/>
                <w:kern w:val="0"/>
                <w:szCs w:val="21"/>
              </w:rPr>
              <w:t>2006</w:t>
            </w:r>
            <w:r>
              <w:rPr>
                <w:rFonts w:ascii="宋体" w:hAnsi="宋体" w:hint="eastAsia"/>
                <w:bCs/>
                <w:color w:val="000000" w:themeColor="text1"/>
                <w:kern w:val="0"/>
                <w:szCs w:val="21"/>
              </w:rPr>
              <w:t>年3月5日出版的《财经》杂志报道，黑龙江省双鸭山市警方破获一起特大非法出具票证、票据诈骗案。此案中，中国银行双鸭山四马路支行的5名工作人员沆瀣一气，非法出具大量的承兑汇票，造成重大损失。</w:t>
            </w:r>
          </w:p>
          <w:p w14:paraId="6B7FAAD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1BC8FBB4" w14:textId="77777777" w:rsidR="00B229A7" w:rsidRDefault="00D7072C">
            <w:pPr>
              <w:spacing w:line="276" w:lineRule="auto"/>
              <w:rPr>
                <w:rFonts w:ascii="宋体" w:hAnsi="宋体"/>
                <w:color w:val="000000" w:themeColor="text1"/>
                <w:kern w:val="0"/>
                <w:szCs w:val="21"/>
              </w:rPr>
            </w:pPr>
            <w:r>
              <w:rPr>
                <w:rFonts w:ascii="宋体" w:hAnsi="宋体"/>
                <w:b/>
                <w:bCs/>
                <w:color w:val="000000" w:themeColor="text1"/>
                <w:kern w:val="0"/>
                <w:szCs w:val="21"/>
              </w:rPr>
              <w:lastRenderedPageBreak/>
              <w:tab/>
            </w:r>
            <w:r>
              <w:rPr>
                <w:rFonts w:ascii="宋体" w:hAnsi="宋体" w:hint="eastAsia"/>
                <w:color w:val="000000" w:themeColor="text1"/>
                <w:kern w:val="0"/>
                <w:szCs w:val="21"/>
              </w:rPr>
              <w:t>据双鸭山警方查明，中国银行双鸭山四马路支行原行长胡伟东、原副行长王林及业务员沈洪泽、杨晓平、赵伟泽5人未经任何审批程序，从2</w:t>
            </w:r>
            <w:r>
              <w:rPr>
                <w:rFonts w:ascii="宋体" w:hAnsi="宋体"/>
                <w:color w:val="000000" w:themeColor="text1"/>
                <w:kern w:val="0"/>
                <w:szCs w:val="21"/>
              </w:rPr>
              <w:t>005</w:t>
            </w:r>
            <w:r>
              <w:rPr>
                <w:rFonts w:ascii="宋体" w:hAnsi="宋体" w:hint="eastAsia"/>
                <w:color w:val="000000" w:themeColor="text1"/>
                <w:kern w:val="0"/>
                <w:szCs w:val="21"/>
              </w:rPr>
              <w:t>年8月至1</w:t>
            </w:r>
            <w:r>
              <w:rPr>
                <w:rFonts w:ascii="宋体" w:hAnsi="宋体"/>
                <w:color w:val="000000" w:themeColor="text1"/>
                <w:kern w:val="0"/>
                <w:szCs w:val="21"/>
              </w:rPr>
              <w:t>2</w:t>
            </w:r>
            <w:r>
              <w:rPr>
                <w:rFonts w:ascii="宋体" w:hAnsi="宋体" w:hint="eastAsia"/>
                <w:color w:val="000000" w:themeColor="text1"/>
                <w:kern w:val="0"/>
                <w:szCs w:val="21"/>
              </w:rPr>
              <w:t>月，先后为犯罪嫌疑人黑龙江省集贤县富强粮油贸易有限公司经理朱德权开具空白银行承兑汇票4</w:t>
            </w:r>
            <w:r>
              <w:rPr>
                <w:rFonts w:ascii="宋体" w:hAnsi="宋体"/>
                <w:color w:val="000000" w:themeColor="text1"/>
                <w:kern w:val="0"/>
                <w:szCs w:val="21"/>
              </w:rPr>
              <w:t>5</w:t>
            </w:r>
            <w:r>
              <w:rPr>
                <w:rFonts w:ascii="宋体" w:hAnsi="宋体" w:hint="eastAsia"/>
                <w:color w:val="000000" w:themeColor="text1"/>
                <w:kern w:val="0"/>
                <w:szCs w:val="21"/>
              </w:rPr>
              <w:t>张。朱德权在没有足额保证金的情况下，在山东四家银行陆续将4</w:t>
            </w:r>
            <w:r>
              <w:rPr>
                <w:rFonts w:ascii="宋体" w:hAnsi="宋体"/>
                <w:color w:val="000000" w:themeColor="text1"/>
                <w:kern w:val="0"/>
                <w:szCs w:val="21"/>
              </w:rPr>
              <w:t>5</w:t>
            </w:r>
            <w:r>
              <w:rPr>
                <w:rFonts w:ascii="宋体" w:hAnsi="宋体" w:hint="eastAsia"/>
                <w:color w:val="000000" w:themeColor="text1"/>
                <w:kern w:val="0"/>
                <w:szCs w:val="21"/>
              </w:rPr>
              <w:t>张承兑汇票贴现，票面金额合计4</w:t>
            </w:r>
            <w:r>
              <w:rPr>
                <w:rFonts w:ascii="宋体" w:hAnsi="宋体"/>
                <w:color w:val="000000" w:themeColor="text1"/>
                <w:kern w:val="0"/>
                <w:szCs w:val="21"/>
              </w:rPr>
              <w:t>.325</w:t>
            </w:r>
            <w:r>
              <w:rPr>
                <w:rFonts w:ascii="宋体" w:hAnsi="宋体" w:hint="eastAsia"/>
                <w:color w:val="000000" w:themeColor="text1"/>
                <w:kern w:val="0"/>
                <w:szCs w:val="21"/>
              </w:rPr>
              <w:t>亿元。此案件引起黑龙江省公安厅、双鸭山市委、市政府的高度重视。</w:t>
            </w:r>
          </w:p>
          <w:p w14:paraId="086CF1E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w:t>
            </w:r>
            <w:r>
              <w:rPr>
                <w:rFonts w:ascii="宋体" w:hAnsi="宋体"/>
                <w:color w:val="000000" w:themeColor="text1"/>
                <w:kern w:val="0"/>
                <w:szCs w:val="21"/>
              </w:rPr>
              <w:t xml:space="preserve">   </w:t>
            </w:r>
            <w:r>
              <w:rPr>
                <w:rFonts w:ascii="宋体" w:hAnsi="宋体" w:hint="eastAsia"/>
                <w:color w:val="000000" w:themeColor="text1"/>
                <w:kern w:val="0"/>
                <w:szCs w:val="21"/>
              </w:rPr>
              <w:t>市公安局副局长王杰和经侦支队队长邓福才介绍，朱德权将承兑汇票贴现后用来做生意和炒作期货。朱德权在北京、上海等地炒作棉花、大豆等期货，赚少赔多。</w:t>
            </w:r>
          </w:p>
          <w:p w14:paraId="5688BF4C"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【案例分析】</w:t>
            </w:r>
          </w:p>
          <w:p w14:paraId="571FB00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工作人员违规操作；内外勾结；成对应也有违规嫌疑。这是一起银行的“窝案”，有关银行工作人员集体下水，导致事中监督失效。四马路支行的工作人员没有按照承兑汇票的管理规定和流程办理，未逐级审批，采取种种手段，非法出具承兑汇票。</w:t>
            </w:r>
          </w:p>
        </w:tc>
      </w:tr>
      <w:tr w:rsidR="00B229A7" w14:paraId="2CAD97BF" w14:textId="77777777">
        <w:tc>
          <w:tcPr>
            <w:tcW w:w="1980" w:type="dxa"/>
          </w:tcPr>
          <w:p w14:paraId="2521776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0FEF601A" w14:textId="77777777" w:rsidR="00B229A7" w:rsidRDefault="00D7072C">
            <w:pPr>
              <w:pStyle w:val="a6"/>
              <w:numPr>
                <w:ilvl w:val="0"/>
                <w:numId w:val="1"/>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建立有效的公司治理架构和汇报路径</w:t>
            </w:r>
          </w:p>
          <w:p w14:paraId="6D466E34"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独立性是内部审计的基础，是内部审计能否客观、公正地履行职责的保障。结合目前我国国有商业银行的实际，内审组织体系应该从两个方面加以改进：一是内审机构垂直管理，由总行向分支行机构派出内审机构，派出机构按区域设置，派出机构的内审人员逐级并最终向总行审计部门负责人汇报工作；二是总行内部审计部门直接接受董事会中的审计委员会领导，并向其负责并报告。</w:t>
            </w:r>
          </w:p>
          <w:p w14:paraId="41FEB9E6" w14:textId="77777777" w:rsidR="00B229A7" w:rsidRDefault="00D7072C">
            <w:pPr>
              <w:pStyle w:val="a6"/>
              <w:numPr>
                <w:ilvl w:val="0"/>
                <w:numId w:val="1"/>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培养高素质审计人员</w:t>
            </w:r>
          </w:p>
          <w:p w14:paraId="642E93E1"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西方国家商业银行对内审人员的要求普遍较高，对职业技能和职业道德都提出了较高的要求。对我国而言，高素质的内部审计人员应该包括两个方面：一是具有较高的职业技能。内部审计人员不仅应该具有相关的财务和审计知识，特别是能够掌握计算机审计等现代审计方法并且有良好的人际关系和沟通能力。二是具有高尚的职业到得。由于内部审计人员时刻受到各方面的压力和诱惑，内部审计人员要保持独立性，就要守住自己的职业操守。</w:t>
            </w:r>
          </w:p>
          <w:p w14:paraId="69EC0B15" w14:textId="77777777" w:rsidR="00B229A7" w:rsidRDefault="00D7072C">
            <w:pPr>
              <w:pStyle w:val="a6"/>
              <w:numPr>
                <w:ilvl w:val="0"/>
                <w:numId w:val="1"/>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建立有效的内部控制文化</w:t>
            </w:r>
          </w:p>
          <w:p w14:paraId="1F72177F"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内控文化的建立不仅需要内部审计人员有较好的内控意识，而且需要全行员工都能把银行的最高目标作为自己的最终目标，明确自己的职责。银行应建立科学、有效的激励约束机制，培养良好的企业精神和健康的内部审计和控制文化，提高全体员工的职业操守和诚信意识，从而创造全体员工都充分了解且能履行其职责的环境。</w:t>
            </w:r>
          </w:p>
          <w:p w14:paraId="76FC2811" w14:textId="77777777" w:rsidR="00B229A7" w:rsidRDefault="00D7072C">
            <w:pPr>
              <w:pStyle w:val="a6"/>
              <w:numPr>
                <w:ilvl w:val="0"/>
                <w:numId w:val="1"/>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充分发挥内部审计职能并提高操作风险防范能力</w:t>
            </w:r>
          </w:p>
          <w:p w14:paraId="429A1893" w14:textId="77777777" w:rsidR="00B229A7" w:rsidRDefault="00B229A7">
            <w:pPr>
              <w:spacing w:line="276" w:lineRule="auto"/>
              <w:rPr>
                <w:rStyle w:val="11"/>
                <w:rFonts w:ascii="宋体" w:hAnsi="宋体"/>
                <w:i w:val="0"/>
                <w:iCs w:val="0"/>
                <w:color w:val="000000" w:themeColor="text1"/>
                <w:kern w:val="0"/>
                <w:szCs w:val="21"/>
              </w:rPr>
            </w:pPr>
          </w:p>
        </w:tc>
      </w:tr>
      <w:tr w:rsidR="00B229A7" w14:paraId="496D65C1" w14:textId="77777777">
        <w:tc>
          <w:tcPr>
            <w:tcW w:w="1980" w:type="dxa"/>
          </w:tcPr>
          <w:p w14:paraId="1AA333C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02065EB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承兑汇票；贴现；事中监督</w:t>
            </w:r>
          </w:p>
        </w:tc>
      </w:tr>
    </w:tbl>
    <w:p w14:paraId="04E588F1" w14:textId="77777777" w:rsidR="00B229A7" w:rsidRDefault="00B229A7">
      <w:pPr>
        <w:spacing w:line="276" w:lineRule="auto"/>
        <w:rPr>
          <w:rFonts w:ascii="宋体" w:hAnsi="宋体"/>
          <w:color w:val="000000" w:themeColor="text1"/>
          <w:szCs w:val="21"/>
        </w:rPr>
      </w:pPr>
    </w:p>
    <w:p w14:paraId="74C33846" w14:textId="77777777" w:rsidR="00B229A7" w:rsidRDefault="00D7072C">
      <w:pPr>
        <w:pStyle w:val="1"/>
      </w:pPr>
      <w:bookmarkStart w:id="50" w:name="_Toc104812310"/>
      <w:bookmarkStart w:id="51" w:name="_Toc104812589"/>
      <w:bookmarkStart w:id="52" w:name="_Toc104812491"/>
      <w:r>
        <w:t>15</w:t>
      </w:r>
      <w:r>
        <w:rPr>
          <w:rFonts w:hint="eastAsia"/>
        </w:rPr>
        <w:t>华安证券</w:t>
      </w:r>
      <w:bookmarkEnd w:id="50"/>
      <w:bookmarkEnd w:id="51"/>
      <w:bookmarkEnd w:id="52"/>
    </w:p>
    <w:tbl>
      <w:tblPr>
        <w:tblStyle w:val="a4"/>
        <w:tblW w:w="8296" w:type="dxa"/>
        <w:tblLayout w:type="fixed"/>
        <w:tblLook w:val="04A0" w:firstRow="1" w:lastRow="0" w:firstColumn="1" w:lastColumn="0" w:noHBand="0" w:noVBand="1"/>
      </w:tblPr>
      <w:tblGrid>
        <w:gridCol w:w="1980"/>
        <w:gridCol w:w="6316"/>
      </w:tblGrid>
      <w:tr w:rsidR="00B229A7" w14:paraId="5654AEB6" w14:textId="77777777">
        <w:tc>
          <w:tcPr>
            <w:tcW w:w="1980" w:type="dxa"/>
          </w:tcPr>
          <w:p w14:paraId="0052D48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04AF5B7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108</w:t>
            </w:r>
          </w:p>
        </w:tc>
      </w:tr>
      <w:tr w:rsidR="00B229A7" w14:paraId="3730417B" w14:textId="77777777">
        <w:tc>
          <w:tcPr>
            <w:tcW w:w="1980" w:type="dxa"/>
          </w:tcPr>
          <w:p w14:paraId="09BF531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0BE3A4A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金融业</w:t>
            </w:r>
          </w:p>
        </w:tc>
      </w:tr>
      <w:tr w:rsidR="00B229A7" w14:paraId="1E49B80F" w14:textId="77777777">
        <w:tc>
          <w:tcPr>
            <w:tcW w:w="1980" w:type="dxa"/>
          </w:tcPr>
          <w:p w14:paraId="514CE8F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0E92516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21</w:t>
            </w:r>
            <w:r>
              <w:rPr>
                <w:rFonts w:ascii="宋体" w:hAnsi="宋体" w:hint="eastAsia"/>
                <w:color w:val="000000" w:themeColor="text1"/>
                <w:kern w:val="0"/>
                <w:szCs w:val="21"/>
              </w:rPr>
              <w:t>年</w:t>
            </w:r>
          </w:p>
        </w:tc>
      </w:tr>
      <w:tr w:rsidR="00B229A7" w14:paraId="238EDFC2" w14:textId="77777777">
        <w:tc>
          <w:tcPr>
            <w:tcW w:w="1980" w:type="dxa"/>
          </w:tcPr>
          <w:p w14:paraId="0D26D08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251B4E1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华安证券股份有限公司</w:t>
            </w:r>
          </w:p>
        </w:tc>
      </w:tr>
      <w:tr w:rsidR="00B229A7" w14:paraId="57577866" w14:textId="77777777">
        <w:tc>
          <w:tcPr>
            <w:tcW w:w="1980" w:type="dxa"/>
          </w:tcPr>
          <w:p w14:paraId="3B2AD97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75E46DD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证券</w:t>
            </w:r>
            <w:r>
              <w:rPr>
                <w:rFonts w:ascii="宋体" w:hAnsi="宋体"/>
                <w:color w:val="000000" w:themeColor="text1"/>
                <w:kern w:val="0"/>
                <w:szCs w:val="21"/>
              </w:rPr>
              <w:t>类</w:t>
            </w:r>
          </w:p>
        </w:tc>
      </w:tr>
      <w:tr w:rsidR="00B229A7" w14:paraId="1C3BE6F0" w14:textId="77777777">
        <w:tc>
          <w:tcPr>
            <w:tcW w:w="1980" w:type="dxa"/>
          </w:tcPr>
          <w:p w14:paraId="51B2B50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4FD87EF3"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F8B1834"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华安证券，全称是华安证券股份有限公司，是经中国证监会核准于2001年1月8日注册成立的证券公司，前身是1991年5月成立的安徽省证券公司，位于安徽省合肥市政务文化新区天鹅湖路198号。隶属于中国人民银行安徽省分行，是安徽省唯一的证券专营机构，经批准先后在合肥、上海、深圳等地设有证券营业部。2000年10月，公司开始增资扩股，吸收省内外11家国有大中型企业和上市公司作为股东，改制并更名为华安有限责任公司。2000年12月，中国证监会核准华安证券有限责任公司为综合类证券公司。2001年1月8日，华安证券有限责任公司正式登记注册。 截至2015年末，公司总资产223.93亿元，净资产67.82亿元，净资本50.48亿元，全年实现净利润18.65亿。公司连续在行业分类评级中评为A类A级公司。2014年4月，中国证监会在网站预披露公司招股说明书，公司拟登陆上交所。 2016年4月27日，华安证券IPO申请获得证监会通过，并于同年12月6日登陆上交所。</w:t>
            </w:r>
          </w:p>
          <w:p w14:paraId="562C5A4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华安证券抢抓市场机遇，深化内部改革，推进管理创新，着力业务开拓，坚持规范经营，各项业务均取得长足发展。截至2015年末，公司净资产67.82亿元，净资本50.48亿元。</w:t>
            </w:r>
          </w:p>
          <w:p w14:paraId="7E8F67DF"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5E90C44E" w14:textId="77777777" w:rsidR="00B229A7" w:rsidRDefault="00D7072C">
            <w:pPr>
              <w:spacing w:line="276" w:lineRule="auto"/>
              <w:rPr>
                <w:rFonts w:ascii="宋体" w:hAnsi="宋体"/>
                <w:b/>
                <w:color w:val="000000" w:themeColor="text1"/>
                <w:kern w:val="0"/>
                <w:szCs w:val="21"/>
              </w:rPr>
            </w:pPr>
            <w:r>
              <w:rPr>
                <w:rFonts w:ascii="宋体" w:hAnsi="宋体"/>
                <w:b/>
                <w:bCs/>
                <w:color w:val="000000" w:themeColor="text1"/>
                <w:kern w:val="0"/>
                <w:szCs w:val="21"/>
              </w:rPr>
              <w:tab/>
            </w:r>
            <w:r>
              <w:rPr>
                <w:rFonts w:ascii="宋体" w:hAnsi="宋体" w:hint="eastAsia"/>
                <w:color w:val="000000" w:themeColor="text1"/>
                <w:kern w:val="0"/>
                <w:szCs w:val="21"/>
              </w:rPr>
              <w:t>本公司审计意见为标准无保留意见，以下主要介绍审计报告中内容：</w:t>
            </w:r>
          </w:p>
          <w:p w14:paraId="72C7CC8F"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lastRenderedPageBreak/>
              <w:drawing>
                <wp:inline distT="0" distB="0" distL="0" distR="0" wp14:anchorId="21A90073" wp14:editId="6B830BF3">
                  <wp:extent cx="3873500" cy="3850640"/>
                  <wp:effectExtent l="0" t="0" r="0" b="0"/>
                  <wp:docPr id="6" name="图片 6"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文本&#10;&#10;中度可信度描述已自动生成"/>
                          <pic:cNvPicPr>
                            <a:picLocks noChangeAspect="1"/>
                          </pic:cNvPicPr>
                        </pic:nvPicPr>
                        <pic:blipFill>
                          <a:blip r:embed="rId13"/>
                          <a:stretch>
                            <a:fillRect/>
                          </a:stretch>
                        </pic:blipFill>
                        <pic:spPr>
                          <a:xfrm>
                            <a:off x="0" y="0"/>
                            <a:ext cx="3873500" cy="3850640"/>
                          </a:xfrm>
                          <a:prstGeom prst="rect">
                            <a:avLst/>
                          </a:prstGeom>
                        </pic:spPr>
                      </pic:pic>
                    </a:graphicData>
                  </a:graphic>
                </wp:inline>
              </w:drawing>
            </w:r>
          </w:p>
          <w:p w14:paraId="75FF7D30"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0" distR="0" wp14:anchorId="1D6E50C1" wp14:editId="2C1CD01C">
                  <wp:extent cx="3873500" cy="4076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3873500" cy="407670"/>
                          </a:xfrm>
                          <a:prstGeom prst="rect">
                            <a:avLst/>
                          </a:prstGeom>
                        </pic:spPr>
                      </pic:pic>
                    </a:graphicData>
                  </a:graphic>
                </wp:inline>
              </w:drawing>
            </w:r>
          </w:p>
          <w:p w14:paraId="6572825C"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0" distR="0" wp14:anchorId="68688D66" wp14:editId="0E0569FC">
                  <wp:extent cx="3873500" cy="1196340"/>
                  <wp:effectExtent l="0" t="0" r="0" b="3810"/>
                  <wp:docPr id="8" name="图片 8"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文本, 信件&#10;&#10;描述已自动生成"/>
                          <pic:cNvPicPr>
                            <a:picLocks noChangeAspect="1"/>
                          </pic:cNvPicPr>
                        </pic:nvPicPr>
                        <pic:blipFill>
                          <a:blip r:embed="rId15"/>
                          <a:stretch>
                            <a:fillRect/>
                          </a:stretch>
                        </pic:blipFill>
                        <pic:spPr>
                          <a:xfrm>
                            <a:off x="0" y="0"/>
                            <a:ext cx="3873500" cy="1196340"/>
                          </a:xfrm>
                          <a:prstGeom prst="rect">
                            <a:avLst/>
                          </a:prstGeom>
                        </pic:spPr>
                      </pic:pic>
                    </a:graphicData>
                  </a:graphic>
                </wp:inline>
              </w:drawing>
            </w:r>
          </w:p>
          <w:p w14:paraId="75000139" w14:textId="77777777" w:rsidR="00B229A7" w:rsidRDefault="00B229A7">
            <w:pPr>
              <w:spacing w:line="276" w:lineRule="auto"/>
              <w:rPr>
                <w:rFonts w:ascii="宋体" w:hAnsi="宋体"/>
                <w:color w:val="000000" w:themeColor="text1"/>
                <w:kern w:val="0"/>
                <w:szCs w:val="21"/>
              </w:rPr>
            </w:pPr>
          </w:p>
        </w:tc>
      </w:tr>
      <w:tr w:rsidR="00B229A7" w14:paraId="733E8C4B" w14:textId="77777777">
        <w:tc>
          <w:tcPr>
            <w:tcW w:w="1980" w:type="dxa"/>
          </w:tcPr>
          <w:p w14:paraId="4117492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355E06F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华普天健会计师事务所(特殊普通合伙)</w:t>
            </w:r>
          </w:p>
        </w:tc>
      </w:tr>
      <w:tr w:rsidR="00B229A7" w14:paraId="59CBA859" w14:textId="77777777">
        <w:tc>
          <w:tcPr>
            <w:tcW w:w="1980" w:type="dxa"/>
          </w:tcPr>
          <w:p w14:paraId="4199138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288F0CAB" w14:textId="77777777" w:rsidR="00B229A7" w:rsidRDefault="00D7072C">
            <w:pPr>
              <w:pStyle w:val="a6"/>
              <w:numPr>
                <w:ilvl w:val="0"/>
                <w:numId w:val="2"/>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识别和评估由于舞弊或错误导致的财务报表重大错报等闲，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12E5C1CF" w14:textId="77777777" w:rsidR="00B229A7" w:rsidRDefault="00D7072C">
            <w:pPr>
              <w:pStyle w:val="a6"/>
              <w:numPr>
                <w:ilvl w:val="0"/>
                <w:numId w:val="2"/>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了解与审计相关的内部控制，以设计恰当的审计程序，但目的并非对内部控制的有效性发表意见。</w:t>
            </w:r>
          </w:p>
          <w:p w14:paraId="1348D2D5" w14:textId="77777777" w:rsidR="00B229A7" w:rsidRDefault="00D7072C">
            <w:pPr>
              <w:pStyle w:val="a6"/>
              <w:numPr>
                <w:ilvl w:val="0"/>
                <w:numId w:val="2"/>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评价管理层选用会计政策的恰当性和作出会计估计及相关披露的合理性</w:t>
            </w:r>
          </w:p>
          <w:p w14:paraId="6BCCE46E" w14:textId="77777777" w:rsidR="00B229A7" w:rsidRDefault="00D7072C">
            <w:pPr>
              <w:pStyle w:val="a6"/>
              <w:numPr>
                <w:ilvl w:val="0"/>
                <w:numId w:val="2"/>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lastRenderedPageBreak/>
              <w:t>对管理层使用持续经营假设的恰当性得出结论。同时，根据获取的审计证据，就可能导致对华安证券持续经营能力产生重大疑虑的事项或情况是否存在重大不确定性得出结论。如果我们得出结论认为存在重大不确定性，审计准则要求我们在审计报告中提请使用者注意财务报表中的相关披露；如果披露不充分，我们应当发表非无保留意见。我们的结论基于截至审计报告可获得的信息。</w:t>
            </w:r>
          </w:p>
          <w:p w14:paraId="2E6452DD" w14:textId="77777777" w:rsidR="00B229A7" w:rsidRDefault="00D7072C">
            <w:pPr>
              <w:pStyle w:val="a6"/>
              <w:numPr>
                <w:ilvl w:val="0"/>
                <w:numId w:val="2"/>
              </w:numPr>
              <w:spacing w:line="276" w:lineRule="auto"/>
              <w:ind w:firstLineChars="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评价财务报表的总体列报、结构和内容，并评价财务报表是否公允反映相关交易和事项。</w:t>
            </w:r>
          </w:p>
        </w:tc>
      </w:tr>
      <w:tr w:rsidR="00B229A7" w14:paraId="58A5408C" w14:textId="77777777">
        <w:tc>
          <w:tcPr>
            <w:tcW w:w="1980" w:type="dxa"/>
          </w:tcPr>
          <w:p w14:paraId="750643C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0C634D9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关键审计事务；持续经营</w:t>
            </w:r>
          </w:p>
        </w:tc>
      </w:tr>
    </w:tbl>
    <w:p w14:paraId="56AA23C2" w14:textId="77777777" w:rsidR="00B229A7" w:rsidRDefault="00B229A7">
      <w:pPr>
        <w:spacing w:line="276" w:lineRule="auto"/>
        <w:rPr>
          <w:rFonts w:ascii="宋体" w:hAnsi="宋体"/>
          <w:color w:val="000000" w:themeColor="text1"/>
          <w:szCs w:val="21"/>
        </w:rPr>
      </w:pPr>
    </w:p>
    <w:p w14:paraId="582AAEB4" w14:textId="77777777" w:rsidR="00B229A7" w:rsidRDefault="00D7072C">
      <w:pPr>
        <w:pStyle w:val="1"/>
      </w:pPr>
      <w:bookmarkStart w:id="53" w:name="_Toc104812311"/>
      <w:bookmarkStart w:id="54" w:name="_Toc104812492"/>
      <w:bookmarkStart w:id="55" w:name="_Toc104812590"/>
      <w:r>
        <w:t>16</w:t>
      </w:r>
      <w:r>
        <w:rPr>
          <w:rFonts w:hint="eastAsia"/>
        </w:rPr>
        <w:t>中原证券</w:t>
      </w:r>
      <w:bookmarkEnd w:id="53"/>
      <w:bookmarkEnd w:id="54"/>
      <w:bookmarkEnd w:id="55"/>
    </w:p>
    <w:tbl>
      <w:tblPr>
        <w:tblStyle w:val="a4"/>
        <w:tblW w:w="8296" w:type="dxa"/>
        <w:tblLayout w:type="fixed"/>
        <w:tblLook w:val="04A0" w:firstRow="1" w:lastRow="0" w:firstColumn="1" w:lastColumn="0" w:noHBand="0" w:noVBand="1"/>
      </w:tblPr>
      <w:tblGrid>
        <w:gridCol w:w="1980"/>
        <w:gridCol w:w="6316"/>
      </w:tblGrid>
      <w:tr w:rsidR="00B229A7" w14:paraId="3BAC5314" w14:textId="77777777">
        <w:tc>
          <w:tcPr>
            <w:tcW w:w="1980" w:type="dxa"/>
          </w:tcPr>
          <w:p w14:paraId="787D187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721F73D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109</w:t>
            </w:r>
          </w:p>
        </w:tc>
      </w:tr>
      <w:tr w:rsidR="00B229A7" w14:paraId="57A89CBA" w14:textId="77777777">
        <w:tc>
          <w:tcPr>
            <w:tcW w:w="1980" w:type="dxa"/>
          </w:tcPr>
          <w:p w14:paraId="5CFBFAD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49D3A68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金融业</w:t>
            </w:r>
          </w:p>
        </w:tc>
      </w:tr>
      <w:tr w:rsidR="00B229A7" w14:paraId="241F96A0" w14:textId="77777777">
        <w:tc>
          <w:tcPr>
            <w:tcW w:w="1980" w:type="dxa"/>
          </w:tcPr>
          <w:p w14:paraId="7A9165E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37005DE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21</w:t>
            </w:r>
            <w:r>
              <w:rPr>
                <w:rFonts w:ascii="宋体" w:hAnsi="宋体" w:hint="eastAsia"/>
                <w:color w:val="000000" w:themeColor="text1"/>
                <w:kern w:val="0"/>
                <w:szCs w:val="21"/>
              </w:rPr>
              <w:t>年</w:t>
            </w:r>
          </w:p>
        </w:tc>
      </w:tr>
      <w:tr w:rsidR="00B229A7" w14:paraId="30E617D6" w14:textId="77777777">
        <w:tc>
          <w:tcPr>
            <w:tcW w:w="1980" w:type="dxa"/>
          </w:tcPr>
          <w:p w14:paraId="6AE24FF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0721A5E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中原证券</w:t>
            </w:r>
          </w:p>
        </w:tc>
      </w:tr>
      <w:tr w:rsidR="00B229A7" w14:paraId="52787C67" w14:textId="77777777">
        <w:tc>
          <w:tcPr>
            <w:tcW w:w="1980" w:type="dxa"/>
          </w:tcPr>
          <w:p w14:paraId="062D37D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0FC34D4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证券</w:t>
            </w:r>
            <w:r>
              <w:rPr>
                <w:rFonts w:ascii="宋体" w:hAnsi="宋体"/>
                <w:color w:val="000000" w:themeColor="text1"/>
                <w:kern w:val="0"/>
                <w:szCs w:val="21"/>
              </w:rPr>
              <w:t>类</w:t>
            </w:r>
          </w:p>
        </w:tc>
      </w:tr>
      <w:tr w:rsidR="00B229A7" w14:paraId="16D3FC50" w14:textId="77777777">
        <w:tc>
          <w:tcPr>
            <w:tcW w:w="1980" w:type="dxa"/>
          </w:tcPr>
          <w:p w14:paraId="73494C9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5E0B25A6"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6CB03C8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中原证券（在香港以“中州证券”名义开展业务）成立于2002年底。公司成立12年来由小到大，2014年6月25日已在香港成功上市，是中国内地110多家证券公司中的第4家、省级证券公司中的首家在港上市的证券公司，也是河南省第一家上市的金融企业。</w:t>
            </w:r>
          </w:p>
          <w:p w14:paraId="400EDE1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中原证券主要业务包括投资银行、直接投资、自营投资、证券经纪、融资融券与股权质押融资等资本中介业务、资产管理、期货业务和衍生品等创新业务。公司总部位于河南省会郑州市，同时在北京、上海、深圳及全国各大城市设有70多家证券分支经营机构，控股有中原期货公司、中原英石基金公司，全资拥有中鼎开源创投公司及其控股的中证开元创投公司，初步具备金融控股集团基本框架。</w:t>
            </w:r>
          </w:p>
          <w:p w14:paraId="156BB4B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截至2014年9月底，中原证券总资产170亿元，管理客户资产1500亿元。“十一五”以来的8年间，累计实现利润48.31亿元，公司累计上缴税收 34.1亿元。公司董事长菅明军当选为河南省人大常委，同时继续兼任河南省人大代表、省人大财政经济委员会委员，被评为享受国务院特殊津贴专家、河南省劳动模范。还担任中</w:t>
            </w:r>
            <w:r>
              <w:rPr>
                <w:rFonts w:ascii="宋体" w:hAnsi="宋体" w:hint="eastAsia"/>
                <w:color w:val="000000" w:themeColor="text1"/>
                <w:kern w:val="0"/>
                <w:szCs w:val="21"/>
              </w:rPr>
              <w:lastRenderedPageBreak/>
              <w:t>国证券业协会投资银行专业委员会委员、河南省证券期货业协会会长。</w:t>
            </w:r>
          </w:p>
          <w:p w14:paraId="60006A1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中原证券在香港成功上市后，正按照省政府要求，加快打造现代化大型金融控股集团。</w:t>
            </w:r>
          </w:p>
          <w:p w14:paraId="0AF36C4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2021年5月28日，中原证券列入首批证券公司“白名单”。</w:t>
            </w:r>
          </w:p>
          <w:p w14:paraId="378E54F6"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6A5E216E" w14:textId="77777777" w:rsidR="00B229A7" w:rsidRDefault="00D7072C">
            <w:pPr>
              <w:spacing w:line="276" w:lineRule="auto"/>
              <w:rPr>
                <w:rFonts w:ascii="宋体" w:hAnsi="宋体"/>
                <w:b/>
                <w:color w:val="000000" w:themeColor="text1"/>
                <w:kern w:val="0"/>
                <w:szCs w:val="21"/>
              </w:rPr>
            </w:pPr>
            <w:r>
              <w:rPr>
                <w:rFonts w:ascii="宋体" w:hAnsi="宋体"/>
                <w:b/>
                <w:bCs/>
                <w:color w:val="000000" w:themeColor="text1"/>
                <w:kern w:val="0"/>
                <w:szCs w:val="21"/>
              </w:rPr>
              <w:tab/>
            </w:r>
            <w:r>
              <w:rPr>
                <w:rFonts w:ascii="宋体" w:hAnsi="宋体" w:hint="eastAsia"/>
                <w:color w:val="000000" w:themeColor="text1"/>
                <w:kern w:val="0"/>
                <w:szCs w:val="21"/>
              </w:rPr>
              <w:t>本公司审计意见为标准无保留意见，以下主要介绍审计报告中内容：</w:t>
            </w:r>
          </w:p>
          <w:p w14:paraId="38355E6A" w14:textId="77777777" w:rsidR="00B229A7" w:rsidRDefault="00D7072C">
            <w:pPr>
              <w:spacing w:line="276" w:lineRule="auto"/>
              <w:rPr>
                <w:rFonts w:ascii="宋体" w:hAnsi="宋体"/>
                <w:b/>
                <w:bCs/>
                <w:color w:val="000000" w:themeColor="text1"/>
                <w:kern w:val="0"/>
                <w:szCs w:val="21"/>
              </w:rPr>
            </w:pPr>
            <w:r>
              <w:rPr>
                <w:rFonts w:ascii="宋体" w:hAnsi="宋体"/>
                <w:b/>
                <w:bCs/>
                <w:color w:val="000000" w:themeColor="text1"/>
                <w:kern w:val="0"/>
                <w:szCs w:val="21"/>
              </w:rPr>
              <w:tab/>
            </w:r>
            <w:r>
              <w:rPr>
                <w:rFonts w:ascii="宋体" w:hAnsi="宋体"/>
                <w:noProof/>
                <w:color w:val="000000" w:themeColor="text1"/>
                <w:kern w:val="0"/>
                <w:szCs w:val="21"/>
              </w:rPr>
              <w:drawing>
                <wp:inline distT="0" distB="0" distL="0" distR="0" wp14:anchorId="00BF998E" wp14:editId="5172881E">
                  <wp:extent cx="3873500" cy="1807210"/>
                  <wp:effectExtent l="0" t="0" r="0" b="2540"/>
                  <wp:docPr id="9" name="图片 9"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文本, 信件&#10;&#10;描述已自动生成"/>
                          <pic:cNvPicPr>
                            <a:picLocks noChangeAspect="1"/>
                          </pic:cNvPicPr>
                        </pic:nvPicPr>
                        <pic:blipFill>
                          <a:blip r:embed="rId16"/>
                          <a:stretch>
                            <a:fillRect/>
                          </a:stretch>
                        </pic:blipFill>
                        <pic:spPr>
                          <a:xfrm>
                            <a:off x="0" y="0"/>
                            <a:ext cx="3873500" cy="1807210"/>
                          </a:xfrm>
                          <a:prstGeom prst="rect">
                            <a:avLst/>
                          </a:prstGeom>
                        </pic:spPr>
                      </pic:pic>
                    </a:graphicData>
                  </a:graphic>
                </wp:inline>
              </w:drawing>
            </w:r>
          </w:p>
          <w:p w14:paraId="7273E019"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0" distR="0" wp14:anchorId="31DCD532" wp14:editId="7FEBAC7D">
                  <wp:extent cx="3873500" cy="1699895"/>
                  <wp:effectExtent l="0" t="0" r="0" b="0"/>
                  <wp:docPr id="10" name="图片 10"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本, 信件&#10;&#10;描述已自动生成"/>
                          <pic:cNvPicPr>
                            <a:picLocks noChangeAspect="1"/>
                          </pic:cNvPicPr>
                        </pic:nvPicPr>
                        <pic:blipFill>
                          <a:blip r:embed="rId17"/>
                          <a:stretch>
                            <a:fillRect/>
                          </a:stretch>
                        </pic:blipFill>
                        <pic:spPr>
                          <a:xfrm>
                            <a:off x="0" y="0"/>
                            <a:ext cx="3873500" cy="1699895"/>
                          </a:xfrm>
                          <a:prstGeom prst="rect">
                            <a:avLst/>
                          </a:prstGeom>
                        </pic:spPr>
                      </pic:pic>
                    </a:graphicData>
                  </a:graphic>
                </wp:inline>
              </w:drawing>
            </w:r>
          </w:p>
          <w:p w14:paraId="626905E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 xml:space="preserve">由于管理层需要对预期信用损失模型涉及的假设及参数的选取 作出重大判断，且结果对于财务报表影响重大，因此我们认为该事项 属于合并及母公司财务报表审计的关键审计事项。 </w:t>
            </w:r>
          </w:p>
          <w:p w14:paraId="7213910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审计应对 我们对于以摊余成本计量的金融资产减值准备的确定所实施的 重要审计程序包括： 1)了解与计提预期信用减值准备相关的内部控制，并测试相关内 部控制执行的有效性； 2)选取样本执行审阅程序，检查相关金融资产的逾期信息、抵质 押资产价值、融资人或发行人的信用状况、负面信息等情况，评价管 理层作出的上述金融资产信用风险自初始确认后是否显著增加的判 断以及是否已发生信用减值的判断的合理性； 3)检查管理层评估减值准备时所用的预期信用损失模型和参数 的可靠性，包括违约概率、违约损失率、违约风险暴露及前瞻性调整 等，评价其一贯性、准确性和完整性； 4)在选取样本的基础上，评价已发生信用减值的金融资产违</w:t>
            </w:r>
            <w:r>
              <w:rPr>
                <w:rFonts w:ascii="宋体" w:hAnsi="宋体"/>
                <w:color w:val="000000" w:themeColor="text1"/>
                <w:kern w:val="0"/>
                <w:szCs w:val="21"/>
              </w:rPr>
              <w:lastRenderedPageBreak/>
              <w:t>约损 失率的合理性，检查债务人和担保人的财务信息、抵质押物或查封资 产的市场价值等信息，对金融资产的可回收金额作出考量； 5)评价与金融资产减值准备相关的财务报表信息披露是否符合 企业会计准则的披露要求。 基于已执行的审计工作，我们认为，管理层在前述以摊余成本计 量的金融资产减值准备的确定的相关判断及假设是合理的。</w:t>
            </w:r>
          </w:p>
          <w:p w14:paraId="73AFC941" w14:textId="77777777" w:rsidR="00B229A7" w:rsidRDefault="00B229A7">
            <w:pPr>
              <w:spacing w:line="276" w:lineRule="auto"/>
              <w:rPr>
                <w:rFonts w:ascii="宋体" w:hAnsi="宋体"/>
                <w:color w:val="000000" w:themeColor="text1"/>
                <w:kern w:val="0"/>
                <w:szCs w:val="21"/>
              </w:rPr>
            </w:pPr>
          </w:p>
          <w:p w14:paraId="39C8AB7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 xml:space="preserve">由于以公允价值计量的金融工具公允价值的评估较为复杂，且在 确定估值模型使用的输入值时涉及管理层判断的程度重大，我们将金 融工具公允价值的评估识别为关键审计事项。 </w:t>
            </w:r>
          </w:p>
          <w:p w14:paraId="6265C60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审计应对 我们对于金融工具公允价值的评估所实施的重要审计程序包括： 1)了解和评价与估值、独立价格验证及金融工具估值模型审批相关的关键财务报告内部控制的设计和运行有效性； 2)就第一层次公允价值计量的金融工具，通过比较中原证券采用的公允价值与公开可获取的市场数据，评价第一层次公允价值计量的金融工具的估值； 3)就第二层次和第三层次公允价值计量的金融工具，选取金融工具，查阅本年度签署的投资协议，了解相关投资条款，并识别与金融工具估值相关的条件，评估管理层采用的估值模型，以及所使用的可观察及不可观察输入值的合理性及适当性； 4)根据相关会计准则，评价与金融工具公允价值相关的披露的合理性。</w:t>
            </w:r>
          </w:p>
          <w:p w14:paraId="756AA1F4" w14:textId="77777777" w:rsidR="00B229A7" w:rsidRDefault="00B229A7">
            <w:pPr>
              <w:spacing w:line="276" w:lineRule="auto"/>
              <w:ind w:firstLineChars="200" w:firstLine="420"/>
              <w:rPr>
                <w:rFonts w:ascii="宋体" w:hAnsi="宋体"/>
                <w:color w:val="000000" w:themeColor="text1"/>
                <w:kern w:val="0"/>
                <w:szCs w:val="21"/>
              </w:rPr>
            </w:pPr>
          </w:p>
        </w:tc>
      </w:tr>
      <w:tr w:rsidR="00B229A7" w14:paraId="66AF5B43" w14:textId="77777777">
        <w:tc>
          <w:tcPr>
            <w:tcW w:w="1980" w:type="dxa"/>
          </w:tcPr>
          <w:p w14:paraId="5D83477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1059F8E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大华会计师事务所（特殊普通合伙）审计</w:t>
            </w:r>
          </w:p>
        </w:tc>
      </w:tr>
      <w:tr w:rsidR="00B229A7" w14:paraId="128DD1C6" w14:textId="77777777">
        <w:tc>
          <w:tcPr>
            <w:tcW w:w="1980" w:type="dxa"/>
          </w:tcPr>
          <w:p w14:paraId="704CF7E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53CF153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目标是对财务报表整体是否不存在由于舞弊或错误导致 的重大错报获取合理保证，并出具包含审计意见的审计报告。合理保 证是高水平的保证，但并不能保证按照审计准则执行的审计在某一重 大错报存在时总能发现。错报可能由于舞弊或错误导致，如果合理预期错报单独或汇总起来可能影响财务报表使用者依据财务报表 作出的经济决策，则通常认为错报是重大的。 在按照审计准则执行审计工作的过程中，我们运用职业判断，并 保持职业怀疑。同时，我们也执行以下工作： </w:t>
            </w:r>
          </w:p>
          <w:p w14:paraId="4A6E812D"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1．识别和评估由于舞弊或错误导致的财务报表重大错报风险， 设计和实施审计程序以应对这些风险，并获取充分、适当的审计证据， 作为发表审计意见的基础。由于舞弊可能涉及串通、伪造、故意遗漏、 虚假陈述或凌驾于内部控制之上，未能发现由于舞弊导致的重大错报 的风险高于未能发现由于错误导致的重大错报的风险。</w:t>
            </w:r>
          </w:p>
          <w:p w14:paraId="0C5E882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2．了解与审计相关的内部控制，以设计恰当的审计程序。 </w:t>
            </w:r>
          </w:p>
          <w:p w14:paraId="2199C364"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3．评价管理层选用会计政策的恰当性和作出会计估计及相关披 露的合理性。 </w:t>
            </w:r>
          </w:p>
          <w:p w14:paraId="22E9A5E7"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lastRenderedPageBreak/>
              <w:t xml:space="preserve">4．对管理层使用持续经营假设的恰当性得出结论。同时，根据 获取的审计证据，就可能导致对中原证券持续经营能力产生重大疑虑 的事项或情况是否存在重大不确定性得出结论。如果我们得出结论认 为存在重大不确定性，审计准则要求我们在审计报告中提请报告使用 者注意财务报表中的相关披露；如果披露不充分，我们应当发表非无 保留意见。我们的结论基于截至审计报告日可获得的信息。然而，未 来的事项或情况可能导致中原证券不能持续经营。 </w:t>
            </w:r>
          </w:p>
          <w:p w14:paraId="788E48D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5．评价财务报表的总体列报、结构和内容，并评价财务报表是 否公允反映相关交易和事项。 </w:t>
            </w:r>
          </w:p>
          <w:p w14:paraId="058D233F" w14:textId="77777777" w:rsidR="00B229A7" w:rsidRDefault="00D7072C">
            <w:pPr>
              <w:spacing w:line="276" w:lineRule="auto"/>
              <w:rPr>
                <w:rStyle w:val="11"/>
                <w:rFonts w:ascii="宋体" w:hAnsi="宋体"/>
                <w:i w:val="0"/>
                <w:iCs w:val="0"/>
                <w:color w:val="000000" w:themeColor="text1"/>
                <w:kern w:val="0"/>
                <w:szCs w:val="21"/>
              </w:rPr>
            </w:pPr>
            <w:r>
              <w:rPr>
                <w:rFonts w:ascii="宋体" w:hAnsi="宋体"/>
                <w:color w:val="000000" w:themeColor="text1"/>
                <w:kern w:val="0"/>
                <w:szCs w:val="21"/>
              </w:rPr>
              <w:t>6．就中原证券中实体或业务活动的财务信息获取充分、适当的 审计证据，以对财务报表发表意见。我们负责指导、监督和执行集团 审计。我们对审计意见承担全部责任。</w:t>
            </w:r>
          </w:p>
        </w:tc>
      </w:tr>
      <w:tr w:rsidR="00B229A7" w14:paraId="5B1B2164" w14:textId="77777777">
        <w:tc>
          <w:tcPr>
            <w:tcW w:w="1980" w:type="dxa"/>
          </w:tcPr>
          <w:p w14:paraId="65B5610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7A577FE3"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金融工具公允价值</w:t>
            </w:r>
            <w:r>
              <w:rPr>
                <w:rFonts w:ascii="宋体" w:hAnsi="宋体" w:hint="eastAsia"/>
                <w:color w:val="000000" w:themeColor="text1"/>
                <w:kern w:val="0"/>
                <w:szCs w:val="21"/>
              </w:rPr>
              <w:t>；</w:t>
            </w:r>
            <w:r>
              <w:rPr>
                <w:rFonts w:ascii="宋体" w:hAnsi="宋体"/>
                <w:color w:val="000000" w:themeColor="text1"/>
                <w:kern w:val="0"/>
                <w:szCs w:val="21"/>
              </w:rPr>
              <w:t>重要审计程序</w:t>
            </w:r>
          </w:p>
          <w:p w14:paraId="09D21277" w14:textId="77777777" w:rsidR="00B229A7" w:rsidRDefault="00B229A7">
            <w:pPr>
              <w:spacing w:line="276" w:lineRule="auto"/>
              <w:rPr>
                <w:rFonts w:ascii="宋体" w:hAnsi="宋体"/>
                <w:color w:val="000000" w:themeColor="text1"/>
                <w:kern w:val="0"/>
                <w:szCs w:val="21"/>
              </w:rPr>
            </w:pPr>
          </w:p>
        </w:tc>
      </w:tr>
    </w:tbl>
    <w:p w14:paraId="3ADCE214" w14:textId="77777777" w:rsidR="00B229A7" w:rsidRDefault="00B229A7">
      <w:pPr>
        <w:spacing w:line="276" w:lineRule="auto"/>
        <w:rPr>
          <w:rFonts w:ascii="宋体" w:hAnsi="宋体"/>
          <w:color w:val="000000" w:themeColor="text1"/>
          <w:szCs w:val="21"/>
        </w:rPr>
      </w:pPr>
    </w:p>
    <w:p w14:paraId="46D9F08F" w14:textId="77777777" w:rsidR="00B229A7" w:rsidRDefault="00D7072C">
      <w:pPr>
        <w:pStyle w:val="1"/>
      </w:pPr>
      <w:bookmarkStart w:id="56" w:name="_Toc104812312"/>
      <w:bookmarkStart w:id="57" w:name="_Toc104812493"/>
      <w:bookmarkStart w:id="58" w:name="_Toc104812591"/>
      <w:r>
        <w:t>17</w:t>
      </w:r>
      <w:r>
        <w:rPr>
          <w:rFonts w:hint="eastAsia"/>
        </w:rPr>
        <w:t>平安保险</w:t>
      </w:r>
      <w:bookmarkEnd w:id="56"/>
      <w:bookmarkEnd w:id="57"/>
      <w:bookmarkEnd w:id="58"/>
    </w:p>
    <w:tbl>
      <w:tblPr>
        <w:tblStyle w:val="a4"/>
        <w:tblW w:w="8296" w:type="dxa"/>
        <w:tblLayout w:type="fixed"/>
        <w:tblLook w:val="04A0" w:firstRow="1" w:lastRow="0" w:firstColumn="1" w:lastColumn="0" w:noHBand="0" w:noVBand="1"/>
      </w:tblPr>
      <w:tblGrid>
        <w:gridCol w:w="1980"/>
        <w:gridCol w:w="6316"/>
      </w:tblGrid>
      <w:tr w:rsidR="00B229A7" w14:paraId="317A6C3C" w14:textId="77777777">
        <w:tc>
          <w:tcPr>
            <w:tcW w:w="1980" w:type="dxa"/>
          </w:tcPr>
          <w:p w14:paraId="31EE68E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223A4BC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w:t>
            </w:r>
          </w:p>
        </w:tc>
      </w:tr>
      <w:tr w:rsidR="00B229A7" w14:paraId="24E730A2" w14:textId="77777777">
        <w:tc>
          <w:tcPr>
            <w:tcW w:w="1980" w:type="dxa"/>
          </w:tcPr>
          <w:p w14:paraId="40970A3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7D6EF62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金融业</w:t>
            </w:r>
          </w:p>
        </w:tc>
      </w:tr>
      <w:tr w:rsidR="00B229A7" w14:paraId="23605297" w14:textId="77777777">
        <w:tc>
          <w:tcPr>
            <w:tcW w:w="1980" w:type="dxa"/>
          </w:tcPr>
          <w:p w14:paraId="54417C4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6F4ACB2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21</w:t>
            </w:r>
            <w:r>
              <w:rPr>
                <w:rFonts w:ascii="宋体" w:hAnsi="宋体" w:hint="eastAsia"/>
                <w:color w:val="000000" w:themeColor="text1"/>
                <w:kern w:val="0"/>
                <w:szCs w:val="21"/>
              </w:rPr>
              <w:t>年</w:t>
            </w:r>
          </w:p>
        </w:tc>
      </w:tr>
      <w:tr w:rsidR="00B229A7" w14:paraId="4F3E3835" w14:textId="77777777">
        <w:tc>
          <w:tcPr>
            <w:tcW w:w="1980" w:type="dxa"/>
          </w:tcPr>
          <w:p w14:paraId="414D1FF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46D0B1B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中国平安保险（集团）股份有限公司</w:t>
            </w:r>
          </w:p>
        </w:tc>
      </w:tr>
      <w:tr w:rsidR="00B229A7" w14:paraId="5F9735A3" w14:textId="77777777">
        <w:tc>
          <w:tcPr>
            <w:tcW w:w="1980" w:type="dxa"/>
          </w:tcPr>
          <w:p w14:paraId="20FF1FB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7670C73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保险</w:t>
            </w:r>
            <w:r>
              <w:rPr>
                <w:rFonts w:ascii="宋体" w:hAnsi="宋体"/>
                <w:color w:val="000000" w:themeColor="text1"/>
                <w:kern w:val="0"/>
                <w:szCs w:val="21"/>
              </w:rPr>
              <w:t>类</w:t>
            </w:r>
          </w:p>
        </w:tc>
      </w:tr>
      <w:tr w:rsidR="00B229A7" w14:paraId="1B3E43D3" w14:textId="77777777">
        <w:tc>
          <w:tcPr>
            <w:tcW w:w="1980" w:type="dxa"/>
          </w:tcPr>
          <w:p w14:paraId="46F191F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3C78C1B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7FAB4F6E"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 xml:space="preserve">中国平安保险（集团）股份有限公司（以下简称“中国平安” ，“平安保险”，“中国平安保险公司”，“平安集团”）于1988年诞生于深圳蛇口，是中国第一家股份制保险企业，已经发展成为金融保险、银行、投资等金融业务为一体的整合、紧密、多元的综合金融服务集团。 </w:t>
            </w:r>
          </w:p>
          <w:p w14:paraId="6A132EA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为香港联合交易所主板及上海证券交易所两地上市公司，股票代码分别为02318和601318。</w:t>
            </w:r>
          </w:p>
          <w:p w14:paraId="7CF110D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2019年《福布斯》全球2000强第7位，较2018年排名跃升3位。蝉联全球多元保险企业第一，在中国众多入围企业中排名第5，全球金融企业排名第6；《2019年</w:t>
            </w:r>
            <w:proofErr w:type="spellStart"/>
            <w:r>
              <w:rPr>
                <w:rFonts w:ascii="宋体" w:hAnsi="宋体" w:hint="eastAsia"/>
                <w:color w:val="000000" w:themeColor="text1"/>
                <w:kern w:val="0"/>
                <w:szCs w:val="21"/>
              </w:rPr>
              <w:t>BrandZ</w:t>
            </w:r>
            <w:proofErr w:type="spellEnd"/>
            <w:r>
              <w:rPr>
                <w:rFonts w:ascii="宋体" w:hAnsi="宋体" w:hint="eastAsia"/>
                <w:color w:val="000000" w:themeColor="text1"/>
                <w:kern w:val="0"/>
                <w:szCs w:val="21"/>
              </w:rPr>
              <w:t xml:space="preserve">最具价值全球品牌100强》公布，中国平安排名第40位；Brand Finance “2019全球品牌价值500强”榜单，中国平安品牌价值位列全球第14位。在“2019全球最具价值100大保险品牌（Brand Finance Insurance 100 </w:t>
            </w:r>
            <w:r>
              <w:rPr>
                <w:rFonts w:ascii="宋体" w:hAnsi="宋体" w:hint="eastAsia"/>
                <w:color w:val="000000" w:themeColor="text1"/>
                <w:kern w:val="0"/>
                <w:szCs w:val="21"/>
              </w:rPr>
              <w:lastRenderedPageBreak/>
              <w:t>2019）”排行榜中，中国平安荣列榜首；2019年9月1日，2019中国服务业企业500强榜单在济南发布，中国平安保险（集团）股份有限公司排名第3位。2019年12月，中国平安保险（集团）股份有限公司入选2019中国品牌强国盛典榜样100品牌。2019年12月18日，人民日报发布中国品牌发展指数100榜单，中国平安排名第20位。2020年3月，入选2020年全球品牌价值500强第9位。2020年9月28日，入选2020中国企业500强榜单，排名第六。2020年《财富》世界500强排行榜第21名，较2019年的29名跃升8名。2021年《财富》世界500强排名第16位。</w:t>
            </w:r>
          </w:p>
          <w:p w14:paraId="471FB19E"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【案例背景</w:t>
            </w:r>
            <w:r>
              <w:rPr>
                <w:rFonts w:ascii="宋体" w:hAnsi="宋体"/>
                <w:b/>
                <w:color w:val="000000" w:themeColor="text1"/>
                <w:kern w:val="0"/>
                <w:szCs w:val="21"/>
              </w:rPr>
              <w:t>】</w:t>
            </w:r>
          </w:p>
          <w:p w14:paraId="25EDC627" w14:textId="77777777" w:rsidR="00B229A7" w:rsidRDefault="00D7072C">
            <w:pPr>
              <w:spacing w:line="276" w:lineRule="auto"/>
              <w:rPr>
                <w:rFonts w:ascii="宋体" w:hAnsi="宋体"/>
                <w:bCs/>
                <w:color w:val="000000" w:themeColor="text1"/>
                <w:kern w:val="0"/>
                <w:szCs w:val="21"/>
              </w:rPr>
            </w:pPr>
            <w:r>
              <w:rPr>
                <w:rFonts w:ascii="宋体" w:hAnsi="宋体"/>
                <w:b/>
                <w:color w:val="000000" w:themeColor="text1"/>
                <w:kern w:val="0"/>
                <w:szCs w:val="21"/>
              </w:rPr>
              <w:tab/>
            </w:r>
            <w:r>
              <w:rPr>
                <w:rFonts w:ascii="宋体" w:hAnsi="宋体"/>
                <w:color w:val="000000" w:themeColor="text1"/>
                <w:kern w:val="0"/>
                <w:szCs w:val="21"/>
              </w:rPr>
              <w:t>平安致力于成为国际领先的个人金融生活服务集团。平安积极响应 “十四五” 发展规 划，从增强金融服务实体经济水平、服务 “数字中国” 和 “健康中国” 等国家战略 出发，推动 “综合金融+医疗健康” 战略升级，构建 “综合金融+HMO管理式医疗” 服务体系，积极布局 “金融+养老”、“金融+健康” 等产业生态，提供专业 “金融顾 问、家庭医生、养老管家” 服务。平安深入推进智能化、数字化转型，运用科技助 力金融业务提质增效，提升风控水平，并将创新科技深度应用于 “金融服务、医疗 健康、汽车服务、智慧城市” 生态圈，运用金融科技和医疗生态力量，打造有温 度的产品与服务，实现 “科技赋能金融、科技赋能生态、生态赋能金融”。平安持 续优化 “一个客户、多种产品、一站式服务” 的综合金融经营模式，依托本土化优 势，践行国际化标准的公司治理与经营管理，为超2.27亿个人客户和超6.47亿互联 网用户提供多样化的产品及便捷的服务。在继续专注个人业务发展的同时，平安 也持续深化团体业务 “1+N” 服务模式，满足不同客户综合金融需求，稳步提升团 体客户价值和团体业务贡献。</w:t>
            </w:r>
          </w:p>
          <w:p w14:paraId="2DD79226"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420E7653"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审计意见 </w:t>
            </w:r>
          </w:p>
          <w:p w14:paraId="3FDE22A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 xml:space="preserve">我们审计了中国平安保险（集团）股份有限公司的财务报表，包括2021年12月31日的合并及公司资产负债表，2021年度的合并及公司利润表、股东权益变动表和现金流量表以及相关财务报表附注。 </w:t>
            </w:r>
          </w:p>
          <w:p w14:paraId="47E4F62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我们认为，后附的中国平安保险（集团）股份有限公司财务报表在所有重大方面按照企业会计准则的规定编制，公允反映了中国平安保险（集团）股份有限公司2021年12月31日的合并及公司财务状况以及2021年度的合并及公司经营成果和现金流量。</w:t>
            </w:r>
          </w:p>
          <w:p w14:paraId="35C31B1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形成审计意见的基础</w:t>
            </w:r>
          </w:p>
          <w:p w14:paraId="18F2352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我们按照中国注册会计师审计准则的规定执行了审计工作。审</w:t>
            </w:r>
            <w:r>
              <w:rPr>
                <w:rFonts w:ascii="宋体" w:hAnsi="宋体"/>
                <w:color w:val="000000" w:themeColor="text1"/>
                <w:kern w:val="0"/>
                <w:szCs w:val="21"/>
              </w:rPr>
              <w:lastRenderedPageBreak/>
              <w:t>计报告的 “注册会计师对财务报表审计的责任” 部分进一步阐述了我们在这些准则下的责任。按照中国注册会计师职业道德守则，我们独立于中国平安保险（集团）股份有限公司，并履行了职业道德方面的其他责任。我们相信，我们获取的审计证据是充分、适当的，为发表审计意见提供了基础。</w:t>
            </w:r>
          </w:p>
          <w:p w14:paraId="1EEE6BDE"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关键审计事项 </w:t>
            </w:r>
          </w:p>
          <w:p w14:paraId="3BACF4C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 xml:space="preserve">关键审计事项是我们根据职业判断，认为对本期财务报表审计最为重要的事项。这些事项的应对以对财务报表整体进行审计并形成审计意见为背景，我们不对这些事项单独发表意见。我们对下述每一事项在审计中是如何应对的描述也以此为背景。 </w:t>
            </w:r>
          </w:p>
          <w:p w14:paraId="7538051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我们已经履行了本报告 “注册会计师对财务报表审计的责任” 部分阐述的责任，包括与这些关键审计事项相关的责任。相应地，我们的审计工作包括执行为应对评估的财务报表重大错报风险而设计的审计程序。我们执行审计程序的结果，包括应对下述关键审计事项所执行的程序，为财务报表整体发表审计意见提供了基础。</w:t>
            </w:r>
          </w:p>
          <w:p w14:paraId="0127E1B5"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0" distR="0" wp14:anchorId="0F4522A3" wp14:editId="6A4E77FE">
                  <wp:extent cx="3873500" cy="2137410"/>
                  <wp:effectExtent l="0" t="0" r="0" b="0"/>
                  <wp:docPr id="11" name="图片 1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文本&#10;&#10;描述已自动生成"/>
                          <pic:cNvPicPr>
                            <a:picLocks noChangeAspect="1"/>
                          </pic:cNvPicPr>
                        </pic:nvPicPr>
                        <pic:blipFill>
                          <a:blip r:embed="rId18"/>
                          <a:stretch>
                            <a:fillRect/>
                          </a:stretch>
                        </pic:blipFill>
                        <pic:spPr>
                          <a:xfrm>
                            <a:off x="0" y="0"/>
                            <a:ext cx="3873500" cy="2137410"/>
                          </a:xfrm>
                          <a:prstGeom prst="rect">
                            <a:avLst/>
                          </a:prstGeom>
                        </pic:spPr>
                      </pic:pic>
                    </a:graphicData>
                  </a:graphic>
                </wp:inline>
              </w:drawing>
            </w:r>
          </w:p>
          <w:p w14:paraId="720A7F98"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lastRenderedPageBreak/>
              <w:drawing>
                <wp:inline distT="0" distB="0" distL="0" distR="0" wp14:anchorId="5F5E2EA0" wp14:editId="3B2FAAC9">
                  <wp:extent cx="3873500" cy="4479925"/>
                  <wp:effectExtent l="0" t="0" r="0" b="0"/>
                  <wp:docPr id="12" name="图片 12"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文本&#10;&#10;低可信度描述已自动生成"/>
                          <pic:cNvPicPr>
                            <a:picLocks noChangeAspect="1"/>
                          </pic:cNvPicPr>
                        </pic:nvPicPr>
                        <pic:blipFill>
                          <a:blip r:embed="rId19"/>
                          <a:stretch>
                            <a:fillRect/>
                          </a:stretch>
                        </pic:blipFill>
                        <pic:spPr>
                          <a:xfrm>
                            <a:off x="0" y="0"/>
                            <a:ext cx="3873500" cy="4479925"/>
                          </a:xfrm>
                          <a:prstGeom prst="rect">
                            <a:avLst/>
                          </a:prstGeom>
                        </pic:spPr>
                      </pic:pic>
                    </a:graphicData>
                  </a:graphic>
                </wp:inline>
              </w:drawing>
            </w:r>
          </w:p>
          <w:p w14:paraId="17CDD5D2"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0" distR="0" wp14:anchorId="2EB7A1C2" wp14:editId="55C566EB">
                  <wp:extent cx="3873500" cy="2767330"/>
                  <wp:effectExtent l="0" t="0" r="0" b="0"/>
                  <wp:docPr id="13" name="图片 1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文本, 应用程序, 电子邮件&#10;&#10;描述已自动生成"/>
                          <pic:cNvPicPr>
                            <a:picLocks noChangeAspect="1"/>
                          </pic:cNvPicPr>
                        </pic:nvPicPr>
                        <pic:blipFill>
                          <a:blip r:embed="rId20"/>
                          <a:stretch>
                            <a:fillRect/>
                          </a:stretch>
                        </pic:blipFill>
                        <pic:spPr>
                          <a:xfrm>
                            <a:off x="0" y="0"/>
                            <a:ext cx="3873500" cy="2767330"/>
                          </a:xfrm>
                          <a:prstGeom prst="rect">
                            <a:avLst/>
                          </a:prstGeom>
                        </pic:spPr>
                      </pic:pic>
                    </a:graphicData>
                  </a:graphic>
                </wp:inline>
              </w:drawing>
            </w:r>
          </w:p>
          <w:p w14:paraId="4E909202" w14:textId="77777777" w:rsidR="00B229A7" w:rsidRDefault="00B229A7">
            <w:pPr>
              <w:spacing w:line="276" w:lineRule="auto"/>
              <w:rPr>
                <w:rFonts w:ascii="宋体" w:hAnsi="宋体"/>
                <w:color w:val="000000" w:themeColor="text1"/>
                <w:kern w:val="0"/>
                <w:szCs w:val="21"/>
              </w:rPr>
            </w:pPr>
          </w:p>
        </w:tc>
      </w:tr>
      <w:tr w:rsidR="00B229A7" w14:paraId="1774FA8C" w14:textId="77777777">
        <w:tc>
          <w:tcPr>
            <w:tcW w:w="1980" w:type="dxa"/>
          </w:tcPr>
          <w:p w14:paraId="3EBCBB1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6963099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安永华明会计师事务所（特殊普通合伙）</w:t>
            </w:r>
          </w:p>
        </w:tc>
      </w:tr>
      <w:tr w:rsidR="00B229A7" w14:paraId="35F596D2" w14:textId="77777777">
        <w:tc>
          <w:tcPr>
            <w:tcW w:w="1980" w:type="dxa"/>
          </w:tcPr>
          <w:p w14:paraId="7DBC81E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43D09233"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目标是对财务报表整体是否不存在由于舞弊或错误导致的重大错报获取合理保证，并出具包含审计意见的审计报告。合</w:t>
            </w:r>
          </w:p>
          <w:p w14:paraId="33857E2D"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理保证是高水平的保证，但并不能保证按照审计准则执行的审计在某一重大错报存在时总能发现。错报可能由于舞弊或错误导</w:t>
            </w:r>
          </w:p>
          <w:p w14:paraId="23466169"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lastRenderedPageBreak/>
              <w:t>致，如果合理预期错报单独或汇总起来可能影响财务报表使用者依据财务报表作出的经济决策，则通常认为错报是重大的。</w:t>
            </w:r>
          </w:p>
          <w:p w14:paraId="5E13C38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(1) 识别和评估由于舞弊或错误导致的财务报表重大错报风险，设计和实施审计程序以应对这些风险，并获取充分、适当的 审计证据，作为发表审计意见的基础。由于舞弊可能涉及串通、伪造、故意遗漏、虚假陈述或凌驾于内部控制之上，未 能发现由于舞弊导致的重大错报的风险高于未能发现由于错误导致的重大错报的风险。 </w:t>
            </w:r>
          </w:p>
          <w:p w14:paraId="3741B9D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(2) 了解与审计相关的内部控制，以设计恰当的审计程序。 </w:t>
            </w:r>
          </w:p>
          <w:p w14:paraId="6F840B4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(3) 评价管理层选用会计政策的恰当性和作出会计估计及相关披露的合理性。 </w:t>
            </w:r>
          </w:p>
          <w:p w14:paraId="37B0B0C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(4) 对管理层使用持续经营假设的恰当性得出结论。同时，根据获取的审计证据，就可能导致对中国平安保险（集团）股份有 限公司持续经营能力产生重大疑虑的事项或情况是否存在重大不确定性得出结论。如果我们得出结论认为存在重大不确 定性，审计准则要求我们在审计报告中提请报表使用者注意财务报表中的相关披露 ；如果披露不充分，我们应当发表非 无保留意见。我们的结论基于截至审计报告日可获得的信息。然而，未来的事项或情况可能导致中国平安保险（集团）股 份有限公司不能持续经营。 </w:t>
            </w:r>
          </w:p>
          <w:p w14:paraId="1079A492"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(5) 评价财务报表的总体列报（包括披露）、结构和内容，并评价财务报表是否公允反映相关交易和事项。 </w:t>
            </w:r>
          </w:p>
          <w:p w14:paraId="25AB4151" w14:textId="77777777" w:rsidR="00B229A7" w:rsidRDefault="00D7072C">
            <w:pPr>
              <w:spacing w:line="276" w:lineRule="auto"/>
              <w:rPr>
                <w:rStyle w:val="11"/>
                <w:rFonts w:ascii="宋体" w:hAnsi="宋体"/>
                <w:i w:val="0"/>
                <w:iCs w:val="0"/>
                <w:color w:val="000000" w:themeColor="text1"/>
                <w:kern w:val="0"/>
                <w:szCs w:val="21"/>
              </w:rPr>
            </w:pPr>
            <w:r>
              <w:rPr>
                <w:rFonts w:ascii="宋体" w:hAnsi="宋体"/>
                <w:color w:val="000000" w:themeColor="text1"/>
                <w:kern w:val="0"/>
                <w:szCs w:val="21"/>
              </w:rPr>
              <w:t>(6) 就中国平安保险（集团）股份有限公司中实体或业务活动的财务信息获取充分、适当的审计证据，以对财务报表发表审计 意见。我们负责指导、监督和执行集团审计，并对审计意见承担全部责任。</w:t>
            </w:r>
          </w:p>
        </w:tc>
      </w:tr>
      <w:tr w:rsidR="00B229A7" w14:paraId="02D3F59B" w14:textId="77777777">
        <w:tc>
          <w:tcPr>
            <w:tcW w:w="1980" w:type="dxa"/>
          </w:tcPr>
          <w:p w14:paraId="29A7BA5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22A3D94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关键审计事项；债权资产分类；预期信用损失模型</w:t>
            </w:r>
          </w:p>
        </w:tc>
      </w:tr>
    </w:tbl>
    <w:p w14:paraId="1881E93E" w14:textId="77777777" w:rsidR="00B229A7" w:rsidRDefault="00B229A7">
      <w:pPr>
        <w:spacing w:line="276" w:lineRule="auto"/>
        <w:rPr>
          <w:rFonts w:ascii="宋体" w:hAnsi="宋体"/>
          <w:color w:val="000000" w:themeColor="text1"/>
          <w:szCs w:val="21"/>
        </w:rPr>
      </w:pPr>
    </w:p>
    <w:p w14:paraId="4ADDB043" w14:textId="77777777" w:rsidR="00B229A7" w:rsidRDefault="00D7072C">
      <w:pPr>
        <w:pStyle w:val="1"/>
      </w:pPr>
      <w:bookmarkStart w:id="59" w:name="_Toc104812494"/>
      <w:bookmarkStart w:id="60" w:name="_Toc104812592"/>
      <w:bookmarkStart w:id="61" w:name="_Toc104812313"/>
      <w:r>
        <w:t>18</w:t>
      </w:r>
      <w:r>
        <w:rPr>
          <w:rFonts w:hint="eastAsia"/>
        </w:rPr>
        <w:t>浙江瀚叶</w:t>
      </w:r>
      <w:bookmarkEnd w:id="59"/>
      <w:bookmarkEnd w:id="60"/>
      <w:bookmarkEnd w:id="61"/>
    </w:p>
    <w:tbl>
      <w:tblPr>
        <w:tblStyle w:val="a4"/>
        <w:tblW w:w="8296" w:type="dxa"/>
        <w:tblLayout w:type="fixed"/>
        <w:tblLook w:val="04A0" w:firstRow="1" w:lastRow="0" w:firstColumn="1" w:lastColumn="0" w:noHBand="0" w:noVBand="1"/>
      </w:tblPr>
      <w:tblGrid>
        <w:gridCol w:w="1980"/>
        <w:gridCol w:w="6316"/>
      </w:tblGrid>
      <w:tr w:rsidR="00B229A7" w14:paraId="530DDAEC" w14:textId="77777777">
        <w:tc>
          <w:tcPr>
            <w:tcW w:w="1980" w:type="dxa"/>
          </w:tcPr>
          <w:p w14:paraId="35BFE8C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1E5236D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1107</w:t>
            </w:r>
          </w:p>
        </w:tc>
      </w:tr>
      <w:tr w:rsidR="00B229A7" w14:paraId="2AE30ADD" w14:textId="77777777">
        <w:tc>
          <w:tcPr>
            <w:tcW w:w="1980" w:type="dxa"/>
          </w:tcPr>
          <w:p w14:paraId="5594784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3BD664BA"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11</w:t>
            </w:r>
            <w:r>
              <w:rPr>
                <w:rFonts w:ascii="宋体" w:hAnsi="宋体" w:hint="eastAsia"/>
                <w:color w:val="000000" w:themeColor="text1"/>
                <w:kern w:val="0"/>
                <w:szCs w:val="21"/>
              </w:rPr>
              <w:t>互联网与I</w:t>
            </w:r>
            <w:r>
              <w:rPr>
                <w:rFonts w:ascii="宋体" w:hAnsi="宋体"/>
                <w:color w:val="000000" w:themeColor="text1"/>
                <w:kern w:val="0"/>
                <w:szCs w:val="21"/>
              </w:rPr>
              <w:t>T</w:t>
            </w:r>
            <w:r>
              <w:rPr>
                <w:rFonts w:ascii="宋体" w:hAnsi="宋体" w:hint="eastAsia"/>
                <w:color w:val="000000" w:themeColor="text1"/>
                <w:kern w:val="0"/>
                <w:szCs w:val="21"/>
              </w:rPr>
              <w:t>业</w:t>
            </w:r>
          </w:p>
        </w:tc>
      </w:tr>
      <w:tr w:rsidR="00B229A7" w14:paraId="187EDFC2" w14:textId="77777777">
        <w:tc>
          <w:tcPr>
            <w:tcW w:w="1980" w:type="dxa"/>
          </w:tcPr>
          <w:p w14:paraId="63248B3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0BFD890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21</w:t>
            </w:r>
            <w:r>
              <w:rPr>
                <w:rFonts w:ascii="宋体" w:hAnsi="宋体" w:hint="eastAsia"/>
                <w:color w:val="000000" w:themeColor="text1"/>
                <w:kern w:val="0"/>
                <w:szCs w:val="21"/>
              </w:rPr>
              <w:t>年</w:t>
            </w:r>
          </w:p>
        </w:tc>
      </w:tr>
      <w:tr w:rsidR="00B229A7" w14:paraId="21B02240" w14:textId="77777777">
        <w:tc>
          <w:tcPr>
            <w:tcW w:w="1980" w:type="dxa"/>
          </w:tcPr>
          <w:p w14:paraId="565AE5E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7831986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浙江瀚叶股份有限公司</w:t>
            </w:r>
          </w:p>
        </w:tc>
      </w:tr>
      <w:tr w:rsidR="00B229A7" w14:paraId="1D4A7AD3" w14:textId="77777777">
        <w:tc>
          <w:tcPr>
            <w:tcW w:w="1980" w:type="dxa"/>
          </w:tcPr>
          <w:p w14:paraId="7D1EB6B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1E54263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软件服务</w:t>
            </w:r>
            <w:r>
              <w:rPr>
                <w:rFonts w:ascii="宋体" w:hAnsi="宋体"/>
                <w:color w:val="000000" w:themeColor="text1"/>
                <w:kern w:val="0"/>
                <w:szCs w:val="21"/>
              </w:rPr>
              <w:t>类</w:t>
            </w:r>
          </w:p>
        </w:tc>
      </w:tr>
      <w:tr w:rsidR="00B229A7" w14:paraId="021404B8" w14:textId="77777777">
        <w:tc>
          <w:tcPr>
            <w:tcW w:w="1980" w:type="dxa"/>
          </w:tcPr>
          <w:p w14:paraId="4D56B3A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12365CE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4A966727"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浙江瀚叶股份有限公司于1999年05月11日成立。法定代表人沈培今,公司经营范围包括：计算机软硬件开发及销售，信息技术开</w:t>
            </w:r>
            <w:r>
              <w:rPr>
                <w:rFonts w:ascii="宋体" w:hAnsi="宋体" w:hint="eastAsia"/>
                <w:color w:val="000000" w:themeColor="text1"/>
                <w:kern w:val="0"/>
                <w:szCs w:val="21"/>
              </w:rPr>
              <w:lastRenderedPageBreak/>
              <w:t>发、技术咨询及技术服务，广播电视节目制作，影视策划，动漫设计，数据处理服务，会务会展服务，电子商务技术服务，经济信息咨询，企业管理咨询，物流信息咨询，文化艺术交流活动策划，公关活动策划，企业形象策划，市场营销策划，设计、发布国内各类广告，设备租赁，装饰材料、电器设备、机械设备、通讯器材、办公用品、服装、影视灯光设备、摄影材料的销售，马杜霉素、阿维菌素、盐霉素兽药、农药原料药及制品，相关饲料添加剂的生产、销售，兽药生产（范围详见《中华人民共和国兽药生产许可证》），肥料生产、热电联供（均凭有关许可证经营），农药的销售（详见《农药经营许可证》），兽药的经营（凭许可证经营），投资管理，实业投资，从事进出口业务等。</w:t>
            </w:r>
          </w:p>
          <w:p w14:paraId="07001239"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28C7BA06" w14:textId="77777777" w:rsidR="00B229A7" w:rsidRDefault="00D7072C">
            <w:pPr>
              <w:spacing w:line="276" w:lineRule="auto"/>
              <w:rPr>
                <w:rFonts w:ascii="宋体" w:hAnsi="宋体"/>
                <w:b/>
                <w:color w:val="000000" w:themeColor="text1"/>
                <w:kern w:val="0"/>
                <w:szCs w:val="21"/>
              </w:rPr>
            </w:pPr>
            <w:r>
              <w:rPr>
                <w:rFonts w:ascii="宋体" w:hAnsi="宋体"/>
                <w:b/>
                <w:bCs/>
                <w:color w:val="000000" w:themeColor="text1"/>
                <w:kern w:val="0"/>
                <w:szCs w:val="21"/>
              </w:rPr>
              <w:tab/>
            </w:r>
            <w:r>
              <w:rPr>
                <w:rFonts w:ascii="宋体" w:hAnsi="宋体" w:hint="eastAsia"/>
                <w:color w:val="000000" w:themeColor="text1"/>
                <w:kern w:val="0"/>
                <w:szCs w:val="21"/>
              </w:rPr>
              <w:t>本公司审计意见为保留意见，以下主要介绍审计报告中内容：</w:t>
            </w:r>
          </w:p>
          <w:p w14:paraId="11383D3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保留意见 </w:t>
            </w:r>
          </w:p>
          <w:p w14:paraId="35903F7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 xml:space="preserve">我们审计了浙江瀚叶股份有限公司（以下简称瀚叶股份公司或公司）财务报表，包 括 2021 </w:t>
            </w:r>
            <w:r>
              <w:rPr>
                <w:rFonts w:ascii="宋体" w:hAnsi="宋体" w:hint="eastAsia"/>
                <w:color w:val="000000" w:themeColor="text1"/>
                <w:kern w:val="0"/>
                <w:szCs w:val="21"/>
              </w:rPr>
              <w:t>年</w:t>
            </w:r>
            <w:r>
              <w:rPr>
                <w:rFonts w:ascii="宋体" w:hAnsi="宋体"/>
                <w:color w:val="000000" w:themeColor="text1"/>
                <w:kern w:val="0"/>
                <w:szCs w:val="21"/>
              </w:rPr>
              <w:t xml:space="preserve">12月 31 日的合并及母公司资产负债表，2021年度的合并及母公司利润 表、合并及母公司现金流量表、合并及母公司所有者权益变动表，以及相关财务报 表附注。 </w:t>
            </w:r>
          </w:p>
          <w:p w14:paraId="79DEA63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我们认为，除“形成保留意见的基础”部分所述事项可能产生的影响外，后附的财 务报表在所有重大方面按照企业会计准则的规定编制，公允反映了瀚叶股份公司 2021 年 12 月 31 日的合并及母公司财务状况，以及 2021 年度的合并及母公司经营成 果和现金流量。 二、形成保留意见的基础 (一) 如财务报表附注五(一)6 及十三(一)所述，截至 2021 年 12 月 31 日，瀚叶股份 公司应收宁波梅山保税港区浆果晨曦新媒体投资中心(有限合伙)(以下简称浆果晨 曦)重组意向金 26,930.00 万元(账龄为 4-5 年)，已计提坏账准备 24,237.00 万元。 瀚叶股份公司已对浆果晨曦、喻策提起诉讼并申请财产保全。截至本审计报告日， 我们未能实施必要的审计程序以获取充分、适当的审计证据，无法判断该诉讼事项 是否对上述应收款项及可能存在的其他事项在财务报表中的公允反映产生影响。 (二) 如财务报表附注五(一)3 所述，截至 2021 年 12 月 31 日，公司子公司成都炎龙 科技有限公司（以下简称炎龙科技）对 JWF DEVELOPMENT CORP.、APPROPRIATE DEVELOP LIMITED、UNUSUAL ENTERPRISE LIMITED 和 THUMB TECHNOLOGY ENTERPRISE INC.四家客户的应收账款账面余额合计 33,491.00 万元（5,252.91 万美元），已于 2020 年度全额计提坏账准备。由于我们无法就炎龙科技 2020 年度对上述应收账款全 额计提坏账准备的合理性获取充分、适当的审计证据，我们对瀚叶股份公司 2020 年 度财务报表发</w:t>
            </w:r>
            <w:r>
              <w:rPr>
                <w:rFonts w:ascii="宋体" w:hAnsi="宋体"/>
                <w:color w:val="000000" w:themeColor="text1"/>
                <w:kern w:val="0"/>
                <w:szCs w:val="21"/>
              </w:rPr>
              <w:lastRenderedPageBreak/>
              <w:t>表了保留意见。炎龙科技 2021 年针对上述四家客户向其注册地萨摩亚 最高法院提起了破产申请，截至本审计报告日，针对该等客户的破产申请尚未判 决。我们仍然无法就炎龙科技 2021 年 12 月 31 日对上述应收账款已全额计提坏账准 备金额的合理性获取充分、适当的审计证据。 我们按照中国注册会计师审计准则的规定执行了审计工作。审计报告的“注册会计 师对财务报表审计的责任”部分进一步阐述了我们在这些准则下的责任。按照中国 注册会计师职业道德守则，我们独立于瀚叶股份公司，并履行了职业道德方面的其 他责任。我们相信，我们获取的审计证据是充分、适当的，为发表保留意见提供了 基础。 三、强调事项 如财务报表附注十(一)所述，2021 年 12 月 31 日，瀚叶股份公司控股股东、实际控 制人沈培今持有公司股份 692,280,827 股，占公司总股本的 22.12%；2022 年 4 月 8 日，沈培今持有的公司 322,231,091 股股份被司法处置，并由苏州亨通永旭创业投资企业（有限合伙）竞买成交。本次司法处置最终成交后，亨通集团有限公司及其 一致行动人合计持有瀚叶股份公司 779,170,481 股股份，占瀚叶股份公司总股本的 25.01%，沈培今所持瀚叶股份公司股份由 692,280,827 股减少至 370,049,736 股， 持股比例降至 11.88%。本次股权变动导致公司控股股东、实际控制人发生变更。 四、其他信息 瀚叶股份公司管理层（以下简称管理层）对其他信息负责。其他信息包括年度报告 中涵盖的信息，但不包括财务报表和我们的审计报告。 我们对财务报表发表的审计意见不涵盖其他信息，我们也不对其他信息发表任何形 式的鉴证结论。 结合我们对财务报表的审计，我们的责任是阅读其他信息，在此过程中，考虑其他 信息是否与财务报表或我们在审计过程中了解到的情况存在重大不一致或者似乎存 在重大错报。 基于我们已执行的工作，如果我们确定其他信息存在重大错报，我们应当报告该事 实。如上述“形成保留意见的基础”部分所述，我们无法对保留意见事项获取充 分、适当的审计证据。因此，我们无法确定与该事项相关的其他信息是否存在重大 错报。 五、关键审计事项 关键审计事项是我们根据职业判断，认为对本期财务报表审计最为重要的事项。这 些事项的应对以对财务报表整体进行审计并形成审计意见为背景，我们不对这些事 项单独发表意见。除“形成保留意见的基础”部分所述事项外，我们确定下列事项 是需要在审计报告中沟通的关键审计事项。 (一) 收入确认 1. 事项描述 相关信息披露详见财务报表附注三(二十五)、五(二)1 及十三(二)。 瀚叶股份公司的营业收入主要来自于农药原料药及制品、动物饲料添加剂、兽药、 热电联供等产品销售。2021 年度，瀚叶股份公司营业收入金额为人民币 681,244,921.86 元，其中农药原料药及制品、</w:t>
            </w:r>
            <w:r>
              <w:rPr>
                <w:rFonts w:ascii="宋体" w:hAnsi="宋体"/>
                <w:color w:val="000000" w:themeColor="text1"/>
                <w:kern w:val="0"/>
                <w:szCs w:val="21"/>
              </w:rPr>
              <w:lastRenderedPageBreak/>
              <w:t xml:space="preserve">动物饲料添加剂、兽药、热电联供业 务的营业收入为人民币 662,764,217.73 元，占营业收入的 97.29%。 由于营业收入是瀚叶股份公司关键业绩指标之一，可能存在瀚叶股份公司管理层 （以下简称管理层）通过不恰当的收入确认以达到特定目标或预期的固有风险。因 此，我们将收入确认确定为关键审计事项。 2. 审计应对 针对收入确认，我们实施的审计程序主要包括： </w:t>
            </w:r>
          </w:p>
          <w:p w14:paraId="6D9AA554"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(1) 了解与收入确认相关的关键内部控制，评价这些控制的设计，确定其是否得到 执行，并测试相关内部控制的运行有效性； </w:t>
            </w:r>
          </w:p>
          <w:p w14:paraId="60C5675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(2) 检查销售合同，了解主要合同条款或条件，评价收入确认方法是否适当； </w:t>
            </w:r>
          </w:p>
          <w:p w14:paraId="101AA77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(3) 对营业收入及毛利率按月度、产品、客户等实施分析程序，识别是否存在重大 或异常波动，并查明波动原因； </w:t>
            </w:r>
          </w:p>
          <w:p w14:paraId="69972372"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(4) 对于内销收入，以抽样方式检查与收入确认相关的支持性文件，包括销售合 同、订单、销售发票、出库单、发货单及发货通知单等；对于出口收入，获取电子 口岸信息与账面记录核对，并以抽样方式检查销售合同、出口报关单、货运提单、 销售发票等支持性文件；</w:t>
            </w:r>
          </w:p>
          <w:p w14:paraId="6637B47D"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(5) 结合应收账款函证，以抽样方式向主要客户函证本期销售额； (6) 对资产负债表日前后确认的营业收入实施截止测试，评价营业收入是否在恰当 期间确认； (7) 获取资产负债表日后的销售退回记录，检查是否存在资产负债表日不满足收入 确认条件的情况； (8) 检查与营业收入相关的信息是否已在财务报表中作出恰当列报。 (二) 权益法核算的长期股权投资投资收益 1. 事项描述 相关信息披露详见财务报表附注三(十四)、五(一)9 及五(二)8。 瀚叶股份公司本年度实现投资收益 48,206.58 万元，其中，权益法核算的长期股权 投资投资收益为 26,149.05 万元。 对被投资单位的财务和经营政策有参与决策的权力，但并不能够控制或者与其他方 一起共同控制这些政策的制定，认定为重大影响。瀚叶股份公司对有重大影响的联 营企业的长期股权投资，采用权益法核算。 由于权益法核算的长期股权投资投资收益对瀚叶股份公司本年度利润影响较大，因 此，我们将权益法核算的长期股权投资投资收益作为关键审计事项。 2. 审计应对 针对权益法核算的长期股权投资投资收益，我们执行的主要审计程序如下： (1) 检查瀚叶股份公司的投资协议或合同，确认是否符合按权益法核算的条件； (2) 对被投资单位执行审阅程序： 1) 对青岛易邦生物工程有限公司、财通基金管理有限公司、河北圣雪大成制药有限 责任公司、浙江伊科拜克动物保健品有限公司和上海雍棠股权投资中心(有限合伙) 执行审阅程序： </w:t>
            </w:r>
            <w:r>
              <w:rPr>
                <w:rFonts w:ascii="宋体" w:hAnsi="宋体" w:cs="宋体" w:hint="eastAsia"/>
                <w:color w:val="000000" w:themeColor="text1"/>
                <w:kern w:val="0"/>
                <w:szCs w:val="21"/>
              </w:rPr>
              <w:t>①</w:t>
            </w:r>
            <w:r>
              <w:rPr>
                <w:rFonts w:ascii="宋体" w:hAnsi="宋体"/>
                <w:color w:val="000000" w:themeColor="text1"/>
                <w:kern w:val="0"/>
                <w:szCs w:val="21"/>
              </w:rPr>
              <w:t xml:space="preserve"> 向被投资单位审计机构发出商请配合函，与被投资单位审计机构沟通了解重大事 项； </w:t>
            </w:r>
            <w:r>
              <w:rPr>
                <w:rFonts w:ascii="宋体" w:hAnsi="宋体" w:cs="宋体" w:hint="eastAsia"/>
                <w:color w:val="000000" w:themeColor="text1"/>
                <w:kern w:val="0"/>
                <w:szCs w:val="21"/>
              </w:rPr>
              <w:t>②</w:t>
            </w:r>
            <w:r>
              <w:rPr>
                <w:rFonts w:ascii="宋体" w:hAnsi="宋体"/>
                <w:color w:val="000000" w:themeColor="text1"/>
                <w:kern w:val="0"/>
                <w:szCs w:val="21"/>
              </w:rPr>
              <w:t xml:space="preserve"> 获取被投资单位经审计机构审计的</w:t>
            </w:r>
            <w:r>
              <w:rPr>
                <w:rFonts w:ascii="宋体" w:hAnsi="宋体"/>
                <w:color w:val="000000" w:themeColor="text1"/>
                <w:kern w:val="0"/>
                <w:szCs w:val="21"/>
              </w:rPr>
              <w:lastRenderedPageBreak/>
              <w:t xml:space="preserve">财务报告； </w:t>
            </w:r>
            <w:r>
              <w:rPr>
                <w:rFonts w:ascii="宋体" w:hAnsi="宋体" w:cs="宋体" w:hint="eastAsia"/>
                <w:color w:val="000000" w:themeColor="text1"/>
                <w:kern w:val="0"/>
                <w:szCs w:val="21"/>
              </w:rPr>
              <w:t>③</w:t>
            </w:r>
            <w:r>
              <w:rPr>
                <w:rFonts w:ascii="宋体" w:hAnsi="宋体"/>
                <w:color w:val="000000" w:themeColor="text1"/>
                <w:kern w:val="0"/>
                <w:szCs w:val="21"/>
              </w:rPr>
              <w:t xml:space="preserve"> 亲赴财通基金管理有限公司、浙江伊科拜克动物保健品有限公司和上海雍棠股权 投资中心(有限合伙)现场执行审阅程序； </w:t>
            </w:r>
            <w:r>
              <w:rPr>
                <w:rFonts w:ascii="宋体" w:hAnsi="宋体" w:cs="宋体" w:hint="eastAsia"/>
                <w:color w:val="000000" w:themeColor="text1"/>
                <w:kern w:val="0"/>
                <w:szCs w:val="21"/>
              </w:rPr>
              <w:t>④</w:t>
            </w:r>
            <w:r>
              <w:rPr>
                <w:rFonts w:ascii="宋体" w:hAnsi="宋体"/>
                <w:color w:val="000000" w:themeColor="text1"/>
                <w:kern w:val="0"/>
                <w:szCs w:val="21"/>
              </w:rPr>
              <w:t xml:space="preserve"> 远程获取青岛易邦生物工程有限公司和河北圣雪大成制药有限责任公司财务资料 执行审阅程序。 2) 对被投资单位采用的会计政策及会计期间与瀚叶股份公司不一致的，按照瀚叶股 份公司的会计政策及会计期间对被投资单位的财务报表进行调整。 (3) 检查瀚叶股份公司按持股比例确认被投资单位净资产变动的份额是否准确； (4) 检查被投资单位的利润分配决议等支持性文件； (5) 对被投资单位执行函证程序。</w:t>
            </w:r>
          </w:p>
        </w:tc>
      </w:tr>
      <w:tr w:rsidR="00B229A7" w14:paraId="63A71FE0" w14:textId="77777777">
        <w:tc>
          <w:tcPr>
            <w:tcW w:w="1980" w:type="dxa"/>
          </w:tcPr>
          <w:p w14:paraId="5505AA2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555CC96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天健会计师事务所（特殊普通合伙）</w:t>
            </w:r>
          </w:p>
        </w:tc>
      </w:tr>
      <w:tr w:rsidR="00B229A7" w14:paraId="0E9D0728" w14:textId="77777777">
        <w:tc>
          <w:tcPr>
            <w:tcW w:w="1980" w:type="dxa"/>
          </w:tcPr>
          <w:p w14:paraId="1D7EBBB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21F3AE60"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目标是对财务报表整体是否不存在由于舞弊或错误导致的重大错报获取合理保证，并出具包含审计意见的审计报告。合理保证是高水平的保证，但并不能保证 按照审计准则执行的审计在某一重大错报存在时总能发现。错报可能由于舞弊或错 误导致，如果合理预期错报单独或汇总起来可能影响财务报表使用者依据财务报表 作出的经济决策，则通常认为错报是重大的。 在按照审计准则执行审计工作的过程中，我们运用职业判断，并保持职业怀疑。同时，也执行以下工作： </w:t>
            </w:r>
          </w:p>
          <w:p w14:paraId="1C75656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(一) 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 </w:t>
            </w:r>
          </w:p>
          <w:p w14:paraId="5EBEFF2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(二) 了解与审计相关的内部控制，以设计恰当的审计程序。</w:t>
            </w:r>
          </w:p>
          <w:p w14:paraId="60501905"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(三) 评价管理层选用会计政策的恰当性和作出会计估计及相关披露的合理性。 </w:t>
            </w:r>
          </w:p>
          <w:p w14:paraId="7BDCAD14"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(四) 对管理层使用持续经营假设的恰当性得出结论。同时，根据获取的审计证据， 就可能导致对瀚叶股份公司持续经营能力产生重大疑虑的事项或情况是否存在重大不确定性得出结论。如果我们得出结论认为存在重大不确定性，审计准则要求我们 在审计报告中提请报表使用者注意财务报表中的相关披露；如果披露不充分，我们应当发表非无保留意见。我们的结论基于截至审计报告日可获得的信息。然而，未来的事项或情况可能导致瀚叶股份公司不能持续经营。 </w:t>
            </w:r>
          </w:p>
          <w:p w14:paraId="5BE8D76B" w14:textId="77777777" w:rsidR="00B229A7" w:rsidRDefault="00D7072C">
            <w:pPr>
              <w:spacing w:line="276" w:lineRule="auto"/>
              <w:rPr>
                <w:rStyle w:val="11"/>
                <w:rFonts w:ascii="宋体" w:hAnsi="宋体"/>
                <w:i w:val="0"/>
                <w:iCs w:val="0"/>
                <w:color w:val="000000" w:themeColor="text1"/>
                <w:kern w:val="0"/>
                <w:szCs w:val="21"/>
              </w:rPr>
            </w:pPr>
            <w:r>
              <w:rPr>
                <w:rFonts w:ascii="宋体" w:hAnsi="宋体"/>
                <w:color w:val="000000" w:themeColor="text1"/>
                <w:kern w:val="0"/>
                <w:szCs w:val="21"/>
              </w:rPr>
              <w:t>(五) 评价财务报表的总体列报、结构和内容，并评价财务报表是否公允反映相关交 易和事项。</w:t>
            </w:r>
          </w:p>
        </w:tc>
      </w:tr>
      <w:tr w:rsidR="00B229A7" w14:paraId="0A05D9B5" w14:textId="77777777">
        <w:tc>
          <w:tcPr>
            <w:tcW w:w="1980" w:type="dxa"/>
          </w:tcPr>
          <w:p w14:paraId="3928307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316" w:type="dxa"/>
          </w:tcPr>
          <w:p w14:paraId="55D93CF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保留意见；强调事项；固有风险</w:t>
            </w:r>
          </w:p>
        </w:tc>
      </w:tr>
    </w:tbl>
    <w:p w14:paraId="1D7DAAC8" w14:textId="77777777" w:rsidR="00B229A7" w:rsidRDefault="00B229A7">
      <w:pPr>
        <w:spacing w:line="276" w:lineRule="auto"/>
        <w:rPr>
          <w:rFonts w:ascii="宋体" w:hAnsi="宋体"/>
          <w:color w:val="000000" w:themeColor="text1"/>
          <w:szCs w:val="21"/>
        </w:rPr>
      </w:pPr>
    </w:p>
    <w:p w14:paraId="790D6CB5" w14:textId="77777777" w:rsidR="00B229A7" w:rsidRDefault="00D7072C">
      <w:pPr>
        <w:pStyle w:val="1"/>
      </w:pPr>
      <w:bookmarkStart w:id="62" w:name="_Toc104812314"/>
      <w:bookmarkStart w:id="63" w:name="_Toc104812495"/>
      <w:bookmarkStart w:id="64" w:name="_Toc104812593"/>
      <w:r>
        <w:lastRenderedPageBreak/>
        <w:t>19</w:t>
      </w:r>
      <w:r>
        <w:rPr>
          <w:rFonts w:hint="eastAsia"/>
        </w:rPr>
        <w:t>高升控股</w:t>
      </w:r>
      <w:bookmarkEnd w:id="62"/>
      <w:bookmarkEnd w:id="63"/>
      <w:bookmarkEnd w:id="64"/>
    </w:p>
    <w:tbl>
      <w:tblPr>
        <w:tblStyle w:val="a4"/>
        <w:tblW w:w="8296" w:type="dxa"/>
        <w:tblLayout w:type="fixed"/>
        <w:tblLook w:val="04A0" w:firstRow="1" w:lastRow="0" w:firstColumn="1" w:lastColumn="0" w:noHBand="0" w:noVBand="1"/>
      </w:tblPr>
      <w:tblGrid>
        <w:gridCol w:w="1980"/>
        <w:gridCol w:w="6316"/>
      </w:tblGrid>
      <w:tr w:rsidR="00B229A7" w14:paraId="50D9DE48" w14:textId="77777777">
        <w:tc>
          <w:tcPr>
            <w:tcW w:w="1980" w:type="dxa"/>
          </w:tcPr>
          <w:p w14:paraId="1310427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71D343B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1108</w:t>
            </w:r>
          </w:p>
        </w:tc>
      </w:tr>
      <w:tr w:rsidR="00B229A7" w14:paraId="77EBD1C7" w14:textId="77777777">
        <w:tc>
          <w:tcPr>
            <w:tcW w:w="1980" w:type="dxa"/>
          </w:tcPr>
          <w:p w14:paraId="5131547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6C82FB33"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11</w:t>
            </w:r>
            <w:r>
              <w:rPr>
                <w:rFonts w:ascii="宋体" w:hAnsi="宋体" w:hint="eastAsia"/>
                <w:color w:val="000000" w:themeColor="text1"/>
                <w:kern w:val="0"/>
                <w:szCs w:val="21"/>
              </w:rPr>
              <w:t>互联网与I</w:t>
            </w:r>
            <w:r>
              <w:rPr>
                <w:rFonts w:ascii="宋体" w:hAnsi="宋体"/>
                <w:color w:val="000000" w:themeColor="text1"/>
                <w:kern w:val="0"/>
                <w:szCs w:val="21"/>
              </w:rPr>
              <w:t>T</w:t>
            </w:r>
            <w:r>
              <w:rPr>
                <w:rFonts w:ascii="宋体" w:hAnsi="宋体" w:hint="eastAsia"/>
                <w:color w:val="000000" w:themeColor="text1"/>
                <w:kern w:val="0"/>
                <w:szCs w:val="21"/>
              </w:rPr>
              <w:t>业</w:t>
            </w:r>
          </w:p>
        </w:tc>
      </w:tr>
      <w:tr w:rsidR="00B229A7" w14:paraId="4ADC9ABE" w14:textId="77777777">
        <w:tc>
          <w:tcPr>
            <w:tcW w:w="1980" w:type="dxa"/>
          </w:tcPr>
          <w:p w14:paraId="2CDBC20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05AFF87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1</w:t>
            </w:r>
            <w:r>
              <w:rPr>
                <w:rFonts w:ascii="宋体" w:hAnsi="宋体" w:hint="eastAsia"/>
                <w:color w:val="000000" w:themeColor="text1"/>
                <w:kern w:val="0"/>
                <w:szCs w:val="21"/>
              </w:rPr>
              <w:t>9年</w:t>
            </w:r>
          </w:p>
        </w:tc>
      </w:tr>
      <w:tr w:rsidR="00B229A7" w14:paraId="50F53BC4" w14:textId="77777777">
        <w:tc>
          <w:tcPr>
            <w:tcW w:w="1980" w:type="dxa"/>
          </w:tcPr>
          <w:p w14:paraId="0C2941D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25D0A92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高升控股股份有限公司</w:t>
            </w:r>
          </w:p>
        </w:tc>
      </w:tr>
      <w:tr w:rsidR="00B229A7" w14:paraId="095E8D6C" w14:textId="77777777">
        <w:tc>
          <w:tcPr>
            <w:tcW w:w="1980" w:type="dxa"/>
          </w:tcPr>
          <w:p w14:paraId="6B02B3C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61B8CB5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互联网服务</w:t>
            </w:r>
            <w:r>
              <w:rPr>
                <w:rFonts w:ascii="宋体" w:hAnsi="宋体"/>
                <w:color w:val="000000" w:themeColor="text1"/>
                <w:kern w:val="0"/>
                <w:szCs w:val="21"/>
              </w:rPr>
              <w:t>类</w:t>
            </w:r>
          </w:p>
        </w:tc>
      </w:tr>
      <w:tr w:rsidR="00B229A7" w14:paraId="67987D1D" w14:textId="77777777">
        <w:tc>
          <w:tcPr>
            <w:tcW w:w="1980" w:type="dxa"/>
          </w:tcPr>
          <w:p w14:paraId="0B642B8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1CE66B8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4EB6F3B4"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高升控股股份有限公司成立于1993年03月26日，注册地位于湖北省仙桃市勉阳大道131号，法定代表人为张岱。经营范围包括互联网和相关服务（互联网接入及相关服务、互联网信息服务、其他互联网服务）；信息技术咨询服务、软件开发、信息系统集成服务、其他信息技术服务；数据处理和存储服务；呼叫中心；计算机及通信工程管理服务；设备租赁、批发。（涉及许可经营项目，应取得相关部门许可后方可经营）高升控股股份有限公司对外投资6家公司。</w:t>
            </w:r>
          </w:p>
          <w:p w14:paraId="5BB010F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【案例背景</w:t>
            </w:r>
            <w:r>
              <w:rPr>
                <w:rFonts w:ascii="宋体" w:hAnsi="宋体"/>
                <w:b/>
                <w:color w:val="000000" w:themeColor="text1"/>
                <w:kern w:val="0"/>
                <w:szCs w:val="21"/>
              </w:rPr>
              <w:t>】</w:t>
            </w:r>
          </w:p>
          <w:p w14:paraId="0C86AB25" w14:textId="77777777" w:rsidR="00B229A7" w:rsidRDefault="00D7072C">
            <w:pPr>
              <w:spacing w:line="276" w:lineRule="auto"/>
              <w:rPr>
                <w:rFonts w:ascii="宋体" w:hAnsi="宋体"/>
                <w:bCs/>
                <w:color w:val="000000" w:themeColor="text1"/>
                <w:kern w:val="0"/>
                <w:szCs w:val="21"/>
              </w:rPr>
            </w:pPr>
            <w:r>
              <w:rPr>
                <w:rFonts w:ascii="宋体" w:hAnsi="宋体"/>
                <w:b/>
                <w:color w:val="000000" w:themeColor="text1"/>
                <w:kern w:val="0"/>
                <w:szCs w:val="21"/>
              </w:rPr>
              <w:tab/>
            </w:r>
            <w:r>
              <w:rPr>
                <w:rFonts w:ascii="宋体" w:hAnsi="宋体" w:hint="eastAsia"/>
                <w:bCs/>
                <w:color w:val="000000" w:themeColor="text1"/>
                <w:kern w:val="0"/>
                <w:szCs w:val="21"/>
              </w:rPr>
              <w:t>*ST高升(000971)大股东刚刚申请破产，公司后院再度起火。公司7月15日晚公告称，近日公司第九届董事会第二十八次会议决议内容对公司全资子公司吉林省高升科技有限公司(简称“高升科技”)进行专项审计遭到高升科技拒绝。不过，公司董事董红、许磊对此指出，*ST高升的专项审计没有依据，*ST高升已经完成年度审计并已公告，不能因知情权反复审计高升科技，干扰高升科技经营。</w:t>
            </w:r>
          </w:p>
          <w:p w14:paraId="256069C2" w14:textId="77777777" w:rsidR="00B229A7" w:rsidRDefault="00B229A7">
            <w:pPr>
              <w:spacing w:line="276" w:lineRule="auto"/>
              <w:rPr>
                <w:rFonts w:ascii="宋体" w:hAnsi="宋体"/>
                <w:bCs/>
                <w:color w:val="000000" w:themeColor="text1"/>
                <w:kern w:val="0"/>
                <w:szCs w:val="21"/>
              </w:rPr>
            </w:pPr>
          </w:p>
          <w:p w14:paraId="7EC5FD9B"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值得注意的是，今年2月份*ST高升第九届董事会通过了相关审计议案，投票情况为6票赞成？2？票弃权，独立董事田迎春、赵亮投下弃权票，董事董红、许磊对于表决结果提出异议，认为计票回避事项有误。相关法律人士指出，审计事项在上市公司董事会决议合法通过，那就需要执行。</w:t>
            </w:r>
          </w:p>
          <w:p w14:paraId="0C9F241D"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5039294D" w14:textId="77777777" w:rsidR="00B229A7" w:rsidRDefault="00D7072C">
            <w:pPr>
              <w:spacing w:line="276" w:lineRule="auto"/>
              <w:rPr>
                <w:rFonts w:ascii="宋体" w:hAnsi="宋体"/>
                <w:color w:val="000000" w:themeColor="text1"/>
                <w:kern w:val="0"/>
                <w:szCs w:val="21"/>
              </w:rPr>
            </w:pPr>
            <w:r>
              <w:rPr>
                <w:rFonts w:ascii="宋体" w:hAnsi="宋体"/>
                <w:b/>
                <w:bCs/>
                <w:color w:val="000000" w:themeColor="text1"/>
                <w:kern w:val="0"/>
                <w:szCs w:val="21"/>
              </w:rPr>
              <w:tab/>
            </w:r>
            <w:r>
              <w:rPr>
                <w:rFonts w:ascii="宋体" w:hAnsi="宋体" w:hint="eastAsia"/>
                <w:color w:val="000000" w:themeColor="text1"/>
                <w:kern w:val="0"/>
                <w:szCs w:val="21"/>
              </w:rPr>
              <w:t>2019年2月3日，*ST高升第九届董事会第二十八次会议审议并通过了《关于对全资子公司吉林省高升科技有限公司和上海莹悦网络科技有限公司进行专项审计的提案》，同意对高升科技、上海莹悦进行专项审计，核查是否存在可能导致高升科技和上海莹悦业绩承诺期财务报告追溯调整、可能触发相关主体业绩补偿义务的期后事项。</w:t>
            </w:r>
          </w:p>
          <w:p w14:paraId="3BF254B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*ST高升介绍，今年3月，公司通过招投标方式委托大华会计</w:t>
            </w:r>
            <w:r>
              <w:rPr>
                <w:rFonts w:ascii="宋体" w:hAnsi="宋体" w:hint="eastAsia"/>
                <w:color w:val="000000" w:themeColor="text1"/>
                <w:kern w:val="0"/>
                <w:szCs w:val="21"/>
              </w:rPr>
              <w:lastRenderedPageBreak/>
              <w:t>师事务所负责此次专项审计工作，因考虑到2019年度上半年涉及财务方面的工作内容较多，为不影响子公司正常工作，公司自2019年7月起启动该项审计工作。7月3日，公司通过邮件等方式向高升科技和上海莹悦发出通知，请子公司配合做好专项审计相关工作。</w:t>
            </w:r>
          </w:p>
          <w:p w14:paraId="5AA930A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值得注意的是，*ST高升委托的审计机构却在高升科技处吃到“闭门羹”。7月4日，高升科技通过邮件向公司及董事会发出“高升科技董事会决议”，拒绝接受董事会的专项审计安排，该决议经由高升科技董事会全体成员于平、许磊和翁远签字。7月9日，大华会计师事务所向公司出具了《专项审计事项沟通函》(简称“沟通函”)，沟通函显示，审计人员在一名公司财务副总的陪同下到达高升科技后，未能得到批准进入办公区域门内，公司陪同人员现场电话联系了高升科技董事长于平、执行总经理许磊、财务总监董红，但三人均表示拒绝执行本次审计。基于上述情况，大华会计师事务所无法顺利开展专项审计工作，公司专项审计工作无法进行。</w:t>
            </w:r>
          </w:p>
          <w:p w14:paraId="27BD0CC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对于*ST高升所指责高升科技拒不履行公司董事会通过的审计事项，相关董事提出了异议。董事董红、许磊对此指出，高升科技已经明确，*ST高升的专项审计没有依据，*ST高升已经完成年度审计并已公告；*ST高升声称依据公司法，股东享有知情权，但不能因知情权反复审计高升科技，干扰高升科技经营；高升科技董事和高管依据公司章程履行职责，维护高升科技经营，拒绝股份公司毫无依据的无理要求，不存在邮件声称的子公司失去控制的情形。</w:t>
            </w:r>
          </w:p>
          <w:p w14:paraId="1AA0F7E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“上市公司受控股股东及关联方控制，违规担保及违规共同借款、提供多份伪造虚假的董事会决议，损害股份公司、股东及控股子公司利益，高升科技反对利用控制地位损害高升科技利益的行为。” 董事董红、许磊表示，大华会计师事务所并非上市公司聘请的年度审计会计师事务所，聘请流程未告知各位董事，按照公司章程，聘请会计师事务所，需要经过股东大会审批，因此大华会计师事务所进场审计是缺乏合理授权的。</w:t>
            </w:r>
          </w:p>
          <w:p w14:paraId="2C53342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浙江高庭律师事务所合伙人汪志辉律师告诉中国证券报记者，审计事项在上市公司董事会决议合法通过，那就需要执行。“另一方有什么诉求，可以通过合法途径维权。但必须遵守游戏规则，否则就乱套了。”</w:t>
            </w:r>
          </w:p>
          <w:p w14:paraId="0F05ABB2" w14:textId="77777777" w:rsidR="00B229A7" w:rsidRDefault="00B229A7">
            <w:pPr>
              <w:spacing w:line="276" w:lineRule="auto"/>
              <w:rPr>
                <w:rFonts w:ascii="宋体" w:hAnsi="宋体"/>
                <w:color w:val="000000" w:themeColor="text1"/>
                <w:kern w:val="0"/>
                <w:szCs w:val="21"/>
              </w:rPr>
            </w:pPr>
          </w:p>
        </w:tc>
      </w:tr>
      <w:tr w:rsidR="00B229A7" w14:paraId="211B61D5" w14:textId="77777777">
        <w:tc>
          <w:tcPr>
            <w:tcW w:w="1980" w:type="dxa"/>
          </w:tcPr>
          <w:p w14:paraId="6004BD3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30DCC91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大华会计师事务所（特殊普通合伙）</w:t>
            </w:r>
          </w:p>
        </w:tc>
      </w:tr>
      <w:tr w:rsidR="00B229A7" w14:paraId="092B89FD" w14:textId="77777777">
        <w:tc>
          <w:tcPr>
            <w:tcW w:w="1980" w:type="dxa"/>
          </w:tcPr>
          <w:p w14:paraId="3284E02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2E970ADC"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（一）站在企业的角度</w:t>
            </w:r>
          </w:p>
          <w:p w14:paraId="73886E97"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1.要加强对收购子公司的控制</w:t>
            </w:r>
          </w:p>
          <w:p w14:paraId="54077A6F"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企业在并购博弈中应适当地限制子公司留任管理层的权限从而加强对子公司的控制。同时对子公司的控制除了要拥有股东会和董</w:t>
            </w:r>
            <w:r>
              <w:rPr>
                <w:rStyle w:val="11"/>
                <w:rFonts w:ascii="宋体" w:hAnsi="宋体" w:hint="eastAsia"/>
                <w:i w:val="0"/>
                <w:iCs w:val="0"/>
                <w:color w:val="000000" w:themeColor="text1"/>
                <w:kern w:val="0"/>
                <w:szCs w:val="21"/>
              </w:rPr>
              <w:lastRenderedPageBreak/>
              <w:t>事拥有多数表决权之外，也应该对经营权加强监管和控制，可以将经营管理权细分为多个子权限，包括法定代表权、印章保管权、财务管理权等，并对这些权力进行约束和监管，避免子公司脱离母公司的控制。例如在本案例中，ST高升可以将母公司的管理人员安排在这些权力岗位上，防止这些权力完全授予高升科技原管理层，防止子公司脱离母公司的监管和控制;另外，可以对经营管理权进行条件限制，即母公司享有对子公司经营管理权的变更收回和解除的权力。例如高升科技触发ST高升所设置的条件限制时，ST高升就可以行使其解除权解除高升科技管理层的经营管理权。这样既可以让子公司拥有一定的自主权，保证子公司兑现业绩承诺，同时又能避免子公司脱离对子公司的监管和控制，出现拒绝执行母公司命令的情况。</w:t>
            </w:r>
          </w:p>
          <w:p w14:paraId="3DF0DD99"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2.完善内部控制制度</w:t>
            </w:r>
          </w:p>
          <w:p w14:paraId="5C72184A"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一套有效的内部控制可以保障企业的财产安全，及时发现企业内部存在的潜在威胁，使企业的内部管理水平和运营能力不断上升。但是在本案例中内部控制的缺失给实控人的违规占用资金和违规担保行为提供了便利，使ST高升蒙受巨大损失。说明一套完善的内部控制体系对于一个企业持续发展的重要性。因此企业要建立一套完善的内部控制体系;同时还要建立内部牵制机制，对具体事项分工时，不能由一个人或者一个部门完成事项的全过程;另外要加强风险评估管理和完善风险保障体系，针对不同的风险安排专业的风险管理人员处理各类风险。特别是对于资金的流动要严格监控，对相关人员不定时监督质询，防止出现某些大股东可以偷偷运作资金的行为。在本案例中，ST高升的印章管理没有体现互相牵制这一原则，才让实控人有违规使用印章进行担保的可乘之机，这也是ST高升内部控制审计持否定意见的根本原因。同时有效的内部控制也能加强母公司对子公司的管控，防止出现子公司拒绝执行母公司命令的情况。</w:t>
            </w:r>
          </w:p>
          <w:p w14:paraId="201AA354"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3.母子公司加强沟通交流</w:t>
            </w:r>
          </w:p>
          <w:p w14:paraId="38F89C31"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在母公司政策提出时，就需要母子公司双方人员进行充分沟通与协调，避免在发起流程前就造成双方意见不统一而造成摩擦。尤其是对于购买合并的子公司，在合并前成长背景不同，企业文化不同，在合并之后就需要通过加强母子公司的沟通来强化集团文化对子公司的渗透，不仅是对员工的渗透，也要求对高管人员的渗透，使子公司内部人员有对集团的归属感，能理解集团文化、集团战略等，从而能更好地执行集团的命令。在本案例中，ST高升虽向高升科技下达了专项审计的通知，但是可以看出双方意见完全不统一，且缺乏有效的沟通，双方产生摩擦导致高升科技直接拒绝审计。可</w:t>
            </w:r>
            <w:r>
              <w:rPr>
                <w:rStyle w:val="11"/>
                <w:rFonts w:ascii="宋体" w:hAnsi="宋体" w:hint="eastAsia"/>
                <w:i w:val="0"/>
                <w:iCs w:val="0"/>
                <w:color w:val="000000" w:themeColor="text1"/>
                <w:kern w:val="0"/>
                <w:szCs w:val="21"/>
              </w:rPr>
              <w:lastRenderedPageBreak/>
              <w:t>见母子公司之间良好的沟通与关系协调，有助于集团各项经营决策的有效执行，提高企业的管理效率，促进企业的发展。</w:t>
            </w:r>
          </w:p>
          <w:p w14:paraId="348CD300"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（二）站在监管部门的角度</w:t>
            </w:r>
          </w:p>
          <w:p w14:paraId="1987809E"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1.提高发现违规行为的及时性</w:t>
            </w:r>
          </w:p>
          <w:p w14:paraId="7E5DEA29"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ST高升的实控人利用违规担保和占用资金来不断掏空企业，危害了其他股东和子公司的利益，杀伤力巨大，这也要求监管部门加大监管力度，及时发现企业的违法违规行为并有效制止。在本案例中，ST高升的实控人在归还占用资金后又立马高价收购自己关联方的资产，这样既转移了资产又能说是业务整合重组并购，混淆视听。不仅如此，还有的企业刻意绕开监管，通过非关联方的交易转移资产，需要监管部门及时发现这些违规行为。</w:t>
            </w:r>
          </w:p>
          <w:p w14:paraId="73ED3302"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监管部门可以从交易目的、交易价格、审议程序和付款安排方面来考察交易事项是否合理。违规交易往往有冠冕堂皇的理由包装其损害他人利益来谋取个人利益的私心，且都喜欢在价格上“动手脚”;同时会出现如ST高升实控人利用审议程序上的不完善进行违规交易，这种交易往往是等不及财产交割就提前付款。这就要求监管部门在发现疑似有问题的交易后，应该让企业阐述清楚交易的具体原因、真实目的和交易的必要性和评估定价公允价格的真实性，通过一系列的问询搞清楚交易背后的真实目的，直击交易的本质，必要时可以要求独立中介机构介入核查并发表明确的意见。</w:t>
            </w:r>
          </w:p>
          <w:p w14:paraId="6DCAC757"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除此之外，对于出现子公司拒绝执行母公司命令的情况，监管部门要及时问询清楚其真实原因。若母公司所下达的命令合法合规，监管部门应积极干预迫使子公司执行母公司命令，避免出现子公司失控的情形从而造成对企业的负面影响。</w:t>
            </w:r>
          </w:p>
          <w:p w14:paraId="174E38F0"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2.加大违规行为的惩罚力度</w:t>
            </w:r>
          </w:p>
          <w:p w14:paraId="2EEB0B0E"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根据中国证券监督管理委员会湖北监管局《行政处罚决定书》（公告编号：2019-128号）显示：对ST高升实控人韦振宇予以警告并处罚九十万元，五年证券市场禁入;对实控人方其他三名股东予以警告并处罚金十到三十万元处罚不等。但是相对于违规操作公司上亿元的资金来说几十万元的处罚明显较轻，震慑力不足，这也助长了违规操作人的侥幸心理，因此监管部门必须加大对违规交易的惩罚力度，提高企业股东违法违规成本，从而提高企业股东的合规意识。对ST高升实控人这种占用企业资金、“掏空”企业的行为，除了令其限期歸还之外还要有相应的高额罚款，及时保护企业利益和其他股东的权益;若是子公司拒绝母公司合理合法的要求，监管部门也要加强对其的惩罚力度，迫使子公司执行，从而保证母公司所下达的命令可以顺利执行。</w:t>
            </w:r>
          </w:p>
          <w:p w14:paraId="0A13F6F3"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3.督促企业加强内部治理</w:t>
            </w:r>
          </w:p>
          <w:p w14:paraId="3AF57A1B"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lastRenderedPageBreak/>
              <w:t>内部控制的严重缺失也要求监管部门在管控企业违规问题的同时还应该督促企业加强其内部治理，让有效的内部治理完全渗透企业，防止企业的治理机制流于表面，出现ST高升实控人掏空企业行为。要将有效的公司治理从外力推动转变为内生需求，让企业自觉地遵守各项规章制度，形成良好的市场风气。同时也要强化管理层责任意识、合规意识的培训。在本案例中，ST高升的实控人对企业的掌控能力最大，但是也最容易利用对企业的绝对掌控进行违法违规操作，这样也很难在企业内部树立员工的合法合规意识，因此要从企业的管理层抓起，培养对内部治理的高度重视，带动企业各部门和全体人员重视责任意识和合规意识，防止出现侵占企业利益干扰经济市场秩序的行为，形成良好的内部控制氛围，从而推动建设一个公开、透明、开放、规范的经济市场。</w:t>
            </w:r>
          </w:p>
          <w:p w14:paraId="765A2FA1" w14:textId="77777777" w:rsidR="00B229A7" w:rsidRDefault="00D7072C">
            <w:pPr>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（三）站在投资者的角度</w:t>
            </w:r>
          </w:p>
          <w:p w14:paraId="7CE21AD0" w14:textId="77777777" w:rsidR="00B229A7" w:rsidRDefault="00D7072C">
            <w:pPr>
              <w:spacing w:line="276" w:lineRule="auto"/>
              <w:ind w:firstLineChars="200" w:firstLine="420"/>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对于内部股东和相关投资者而言，出现个别股东损害企业利益、侵占其他股东权益的情况时，应利用企业的各项规章制度或者及时向监管部门反映来保护自身的合法权益。在本案例中，ST高升的其他九名股东就联合罢免实控人方，此举也是为了获得更多中小投资者的支持从而保护大家的合法权益。除此之外，对于曝出子公司拒绝执行母公司命令且被实行退市风险的企业，外部投资者应予以更多的关注。首先，要关注被子公司拒绝和被实行退市风险警示的背后原因，以及关注审计机构为企业出具的审计意见，特别是对于无法表示意见的审计报告，要弄清楚是否存在内部控制重大缺陷由此导致企业运营能力下降的情况;其次，在本案例中ST高升实控人多次承诺已无其他担保或者借款的之后又曝出其隐藏了6笔担保信息和2笔非经营性资金占用，因此投资者也要关注此类企业公告披露的及时性和完整性，减小由于信息不对称所带来的投资风险;最后对于及时发布信息的企业也要保持相应的谨慎，要仔细辨别公告的内容是否清楚完整，及时关注企业在发布公告后是否有收到监管部门的问询或监管措施，是否存在误导投资者的信息风险。</w:t>
            </w:r>
          </w:p>
        </w:tc>
      </w:tr>
      <w:tr w:rsidR="00B229A7" w14:paraId="576824CA" w14:textId="77777777">
        <w:tc>
          <w:tcPr>
            <w:tcW w:w="1980" w:type="dxa"/>
          </w:tcPr>
          <w:p w14:paraId="66595C1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0D2ECC8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追溯调整；期后事项</w:t>
            </w:r>
          </w:p>
        </w:tc>
      </w:tr>
    </w:tbl>
    <w:p w14:paraId="51582E80" w14:textId="77777777" w:rsidR="00B229A7" w:rsidRDefault="00B229A7">
      <w:pPr>
        <w:spacing w:line="276" w:lineRule="auto"/>
        <w:rPr>
          <w:rFonts w:ascii="宋体" w:hAnsi="宋体"/>
          <w:color w:val="000000" w:themeColor="text1"/>
          <w:szCs w:val="21"/>
        </w:rPr>
      </w:pPr>
    </w:p>
    <w:p w14:paraId="3EFCCB87" w14:textId="77777777" w:rsidR="00B229A7" w:rsidRDefault="00D7072C">
      <w:pPr>
        <w:pStyle w:val="1"/>
      </w:pPr>
      <w:bookmarkStart w:id="65" w:name="_Toc104812496"/>
      <w:bookmarkStart w:id="66" w:name="_Toc104812594"/>
      <w:bookmarkStart w:id="67" w:name="_Toc104812315"/>
      <w:r>
        <w:t>20</w:t>
      </w:r>
      <w:r>
        <w:rPr>
          <w:rFonts w:hint="eastAsia"/>
        </w:rPr>
        <w:t>中国人寿</w:t>
      </w:r>
      <w:bookmarkEnd w:id="65"/>
      <w:bookmarkEnd w:id="66"/>
      <w:bookmarkEnd w:id="67"/>
    </w:p>
    <w:tbl>
      <w:tblPr>
        <w:tblStyle w:val="a4"/>
        <w:tblW w:w="8296" w:type="dxa"/>
        <w:tblLayout w:type="fixed"/>
        <w:tblLook w:val="04A0" w:firstRow="1" w:lastRow="0" w:firstColumn="1" w:lastColumn="0" w:noHBand="0" w:noVBand="1"/>
      </w:tblPr>
      <w:tblGrid>
        <w:gridCol w:w="1980"/>
        <w:gridCol w:w="6316"/>
      </w:tblGrid>
      <w:tr w:rsidR="00B229A7" w14:paraId="3FFD0EFD" w14:textId="77777777">
        <w:tc>
          <w:tcPr>
            <w:tcW w:w="1980" w:type="dxa"/>
          </w:tcPr>
          <w:p w14:paraId="0318CA8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691E06F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111</w:t>
            </w:r>
          </w:p>
        </w:tc>
      </w:tr>
      <w:tr w:rsidR="00B229A7" w14:paraId="4110665C" w14:textId="77777777">
        <w:tc>
          <w:tcPr>
            <w:tcW w:w="1980" w:type="dxa"/>
          </w:tcPr>
          <w:p w14:paraId="6A34DCA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09028762"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01</w:t>
            </w:r>
            <w:r>
              <w:rPr>
                <w:rFonts w:ascii="宋体" w:hAnsi="宋体" w:hint="eastAsia"/>
                <w:color w:val="000000" w:themeColor="text1"/>
                <w:kern w:val="0"/>
                <w:szCs w:val="21"/>
              </w:rPr>
              <w:t>金融业</w:t>
            </w:r>
          </w:p>
        </w:tc>
      </w:tr>
      <w:tr w:rsidR="00B229A7" w14:paraId="4846BD1B" w14:textId="77777777">
        <w:tc>
          <w:tcPr>
            <w:tcW w:w="1980" w:type="dxa"/>
          </w:tcPr>
          <w:p w14:paraId="2D33B44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案例发生时间</w:t>
            </w:r>
          </w:p>
        </w:tc>
        <w:tc>
          <w:tcPr>
            <w:tcW w:w="6316" w:type="dxa"/>
          </w:tcPr>
          <w:p w14:paraId="339723D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w:t>
            </w:r>
            <w:r>
              <w:rPr>
                <w:rFonts w:ascii="宋体" w:hAnsi="宋体"/>
                <w:color w:val="000000" w:themeColor="text1"/>
                <w:kern w:val="0"/>
                <w:szCs w:val="21"/>
              </w:rPr>
              <w:t>21</w:t>
            </w:r>
            <w:r>
              <w:rPr>
                <w:rFonts w:ascii="宋体" w:hAnsi="宋体" w:hint="eastAsia"/>
                <w:color w:val="000000" w:themeColor="text1"/>
                <w:kern w:val="0"/>
                <w:szCs w:val="21"/>
              </w:rPr>
              <w:t>年</w:t>
            </w:r>
          </w:p>
        </w:tc>
      </w:tr>
      <w:tr w:rsidR="00B229A7" w14:paraId="7AE8B849" w14:textId="77777777">
        <w:tc>
          <w:tcPr>
            <w:tcW w:w="1980" w:type="dxa"/>
          </w:tcPr>
          <w:p w14:paraId="5CD1920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6EDBA22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中国人寿保险（集团）公司</w:t>
            </w:r>
          </w:p>
        </w:tc>
      </w:tr>
      <w:tr w:rsidR="00B229A7" w14:paraId="617C6320" w14:textId="77777777">
        <w:tc>
          <w:tcPr>
            <w:tcW w:w="1980" w:type="dxa"/>
          </w:tcPr>
          <w:p w14:paraId="4CF2CE1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19DA29A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保险</w:t>
            </w:r>
            <w:r>
              <w:rPr>
                <w:rFonts w:ascii="宋体" w:hAnsi="宋体"/>
                <w:color w:val="000000" w:themeColor="text1"/>
                <w:kern w:val="0"/>
                <w:szCs w:val="21"/>
              </w:rPr>
              <w:t>类</w:t>
            </w:r>
          </w:p>
        </w:tc>
      </w:tr>
      <w:tr w:rsidR="00B229A7" w14:paraId="4D45BB56" w14:textId="77777777">
        <w:tc>
          <w:tcPr>
            <w:tcW w:w="1980" w:type="dxa"/>
          </w:tcPr>
          <w:p w14:paraId="7BF3A7B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企业单位案例描述</w:t>
            </w:r>
          </w:p>
        </w:tc>
        <w:tc>
          <w:tcPr>
            <w:tcW w:w="6316" w:type="dxa"/>
          </w:tcPr>
          <w:p w14:paraId="4D757F8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FA94CE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中国人寿保险（集团）公司（简称中国人寿），为中央金融企业，是国有特大型金融保险企业公司；总部设立在北京，世界500强企业、中国品牌500强，属国家副部级央企。公司前身是成立于1949年的原中国人民保险公司，1996年分设为中保人寿保险有限公司，1999年更名为中国人寿保险公司。2003年，经国务院和原中国保险监督管理委员会批准，原中国人寿保险公司进行重组改制，变更为中国人寿保险（集团）公司。</w:t>
            </w:r>
          </w:p>
          <w:p w14:paraId="0CF8405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中国人寿保险（集团）公司及其子公司构成了我国最大的国有金融保险集团，也是我国资本市场重要的机构投资者。业务范围全面涵盖寿险、财险、企业和职业年金、银行、基金、资产管理、财富管理、实业投资、海外业务等多个领域。</w:t>
            </w:r>
          </w:p>
          <w:p w14:paraId="2AC91E3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中国人寿集团2021年合并营业收入超1万亿元，合并总资产突破5.7万亿元，合并管理第三方资产超2万亿元。</w:t>
            </w:r>
          </w:p>
          <w:p w14:paraId="0098672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2021年，中国人寿集团位列世界品牌实验室“世界品牌500强”排行榜第99位，品牌价值高达4366.72亿元，在中国金融保险行业中蝉联第一。2021年中国人寿集团位列《财富》世界500强第32位、世界品牌实验室“中国500最具价值品牌”第5位。</w:t>
            </w:r>
          </w:p>
          <w:p w14:paraId="71B99708"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【案例描述】</w:t>
            </w:r>
          </w:p>
          <w:p w14:paraId="77E40EA2"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0" distR="0" wp14:anchorId="110A1E3D" wp14:editId="4C36CDF8">
                  <wp:extent cx="3873500" cy="3317240"/>
                  <wp:effectExtent l="0" t="0" r="0" b="0"/>
                  <wp:docPr id="14" name="图片 1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形用户界面, 文本, 应用程序&#10;&#10;描述已自动生成"/>
                          <pic:cNvPicPr>
                            <a:picLocks noChangeAspect="1"/>
                          </pic:cNvPicPr>
                        </pic:nvPicPr>
                        <pic:blipFill>
                          <a:blip r:embed="rId21"/>
                          <a:stretch>
                            <a:fillRect/>
                          </a:stretch>
                        </pic:blipFill>
                        <pic:spPr>
                          <a:xfrm>
                            <a:off x="0" y="0"/>
                            <a:ext cx="3873500" cy="3317240"/>
                          </a:xfrm>
                          <a:prstGeom prst="rect">
                            <a:avLst/>
                          </a:prstGeom>
                        </pic:spPr>
                      </pic:pic>
                    </a:graphicData>
                  </a:graphic>
                </wp:inline>
              </w:drawing>
            </w:r>
          </w:p>
          <w:p w14:paraId="0312447B"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lastRenderedPageBreak/>
              <w:drawing>
                <wp:inline distT="0" distB="0" distL="0" distR="0" wp14:anchorId="6D888BB1" wp14:editId="2A63F505">
                  <wp:extent cx="3873500" cy="2967355"/>
                  <wp:effectExtent l="0" t="0" r="0" b="4445"/>
                  <wp:docPr id="15" name="图片 1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形用户界面, 文本, 应用程序, 电子邮件&#10;&#10;描述已自动生成"/>
                          <pic:cNvPicPr>
                            <a:picLocks noChangeAspect="1"/>
                          </pic:cNvPicPr>
                        </pic:nvPicPr>
                        <pic:blipFill>
                          <a:blip r:embed="rId22"/>
                          <a:stretch>
                            <a:fillRect/>
                          </a:stretch>
                        </pic:blipFill>
                        <pic:spPr>
                          <a:xfrm>
                            <a:off x="0" y="0"/>
                            <a:ext cx="3873500" cy="2967355"/>
                          </a:xfrm>
                          <a:prstGeom prst="rect">
                            <a:avLst/>
                          </a:prstGeom>
                        </pic:spPr>
                      </pic:pic>
                    </a:graphicData>
                  </a:graphic>
                </wp:inline>
              </w:drawing>
            </w:r>
          </w:p>
          <w:p w14:paraId="6ED9DE40"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0" distR="0" wp14:anchorId="57BB9410" wp14:editId="522BFC15">
                  <wp:extent cx="3873500" cy="2750820"/>
                  <wp:effectExtent l="0" t="0" r="0" b="0"/>
                  <wp:docPr id="16" name="图片 16" descr="图形用户界面, 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形用户界面, 文本, 电子邮件&#10;&#10;描述已自动生成"/>
                          <pic:cNvPicPr>
                            <a:picLocks noChangeAspect="1"/>
                          </pic:cNvPicPr>
                        </pic:nvPicPr>
                        <pic:blipFill>
                          <a:blip r:embed="rId23"/>
                          <a:stretch>
                            <a:fillRect/>
                          </a:stretch>
                        </pic:blipFill>
                        <pic:spPr>
                          <a:xfrm>
                            <a:off x="0" y="0"/>
                            <a:ext cx="3873500" cy="2750820"/>
                          </a:xfrm>
                          <a:prstGeom prst="rect">
                            <a:avLst/>
                          </a:prstGeom>
                        </pic:spPr>
                      </pic:pic>
                    </a:graphicData>
                  </a:graphic>
                </wp:inline>
              </w:drawing>
            </w:r>
          </w:p>
          <w:p w14:paraId="3730269A" w14:textId="77777777" w:rsidR="00B229A7" w:rsidRDefault="00B229A7">
            <w:pPr>
              <w:spacing w:line="276" w:lineRule="auto"/>
              <w:rPr>
                <w:rFonts w:ascii="宋体" w:hAnsi="宋体"/>
                <w:color w:val="000000" w:themeColor="text1"/>
                <w:kern w:val="0"/>
                <w:szCs w:val="21"/>
              </w:rPr>
            </w:pPr>
          </w:p>
        </w:tc>
      </w:tr>
      <w:tr w:rsidR="00B229A7" w14:paraId="72200D4E" w14:textId="77777777">
        <w:tc>
          <w:tcPr>
            <w:tcW w:w="1980" w:type="dxa"/>
          </w:tcPr>
          <w:p w14:paraId="0730A07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6F88E75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普华永道中天会计师事务所（特殊普通合伙）</w:t>
            </w:r>
          </w:p>
        </w:tc>
      </w:tr>
      <w:tr w:rsidR="00B229A7" w14:paraId="4130C888" w14:textId="77777777">
        <w:tc>
          <w:tcPr>
            <w:tcW w:w="1980" w:type="dxa"/>
          </w:tcPr>
          <w:p w14:paraId="52AB70B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16109878"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(1) 识别和评估由于舞弊或错误导致的财务报表重大错报风险，设计和实施审计程序以应对这些风险，并获取充分、适当的 审计证据，作为发表审计意见的基础。由于舞弊可能涉及串通、伪造、故意遗漏、虚假陈述或凌驾于内部控制之上，未 能发现由于舞弊导致的重大错报的风险高于未能发现由于错误导致的重大错报的风险。 </w:t>
            </w:r>
          </w:p>
          <w:p w14:paraId="15B5E19A"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(2) 了解与审计相关的内部控制，以设计恰当的审计程序。 </w:t>
            </w:r>
          </w:p>
          <w:p w14:paraId="7D9C98A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 xml:space="preserve">(3) 评价管理层选用会计政策的恰当性和作出会计估计及相关披露的合理性。 </w:t>
            </w:r>
          </w:p>
          <w:p w14:paraId="7B9911F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(4) 对管理层使用持续经营假设的恰当性得出结论。同时，根据获取的审计证据，就可能导致对中国平安保险（集团）股份有 限公司</w:t>
            </w:r>
            <w:r>
              <w:rPr>
                <w:rFonts w:ascii="宋体" w:hAnsi="宋体"/>
                <w:color w:val="000000" w:themeColor="text1"/>
                <w:kern w:val="0"/>
                <w:szCs w:val="21"/>
              </w:rPr>
              <w:lastRenderedPageBreak/>
              <w:t xml:space="preserve">持续经营能力产生重大疑虑的事项或情况是否存在重大不确定性得出结论。如果我们得出结论认为存在重大不确 定性，审计准则要求我们在审计报告中提请报表使用者注意财务报表中的相关披露 ；如果披露不充分，我们应当发表非 无保留意见。我们的结论基于截至审计报告日可获得的信息。然而，未来的事项或情况可能导致中国平安保险（集团）股 份有限公司不能持续经营。 </w:t>
            </w:r>
          </w:p>
          <w:p w14:paraId="3A53F027" w14:textId="77777777" w:rsidR="00B229A7" w:rsidRDefault="00D7072C">
            <w:pPr>
              <w:spacing w:line="276" w:lineRule="auto"/>
              <w:rPr>
                <w:rStyle w:val="11"/>
                <w:rFonts w:ascii="宋体" w:hAnsi="宋体"/>
                <w:i w:val="0"/>
                <w:iCs w:val="0"/>
                <w:color w:val="000000" w:themeColor="text1"/>
                <w:kern w:val="0"/>
                <w:szCs w:val="21"/>
              </w:rPr>
            </w:pPr>
            <w:r>
              <w:rPr>
                <w:rFonts w:ascii="宋体" w:hAnsi="宋体"/>
                <w:color w:val="000000" w:themeColor="text1"/>
                <w:kern w:val="0"/>
                <w:szCs w:val="21"/>
              </w:rPr>
              <w:t xml:space="preserve">(5) 评价财务报表的总体列报（包括披露）、结构和内容，并评价财务报表是否公允反映相关交易和事项。 </w:t>
            </w:r>
          </w:p>
        </w:tc>
      </w:tr>
      <w:tr w:rsidR="00B229A7" w14:paraId="4AFEB0B3" w14:textId="77777777">
        <w:tc>
          <w:tcPr>
            <w:tcW w:w="1980" w:type="dxa"/>
          </w:tcPr>
          <w:p w14:paraId="0789E45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500AD79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关键审计事项；持续经营假设</w:t>
            </w:r>
          </w:p>
        </w:tc>
      </w:tr>
    </w:tbl>
    <w:p w14:paraId="27CD96E0" w14:textId="77777777" w:rsidR="00B229A7" w:rsidRDefault="00B229A7">
      <w:pPr>
        <w:spacing w:line="276" w:lineRule="auto"/>
        <w:rPr>
          <w:rFonts w:ascii="宋体" w:hAnsi="宋体"/>
          <w:color w:val="000000" w:themeColor="text1"/>
          <w:szCs w:val="21"/>
        </w:rPr>
      </w:pPr>
    </w:p>
    <w:p w14:paraId="1521CCAB" w14:textId="77777777" w:rsidR="00B229A7" w:rsidRDefault="00D7072C">
      <w:pPr>
        <w:pStyle w:val="1"/>
      </w:pPr>
      <w:bookmarkStart w:id="68" w:name="_Toc104812497"/>
      <w:bookmarkStart w:id="69" w:name="_Toc104812595"/>
      <w:bookmarkStart w:id="70" w:name="_Toc104812316"/>
      <w:r>
        <w:t>2</w:t>
      </w:r>
      <w:r>
        <w:rPr>
          <w:rFonts w:hint="eastAsia"/>
        </w:rPr>
        <w:t>1-</w:t>
      </w:r>
      <w:r>
        <w:t xml:space="preserve">30 </w:t>
      </w:r>
      <w:r>
        <w:rPr>
          <w:rFonts w:hint="eastAsia"/>
        </w:rPr>
        <w:t>主要分析人：张梓霁</w:t>
      </w:r>
      <w:bookmarkEnd w:id="68"/>
      <w:bookmarkEnd w:id="69"/>
      <w:bookmarkEnd w:id="70"/>
    </w:p>
    <w:p w14:paraId="4CB585ED" w14:textId="77777777" w:rsidR="00B229A7" w:rsidRDefault="00D7072C">
      <w:pPr>
        <w:pStyle w:val="1"/>
      </w:pPr>
      <w:bookmarkStart w:id="71" w:name="_Toc104812498"/>
      <w:bookmarkStart w:id="72" w:name="_Toc104812596"/>
      <w:bookmarkStart w:id="73" w:name="_Toc104812317"/>
      <w:r>
        <w:t>2</w:t>
      </w:r>
      <w:r>
        <w:rPr>
          <w:rFonts w:hint="eastAsia"/>
        </w:rPr>
        <w:t>1</w:t>
      </w:r>
      <w:r>
        <w:rPr>
          <w:rFonts w:hint="eastAsia"/>
        </w:rPr>
        <w:t>法国兴业银行金融职务舞弊案</w:t>
      </w:r>
      <w:bookmarkEnd w:id="71"/>
      <w:bookmarkEnd w:id="72"/>
      <w:bookmarkEnd w:id="73"/>
    </w:p>
    <w:tbl>
      <w:tblPr>
        <w:tblStyle w:val="a4"/>
        <w:tblW w:w="8296" w:type="dxa"/>
        <w:tblLayout w:type="fixed"/>
        <w:tblLook w:val="04A0" w:firstRow="1" w:lastRow="0" w:firstColumn="1" w:lastColumn="0" w:noHBand="0" w:noVBand="1"/>
      </w:tblPr>
      <w:tblGrid>
        <w:gridCol w:w="1980"/>
        <w:gridCol w:w="6316"/>
      </w:tblGrid>
      <w:tr w:rsidR="00B229A7" w14:paraId="12D84E17" w14:textId="77777777">
        <w:tc>
          <w:tcPr>
            <w:tcW w:w="1980" w:type="dxa"/>
          </w:tcPr>
          <w:p w14:paraId="6ADFABB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21CB646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w:t>
            </w:r>
            <w:r>
              <w:rPr>
                <w:rFonts w:ascii="宋体" w:hAnsi="宋体"/>
                <w:color w:val="000000" w:themeColor="text1"/>
                <w:kern w:val="0"/>
                <w:szCs w:val="21"/>
              </w:rPr>
              <w:t>12</w:t>
            </w:r>
          </w:p>
        </w:tc>
      </w:tr>
      <w:tr w:rsidR="00B229A7" w14:paraId="44283C6B" w14:textId="77777777">
        <w:tc>
          <w:tcPr>
            <w:tcW w:w="1980" w:type="dxa"/>
          </w:tcPr>
          <w:p w14:paraId="0F388D7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0796EDA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253C7036" w14:textId="77777777">
        <w:tc>
          <w:tcPr>
            <w:tcW w:w="1980" w:type="dxa"/>
          </w:tcPr>
          <w:p w14:paraId="56A2AE6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3A09CE4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2008年</w:t>
            </w:r>
          </w:p>
        </w:tc>
      </w:tr>
      <w:tr w:rsidR="00B229A7" w14:paraId="5E604FDF" w14:textId="77777777">
        <w:tc>
          <w:tcPr>
            <w:tcW w:w="1980" w:type="dxa"/>
          </w:tcPr>
          <w:p w14:paraId="1AA9945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76ACCDC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法国兴业银行</w:t>
            </w:r>
          </w:p>
        </w:tc>
      </w:tr>
      <w:tr w:rsidR="00B229A7" w14:paraId="70237179" w14:textId="77777777">
        <w:tc>
          <w:tcPr>
            <w:tcW w:w="1980" w:type="dxa"/>
          </w:tcPr>
          <w:p w14:paraId="2FE4F78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7DF9B86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各种存贷款业务，动产与不动产租赁业务，为国家和公共部门发放债券，以及为法国政府对外筹资、对外贸易融资和参加欧洲债券发行和贷款活动。</w:t>
            </w:r>
          </w:p>
        </w:tc>
      </w:tr>
      <w:tr w:rsidR="00B229A7" w14:paraId="0EF89B83" w14:textId="77777777">
        <w:tc>
          <w:tcPr>
            <w:tcW w:w="1980" w:type="dxa"/>
          </w:tcPr>
          <w:p w14:paraId="1AC5222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17BAE026"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7735BFF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最大的商业银行集团之一。总行在巴黎。它成立于1864年5月，全称为“法国促进工商业发展总公司”。创建于拿破仑时代，历经二次世界大战，有200多年历史。</w:t>
            </w:r>
          </w:p>
          <w:p w14:paraId="6412160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法兴银行一直以全球风险监控出色著称，尤其是在股权衍生品方面，大约有50%的股东和40%的业务来自海外。</w:t>
            </w:r>
          </w:p>
          <w:p w14:paraId="24E33C3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法国兴业银行最受业界推崇的是它的金融投资业务，其盈利能力在同业中属于佼佼者。尤其是在风险较高的金融衍生品市场中，法国兴业银行凭借严格的风险控制管理能力长时间占据业界头把交椅。</w:t>
            </w:r>
          </w:p>
          <w:p w14:paraId="3C8AF77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1993年资产总额为2578.38亿美元，为法国第4位，在世界1000家大银行位次中排列第27位。2014年世界500强排名33，银行业世界排名第二。</w:t>
            </w:r>
          </w:p>
          <w:p w14:paraId="3A45052C" w14:textId="77777777" w:rsidR="00B229A7" w:rsidRDefault="00B229A7">
            <w:pPr>
              <w:spacing w:line="276" w:lineRule="auto"/>
              <w:ind w:firstLineChars="200" w:firstLine="420"/>
              <w:rPr>
                <w:rFonts w:ascii="宋体" w:hAnsi="宋体"/>
                <w:color w:val="000000" w:themeColor="text1"/>
                <w:kern w:val="0"/>
                <w:szCs w:val="21"/>
              </w:rPr>
            </w:pPr>
          </w:p>
          <w:p w14:paraId="04E43A83"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42A558AE"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2008年1月24日，凯维埃尔挪用巨额资金在股指期货市场上赌博，最后输掉49亿欧元(约合513亿元人民币)。此项虚假交易往来暴露之后，法国兴业银行内部审计部门于1月19日连夜查帐，并在1月20日震惊地发现，这起欺诈案件所涉及的资金总额惊人地达到500亿欧元之巨。</w:t>
            </w:r>
          </w:p>
          <w:p w14:paraId="5C47E1AD" w14:textId="77777777" w:rsidR="00B229A7" w:rsidRDefault="00D7072C">
            <w:pPr>
              <w:spacing w:line="276" w:lineRule="auto"/>
              <w:rPr>
                <w:rFonts w:ascii="宋体" w:hAnsi="宋体"/>
                <w:b/>
                <w:color w:val="000000" w:themeColor="text1"/>
                <w:kern w:val="0"/>
                <w:szCs w:val="21"/>
              </w:rPr>
            </w:pPr>
            <w:r>
              <w:rPr>
                <w:rFonts w:ascii="宋体" w:hAnsi="宋体"/>
                <w:noProof/>
                <w:color w:val="000000" w:themeColor="text1"/>
                <w:kern w:val="0"/>
                <w:szCs w:val="21"/>
              </w:rPr>
              <w:drawing>
                <wp:inline distT="0" distB="0" distL="114300" distR="114300" wp14:anchorId="7C729C66" wp14:editId="53E6EF09">
                  <wp:extent cx="3868420" cy="2068830"/>
                  <wp:effectExtent l="0" t="0" r="5080" b="1270"/>
                  <wp:docPr id="5" name="图片 5"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日程表&#10;&#10;描述已自动生成"/>
                          <pic:cNvPicPr>
                            <a:picLocks noChangeAspect="1"/>
                          </pic:cNvPicPr>
                        </pic:nvPicPr>
                        <pic:blipFill>
                          <a:blip r:embed="rId24"/>
                          <a:stretch>
                            <a:fillRect/>
                          </a:stretch>
                        </pic:blipFill>
                        <pic:spPr>
                          <a:xfrm>
                            <a:off x="0" y="0"/>
                            <a:ext cx="3868420" cy="2068830"/>
                          </a:xfrm>
                          <a:prstGeom prst="rect">
                            <a:avLst/>
                          </a:prstGeom>
                          <a:noFill/>
                          <a:ln>
                            <a:noFill/>
                          </a:ln>
                        </pic:spPr>
                      </pic:pic>
                    </a:graphicData>
                  </a:graphic>
                </wp:inline>
              </w:drawing>
            </w:r>
          </w:p>
          <w:p w14:paraId="4CA99B37" w14:textId="77777777" w:rsidR="00B229A7" w:rsidRDefault="00B229A7">
            <w:pPr>
              <w:spacing w:line="276" w:lineRule="auto"/>
              <w:rPr>
                <w:rFonts w:ascii="宋体" w:hAnsi="宋体"/>
                <w:b/>
                <w:color w:val="000000" w:themeColor="text1"/>
                <w:kern w:val="0"/>
                <w:szCs w:val="21"/>
              </w:rPr>
            </w:pPr>
          </w:p>
          <w:p w14:paraId="21B4600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1FD3C3BB" w14:textId="77777777" w:rsidR="00B229A7" w:rsidRDefault="00D7072C">
            <w:pPr>
              <w:spacing w:line="276" w:lineRule="auto"/>
              <w:rPr>
                <w:rFonts w:ascii="宋体" w:hAnsi="宋体"/>
                <w:b/>
                <w:bCs/>
                <w:color w:val="000000" w:themeColor="text1"/>
                <w:kern w:val="0"/>
                <w:szCs w:val="21"/>
              </w:rPr>
            </w:pPr>
            <w:r>
              <w:rPr>
                <w:rFonts w:ascii="宋体" w:hAnsi="宋体" w:hint="eastAsia"/>
                <w:b/>
                <w:bCs/>
                <w:color w:val="000000" w:themeColor="text1"/>
                <w:kern w:val="0"/>
                <w:szCs w:val="21"/>
              </w:rPr>
              <w:t>（一）采用的方法</w:t>
            </w:r>
            <w:r>
              <w:rPr>
                <w:rFonts w:ascii="宋体" w:hAnsi="宋体"/>
                <w:b/>
                <w:bCs/>
                <w:color w:val="000000" w:themeColor="text1"/>
                <w:kern w:val="0"/>
                <w:szCs w:val="21"/>
              </w:rPr>
              <w:tab/>
            </w:r>
          </w:p>
          <w:p w14:paraId="1A08ADB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采用真买假卖的手法，把这种短线交易做成了长线交易。根据银行调查，从2006年后期起，凯维埃尔开始买入一种投资组合A后，并不同时卖出。为掩盖建仓痕迹，规避相关的风险控制，他同期虚拟卖出，在投资组合B中置入了伪造的操作数据，使这个投资组合看起来与他所购买的投资组合A形成对冲。</w:t>
            </w:r>
          </w:p>
          <w:p w14:paraId="59FCCB4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凯维埃尔买卖相同数量、价格不同的股票或衍生性金融商品并结合下列二种方法以掩饰因舞弊交易所会产生的市场风险:</w:t>
            </w:r>
          </w:p>
          <w:p w14:paraId="520E2F9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1.进行可延后交割的交易，并于交割前将交易取消。</w:t>
            </w:r>
          </w:p>
          <w:p w14:paraId="054394F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2.与集团内部的公司或外部的小银行交易，并于交割前将交易取消。</w:t>
            </w:r>
          </w:p>
          <w:p w14:paraId="0CB564B4" w14:textId="77777777" w:rsidR="00B229A7" w:rsidRDefault="00D7072C">
            <w:pPr>
              <w:spacing w:line="276" w:lineRule="auto"/>
              <w:rPr>
                <w:rFonts w:ascii="宋体" w:hAnsi="宋体"/>
                <w:b/>
                <w:bCs/>
                <w:color w:val="000000" w:themeColor="text1"/>
                <w:kern w:val="0"/>
                <w:szCs w:val="21"/>
              </w:rPr>
            </w:pPr>
            <w:r>
              <w:rPr>
                <w:rFonts w:ascii="宋体" w:hAnsi="宋体" w:hint="eastAsia"/>
                <w:b/>
                <w:bCs/>
                <w:color w:val="000000" w:themeColor="text1"/>
                <w:kern w:val="0"/>
                <w:szCs w:val="21"/>
              </w:rPr>
              <w:t>（二）可规避银行监控之处</w:t>
            </w:r>
          </w:p>
          <w:p w14:paraId="25E4F2A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1.因为取消交易所以后台不用执行清算交割。</w:t>
            </w:r>
          </w:p>
          <w:p w14:paraId="5B3CEEE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2.若属于可延后交割的交易，则只需于交割日的前5天才需要执行确认作业。</w:t>
            </w:r>
          </w:p>
          <w:p w14:paraId="4BA589F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3.与集团内部的公司承作交易无需确认，因为此类交易会由集团内检视，另外，此类交易不会出现在每日的报表，因为交易对手信用风险为零。</w:t>
            </w:r>
          </w:p>
          <w:p w14:paraId="28AA296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4.确保交易中不出现现金流。</w:t>
            </w:r>
          </w:p>
          <w:p w14:paraId="23037DD5" w14:textId="77777777" w:rsidR="00B229A7" w:rsidRDefault="00D7072C">
            <w:pPr>
              <w:spacing w:line="276" w:lineRule="auto"/>
              <w:rPr>
                <w:rFonts w:ascii="宋体" w:hAnsi="宋体"/>
                <w:b/>
                <w:bCs/>
                <w:color w:val="000000" w:themeColor="text1"/>
                <w:kern w:val="0"/>
                <w:szCs w:val="21"/>
              </w:rPr>
            </w:pPr>
            <w:r>
              <w:rPr>
                <w:rFonts w:ascii="宋体" w:hAnsi="宋体" w:hint="eastAsia"/>
                <w:b/>
                <w:bCs/>
                <w:color w:val="000000" w:themeColor="text1"/>
                <w:kern w:val="0"/>
                <w:szCs w:val="21"/>
              </w:rPr>
              <w:t>（三）控管疏失</w:t>
            </w:r>
          </w:p>
          <w:p w14:paraId="57FF224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凯维埃尔隐藏交易的手段五花八门且其手脚干净利落:谎话、伪造文</w:t>
            </w:r>
            <w:r>
              <w:rPr>
                <w:rFonts w:ascii="宋体" w:hAnsi="宋体" w:hint="eastAsia"/>
                <w:color w:val="000000" w:themeColor="text1"/>
                <w:kern w:val="0"/>
                <w:szCs w:val="21"/>
              </w:rPr>
              <w:lastRenderedPageBreak/>
              <w:t>件、运用不同的金融商品和不同的交易对手捏造假交易、迅速修改及删除异常交易。每次后台同仁有疑问时，凯维埃尔总能实时给予回复，法国兴业银行内审部门在此次调查中，发现七封伪造电子邮件。</w:t>
            </w:r>
          </w:p>
          <w:p w14:paraId="71D3E093" w14:textId="77777777" w:rsidR="00B229A7" w:rsidRDefault="00D7072C">
            <w:pPr>
              <w:numPr>
                <w:ilvl w:val="0"/>
                <w:numId w:val="3"/>
              </w:numPr>
              <w:spacing w:line="276" w:lineRule="auto"/>
              <w:rPr>
                <w:rFonts w:ascii="宋体" w:hAnsi="宋体"/>
                <w:b/>
                <w:bCs/>
                <w:color w:val="000000" w:themeColor="text1"/>
                <w:kern w:val="0"/>
                <w:szCs w:val="21"/>
              </w:rPr>
            </w:pPr>
            <w:r>
              <w:rPr>
                <w:rFonts w:ascii="宋体" w:hAnsi="宋体" w:hint="eastAsia"/>
                <w:b/>
                <w:bCs/>
                <w:color w:val="000000" w:themeColor="text1"/>
                <w:kern w:val="0"/>
                <w:szCs w:val="21"/>
              </w:rPr>
              <w:t>内部控制问题</w:t>
            </w:r>
          </w:p>
          <w:p w14:paraId="685B6A3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1.内部环境问题</w:t>
            </w:r>
          </w:p>
          <w:p w14:paraId="1607129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（1）企业文化。荒唐的明星文化</w:t>
            </w:r>
          </w:p>
          <w:p w14:paraId="28618E7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（2）人力资源聘用制度。</w:t>
            </w:r>
          </w:p>
          <w:p w14:paraId="41A4248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法兴银行任用了一个有过丰富后台管理系统经验的人员来担任交易员。从凯维埃尔被任用，就产生了舞弊风险。凯维埃尔所在部门的经理监管不力。因为该经理是个新手，对于凯维埃尔所从事的金融业务不太熟悉，从而不能有效监管。</w:t>
            </w:r>
          </w:p>
          <w:p w14:paraId="5119538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（3）行业体制</w:t>
            </w:r>
          </w:p>
          <w:p w14:paraId="53A787F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在法庭证词上，凯维埃尔做了如下陈述:“我的操作不复杂，正常的监管就能查出这些交易。在正常的日常交易中，一个交易员根本无法用正常的投资规模赚那么多钱。这让我相信，只要我能盈利，我的上司就会对我的交易手段和交易金额睁一只眼闭一只眼。我能赚钱，这正合他们的心意，他们的被动接受促使我继续干下去……”</w:t>
            </w:r>
          </w:p>
          <w:p w14:paraId="5D17E19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法兴银行的风险监控系统曾多次对凯维埃尔的违规、越权操作拉起警报。但由于上级的纵容，这些警报都没有起到作用。从而使得凯维埃尔继续肆无忌惮的进行违规操作。管理层对利益的贪婪，而导致了下属对法律的轻视。正是因其行业体质问题而导致市场参与者过度投机。</w:t>
            </w:r>
          </w:p>
          <w:p w14:paraId="7836A6B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2.风险评估</w:t>
            </w:r>
          </w:p>
          <w:p w14:paraId="63A779AC"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法国兴业银行五年中连续被《风险》杂志评为银行业内部风险排名第一或第二位。</w:t>
            </w:r>
          </w:p>
          <w:p w14:paraId="2AF3B39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兴业银行有11个风险控制系统.这11个后台监控系统经纪、交易、流量、传输、授权、收益数据分析、市场风险等各个流程环节。</w:t>
            </w:r>
          </w:p>
          <w:p w14:paraId="623DAE9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法兴银行的风险评估程序和各业务项目操作都较为完善。从2006年6月到2008年1月，法兴银行的大多数风险控制系统自动对凯维尔的各种交易75次拉响警报。但是缺乏防范诈欺交易的作业规定：法国兴业银行并没有修改或删除交易的控管措施，没有延后交割交易的控管措施，没有控管巨额交易的措施。</w:t>
            </w:r>
          </w:p>
          <w:p w14:paraId="735F2DD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3.控制活动</w:t>
            </w:r>
          </w:p>
          <w:p w14:paraId="256F902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在最后一次警报即第75次警报拉响之后，凯维埃尔的欺骗行径终于败露。每次警报给出的调查结果大同小异，该报告提到，警报的解除是因为这些风险控制部门负责调查的人员相信了凯维埃尔的谎言，后台部门对中台部门发出警报,并对中台部门的答复感到满</w:t>
            </w:r>
            <w:r>
              <w:rPr>
                <w:rFonts w:ascii="宋体" w:hAnsi="宋体"/>
                <w:color w:val="000000" w:themeColor="text1"/>
                <w:kern w:val="0"/>
                <w:szCs w:val="21"/>
              </w:rPr>
              <w:lastRenderedPageBreak/>
              <w:t>意。有些警报甚至在风险控制IT系统中转来转去而没有得到最终解决。由于这些警报都没有起到作用，从而使得凯维埃尔能够继续肆无忌惮的违规操作。</w:t>
            </w:r>
          </w:p>
          <w:p w14:paraId="43F97D8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兴业银行的内部控制程序中，缺乏部门间横向内部控制功能，没有具体规定横向各个部门间内部控制的职责。</w:t>
            </w:r>
          </w:p>
          <w:p w14:paraId="5551BD0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（1）信息安全漏洞:</w:t>
            </w:r>
          </w:p>
          <w:p w14:paraId="3BCE4BC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凯维埃尔盗用其他同仁的密码，侵入银行的计算机系统存取数据。</w:t>
            </w:r>
          </w:p>
          <w:p w14:paraId="743CEF2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（2）没有严格的强迫休假制度:</w:t>
            </w:r>
          </w:p>
          <w:p w14:paraId="60AF5BF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凯维埃尔为了掩饰其罪行，很少请假休息，他必须经常删除及重新键入他所假造的交易，以免被他人发现。</w:t>
            </w:r>
          </w:p>
          <w:p w14:paraId="4267365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有一次，他告诉主管说:「我没有心情休假，因为每次休假，总是会让我想起已经往生的父亲。」</w:t>
            </w:r>
          </w:p>
          <w:p w14:paraId="0C9CA93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4.信息与沟通问题</w:t>
            </w:r>
          </w:p>
          <w:p w14:paraId="71151F6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（1）部门之间信息沟通缺陷</w:t>
            </w:r>
          </w:p>
          <w:p w14:paraId="5262FD5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前台部门对舞弊风险缺乏敏感度，对大量信号缺乏关注与反映。不同部门间的内部控制缺乏有效交流和沟通，各个部门发现的异常信号很难集中并逐级报告到相关部门进行处理。</w:t>
            </w:r>
          </w:p>
          <w:p w14:paraId="3A9D2E7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相关作业办法若无明确规定，后台人员即忽略探究细节:发现异常状况，若该异常状况没有明文规定应采取的动作，后台人员就没有向上呈报，也没有告知前台主管，即使该笔交易金额很大。</w:t>
            </w:r>
          </w:p>
          <w:p w14:paraId="3B0D93B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（2）信息系统更新不及时</w:t>
            </w:r>
          </w:p>
          <w:p w14:paraId="12E84AD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凯维埃尔所在部门交易量一年增长了一倍雇员两年内由4人增长到23人。在权益证券交易量猛增的情况下信息系统跟不上交易数量和日益复杂的金融衍生品交易需求。导致过分的依赖不完善的人工处理。</w:t>
            </w:r>
          </w:p>
          <w:p w14:paraId="748CDE6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（3）忽略外部信息</w:t>
            </w:r>
          </w:p>
          <w:p w14:paraId="5B3CA7E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2007年11月，关于凯维埃尔交易的异常现象，欧洲其货与期权交易所(EUREX)给兴业银行写了两封信，信中提及凯维埃尔购买的法兰克福指数期货的异常现象。兴业银行收到信后和凯维埃尔顶头上司进行了沟通，但并没有深入调查。因为凯维埃尔的部门经理很满意他得说辞。</w:t>
            </w:r>
          </w:p>
          <w:p w14:paraId="410303D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5.内部监督问题</w:t>
            </w:r>
          </w:p>
          <w:p w14:paraId="2BB739A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（1）员工之间的监督</w:t>
            </w:r>
          </w:p>
          <w:p w14:paraId="2F2BA0B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凯维埃尔采用的虚拟交易大约15%是由他的交易助理来完成的。正是交易助理与凯维埃尔的共谋为其规避内部控制提供了有力机会。</w:t>
            </w:r>
          </w:p>
          <w:p w14:paraId="37C29A8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（2）管理层的监督</w:t>
            </w:r>
          </w:p>
          <w:p w14:paraId="3FADF58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lastRenderedPageBreak/>
              <w:t>凯维埃尔顶头上司监管失灵，否则凯维埃尔的职务舞弊可能更早被发现。在凯维埃尔的舞弊案例中,对于交易活动和职员个人管理方面的监管都缺乏。交易员的顶头上司和监管者并没有对现存的数据结构进行必要分析，而是只选择听信凯维埃尔的解释。否则凯维埃尔舞弊行为早期就能够发现了。</w:t>
            </w:r>
          </w:p>
          <w:p w14:paraId="0FB1B58F" w14:textId="77777777" w:rsidR="00B229A7" w:rsidRDefault="00D7072C">
            <w:pPr>
              <w:spacing w:line="276" w:lineRule="auto"/>
              <w:rPr>
                <w:rFonts w:ascii="宋体" w:hAnsi="宋体"/>
                <w:b/>
                <w:bCs/>
                <w:color w:val="000000" w:themeColor="text1"/>
                <w:kern w:val="0"/>
                <w:szCs w:val="21"/>
              </w:rPr>
            </w:pPr>
            <w:r>
              <w:rPr>
                <w:rFonts w:ascii="宋体" w:hAnsi="宋体" w:hint="eastAsia"/>
                <w:b/>
                <w:bCs/>
                <w:color w:val="000000" w:themeColor="text1"/>
                <w:kern w:val="0"/>
                <w:szCs w:val="21"/>
              </w:rPr>
              <w:t>（五）内部控制的局限性</w:t>
            </w:r>
          </w:p>
          <w:p w14:paraId="2F8EDD2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1.人为判断错误和人为失误</w:t>
            </w:r>
          </w:p>
          <w:p w14:paraId="16C80A5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凯维埃尔建立巨额的欧洲股价指数期货，他持有指数期货达到490亿欧元，但是他看错了方向，一路惨赔。</w:t>
            </w:r>
          </w:p>
          <w:p w14:paraId="1340D91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2.两个或更多的人员串通或管理层凌驾于内部控制之上</w:t>
            </w:r>
          </w:p>
          <w:p w14:paraId="39D5E18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凯维埃尔盗用他人电脑账号，编造来自法兴银行内部和交易对手的虚假邮件，对交易进行授权、确认或者发出具体指</w:t>
            </w:r>
          </w:p>
          <w:p w14:paraId="5D3A20D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3.内部控制一般都是针对经常而重复发生的业务</w:t>
            </w:r>
          </w:p>
          <w:p w14:paraId="1A0B547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凯维埃尔运用不同的金融商品和不同的交易对手捏造假交易，而且迅速修改及删除异常交易。</w:t>
            </w:r>
          </w:p>
          <w:p w14:paraId="3FB42A14" w14:textId="77777777" w:rsidR="00B229A7" w:rsidRDefault="00D7072C">
            <w:pPr>
              <w:numPr>
                <w:ilvl w:val="0"/>
                <w:numId w:val="3"/>
              </w:numPr>
              <w:spacing w:line="276" w:lineRule="auto"/>
              <w:rPr>
                <w:rFonts w:ascii="宋体" w:hAnsi="宋体"/>
                <w:b/>
                <w:bCs/>
                <w:color w:val="000000" w:themeColor="text1"/>
                <w:kern w:val="0"/>
                <w:szCs w:val="21"/>
              </w:rPr>
            </w:pPr>
            <w:r>
              <w:rPr>
                <w:rFonts w:ascii="宋体" w:hAnsi="宋体" w:hint="eastAsia"/>
                <w:b/>
                <w:bCs/>
                <w:color w:val="000000" w:themeColor="text1"/>
                <w:kern w:val="0"/>
                <w:szCs w:val="21"/>
              </w:rPr>
              <w:t>改革措施</w:t>
            </w:r>
          </w:p>
          <w:p w14:paraId="7DBF1ABA"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1.增强信息安全控管，发展生物辨识系统，以避免不肖人员侵入系统篡改资料。</w:t>
            </w:r>
          </w:p>
          <w:p w14:paraId="27714D2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2.强化内部控制及预警机制</w:t>
            </w:r>
          </w:p>
          <w:p w14:paraId="40A8B2B2"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(1)确保信息能够适时传递给不同单位及适当的管理层阶。</w:t>
            </w:r>
          </w:p>
          <w:p w14:paraId="22DC29FD"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(2)修改内部控制的作业规定，例如，严格控制部位表报、改进交易确认书作业程序。</w:t>
            </w:r>
          </w:p>
          <w:p w14:paraId="734381C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(3)加强预警作业程序与作业风险预防系统。</w:t>
            </w:r>
          </w:p>
          <w:p w14:paraId="7FD6E2AB"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(4)前台及后台的作业管道必须明确独立。</w:t>
            </w:r>
          </w:p>
          <w:p w14:paraId="71C2B4A0"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3.组织结构再造，设立作业安全部门，负责侦测诈欺舞弊行为。</w:t>
            </w:r>
          </w:p>
          <w:p w14:paraId="55985DBA"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4.暂时缩减「压力测试限额」及「套利交易承作量」。</w:t>
            </w:r>
          </w:p>
          <w:p w14:paraId="51508F4C"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5.严格执行强迫休假制度。</w:t>
            </w:r>
          </w:p>
          <w:p w14:paraId="1A963193"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6.委托外部机构检视其作业规定并提供建议。</w:t>
            </w:r>
          </w:p>
        </w:tc>
      </w:tr>
      <w:tr w:rsidR="00B229A7" w14:paraId="35BCC032" w14:textId="77777777">
        <w:tc>
          <w:tcPr>
            <w:tcW w:w="1980" w:type="dxa"/>
          </w:tcPr>
          <w:p w14:paraId="7272B28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3537B8E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内部审计</w:t>
            </w:r>
          </w:p>
        </w:tc>
      </w:tr>
      <w:tr w:rsidR="00B229A7" w14:paraId="6EED15E3" w14:textId="77777777">
        <w:tc>
          <w:tcPr>
            <w:tcW w:w="1980" w:type="dxa"/>
          </w:tcPr>
          <w:p w14:paraId="25260EF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316" w:type="dxa"/>
          </w:tcPr>
          <w:p w14:paraId="4017DFA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欺诈案时隔两年后在巴黎宣判。尽管这位被称为“魔鬼交易员”的高智商诈骗犯罪嫌疑人用尽手段为自己开罪，仍被法庭判处5年监禁和史上罕见的49亿欧元天文数字的赔偿。</w:t>
            </w:r>
          </w:p>
        </w:tc>
      </w:tr>
      <w:tr w:rsidR="00B229A7" w14:paraId="53B95864" w14:textId="77777777">
        <w:tc>
          <w:tcPr>
            <w:tcW w:w="1980" w:type="dxa"/>
          </w:tcPr>
          <w:p w14:paraId="186D931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的企业经营及内控思考</w:t>
            </w:r>
          </w:p>
        </w:tc>
        <w:tc>
          <w:tcPr>
            <w:tcW w:w="6316" w:type="dxa"/>
          </w:tcPr>
          <w:p w14:paraId="3EB082F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(一)必须高度重视内控文化</w:t>
            </w:r>
          </w:p>
          <w:p w14:paraId="149C2A2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交易员之所以有机会超出权限进行交易，是因为这些企业对金融市场的风险熟视无睹，只看到它的高收益，却忽视了高风险，忽视了对风险的认识与管理。</w:t>
            </w:r>
          </w:p>
          <w:p w14:paraId="4608C78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(二)时刻防范操作风险。</w:t>
            </w:r>
          </w:p>
          <w:p w14:paraId="59DC08F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1.建立完备的资金交易风险评估和控制系统。</w:t>
            </w:r>
          </w:p>
          <w:p w14:paraId="6951EEE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2.建立资金交易中台和后台部门对前台的反映和监督机制。</w:t>
            </w:r>
          </w:p>
          <w:p w14:paraId="0746428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3.对衍生产品交易主管和交易员制定明确的资格认定标准</w:t>
            </w:r>
          </w:p>
          <w:p w14:paraId="2D73C4A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和实行严格的分级授权制度。</w:t>
            </w:r>
          </w:p>
          <w:p w14:paraId="4D4C4C0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4.要树立防范操作风险的意识，建立健全内部审计机构</w:t>
            </w:r>
          </w:p>
          <w:p w14:paraId="030D911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(三)不断完善监控系统</w:t>
            </w:r>
          </w:p>
          <w:p w14:paraId="3A8321E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建立有效可控的内控系统，包括组织机构控制制度，不相容职务分离制度，授权批准制度，会计监督制度，会计信息控制制度。</w:t>
            </w:r>
          </w:p>
        </w:tc>
      </w:tr>
      <w:tr w:rsidR="00B229A7" w14:paraId="62705609" w14:textId="77777777">
        <w:tc>
          <w:tcPr>
            <w:tcW w:w="1980" w:type="dxa"/>
          </w:tcPr>
          <w:p w14:paraId="0880D64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51A88B53"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（一）执行风险评估程序</w:t>
            </w:r>
          </w:p>
          <w:p w14:paraId="49F5D7D4"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询问被审计单位管理层和内部其他相关人员，以提升风险评估程序的效率和效果，进而分析程序，观察和检查。</w:t>
            </w:r>
          </w:p>
          <w:p w14:paraId="7765B056"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（二）了解被审计单位及其环境</w:t>
            </w:r>
          </w:p>
          <w:p w14:paraId="132AC8A8"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审计过程的起点就是获得被审计单位及其环境的了解，目的在于评估被审单位的经营风险。</w:t>
            </w:r>
          </w:p>
          <w:p w14:paraId="6B60A0C8"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（三）了解被审计单位内部控制</w:t>
            </w:r>
          </w:p>
          <w:p w14:paraId="75050AFE"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识别和评估重大错报风险、设计与实施进一步审计程序的基础，包括性质、时间和范围。</w:t>
            </w:r>
          </w:p>
          <w:p w14:paraId="5D83B9AB"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（四）评估重大错报风险</w:t>
            </w:r>
          </w:p>
          <w:p w14:paraId="2176B7A7"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经历初步评估、修订初步评估、检查认定层次的重大错报风险，进而设计和执行审计程序。</w:t>
            </w:r>
          </w:p>
        </w:tc>
      </w:tr>
      <w:tr w:rsidR="00B229A7" w14:paraId="1D3FB657" w14:textId="77777777">
        <w:tc>
          <w:tcPr>
            <w:tcW w:w="1980" w:type="dxa"/>
          </w:tcPr>
          <w:p w14:paraId="0AA1855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316" w:type="dxa"/>
          </w:tcPr>
          <w:p w14:paraId="71852DE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内部控制、风险评估</w:t>
            </w:r>
          </w:p>
        </w:tc>
      </w:tr>
    </w:tbl>
    <w:p w14:paraId="3042E7F8" w14:textId="77777777" w:rsidR="00B229A7" w:rsidRDefault="00D7072C">
      <w:pPr>
        <w:pStyle w:val="1"/>
      </w:pPr>
      <w:bookmarkStart w:id="74" w:name="_Toc104812318"/>
      <w:bookmarkStart w:id="75" w:name="_Toc104812499"/>
      <w:bookmarkStart w:id="76" w:name="_Toc104812597"/>
      <w:r>
        <w:t>2</w:t>
      </w:r>
      <w:r>
        <w:rPr>
          <w:rFonts w:hint="eastAsia"/>
        </w:rPr>
        <w:t>2</w:t>
      </w:r>
      <w:r>
        <w:rPr>
          <w:rFonts w:hint="eastAsia"/>
        </w:rPr>
        <w:t>美国林肯储蓄信贷银行</w:t>
      </w:r>
      <w:bookmarkEnd w:id="74"/>
      <w:bookmarkEnd w:id="75"/>
      <w:bookmarkEnd w:id="76"/>
    </w:p>
    <w:tbl>
      <w:tblPr>
        <w:tblStyle w:val="a4"/>
        <w:tblW w:w="8532" w:type="dxa"/>
        <w:tblLayout w:type="fixed"/>
        <w:tblLook w:val="04A0" w:firstRow="1" w:lastRow="0" w:firstColumn="1" w:lastColumn="0" w:noHBand="0" w:noVBand="1"/>
      </w:tblPr>
      <w:tblGrid>
        <w:gridCol w:w="1980"/>
        <w:gridCol w:w="6552"/>
      </w:tblGrid>
      <w:tr w:rsidR="00B229A7" w14:paraId="4838CDE3" w14:textId="77777777">
        <w:tc>
          <w:tcPr>
            <w:tcW w:w="1980" w:type="dxa"/>
          </w:tcPr>
          <w:p w14:paraId="11C9F00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552" w:type="dxa"/>
          </w:tcPr>
          <w:p w14:paraId="0B0B368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w:t>
            </w:r>
            <w:r>
              <w:rPr>
                <w:rFonts w:ascii="宋体" w:hAnsi="宋体"/>
                <w:color w:val="000000" w:themeColor="text1"/>
                <w:kern w:val="0"/>
                <w:szCs w:val="21"/>
              </w:rPr>
              <w:t>13</w:t>
            </w:r>
          </w:p>
        </w:tc>
      </w:tr>
      <w:tr w:rsidR="00B229A7" w14:paraId="743597DC" w14:textId="77777777">
        <w:tc>
          <w:tcPr>
            <w:tcW w:w="1980" w:type="dxa"/>
          </w:tcPr>
          <w:p w14:paraId="463F514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552" w:type="dxa"/>
          </w:tcPr>
          <w:p w14:paraId="061F275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6F2C27B3" w14:textId="77777777">
        <w:tc>
          <w:tcPr>
            <w:tcW w:w="1980" w:type="dxa"/>
          </w:tcPr>
          <w:p w14:paraId="470FCFE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552" w:type="dxa"/>
          </w:tcPr>
          <w:p w14:paraId="44A7A9D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1989年</w:t>
            </w:r>
          </w:p>
        </w:tc>
      </w:tr>
      <w:tr w:rsidR="00B229A7" w14:paraId="3CA38C86" w14:textId="77777777">
        <w:tc>
          <w:tcPr>
            <w:tcW w:w="1980" w:type="dxa"/>
          </w:tcPr>
          <w:p w14:paraId="0BFBE28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552" w:type="dxa"/>
          </w:tcPr>
          <w:p w14:paraId="592D5F0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美国林肯储蓄信贷银行</w:t>
            </w:r>
          </w:p>
        </w:tc>
      </w:tr>
      <w:tr w:rsidR="00B229A7" w14:paraId="2E47C99D" w14:textId="77777777">
        <w:tc>
          <w:tcPr>
            <w:tcW w:w="1980" w:type="dxa"/>
          </w:tcPr>
          <w:p w14:paraId="6952C99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552" w:type="dxa"/>
          </w:tcPr>
          <w:p w14:paraId="280DA38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银行业</w:t>
            </w:r>
          </w:p>
        </w:tc>
      </w:tr>
      <w:tr w:rsidR="00B229A7" w14:paraId="6D49304B" w14:textId="77777777">
        <w:tc>
          <w:tcPr>
            <w:tcW w:w="1980" w:type="dxa"/>
          </w:tcPr>
          <w:p w14:paraId="130E55C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552" w:type="dxa"/>
          </w:tcPr>
          <w:p w14:paraId="27FD0FD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3255FB42"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20世纪80年代至90年代初期，美国林肯储蓄信贷银行（</w:t>
            </w:r>
            <w:proofErr w:type="spellStart"/>
            <w:r>
              <w:rPr>
                <w:rFonts w:ascii="宋体" w:hAnsi="宋体" w:hint="eastAsia"/>
                <w:bCs/>
                <w:color w:val="000000" w:themeColor="text1"/>
                <w:kern w:val="0"/>
                <w:szCs w:val="21"/>
              </w:rPr>
              <w:t>LincolnSavingsandLoan</w:t>
            </w:r>
            <w:proofErr w:type="spellEnd"/>
            <w:r>
              <w:rPr>
                <w:rFonts w:ascii="宋体" w:hAnsi="宋体" w:hint="eastAsia"/>
                <w:bCs/>
                <w:color w:val="000000" w:themeColor="text1"/>
                <w:kern w:val="0"/>
                <w:szCs w:val="21"/>
              </w:rPr>
              <w:t>，简称“LSL”）审计失败案轰动一时：实际控制人凯汀通过虚构不动产关联交易增加利润，并借此出售垃圾债券，使投资者蒙受巨额损失。此案中会计师事务所的抗辩内容和审计底稿，成为人们研究审计模式变革的难得材料。</w:t>
            </w:r>
          </w:p>
          <w:p w14:paraId="2794DD62"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1978年，凯汀在美国俄亥俄州创立了美洲大陆公司，并于6年后通过该公司收购了LSL。完成收购后，LSL将其贷款重心从住宅抵押贷</w:t>
            </w:r>
            <w:r>
              <w:rPr>
                <w:rFonts w:ascii="宋体" w:hAnsi="宋体" w:hint="eastAsia"/>
                <w:bCs/>
                <w:color w:val="000000" w:themeColor="text1"/>
                <w:kern w:val="0"/>
                <w:szCs w:val="21"/>
              </w:rPr>
              <w:lastRenderedPageBreak/>
              <w:t>款转向风险较大的土地开发项目，向美洲大陆公司多次分红，更为后者房地产开发项目提供了无息贷款支持，成为其事实上的“小金库”。</w:t>
            </w:r>
          </w:p>
          <w:p w14:paraId="14FDBA3E"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1986年和1987年，在美洲大陆公司操控下，LSL通过买卖房地产开发所用的土地，虚构1.35亿美元利润。在高利润的基础上支付大笔资金向母公司美洲大陆公司分红。同时LSL在会计师事务所出具标准审计意见基础上，大量发行垃圾债券。当土地的购买者不能偿付无追索权票据时，LSL不得不确认损失而最终破产。</w:t>
            </w:r>
          </w:p>
          <w:p w14:paraId="64DE947E"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此案造成至少20亿美元的纳税款损失，导致垃圾债券购买者严重亏损，并致使一位退休老人自杀身亡。</w:t>
            </w:r>
          </w:p>
          <w:p w14:paraId="49F399E9" w14:textId="77777777" w:rsidR="00B229A7" w:rsidRDefault="00B229A7">
            <w:pPr>
              <w:spacing w:line="276" w:lineRule="auto"/>
              <w:rPr>
                <w:rFonts w:ascii="宋体" w:hAnsi="宋体"/>
                <w:bCs/>
                <w:color w:val="000000" w:themeColor="text1"/>
                <w:kern w:val="0"/>
                <w:szCs w:val="21"/>
              </w:rPr>
            </w:pPr>
          </w:p>
          <w:p w14:paraId="21646E5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24E8D7C5" w14:textId="77777777" w:rsidR="00B229A7" w:rsidRDefault="00D7072C">
            <w:pPr>
              <w:spacing w:line="276" w:lineRule="auto"/>
              <w:rPr>
                <w:rFonts w:ascii="宋体" w:hAnsi="宋体"/>
                <w:color w:val="000000" w:themeColor="text1"/>
                <w:kern w:val="0"/>
                <w:szCs w:val="21"/>
              </w:rPr>
            </w:pPr>
            <w:r>
              <w:rPr>
                <w:rFonts w:ascii="宋体" w:hAnsi="宋体"/>
                <w:b/>
                <w:bCs/>
                <w:color w:val="000000" w:themeColor="text1"/>
                <w:kern w:val="0"/>
                <w:szCs w:val="21"/>
              </w:rPr>
              <w:tab/>
            </w:r>
            <w:r>
              <w:rPr>
                <w:rFonts w:ascii="宋体" w:hAnsi="宋体" w:hint="eastAsia"/>
                <w:color w:val="000000" w:themeColor="text1"/>
                <w:kern w:val="0"/>
                <w:szCs w:val="21"/>
              </w:rPr>
              <w:t>从事后国会调查过程中所披露的各种证据及审计工作底稿看，安永对执行的审计程度存在着严重失误，突出表现在以下两点</w:t>
            </w:r>
          </w:p>
          <w:p w14:paraId="13AA58D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第一，未充分了解客户的主要业务、行业状况和控制环境。不动产经营是的主要业务。和年，在未开发土地销售上就虚构了亿美元的会计收益，否则将汁外报告总额为万美元的税前亏损。而其不动产业务“利润”又主要来源于隐形大峡谷土地开发项目。隐形大峡谷位于凤凰城商业区西南，地处偏僻，基拙设施建设落后。于一年以美元的均价在此处收购了英亩未开发土地，但很快在年以高达一美元的均价将其“出售”，确认了多万美元的税前利润。而当时整个亚利桑那州和风凰城商业区不动产零售市场处于高度竞争之中。《大凤凰商业杂志》和《华尔街杂志》在年中期之前就曾报道，凤凰城房地产需求已经平缓并开始下降，预期该地区的价格会下跌对反常的收益和当时的行业状况，审计师本应特别关注，而安永的审计人员却熟视无睹。此外，审计人员对客户控制环境所蕴涵的固有风险也未给予重视。凯汀在收购后，违背其不改组经理人员的承诺，委派自己的儿子小凯汀担任的总裁，而此前小凯汀只是乡村俱乐部餐馆的司机，根本不能理解他所批准的许多交易事项的真实含义。综上所述，安永的审计人员没有遵守公认审计准则的要求，在计划阶段充分调查了解客户的经营业务特别是对财务贡献很大的主要经营项目、行业特征包括行业规则和竞争状况，并认真分析影响客户经营业务和所在行业的经济因素，这自然不利于在此后的审计实施阶段评估客户交易会计处理的合理性。</w:t>
            </w:r>
          </w:p>
          <w:p w14:paraId="091EF36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第二，重要交易事项的审计侧试严重不当。仅以年月日进行的一笔所谓通过第三方预付定金间接融资的交易为例。交易的具体内容见下图所示。在这笔羌联交易中，的全资子公司记录了万美元的会计收益，占当年税前利润的安永的审计人员认为，根据《财务会计准则公告第号—不动产销售会计》以下简称号公告的规定，直接确认这项收益是适当的。理由是该交易的结构符合号公告的机械性要求预付款符</w:t>
            </w:r>
            <w:r>
              <w:rPr>
                <w:rFonts w:ascii="宋体" w:hAnsi="宋体" w:hint="eastAsia"/>
                <w:color w:val="000000" w:themeColor="text1"/>
                <w:kern w:val="0"/>
                <w:szCs w:val="21"/>
              </w:rPr>
              <w:lastRenderedPageBreak/>
              <w:t>合号公告最低的初始投资标准一“且付款期也符合号公告少于。年的偿付标准年。同时，审计人员还推断，在维斯肯公司不能偿付债务时，卡西尔公司会介入以保护其在这项房地产上拥有的万美元的利益。从形式上看，该笔交易的大部分环节确实符合号公告，但实质上却存在下列问题。其一，所交易的土地价值的巨幅增长售价是个月前购进成本的四倍多与当时当地整个行业的市场价格变动趋势相背审计小组编制的工作底稿中也没有显示其收集和评估房地产市场行情的证据。他们后来在国会作证时承认，未曾考虑过房地产市场的变动其二，梢售收入的可收回性缺乏保证作为买方的维斯肯公司年的净资产只有约万美元，不到其在此笔交易中每年须偿付的万美元应付票据本息的且该公司没有其他任何可盈利的资产，就连万美元的预付款也完全是借入的。同时，该公司购入的这块偏僻的土地至少需要年才能开发出来，在年的付款期内不可能产生任何现金流基于市场变动趋势和土地所处位置，该公司为投机目的购入这块土地也无说服力。这些都足以表明它不具备偿还总计万美元债务的能力，从而也就意味着的此笔大额销售缺乏收款保证。但审计小组成员并未仔细评估维斯肯公司的偿债能力。其三，作为受管制的金融企业，为达到监管部门设定的最低资本标准，具有利用这种关联交易虚构会计利润的经济动机。考察交易者的动机可为审计人员分析交易的实质提供进一步的证据然而，在上述三个方面，安永的审计人员都没有进行认真的分析性复核，更没有进行详细的实质性测试，只是简单地将公司当年隐形大峡谷的土地销售明细情况进行汇总并与公司账薄核对，就作出认可交易收益确认的审计结论，这显然是错误的。</w:t>
            </w:r>
          </w:p>
          <w:p w14:paraId="036C2184"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5D6D2162" wp14:editId="3EA682C5">
                  <wp:extent cx="3232150" cy="1651000"/>
                  <wp:effectExtent l="0" t="0" r="6350" b="0"/>
                  <wp:docPr id="17" name="图片 1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示&#10;&#10;描述已自动生成"/>
                          <pic:cNvPicPr>
                            <a:picLocks noChangeAspect="1"/>
                          </pic:cNvPicPr>
                        </pic:nvPicPr>
                        <pic:blipFill>
                          <a:blip r:embed="rId25"/>
                          <a:stretch>
                            <a:fillRect/>
                          </a:stretch>
                        </pic:blipFill>
                        <pic:spPr>
                          <a:xfrm>
                            <a:off x="0" y="0"/>
                            <a:ext cx="3232150" cy="1651000"/>
                          </a:xfrm>
                          <a:prstGeom prst="rect">
                            <a:avLst/>
                          </a:prstGeom>
                          <a:noFill/>
                          <a:ln>
                            <a:noFill/>
                          </a:ln>
                        </pic:spPr>
                      </pic:pic>
                    </a:graphicData>
                  </a:graphic>
                </wp:inline>
              </w:drawing>
            </w:r>
          </w:p>
          <w:p w14:paraId="664E84CA" w14:textId="77777777" w:rsidR="00B229A7" w:rsidRDefault="00B229A7">
            <w:pPr>
              <w:spacing w:line="276" w:lineRule="auto"/>
              <w:rPr>
                <w:rFonts w:ascii="宋体" w:hAnsi="宋体" w:cs="宋体"/>
                <w:color w:val="000000" w:themeColor="text1"/>
                <w:kern w:val="0"/>
                <w:szCs w:val="21"/>
              </w:rPr>
            </w:pPr>
          </w:p>
        </w:tc>
      </w:tr>
      <w:tr w:rsidR="00B229A7" w14:paraId="13497222" w14:textId="77777777">
        <w:tc>
          <w:tcPr>
            <w:tcW w:w="1980" w:type="dxa"/>
          </w:tcPr>
          <w:p w14:paraId="2BCE913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552" w:type="dxa"/>
          </w:tcPr>
          <w:p w14:paraId="2EA5375B" w14:textId="77777777" w:rsidR="00B229A7" w:rsidRDefault="00D7072C">
            <w:pPr>
              <w:spacing w:line="276" w:lineRule="auto"/>
              <w:jc w:val="center"/>
              <w:rPr>
                <w:rFonts w:ascii="宋体" w:hAnsi="宋体"/>
                <w:b/>
                <w:color w:val="000000" w:themeColor="text1"/>
                <w:kern w:val="0"/>
                <w:szCs w:val="21"/>
              </w:rPr>
            </w:pPr>
            <w:r>
              <w:rPr>
                <w:rFonts w:ascii="宋体" w:hAnsi="宋体" w:hint="eastAsia"/>
                <w:bCs/>
                <w:color w:val="000000" w:themeColor="text1"/>
                <w:kern w:val="0"/>
                <w:szCs w:val="21"/>
              </w:rPr>
              <w:t>安达信、安永和杜罗斯会计师事务所</w:t>
            </w:r>
          </w:p>
        </w:tc>
      </w:tr>
      <w:tr w:rsidR="00B229A7" w14:paraId="38E6237B" w14:textId="77777777">
        <w:tc>
          <w:tcPr>
            <w:tcW w:w="1980" w:type="dxa"/>
          </w:tcPr>
          <w:p w14:paraId="03AC2E3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w:t>
            </w:r>
            <w:r>
              <w:rPr>
                <w:rFonts w:ascii="宋体" w:hAnsi="宋体"/>
                <w:color w:val="000000" w:themeColor="text1"/>
                <w:kern w:val="0"/>
                <w:szCs w:val="21"/>
              </w:rPr>
              <w:t>或责任详情</w:t>
            </w:r>
          </w:p>
        </w:tc>
        <w:tc>
          <w:tcPr>
            <w:tcW w:w="6552" w:type="dxa"/>
          </w:tcPr>
          <w:p w14:paraId="7F74A4E0"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bCs/>
                <w:color w:val="000000" w:themeColor="text1"/>
                <w:kern w:val="0"/>
                <w:szCs w:val="21"/>
              </w:rPr>
              <w:t>最外凯汀因欺诈发行债券铃铛入狱，会计师事务所接受民事调解而面临巨额赔偿。</w:t>
            </w:r>
          </w:p>
        </w:tc>
      </w:tr>
      <w:tr w:rsidR="00B229A7" w14:paraId="0772D2B1" w14:textId="77777777">
        <w:tc>
          <w:tcPr>
            <w:tcW w:w="1980" w:type="dxa"/>
          </w:tcPr>
          <w:p w14:paraId="6FEBF42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552" w:type="dxa"/>
          </w:tcPr>
          <w:p w14:paraId="4A019D02" w14:textId="77777777" w:rsidR="00B229A7" w:rsidRDefault="00D7072C">
            <w:pPr>
              <w:numPr>
                <w:ilvl w:val="0"/>
                <w:numId w:val="4"/>
              </w:numPr>
              <w:spacing w:line="276" w:lineRule="auto"/>
              <w:rPr>
                <w:rFonts w:ascii="宋体" w:hAnsi="宋体"/>
                <w:color w:val="000000" w:themeColor="text1"/>
                <w:kern w:val="0"/>
                <w:szCs w:val="21"/>
              </w:rPr>
            </w:pPr>
            <w:r>
              <w:rPr>
                <w:rFonts w:ascii="宋体" w:hAnsi="宋体" w:hint="eastAsia"/>
                <w:color w:val="000000" w:themeColor="text1"/>
                <w:kern w:val="0"/>
                <w:szCs w:val="21"/>
              </w:rPr>
              <w:t>确立新的审计独立性的规则。独立性是审计的灵魂，形式上的独立又是审计独立性的保证。长期以来，只是对审计人员及其事务所在客户方面拥有的经济利益、与客户的业务关系等予以限制，但对其他一</w:t>
            </w:r>
            <w:r>
              <w:rPr>
                <w:rFonts w:ascii="宋体" w:hAnsi="宋体" w:hint="eastAsia"/>
                <w:color w:val="000000" w:themeColor="text1"/>
                <w:kern w:val="0"/>
                <w:szCs w:val="21"/>
              </w:rPr>
              <w:lastRenderedPageBreak/>
              <w:t>些重要的关系却关注不够，如客户以高薪、高位的承诺诱使审计人员背离审计准则和职业道德规范，屈从客户的不当意愿。纵观包括安然事件在内的国内外许多审计失败和审计诉讼案例，曾参与客户审计业务的审计人员最后到客户就任高级职位往往是导致审计不实的一个重要因素。但长期以来这类问题未得到应有关注，安然事件后，设立审计人员到客户任职的冷冻期标准才提上议事日程。如美国《萨班斯一奥克斯利法案》已规定在会计师事务所审计证券发行公司的前一年内，如果该公司的现任首席执行官、主计长或财务总监或任何同等职位人员曾被该事务所雇佣并参与了该公司的审计，则该事务所向该公司提供任何审计业务的行为都是非法的。</w:t>
            </w:r>
          </w:p>
          <w:p w14:paraId="3AF13BDB" w14:textId="77777777" w:rsidR="00B229A7" w:rsidRDefault="00D7072C">
            <w:pPr>
              <w:numPr>
                <w:ilvl w:val="0"/>
                <w:numId w:val="4"/>
              </w:numPr>
              <w:spacing w:line="276" w:lineRule="auto"/>
              <w:rPr>
                <w:rFonts w:ascii="宋体" w:hAnsi="宋体"/>
                <w:color w:val="000000" w:themeColor="text1"/>
                <w:kern w:val="0"/>
                <w:szCs w:val="21"/>
              </w:rPr>
            </w:pPr>
            <w:r>
              <w:rPr>
                <w:rFonts w:ascii="宋体" w:hAnsi="宋体" w:hint="eastAsia"/>
                <w:color w:val="000000" w:themeColor="text1"/>
                <w:kern w:val="0"/>
                <w:szCs w:val="21"/>
              </w:rPr>
              <w:t>必须充分了解和分析客户的业务和行业状况。行业专门化的发展趋势是对客户知识重视的最高境界。事实上，国内外许多审计失致事件往往也与审计业务具体执行人员或复核人员缺乏对客户所在行业背景的了解有关，如不了解行业的基本运作知识、行业的平均或正常对务和经济技术指标、与客户同行业的其他企业通常采用的会计处理办法、客户的市场占有率和竟争地位等，因而不能分辫出会计上的异常情况，结果出具了不当的审计报告。正是出于对客户行业和经营业务知识重要性的认识，国内外大型会计公司采取了以下措施①把了解和分析客户的业务和行业状况作为重要的质量控制程序②建立行业资料数据库，并鼓励一些审计人员专攻特定行业的审计业务，成为行业审计专家③将传统的按业务类型设立组织机构的模式改为按行业服务线设立的模式④形成行业专门化。行业专门化是指在某种或少数几种行业的审计业务中具有特殊专长。例如，在美国年的审计市场上，按客户数量统计，安永在交通业和制造业的审计市场中分别占有了和的份额毕马威在金融服务业审计市场上占据了的份额安达信在公用事业和农业的审计市场份额分别达到了和德勤在零售业审计市场的份额为。</w:t>
            </w:r>
          </w:p>
          <w:p w14:paraId="53920A23" w14:textId="77777777" w:rsidR="00B229A7" w:rsidRDefault="00D7072C">
            <w:pPr>
              <w:numPr>
                <w:ilvl w:val="0"/>
                <w:numId w:val="4"/>
              </w:numPr>
              <w:spacing w:line="276" w:lineRule="auto"/>
              <w:rPr>
                <w:rFonts w:ascii="宋体" w:hAnsi="宋体"/>
                <w:color w:val="000000" w:themeColor="text1"/>
                <w:kern w:val="0"/>
                <w:szCs w:val="21"/>
              </w:rPr>
            </w:pPr>
            <w:r>
              <w:rPr>
                <w:rFonts w:ascii="宋体" w:hAnsi="宋体" w:hint="eastAsia"/>
                <w:color w:val="000000" w:themeColor="text1"/>
                <w:kern w:val="0"/>
                <w:szCs w:val="21"/>
              </w:rPr>
              <w:t>高度重视对关联方交易的审计。关联方之间的交易似乎已经成为被审计单位改善会计报表形象的最为便利的手段。关联方交易审计的难点在于关联方的认定和关联方交易非关联化。通常，审计人员在确定关联方时将其注意力放在主要投资者个人、关键管理人员和与其关系密切的家庭成员方面，却忽视了与主要投资者个人、关键管理人员关系密切的朋友关系。在进行的通过第三方预付定金间接融资的交易中，获得货款的卡西尔公司的所有者兼经营者卡西尔是凯汀的密友，而购买土地的维斯肯公司的所有者爱克斯塔则为卡西尔的朋友。凯汀利用这层关系使关联方交易从形式上非关联化，从而加大了审计检查风险。如果审计人员在审计过程中有效地运用了实质重于形式的原则，认清该间接融资交易的实质，凯汀的图谋就不会得逞。</w:t>
            </w:r>
          </w:p>
          <w:p w14:paraId="249BC8CB" w14:textId="77777777" w:rsidR="00B229A7" w:rsidRDefault="00B229A7">
            <w:pPr>
              <w:spacing w:line="276" w:lineRule="auto"/>
              <w:rPr>
                <w:rStyle w:val="11"/>
                <w:rFonts w:ascii="宋体" w:hAnsi="宋体"/>
                <w:i w:val="0"/>
                <w:iCs w:val="0"/>
                <w:color w:val="000000" w:themeColor="text1"/>
                <w:kern w:val="0"/>
                <w:szCs w:val="21"/>
              </w:rPr>
            </w:pPr>
          </w:p>
        </w:tc>
      </w:tr>
      <w:tr w:rsidR="00B229A7" w14:paraId="34F19AB1" w14:textId="77777777">
        <w:tc>
          <w:tcPr>
            <w:tcW w:w="1980" w:type="dxa"/>
          </w:tcPr>
          <w:p w14:paraId="5B09739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552" w:type="dxa"/>
          </w:tcPr>
          <w:p w14:paraId="14A456E7" w14:textId="77777777" w:rsidR="00B229A7" w:rsidRDefault="00D7072C">
            <w:pPr>
              <w:widowControl/>
              <w:spacing w:line="276" w:lineRule="auto"/>
              <w:jc w:val="left"/>
              <w:rPr>
                <w:rFonts w:ascii="宋体" w:hAnsi="宋体" w:cs="宋体"/>
                <w:color w:val="000000" w:themeColor="text1"/>
                <w:kern w:val="0"/>
                <w:szCs w:val="21"/>
              </w:rPr>
            </w:pPr>
            <w:r>
              <w:rPr>
                <w:rFonts w:ascii="宋体" w:hAnsi="宋体" w:cs="宋体" w:hint="eastAsia"/>
                <w:color w:val="000000" w:themeColor="text1"/>
                <w:kern w:val="0"/>
                <w:szCs w:val="21"/>
              </w:rPr>
              <w:t>关联方交易审计、审计重要性</w:t>
            </w:r>
          </w:p>
          <w:p w14:paraId="7FA696BC" w14:textId="77777777" w:rsidR="00B229A7" w:rsidRDefault="00B229A7">
            <w:pPr>
              <w:spacing w:line="276" w:lineRule="auto"/>
              <w:rPr>
                <w:rFonts w:ascii="宋体" w:hAnsi="宋体"/>
                <w:color w:val="000000" w:themeColor="text1"/>
                <w:kern w:val="0"/>
                <w:szCs w:val="21"/>
              </w:rPr>
            </w:pPr>
          </w:p>
        </w:tc>
      </w:tr>
    </w:tbl>
    <w:p w14:paraId="33C83D76" w14:textId="77777777" w:rsidR="00B229A7" w:rsidRDefault="00B229A7">
      <w:pPr>
        <w:widowControl/>
        <w:spacing w:line="276" w:lineRule="auto"/>
        <w:jc w:val="left"/>
        <w:rPr>
          <w:rFonts w:ascii="宋体" w:hAnsi="宋体"/>
          <w:color w:val="000000" w:themeColor="text1"/>
          <w:szCs w:val="21"/>
        </w:rPr>
      </w:pPr>
    </w:p>
    <w:p w14:paraId="23EAA472" w14:textId="77777777" w:rsidR="00B229A7" w:rsidRDefault="00D7072C">
      <w:pPr>
        <w:pStyle w:val="1"/>
      </w:pPr>
      <w:bookmarkStart w:id="77" w:name="_Toc515709071"/>
      <w:bookmarkStart w:id="78" w:name="_Toc104812500"/>
      <w:bookmarkStart w:id="79" w:name="_Toc104812598"/>
      <w:bookmarkStart w:id="80" w:name="_Toc104812319"/>
      <w:r>
        <w:t>2</w:t>
      </w:r>
      <w:r>
        <w:rPr>
          <w:rFonts w:hint="eastAsia"/>
        </w:rPr>
        <w:t>3</w:t>
      </w:r>
      <w:bookmarkEnd w:id="77"/>
      <w:r>
        <w:rPr>
          <w:rFonts w:hint="eastAsia"/>
        </w:rPr>
        <w:t>潘斯奎尔银行</w:t>
      </w:r>
      <w:bookmarkEnd w:id="78"/>
      <w:bookmarkEnd w:id="79"/>
      <w:bookmarkEnd w:id="80"/>
    </w:p>
    <w:tbl>
      <w:tblPr>
        <w:tblStyle w:val="a4"/>
        <w:tblW w:w="8296" w:type="dxa"/>
        <w:tblLayout w:type="fixed"/>
        <w:tblLook w:val="04A0" w:firstRow="1" w:lastRow="0" w:firstColumn="1" w:lastColumn="0" w:noHBand="0" w:noVBand="1"/>
      </w:tblPr>
      <w:tblGrid>
        <w:gridCol w:w="1980"/>
        <w:gridCol w:w="6316"/>
      </w:tblGrid>
      <w:tr w:rsidR="00B229A7" w14:paraId="1103A840" w14:textId="77777777">
        <w:tc>
          <w:tcPr>
            <w:tcW w:w="1980" w:type="dxa"/>
          </w:tcPr>
          <w:p w14:paraId="7BB3755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2EA87E5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w:t>
            </w:r>
            <w:r>
              <w:rPr>
                <w:rFonts w:ascii="宋体" w:hAnsi="宋体"/>
                <w:color w:val="000000" w:themeColor="text1"/>
                <w:kern w:val="0"/>
                <w:szCs w:val="21"/>
              </w:rPr>
              <w:t>14</w:t>
            </w:r>
          </w:p>
        </w:tc>
      </w:tr>
      <w:tr w:rsidR="00B229A7" w14:paraId="53D19795" w14:textId="77777777">
        <w:tc>
          <w:tcPr>
            <w:tcW w:w="1980" w:type="dxa"/>
          </w:tcPr>
          <w:p w14:paraId="545A4E2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2775232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7DC931E7" w14:textId="77777777">
        <w:tc>
          <w:tcPr>
            <w:tcW w:w="1980" w:type="dxa"/>
          </w:tcPr>
          <w:p w14:paraId="2AB10CD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65475D0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1974</w:t>
            </w:r>
            <w:r>
              <w:rPr>
                <w:rFonts w:ascii="宋体" w:hAnsi="宋体"/>
                <w:color w:val="000000" w:themeColor="text1"/>
                <w:kern w:val="0"/>
                <w:szCs w:val="21"/>
              </w:rPr>
              <w:t>年</w:t>
            </w:r>
          </w:p>
        </w:tc>
      </w:tr>
      <w:tr w:rsidR="00B229A7" w14:paraId="2B2CF9BC" w14:textId="77777777">
        <w:tc>
          <w:tcPr>
            <w:tcW w:w="1980" w:type="dxa"/>
          </w:tcPr>
          <w:p w14:paraId="2A8C72F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6924285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潘斯奎尔银行</w:t>
            </w:r>
          </w:p>
        </w:tc>
      </w:tr>
      <w:tr w:rsidR="00B229A7" w14:paraId="400955E1" w14:textId="77777777">
        <w:tc>
          <w:tcPr>
            <w:tcW w:w="1980" w:type="dxa"/>
          </w:tcPr>
          <w:p w14:paraId="7775707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6F6991C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银行业</w:t>
            </w:r>
          </w:p>
        </w:tc>
      </w:tr>
      <w:tr w:rsidR="00B229A7" w14:paraId="25996577" w14:textId="77777777">
        <w:tc>
          <w:tcPr>
            <w:tcW w:w="1980" w:type="dxa"/>
          </w:tcPr>
          <w:p w14:paraId="41307E9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7C7454BE"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15E3F596"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潘·斯奎尔银行(以下简称斯奎尔银行)成立于1960年，位于俄克拉荷马城一个购物中心内。很多年里，该银行的主要客户是购物中心的零售商及周围社区的居民。</w:t>
            </w:r>
          </w:p>
          <w:p w14:paraId="65513902" w14:textId="77777777" w:rsidR="00B229A7" w:rsidRDefault="00B229A7">
            <w:pPr>
              <w:spacing w:line="276" w:lineRule="auto"/>
              <w:ind w:firstLineChars="200" w:firstLine="420"/>
              <w:rPr>
                <w:rFonts w:ascii="宋体" w:hAnsi="宋体"/>
                <w:bCs/>
                <w:color w:val="000000" w:themeColor="text1"/>
                <w:kern w:val="0"/>
                <w:szCs w:val="21"/>
              </w:rPr>
            </w:pPr>
          </w:p>
          <w:p w14:paraId="7804E06F"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6E22F2F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1974年，BP机商詹宁斯买下这家总资产只有2.9万美元的银行后，立即参与了70年代末期俄克拉荷马州骤然升温的石油热中，对开采石油和天然气的投机商的贷款也一下子激增起来。当它被美国联邦存款保险公司(以下简称FDIC)勒令关闭时，对石油和天然气行业的贷款已占到该银行资产的81%以上。斯奎尔银行爆炸性的增长主要是由一个叫帕特森的人操纵的。詹宁斯为了报答一位家族朋友的恩情，雇用了当时只有25岁左右的帕特森。帕特森虽然只有一点初浅的贷款经验，但却得到了一个贷款部职员的位子。在18个月之后，帕特森被提拔为贷款部经理，负责管理银行的全部石油和天然气贷款业务。70年代后期，帕特森成功地将很多石油和天然气企业吸引到斯奎尔银行。为了给迅速增长的贷款基金筹资。斯奎尔银行不得不拼命地扩大存款基础。它通过对大额存单提供优惠利率(比当时普通的利率高出25到150个基点)，得以在短期内吸引了大量的投资。尽管斯奎尔银行迅速发展，而目在它倒闭时资产已超过5亿美元，但在当地它仍只算是一家中型银行，在被FDIC关闭的银行中仅排第七位。</w:t>
            </w:r>
          </w:p>
          <w:p w14:paraId="4DCEE1B0" w14:textId="77777777" w:rsidR="00B229A7" w:rsidRDefault="00B229A7">
            <w:pPr>
              <w:spacing w:line="276" w:lineRule="auto"/>
              <w:rPr>
                <w:rFonts w:ascii="宋体" w:hAnsi="宋体"/>
                <w:b/>
                <w:color w:val="000000" w:themeColor="text1"/>
                <w:kern w:val="0"/>
                <w:szCs w:val="21"/>
              </w:rPr>
            </w:pPr>
          </w:p>
          <w:p w14:paraId="14B50A9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r>
              <w:rPr>
                <w:rFonts w:ascii="宋体" w:hAnsi="宋体"/>
                <w:b/>
                <w:color w:val="000000" w:themeColor="text1"/>
                <w:kern w:val="0"/>
                <w:szCs w:val="21"/>
              </w:rPr>
              <w:t>】</w:t>
            </w:r>
          </w:p>
          <w:p w14:paraId="0062DFD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由于银行规模有限，不能满足很多未来客户的贷款需要，为此，帕特森说服了儿家大城市银行，帮助其向一些大的石油和天然气企</w:t>
            </w:r>
            <w:r>
              <w:rPr>
                <w:rFonts w:ascii="宋体" w:hAnsi="宋体" w:hint="eastAsia"/>
                <w:color w:val="000000" w:themeColor="text1"/>
                <w:kern w:val="0"/>
                <w:szCs w:val="21"/>
              </w:rPr>
              <w:lastRenderedPageBreak/>
              <w:t>业融资。然而，就是这样一家中型银行，在向能源部门石油和天然气行业的贷款活动中，却使一些全国性的大规模的银行被牵扯进去。如西雅图第一国民银行大陆银行(伊利诺伊)及大通银行(曼哈顿)。仅大陆银行就向斯奎尔银行的客户提供了超过10亿美元的资金，而大通银行提供资金则超过2亿美元。</w:t>
            </w:r>
          </w:p>
          <w:p w14:paraId="6C316D4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由于卡特总统的能源节约政策以及石油输出国组织(欧佩克)的大量生产过剩，石油和天然气的价格从1980年开始暴跌。很多靠斯奎尔银行贷款支撑做石油投机生意的企业。很快就无利可图了。</w:t>
            </w:r>
          </w:p>
          <w:p w14:paraId="3F393B0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1980年初，货币总监办公室(OCC)开始对斯奎尔银行提高了警觉，巨额利润、迅速增长的贷款数量以及前所未闻的增长速度，都令OCC产生怀疑。1980年，OCC联邦银行检查人员在一次例行检查中发现，斯奎尔银行违反了银行法的许多规定，其中包括资金的流动性缓慢、储备资金不充足、贷款回收差等等。1980年后期，0CC迫使斯奎尔银行的董事们制订一份具有补救措施的管理办定，主要包括:雇用位乳有主富经验的银行主管官员和一名新的总裁。同时，该银行的贷款检查和控制程序得以了加强并予以制度化贷款损失准备也较上一年增加了100%。1981年秋，联邦银行检查人员对斯奎尔银行采取的这些措施给予了肯定。就在检查人员离开银行不久，石油生产供过于求的状况进一步恶化，越来越多的小型开采公司不得不停产，而这些小型开采公司，正是斯奎尔银行贷款客户的主要成员。斯奎尔银行由于面临贷款周转的压力，急需稳定增长的存款，因此千方百计地去吸引大的投资者和利用与同行拆借来保持存款。他们甚至铤而走险，又重操以前的那些违法行为。如在斯奎尔银行破产前的最后7个月内，就向石油和天然气投机商们提供了超过10亿美元的贷款，其中既包括直接贷款，也包括通过介绍其他银行进行的间接贷款。这些贷款数额之大，都使1980年之前该银行迅猛增长的贷款速度黯然失色。斯奎尔银行在关闭前的最后几周，其财务状况之差已到了捉襟见肘的地步，使得联邦储备局不得不向它注人几百万美元的紧急贷款，以使其有起码的偿付能力。OCC最终于1982年7月命令FDIC将斯奎尔银行关闭，并指令FDIC作为其诉讼财产管理人。</w:t>
            </w:r>
          </w:p>
          <w:p w14:paraId="1199FFF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布兰顿向国会调查委员会提交了一份详细的备忘录，其中包括他的办事处对斯奎尔银行所进行的1981年审计。1981年审计的焦点是银行对可能的贷款损失所计提的准备金。布兰顿注意到，1981年12月31日该帐户的余额比1980年12月31日该帐户余额的2倍还多。1981年斯奎尔银行注销了480万美元的贷款坏帐。而在1980年这一数字刚刚超过60万。除此之外，从斯奎尔银行1981年12月31日的资产负债表可以看出，1981年底对可能的贷款损失计提</w:t>
            </w:r>
            <w:r>
              <w:rPr>
                <w:rFonts w:ascii="宋体" w:hAnsi="宋体" w:hint="eastAsia"/>
                <w:color w:val="000000" w:themeColor="text1"/>
                <w:kern w:val="0"/>
                <w:szCs w:val="21"/>
              </w:rPr>
              <w:lastRenderedPageBreak/>
              <w:t>的准备金仅占全部贷款总额的1.5%。</w:t>
            </w:r>
          </w:p>
          <w:p w14:paraId="5BFD75B4"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color w:val="000000" w:themeColor="text1"/>
                <w:kern w:val="0"/>
                <w:szCs w:val="21"/>
              </w:rPr>
              <w:t>布兰顿说。他的办事处在对斯奎尔银行1981年度的审计中，对导致阿赫·扬事务所发表有保留意见审计报告的1500万美元有问题的贷款给予了特别关注。据布兰顿说，截至1981年底，这些贷款中的绝大部分已由借款者归还。对在1981年12月31日仍未收回的那些贷款布兰顿在报告上说:阿瑟·扬事务所提出的贷款记录问题，已通过建立一个信用检查部和银行采取的其他纠正措施在很大程度上得到了改正。布兰顿为了支持这一观点，提到了OCC于1981年对斯奎尔银行进行的检查，该检查表扬了银行的董事们对斯奎尔银行的管理和经营政策所作的改进。显然，毕马威事务所对斯奎尔银行1981年度的审计结果发表无保留意见审计报告不存在什么怀疑。负责斯奎尔银行审计业务的另一合伙人约克在事务所的工作底稿中，作出一份很长的备忘录概述了这一审计所具有的微妙之处，以及令约克得出该无保留意见的原因是恰当的。毕马威事务所在听证会上的证言证明，对斯奎尔银行1981年度财务报表发表的审计意见的具体措词，是经过办事处几位资深的合伙人(包括布兰顿)检查和批准的。</w:t>
            </w:r>
          </w:p>
        </w:tc>
      </w:tr>
      <w:tr w:rsidR="00B229A7" w14:paraId="032B0765" w14:textId="77777777">
        <w:tc>
          <w:tcPr>
            <w:tcW w:w="1980" w:type="dxa"/>
          </w:tcPr>
          <w:p w14:paraId="08D64F5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20AF610E" w14:textId="77777777" w:rsidR="00B229A7" w:rsidRDefault="00D7072C">
            <w:pPr>
              <w:spacing w:line="276" w:lineRule="auto"/>
              <w:jc w:val="center"/>
              <w:rPr>
                <w:rFonts w:ascii="宋体" w:hAnsi="宋体"/>
                <w:bCs/>
                <w:color w:val="000000" w:themeColor="text1"/>
                <w:kern w:val="0"/>
                <w:szCs w:val="21"/>
              </w:rPr>
            </w:pPr>
            <w:r>
              <w:rPr>
                <w:rFonts w:ascii="宋体" w:hAnsi="宋体" w:hint="eastAsia"/>
                <w:bCs/>
                <w:color w:val="000000" w:themeColor="text1"/>
                <w:kern w:val="0"/>
                <w:szCs w:val="21"/>
              </w:rPr>
              <w:t>毕马威会计师事务所</w:t>
            </w:r>
          </w:p>
        </w:tc>
      </w:tr>
      <w:tr w:rsidR="00B229A7" w14:paraId="01F4F778" w14:textId="77777777">
        <w:tc>
          <w:tcPr>
            <w:tcW w:w="1980" w:type="dxa"/>
          </w:tcPr>
          <w:p w14:paraId="24C74EB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0D24601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自60年代以来，随着国际上因企业破产将风险转嫁给注册会计师行业这一趋势的出现，各国都掀起了一股针对注册会计师的“诉讼浪潮”。为了反击这一现象，谨慎甄别，选择审计客户，已成为各国会计师事务所防止不必要诉讼事件发生的第一道防线。国际各大会计师事务所为了降低不必要法律诉讼案的发生，正在通过减少高风险的客户来降低诉讼威胁。他们认为:财务公司、保险公司、房地产投资公司刚开始上市的私营公司等均属高风险单位。“只要有迹象表明这些公司存在某些不确定风险，他们情愿放弃高报酬的审计收入，也不愿承接这些公司的业务。上述案例中，阿瑟·扬事务所情愿冒着失去客户的风险，也坚持出具有保留意见的审计报告，就是基于了这一执业态度。根据对美国加利福尼亚会计师事务所的调查，在该州的中小会计师事务所中，已有32%的事务所停止止了他们认为具有高风险客户的业务。有的甚至停止了对整个高风险行业的所有审计业务。这种对审计客户行业性质进行分析，并予以区别对待的做法，对我国注册会计师行业应该有一定的启示。尽管美国注册会计师行业由于惧怕恶意诉讼而采取了一些因噎废食的做法，但这种谨慎的执业态度值得借鉴。当前，我国注册会计师在审计过程中，只注重区分上市公司与非上市公司，最多再加上一个私营企业与国营企业，或大小公司之分。而对其他不同类型的客户，不管其风险高低均实施一视同仁的审计程序，根本不重视不同行业</w:t>
            </w:r>
            <w:r>
              <w:rPr>
                <w:rFonts w:ascii="宋体" w:hAnsi="宋体" w:hint="eastAsia"/>
                <w:color w:val="000000" w:themeColor="text1"/>
                <w:kern w:val="0"/>
                <w:szCs w:val="21"/>
              </w:rPr>
              <w:lastRenderedPageBreak/>
              <w:t>具有不同审计风险这一事实，结果导致了许多不必要的审计失误。因此，作为注册会计师行业的管理部门，首先应该引导注册会计师区分在什么样的经济环境下，什么是高风险的行业，并针对高风险行业的特点，制定一些具有指导作用的准则，使得注册会计师一开始就能对高风险行业的客户予以特别的关注。力争将注册会计师可能发生的法律纠纷的“隐患”降低到最低点是当前我国注册会计师行业亟待解决的重要问题之一。</w:t>
            </w:r>
          </w:p>
          <w:p w14:paraId="4787EC89" w14:textId="77777777" w:rsidR="00B229A7" w:rsidRDefault="00D7072C">
            <w:pPr>
              <w:numPr>
                <w:ilvl w:val="0"/>
                <w:numId w:val="5"/>
              </w:numPr>
              <w:spacing w:line="276" w:lineRule="auto"/>
              <w:rPr>
                <w:rFonts w:ascii="宋体" w:hAnsi="宋体"/>
                <w:color w:val="000000" w:themeColor="text1"/>
                <w:kern w:val="0"/>
                <w:szCs w:val="21"/>
              </w:rPr>
            </w:pPr>
            <w:r>
              <w:rPr>
                <w:rFonts w:ascii="宋体" w:hAnsi="宋体" w:hint="eastAsia"/>
                <w:color w:val="000000" w:themeColor="text1"/>
                <w:kern w:val="0"/>
                <w:szCs w:val="21"/>
              </w:rPr>
              <w:t>在当前，有关我国注册会计师独立性问题越来越受到职业界及社会公众的注意。从已制定的职业道德准则到行业管理部门准备采取的“脱钩”政策，都预示着我国注册会计师的独立性在今后将得到极大的加强。然而，市场经济是一个复杂的系统，当会计师事务所在“脱钩”“断奶”独立之后，真正成为了一个独立的法人单位，其经济行为就会变得更为复杂。如六大会计师事务所，其业务不再是单纯的查帐，可能还要包括咨询、评估、培训，甚至还有一些拆借、投资、经济担保等一些非审计类的经济业务。因此，这些事务所就会象其他经济实体一样，也会发生一一些借贷、股票买卖、设立基金、发行债券等常见的市场经济中的融资手段。完全杜绝与禁正会计师事务所的这些行为的发生，显然不符合市场经济的机制，也不利于会计师事务所的发展。另外，同一家会计师事务所同时执行存在利益冲突的二家客户的审计业务时，如何防止外界产生注册会计师滥用信息交流特权之嫌，也是注册会计师独立性问题的难题之一。因此，如何在职业道德准则中详细规范这些行为，使得注册会计师既能保持独立性，但又不妨碍其正常的融资行为，将是我国注册会计师行业管理部门的又一艰巨任务。美国注册会计师协会在职业道德准则中，允许注册会计师与被审计单位存在一些正常的借贷关系，如事务所所借款项占被审计单位的资产比例不大，或用事务所住宅抵押借款，只要符合法律手续并公开化，就被视为不影响独立生，而超出这些范围，则不分许注册会计师执行相关的审业务，因为这会影响注册会让师的公正性。上述审计案例中，就是因为毕马威事务所与斯奎尔银行存在一些未被公开的借贷关系，而被指控违背了独立性。因此，详细而又周密地制定出哪些属于不影响注册会计师独立性的经济行为，哪些又属于严重影响注册会计师独立性的经济行为，应该成为注册会计师管理部门下一步制定详细的职业道德准则的主要目标。</w:t>
            </w:r>
          </w:p>
          <w:p w14:paraId="448A1FDB" w14:textId="77777777" w:rsidR="00B229A7" w:rsidRDefault="00D7072C">
            <w:pPr>
              <w:spacing w:line="276" w:lineRule="auto"/>
              <w:rPr>
                <w:rStyle w:val="11"/>
                <w:rFonts w:ascii="宋体" w:hAnsi="宋体"/>
                <w:i w:val="0"/>
                <w:iCs w:val="0"/>
                <w:color w:val="000000" w:themeColor="text1"/>
                <w:kern w:val="0"/>
                <w:szCs w:val="21"/>
              </w:rPr>
            </w:pPr>
            <w:r>
              <w:rPr>
                <w:rFonts w:ascii="宋体" w:hAnsi="宋体" w:hint="eastAsia"/>
                <w:color w:val="000000" w:themeColor="text1"/>
                <w:kern w:val="0"/>
                <w:szCs w:val="21"/>
              </w:rPr>
              <w:t>(三)当我国注册会计师在引进国际审计惯例，逐步重视对被审计单位内部控制进行评估时，较多地注重了客户的内部管理机制，较少地关注了客户的周边环境。实质上，在市场经济条件下，由于分工精细目互相密切合作，企业对社会的依赖性日趋加剧。对社会变动</w:t>
            </w:r>
            <w:r>
              <w:rPr>
                <w:rFonts w:ascii="宋体" w:hAnsi="宋体" w:hint="eastAsia"/>
                <w:color w:val="000000" w:themeColor="text1"/>
                <w:kern w:val="0"/>
                <w:szCs w:val="21"/>
              </w:rPr>
              <w:lastRenderedPageBreak/>
              <w:t>的任何错误反映，甚至是迟缓反映，都可能会使企业遭到灭顶之灾。其后果当然会将与之有关的注册会计师一起牵连进去。上述案例中的银行倒闭，在很大程度上是由于外部能源政策的改变所引起的。难怪美国的一位国会调查组的成员在调查完该审计案例以后说，斯奎尔银行是“纸牌搭成的房子”，是建立在石油价格不断上升基础上的。因此，到了80年代之后，美国的内部控制概念有了很大的发展，把企业内部控制的环境列为内部控制的第一要素。与之有关的是，美国注册会计师协会也修订了相关的审计准则。而我国目前制定的有关内部控制的审计准则，还有很多值得进一步修改的地方。因此，根据社会环境的变化，不断完善我国有关内部控制的审计准则，也是从上述案例中应该吸取的教训。</w:t>
            </w:r>
          </w:p>
        </w:tc>
      </w:tr>
      <w:tr w:rsidR="00B229A7" w14:paraId="0F599322" w14:textId="77777777">
        <w:tc>
          <w:tcPr>
            <w:tcW w:w="1980" w:type="dxa"/>
          </w:tcPr>
          <w:p w14:paraId="2DC6611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2E8715BC" w14:textId="77777777" w:rsidR="00B229A7" w:rsidRDefault="00D7072C">
            <w:pPr>
              <w:widowControl/>
              <w:spacing w:line="276" w:lineRule="auto"/>
              <w:jc w:val="left"/>
              <w:rPr>
                <w:rFonts w:ascii="宋体" w:hAnsi="宋体"/>
                <w:color w:val="000000" w:themeColor="text1"/>
                <w:kern w:val="0"/>
                <w:szCs w:val="21"/>
              </w:rPr>
            </w:pPr>
            <w:r>
              <w:rPr>
                <w:rFonts w:ascii="宋体" w:hAnsi="宋体" w:hint="eastAsia"/>
                <w:color w:val="000000" w:themeColor="text1"/>
                <w:kern w:val="0"/>
                <w:szCs w:val="21"/>
              </w:rPr>
              <w:t>贷款、审计风险</w:t>
            </w:r>
          </w:p>
        </w:tc>
      </w:tr>
    </w:tbl>
    <w:p w14:paraId="7A6E3DEA" w14:textId="77777777" w:rsidR="00B229A7" w:rsidRDefault="00B229A7">
      <w:pPr>
        <w:spacing w:line="276" w:lineRule="auto"/>
        <w:rPr>
          <w:rFonts w:ascii="宋体" w:hAnsi="宋体"/>
          <w:color w:val="000000" w:themeColor="text1"/>
          <w:szCs w:val="21"/>
        </w:rPr>
      </w:pPr>
    </w:p>
    <w:p w14:paraId="724A2D8B" w14:textId="77777777" w:rsidR="00B229A7" w:rsidRDefault="00D7072C">
      <w:pPr>
        <w:pStyle w:val="1"/>
      </w:pPr>
      <w:bookmarkStart w:id="81" w:name="_Toc515709072"/>
      <w:bookmarkStart w:id="82" w:name="_Toc104812501"/>
      <w:bookmarkStart w:id="83" w:name="_Toc104812599"/>
      <w:bookmarkStart w:id="84" w:name="_Toc104812320"/>
      <w:r>
        <w:t>2</w:t>
      </w:r>
      <w:r>
        <w:rPr>
          <w:rFonts w:hint="eastAsia"/>
        </w:rPr>
        <w:t>4</w:t>
      </w:r>
      <w:bookmarkEnd w:id="81"/>
      <w:r>
        <w:rPr>
          <w:rFonts w:hint="eastAsia"/>
        </w:rPr>
        <w:t>海航科技</w:t>
      </w:r>
      <w:bookmarkEnd w:id="82"/>
      <w:bookmarkEnd w:id="83"/>
      <w:bookmarkEnd w:id="84"/>
    </w:p>
    <w:tbl>
      <w:tblPr>
        <w:tblStyle w:val="a4"/>
        <w:tblW w:w="8296" w:type="dxa"/>
        <w:tblLayout w:type="fixed"/>
        <w:tblLook w:val="04A0" w:firstRow="1" w:lastRow="0" w:firstColumn="1" w:lastColumn="0" w:noHBand="0" w:noVBand="1"/>
      </w:tblPr>
      <w:tblGrid>
        <w:gridCol w:w="1980"/>
        <w:gridCol w:w="6316"/>
      </w:tblGrid>
      <w:tr w:rsidR="00B229A7" w14:paraId="40CB500A" w14:textId="77777777">
        <w:tc>
          <w:tcPr>
            <w:tcW w:w="1980" w:type="dxa"/>
          </w:tcPr>
          <w:p w14:paraId="22C2314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0EE9F792"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0</w:t>
            </w:r>
            <w:r>
              <w:rPr>
                <w:rFonts w:ascii="宋体" w:hAnsi="宋体" w:hint="eastAsia"/>
                <w:color w:val="000000" w:themeColor="text1"/>
                <w:kern w:val="0"/>
                <w:szCs w:val="21"/>
              </w:rPr>
              <w:t>110</w:t>
            </w:r>
            <w:r>
              <w:rPr>
                <w:rFonts w:ascii="宋体" w:hAnsi="宋体"/>
                <w:color w:val="000000" w:themeColor="text1"/>
                <w:kern w:val="0"/>
                <w:szCs w:val="21"/>
              </w:rPr>
              <w:t>9</w:t>
            </w:r>
          </w:p>
        </w:tc>
      </w:tr>
      <w:tr w:rsidR="00B229A7" w14:paraId="41271A99" w14:textId="77777777">
        <w:tc>
          <w:tcPr>
            <w:tcW w:w="1980" w:type="dxa"/>
          </w:tcPr>
          <w:p w14:paraId="52CA6BB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3A9354C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11互联网及IT类</w:t>
            </w:r>
          </w:p>
        </w:tc>
      </w:tr>
      <w:tr w:rsidR="00B229A7" w14:paraId="0D6E4D39" w14:textId="77777777">
        <w:tc>
          <w:tcPr>
            <w:tcW w:w="1980" w:type="dxa"/>
          </w:tcPr>
          <w:p w14:paraId="1434390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327D568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2021年</w:t>
            </w:r>
          </w:p>
        </w:tc>
      </w:tr>
      <w:tr w:rsidR="00B229A7" w14:paraId="75491F74" w14:textId="77777777">
        <w:tc>
          <w:tcPr>
            <w:tcW w:w="1980" w:type="dxa"/>
          </w:tcPr>
          <w:p w14:paraId="5B9529B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046D6F0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海航科技集团有限公司</w:t>
            </w:r>
          </w:p>
        </w:tc>
      </w:tr>
      <w:tr w:rsidR="00B229A7" w14:paraId="4411845B" w14:textId="77777777">
        <w:tc>
          <w:tcPr>
            <w:tcW w:w="1980" w:type="dxa"/>
          </w:tcPr>
          <w:p w14:paraId="1148A30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2AA2D6A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计算机科技、信息科技、电子科技专业领域内的技术开发、技术转让、技术咨询、技术服务，计算机系统集成和软件开发，网页设计与制作，计算机软硬件。</w:t>
            </w:r>
          </w:p>
        </w:tc>
      </w:tr>
      <w:tr w:rsidR="00B229A7" w14:paraId="6AE77D5D" w14:textId="77777777">
        <w:tc>
          <w:tcPr>
            <w:tcW w:w="1980" w:type="dxa"/>
          </w:tcPr>
          <w:p w14:paraId="6F0F800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40AF9F1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C778D60" w14:textId="77777777" w:rsidR="00B229A7" w:rsidRDefault="00D7072C">
            <w:pPr>
              <w:spacing w:line="276" w:lineRule="auto"/>
              <w:rPr>
                <w:rFonts w:ascii="宋体" w:hAnsi="宋体"/>
                <w:b/>
                <w:color w:val="000000" w:themeColor="text1"/>
                <w:kern w:val="0"/>
                <w:szCs w:val="21"/>
              </w:rPr>
            </w:pPr>
            <w:r>
              <w:rPr>
                <w:rFonts w:ascii="宋体" w:hAnsi="宋体" w:hint="eastAsia"/>
                <w:bCs/>
                <w:color w:val="000000" w:themeColor="text1"/>
                <w:kern w:val="0"/>
                <w:szCs w:val="21"/>
              </w:rPr>
              <w:t>海航科技股份有限公司分别在上证B股（证券代码900938）和A股（证券代码600751）上市。公司自2016年12月成功并购全球IT分销与供应链巨头英迈国际，2017年开始逐步剥离海运业务，并成立海航云集市、海航云科技两大事业群，加速向信息技术和高新科技领域转型。公司服务于网络强国、数字强国、一带一路等国家战略，以人工智能、大数据和云计算为核心，致力于成为助力企业客户数字化转型、赋能行业经济、服务美好生活的数字赋能平台运营商。</w:t>
            </w:r>
          </w:p>
          <w:p w14:paraId="0177690E" w14:textId="77777777" w:rsidR="00B229A7" w:rsidRDefault="00B229A7">
            <w:pPr>
              <w:spacing w:line="276" w:lineRule="auto"/>
              <w:rPr>
                <w:rFonts w:ascii="宋体" w:hAnsi="宋体"/>
                <w:b/>
                <w:color w:val="000000" w:themeColor="text1"/>
                <w:kern w:val="0"/>
                <w:szCs w:val="21"/>
              </w:rPr>
            </w:pPr>
          </w:p>
          <w:p w14:paraId="5D05F502"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48952D09" w14:textId="77777777" w:rsidR="00B229A7" w:rsidRDefault="00D7072C">
            <w:pPr>
              <w:spacing w:line="276" w:lineRule="auto"/>
              <w:ind w:firstLineChars="100" w:firstLine="210"/>
              <w:rPr>
                <w:rFonts w:ascii="宋体" w:hAnsi="宋体"/>
                <w:b/>
                <w:color w:val="000000" w:themeColor="text1"/>
                <w:kern w:val="0"/>
                <w:szCs w:val="21"/>
              </w:rPr>
            </w:pPr>
            <w:r>
              <w:rPr>
                <w:rFonts w:ascii="宋体" w:hAnsi="宋体" w:hint="eastAsia"/>
                <w:bCs/>
                <w:color w:val="000000" w:themeColor="text1"/>
                <w:kern w:val="0"/>
                <w:szCs w:val="21"/>
              </w:rPr>
              <w:t>普华永道中天会计师事务所（特殊普通合伙）出具了保留意见的财务报表审计报告</w:t>
            </w:r>
          </w:p>
          <w:p w14:paraId="1DED9960" w14:textId="77777777" w:rsidR="00B229A7" w:rsidRDefault="00B229A7">
            <w:pPr>
              <w:spacing w:line="276" w:lineRule="auto"/>
              <w:rPr>
                <w:rFonts w:ascii="宋体" w:hAnsi="宋体"/>
                <w:b/>
                <w:color w:val="000000" w:themeColor="text1"/>
                <w:kern w:val="0"/>
                <w:szCs w:val="21"/>
              </w:rPr>
            </w:pPr>
          </w:p>
          <w:p w14:paraId="3F21A8F4"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095B7182"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hint="eastAsia"/>
                <w:color w:val="000000" w:themeColor="text1"/>
                <w:kern w:val="0"/>
                <w:szCs w:val="21"/>
              </w:rPr>
              <w:t>如事务所于2021年4月12日出具的对2020年度海航科技财务报表的审计报告中所述，海航科技为海航集团有限公司(以下简称“海航集团”)等关联方的借款提供连带责任担保，其中大部分被担保关联方为海航集团等321家公司进行实质合并重整(以下简称“重整”)范围内公司。海航科技在2020年度合并及公司财务报表中针对这些连带责任担保计提了“信用减值损失-财务担保合同损失”人民币50.2亿元，于2020年12月31日，相关的“其他流动负债-财务担保准备”余额为人民币52.3亿元。由于相关被担保方仍在重整过程中且重整结果存在重大不确定性，事务所无法取得海航科技在确定上述金额中所使用的若干关键假设(包括重整成功率、偿付率等)相关的支持资料或实施其他替代审计程序以获取充分、适当的审计证据，事务所也无法确定是否有必要对上述金额作出调整，也无法确定应调整的金额以及对相关披露的影响，因此事务所对2020年度海航科技财务报表发表了审计范围受限的保留意见。</w:t>
            </w:r>
          </w:p>
          <w:p w14:paraId="141E4C0A"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hint="eastAsia"/>
                <w:color w:val="000000" w:themeColor="text1"/>
                <w:kern w:val="0"/>
                <w:szCs w:val="21"/>
              </w:rPr>
              <w:t>如财务报表附注所述，海航集团的重整计划于2021年10月经海南省高级人民法院裁定批准开始执行，并于2022年4月被法院裁定执行完毕。根据重整计划，重整范围内公司的资产将纳入专门设立的信托计划，并以信托计划份额抵偿债务。鉴于上述情况，海航科技在向相关债权人全额偿付所担保余额后，将有权向被担保关联方追偿，故海航科技于2021年度基于预计追偿后将取得的信托计划份额的价值确定偿付率，并于2021年度的合并及公司财务报表中转回了“信用减值损失-财务担保合同损失”人民币17.1亿元。</w:t>
            </w:r>
          </w:p>
          <w:p w14:paraId="6957DDDE"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hint="eastAsia"/>
                <w:color w:val="000000" w:themeColor="text1"/>
                <w:kern w:val="0"/>
                <w:szCs w:val="21"/>
              </w:rPr>
              <w:t>截至审计报告日，根据有关海航集团的重整进展，事务所对于2021年12月31日合并及公司财务报表中的“其他流动负债-财务担保准备”余额人民币35.2亿元已获取充分、适当的审计证据。但是，事务所仍然无法取得海航科技在当时时点确定2020年12月31日合并及公司财务报表中的“其他流动负债-财务担保准备”余额及其2020年度的“信用减值损失-财务担保合同损失”金额中使用的若干关键假设相关的支持资料或实施其他替代审计程序以获取充分、适当的审计证据。因此，事务所无法确定是否有必要对合并及公司财务报表中2021年度转回的“信用减值损失-财务担保合同损失”人民币17.1亿元作出调整及其对应的调整金额(如有)，以及上述事项对2021年度合并及公司财务报表的相关披露、比较期间财务报表可比性的影响。</w:t>
            </w:r>
          </w:p>
        </w:tc>
      </w:tr>
      <w:tr w:rsidR="00B229A7" w14:paraId="20A423FE" w14:textId="77777777">
        <w:tc>
          <w:tcPr>
            <w:tcW w:w="1980" w:type="dxa"/>
          </w:tcPr>
          <w:p w14:paraId="4DC1525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0C7FDF3F" w14:textId="77777777" w:rsidR="00B229A7" w:rsidRDefault="00D7072C">
            <w:pPr>
              <w:spacing w:line="276" w:lineRule="auto"/>
              <w:jc w:val="center"/>
              <w:rPr>
                <w:rFonts w:ascii="宋体" w:hAnsi="宋体"/>
                <w:color w:val="000000" w:themeColor="text1"/>
                <w:kern w:val="0"/>
                <w:szCs w:val="21"/>
              </w:rPr>
            </w:pPr>
            <w:r>
              <w:rPr>
                <w:rFonts w:ascii="宋体" w:hAnsi="宋体" w:hint="eastAsia"/>
                <w:bCs/>
                <w:color w:val="000000" w:themeColor="text1"/>
                <w:kern w:val="0"/>
                <w:szCs w:val="21"/>
              </w:rPr>
              <w:t>普华永道中天会计师事务所</w:t>
            </w:r>
          </w:p>
        </w:tc>
      </w:tr>
      <w:tr w:rsidR="00B229A7" w14:paraId="715F8F4A" w14:textId="77777777">
        <w:tc>
          <w:tcPr>
            <w:tcW w:w="1980" w:type="dxa"/>
          </w:tcPr>
          <w:p w14:paraId="5405924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w:t>
            </w:r>
            <w:r>
              <w:rPr>
                <w:rFonts w:ascii="宋体" w:hAnsi="宋体"/>
                <w:color w:val="000000" w:themeColor="text1"/>
                <w:kern w:val="0"/>
                <w:szCs w:val="21"/>
              </w:rPr>
              <w:lastRenderedPageBreak/>
              <w:t>审计方法</w:t>
            </w:r>
          </w:p>
        </w:tc>
        <w:tc>
          <w:tcPr>
            <w:tcW w:w="6316" w:type="dxa"/>
          </w:tcPr>
          <w:p w14:paraId="74C980D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外部审计、保留意见</w:t>
            </w:r>
          </w:p>
        </w:tc>
      </w:tr>
    </w:tbl>
    <w:p w14:paraId="7A090117" w14:textId="77777777" w:rsidR="00B229A7" w:rsidRDefault="00B229A7">
      <w:pPr>
        <w:spacing w:line="276" w:lineRule="auto"/>
        <w:rPr>
          <w:rFonts w:ascii="宋体" w:hAnsi="宋体"/>
          <w:color w:val="000000" w:themeColor="text1"/>
          <w:szCs w:val="21"/>
        </w:rPr>
      </w:pPr>
    </w:p>
    <w:p w14:paraId="467BCF42" w14:textId="77777777" w:rsidR="00B229A7" w:rsidRDefault="00B229A7">
      <w:pPr>
        <w:spacing w:line="276" w:lineRule="auto"/>
        <w:rPr>
          <w:rFonts w:ascii="宋体" w:hAnsi="宋体"/>
          <w:color w:val="000000" w:themeColor="text1"/>
          <w:szCs w:val="21"/>
        </w:rPr>
      </w:pPr>
    </w:p>
    <w:p w14:paraId="16CAF337" w14:textId="77777777" w:rsidR="00B229A7" w:rsidRDefault="00D7072C">
      <w:pPr>
        <w:pStyle w:val="1"/>
      </w:pPr>
      <w:bookmarkStart w:id="85" w:name="_Toc515709073"/>
      <w:bookmarkStart w:id="86" w:name="_Toc104812321"/>
      <w:bookmarkStart w:id="87" w:name="_Toc104812600"/>
      <w:bookmarkStart w:id="88" w:name="_Toc104812502"/>
      <w:r>
        <w:t>2</w:t>
      </w:r>
      <w:r>
        <w:rPr>
          <w:rFonts w:hint="eastAsia"/>
        </w:rPr>
        <w:t>5</w:t>
      </w:r>
      <w:bookmarkEnd w:id="85"/>
      <w:r>
        <w:rPr>
          <w:rFonts w:hint="eastAsia"/>
        </w:rPr>
        <w:t>海通证券</w:t>
      </w:r>
      <w:bookmarkEnd w:id="86"/>
      <w:bookmarkEnd w:id="87"/>
      <w:bookmarkEnd w:id="88"/>
    </w:p>
    <w:tbl>
      <w:tblPr>
        <w:tblStyle w:val="a4"/>
        <w:tblW w:w="8296" w:type="dxa"/>
        <w:tblLayout w:type="fixed"/>
        <w:tblLook w:val="04A0" w:firstRow="1" w:lastRow="0" w:firstColumn="1" w:lastColumn="0" w:noHBand="0" w:noVBand="1"/>
      </w:tblPr>
      <w:tblGrid>
        <w:gridCol w:w="1980"/>
        <w:gridCol w:w="6316"/>
      </w:tblGrid>
      <w:tr w:rsidR="00B229A7" w14:paraId="06143E2D" w14:textId="77777777">
        <w:tc>
          <w:tcPr>
            <w:tcW w:w="1980" w:type="dxa"/>
          </w:tcPr>
          <w:p w14:paraId="02E14F7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18B22A7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w:t>
            </w:r>
            <w:r>
              <w:rPr>
                <w:rFonts w:ascii="宋体" w:hAnsi="宋体"/>
                <w:color w:val="000000" w:themeColor="text1"/>
                <w:kern w:val="0"/>
                <w:szCs w:val="21"/>
              </w:rPr>
              <w:t>15</w:t>
            </w:r>
          </w:p>
        </w:tc>
      </w:tr>
      <w:tr w:rsidR="00B229A7" w14:paraId="12EC5E09" w14:textId="77777777">
        <w:tc>
          <w:tcPr>
            <w:tcW w:w="1980" w:type="dxa"/>
          </w:tcPr>
          <w:p w14:paraId="51A2032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4F5F37C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1B08CE38" w14:textId="77777777">
        <w:tc>
          <w:tcPr>
            <w:tcW w:w="1980" w:type="dxa"/>
          </w:tcPr>
          <w:p w14:paraId="10E0395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05048FA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2021年</w:t>
            </w:r>
          </w:p>
        </w:tc>
      </w:tr>
      <w:tr w:rsidR="00B229A7" w14:paraId="0228339A" w14:textId="77777777">
        <w:tc>
          <w:tcPr>
            <w:tcW w:w="1980" w:type="dxa"/>
          </w:tcPr>
          <w:p w14:paraId="3BDC032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02729E1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海通证券股份有限公司</w:t>
            </w:r>
          </w:p>
        </w:tc>
      </w:tr>
      <w:tr w:rsidR="00B229A7" w14:paraId="5EA41F0B" w14:textId="77777777">
        <w:tc>
          <w:tcPr>
            <w:tcW w:w="1980" w:type="dxa"/>
          </w:tcPr>
          <w:p w14:paraId="5B503A7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2FE0D04E" w14:textId="77777777" w:rsidR="00B229A7" w:rsidRDefault="00D7072C">
            <w:pPr>
              <w:spacing w:line="276" w:lineRule="auto"/>
              <w:jc w:val="center"/>
              <w:rPr>
                <w:rFonts w:ascii="宋体" w:hAnsi="宋体"/>
                <w:color w:val="000000" w:themeColor="text1"/>
                <w:kern w:val="0"/>
                <w:szCs w:val="21"/>
              </w:rPr>
            </w:pPr>
            <w:r>
              <w:rPr>
                <w:rFonts w:ascii="宋体" w:hAnsi="宋体" w:cs="Arial" w:hint="eastAsia"/>
                <w:color w:val="000000" w:themeColor="text1"/>
                <w:kern w:val="0"/>
                <w:szCs w:val="21"/>
                <w:shd w:val="clear" w:color="auto" w:fill="FFFFFF"/>
              </w:rPr>
              <w:t>合法取得地块内的房地产经营开发，保税区内的转口贸易、保税仓储、国际货运代理业务、外商投资项目的咨询代理、国际经贸咨询、承办海运进出口货物的国际运输代理业务</w:t>
            </w:r>
          </w:p>
        </w:tc>
      </w:tr>
      <w:tr w:rsidR="00B229A7" w14:paraId="05A73396" w14:textId="77777777">
        <w:tc>
          <w:tcPr>
            <w:tcW w:w="1980" w:type="dxa"/>
          </w:tcPr>
          <w:p w14:paraId="5947D99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3474361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694C43A8" w14:textId="77777777" w:rsidR="00B229A7" w:rsidRDefault="00D7072C">
            <w:pPr>
              <w:spacing w:line="276" w:lineRule="auto"/>
              <w:ind w:firstLineChars="200" w:firstLine="420"/>
              <w:jc w:val="left"/>
              <w:rPr>
                <w:rFonts w:ascii="宋体" w:hAnsi="宋体"/>
                <w:bCs/>
                <w:color w:val="000000" w:themeColor="text1"/>
                <w:kern w:val="0"/>
                <w:szCs w:val="21"/>
              </w:rPr>
            </w:pPr>
            <w:r>
              <w:rPr>
                <w:rFonts w:ascii="宋体" w:hAnsi="宋体" w:hint="eastAsia"/>
                <w:bCs/>
                <w:color w:val="000000" w:themeColor="text1"/>
                <w:kern w:val="0"/>
                <w:szCs w:val="21"/>
              </w:rPr>
              <w:t>海通证券股份有限公司（以下简称公司）成立于1988年，注册资本130.642亿元。公司始终坚持“务实、开拓、稳健、卓越”的经营理念和“稳健乃至保守”的风险控制理念，在三十多年的经营中，成功渡过了多个市场和业务周期、监管改革和行业转型发展，是中国境内二十世纪八十年代成立的证券公司中唯一一家至今仍在运营并且未更名、未被政府注资且未被收购重组过的大型证券公司。</w:t>
            </w:r>
          </w:p>
          <w:p w14:paraId="2DCC776C" w14:textId="77777777" w:rsidR="00B229A7" w:rsidRDefault="00D7072C">
            <w:pPr>
              <w:spacing w:line="276" w:lineRule="auto"/>
              <w:ind w:firstLineChars="200" w:firstLine="420"/>
              <w:jc w:val="left"/>
              <w:rPr>
                <w:rFonts w:ascii="宋体" w:hAnsi="宋体"/>
                <w:bCs/>
                <w:color w:val="000000" w:themeColor="text1"/>
                <w:kern w:val="0"/>
                <w:szCs w:val="21"/>
              </w:rPr>
            </w:pPr>
            <w:r>
              <w:rPr>
                <w:rFonts w:ascii="宋体" w:hAnsi="宋体" w:hint="eastAsia"/>
                <w:bCs/>
                <w:color w:val="000000" w:themeColor="text1"/>
                <w:kern w:val="0"/>
                <w:szCs w:val="21"/>
              </w:rPr>
              <w:t>截至2021年末，公司总资产达7449.25亿元，归属母公司净资产达1631.38亿元，实现营业收入432.05亿元，归属母公司净利润128.27亿元，主要财务指标始终保持行业前列。基本建成涵盖证券期货经纪、投行、自营、资产管理、私募股权投资、另类投资、融资租赁、境外银行等多个业务领域的金融服务集团，营业网点覆盖“纽、伦、港、新、沪、东”六大国际金融中心；境外方面，在全球5大洲14个国家和地区设有分行或子公司；在中国境内拥有340家证券及期货营业部，境内外拥有超1900万名客户。</w:t>
            </w:r>
            <w:r>
              <w:rPr>
                <w:rFonts w:ascii="宋体" w:hAnsi="宋体"/>
                <w:bCs/>
                <w:color w:val="000000" w:themeColor="text1"/>
                <w:kern w:val="0"/>
                <w:szCs w:val="21"/>
              </w:rPr>
              <w:tab/>
            </w:r>
          </w:p>
          <w:p w14:paraId="180E3996" w14:textId="77777777" w:rsidR="00B229A7" w:rsidRDefault="00B229A7">
            <w:pPr>
              <w:spacing w:line="276" w:lineRule="auto"/>
              <w:ind w:firstLineChars="200" w:firstLine="420"/>
              <w:jc w:val="left"/>
              <w:rPr>
                <w:rFonts w:ascii="宋体" w:hAnsi="宋体"/>
                <w:bCs/>
                <w:color w:val="000000" w:themeColor="text1"/>
                <w:kern w:val="0"/>
                <w:szCs w:val="21"/>
              </w:rPr>
            </w:pPr>
          </w:p>
          <w:p w14:paraId="74C3F0AD" w14:textId="77777777" w:rsidR="00B229A7" w:rsidRDefault="00D7072C">
            <w:pPr>
              <w:spacing w:line="276" w:lineRule="auto"/>
              <w:jc w:val="left"/>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1BF51E1A" w14:textId="77777777" w:rsidR="00B229A7" w:rsidRDefault="00D7072C">
            <w:pPr>
              <w:spacing w:line="276" w:lineRule="auto"/>
              <w:jc w:val="left"/>
              <w:rPr>
                <w:rFonts w:ascii="宋体" w:hAnsi="宋体"/>
                <w:bCs/>
                <w:color w:val="000000" w:themeColor="text1"/>
                <w:kern w:val="0"/>
                <w:szCs w:val="21"/>
              </w:rPr>
            </w:pPr>
            <w:r>
              <w:rPr>
                <w:rFonts w:ascii="宋体" w:hAnsi="宋体"/>
                <w:b/>
                <w:color w:val="000000" w:themeColor="text1"/>
                <w:kern w:val="0"/>
                <w:szCs w:val="21"/>
              </w:rPr>
              <w:tab/>
            </w:r>
            <w:r>
              <w:rPr>
                <w:rFonts w:ascii="宋体" w:hAnsi="宋体" w:hint="eastAsia"/>
                <w:bCs/>
                <w:color w:val="000000" w:themeColor="text1"/>
                <w:kern w:val="0"/>
                <w:szCs w:val="21"/>
              </w:rPr>
              <w:t>海通证券股份有限公司(简称海通证券)在奥瑞德光电股份有限公司2017年度持续督导工作中，未对上市公司对外担保、民间借贷等事项保持充分关注，未对相关事项进行充分核查和验证，出具的报告存在虚假记载。</w:t>
            </w:r>
          </w:p>
          <w:p w14:paraId="25908BA9" w14:textId="77777777" w:rsidR="00B229A7" w:rsidRDefault="00B229A7">
            <w:pPr>
              <w:spacing w:line="276" w:lineRule="auto"/>
              <w:jc w:val="left"/>
              <w:rPr>
                <w:rFonts w:ascii="宋体" w:hAnsi="宋体"/>
                <w:bCs/>
                <w:color w:val="000000" w:themeColor="text1"/>
                <w:kern w:val="0"/>
                <w:szCs w:val="21"/>
              </w:rPr>
            </w:pPr>
          </w:p>
          <w:p w14:paraId="354A9F6C"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0AD2C19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处罚事先告知书显示，海通证券作为西南药业股份有限公司(现</w:t>
            </w:r>
            <w:r>
              <w:rPr>
                <w:rFonts w:ascii="宋体" w:hAnsi="宋体" w:hint="eastAsia"/>
                <w:color w:val="000000" w:themeColor="text1"/>
                <w:kern w:val="0"/>
                <w:szCs w:val="21"/>
              </w:rPr>
              <w:lastRenderedPageBreak/>
              <w:t>称“奥瑞德”)重大资产重组并募集配套资金项目独立财务顾问，在执行奥瑞德2017年度持续督导过程中，未对奥瑞德违规对外担保事项保持充分关注，仅执行了询问及检查“三会”记录、用印记录等程序，未获取当期奥瑞德企业信用报告并保存于奥瑞德持续督导工作底稿中，未对当期奥瑞德企业信用报告进行必要的审阅和查看，导致未能发现奥瑞德违规对外提供担保事项，未能发现奥瑞德相关信息披露存在遗漏。</w:t>
            </w:r>
          </w:p>
          <w:p w14:paraId="525958A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奥瑞德及其子公司涉及民间借贷事项违法违规，海通证券在奥瑞德已公告公司及子公司涉及借款纠纷被提起诉讼的情况下，未保持合理职业怀疑对奥瑞德涉及的民间借贷事项进行充分核查和验证，仅获取了奥瑞德董事会出具的书面声明等内部证据，未获取相关借款合同、起诉状、法院相关法律文书等外部客观证据，未执行向法院及案件代理律师等第三方进行核查的工作程序，未通过法院庭审公开网等公开渠道检索有关案件信息，导致未能发现奥瑞德未依法披露其相关重大借款合同及实际控制人占用奥瑞德资金等事项。</w:t>
            </w:r>
          </w:p>
          <w:p w14:paraId="48ABE61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奥瑞德未将上述借款纠纷所涉及的借贷资金记入财务账簿，其2017年度财务报表存在虚假记载，且对相关借款、向控股股东、实际控制人提供资金的关联交易和违规提供对外担保等重大事项均未按法律相关规定履行临时信息披露义务，也未在2017年年度报告中披露上述事项。海通证券未充分履行持续督导义务，涉嫌存在未能勤勉尽责情形，在2018年5月2日出具并由奥瑞德在2018年5月4日披露的《2017年度现场检查报告》和《2017年度持续督导意见》存在虚假记载。</w:t>
            </w:r>
          </w:p>
        </w:tc>
      </w:tr>
      <w:tr w:rsidR="00B229A7" w14:paraId="5ABE50A0" w14:textId="77777777">
        <w:tc>
          <w:tcPr>
            <w:tcW w:w="1980" w:type="dxa"/>
          </w:tcPr>
          <w:p w14:paraId="7A72C78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205E3FB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普华永道中天和罗兵咸永道</w:t>
            </w:r>
          </w:p>
        </w:tc>
      </w:tr>
      <w:tr w:rsidR="00B229A7" w14:paraId="5D2EF1AC" w14:textId="77777777">
        <w:tc>
          <w:tcPr>
            <w:tcW w:w="1980" w:type="dxa"/>
          </w:tcPr>
          <w:p w14:paraId="5227F67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w:t>
            </w:r>
            <w:r>
              <w:rPr>
                <w:rFonts w:ascii="宋体" w:hAnsi="宋体"/>
                <w:color w:val="000000" w:themeColor="text1"/>
                <w:kern w:val="0"/>
                <w:szCs w:val="21"/>
              </w:rPr>
              <w:t>受罚或责任描述</w:t>
            </w:r>
          </w:p>
        </w:tc>
        <w:tc>
          <w:tcPr>
            <w:tcW w:w="6316" w:type="dxa"/>
          </w:tcPr>
          <w:p w14:paraId="62274C75"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ab/>
            </w:r>
            <w:r>
              <w:rPr>
                <w:rFonts w:ascii="宋体" w:hAnsi="宋体" w:hint="eastAsia"/>
                <w:color w:val="000000" w:themeColor="text1"/>
                <w:kern w:val="0"/>
                <w:szCs w:val="21"/>
              </w:rPr>
              <w:t>重庆证监局认为，海通证券的上述行为违反2005年《证券法》第一百七十三条规定，构成2005年《证券法》第二百二十三条所述情形。时任奥瑞德持续督导期独立财务顾问主办人李春和贾文静为直接负责的主管人员。</w:t>
            </w:r>
          </w:p>
          <w:p w14:paraId="18AD0FC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根据海通证券违法行为的事实、性质、情节与社会危害程度，依据2005年《证券法》第二百二十三条的规定，重庆证监局拟作出决定：责令海通证券改正，没收财务顾问业务收入100万元，并处以300万元罚款；对李春、贾文静给予警告，并分别处以5万元罚款。</w:t>
            </w:r>
          </w:p>
          <w:p w14:paraId="4244098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海通证券表示，公司将严格按照法律法规要求履行信息披露义务，目前公司的经营情况正常。</w:t>
            </w:r>
          </w:p>
          <w:p w14:paraId="472D987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9月8日，海通证券公告称，公司收到了证监会的《立案告知书》和《调查通知书》，因在开展西南药业股份有限公司(现奥瑞德)</w:t>
            </w:r>
            <w:r>
              <w:rPr>
                <w:rFonts w:ascii="宋体" w:hAnsi="宋体" w:hint="eastAsia"/>
                <w:color w:val="000000" w:themeColor="text1"/>
                <w:kern w:val="0"/>
                <w:szCs w:val="21"/>
              </w:rPr>
              <w:lastRenderedPageBreak/>
              <w:t>财务顾问业务的持续督导工作期间未勤勉尽责，涉嫌违法违规。</w:t>
            </w:r>
          </w:p>
          <w:p w14:paraId="3B3FF29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监管部门对于证券行业投行业务的监管正在全面加强，自2020年7月始，证监会新设“投行业务违规处罚信息”一栏，集中公布投行处罚信息。</w:t>
            </w:r>
          </w:p>
          <w:p w14:paraId="1F49618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今年7月，证监会制定并发布了《关于注册制下督促证券公司从事投行业务归位尽责的指导意见》，针对注册制下中介机构执业质量普遍不高、制度规则体系不够健全、市场约束机制不够有力等突出问题，坚持突出重点、依法监管、标本兼治三项原则，从监管、机构、市场三个维度提出重点工作任务，力求应实尽实，同时对明确中介机构责任边界等一些长期性、复杂性问题提出工作思路，逐步推进。</w:t>
            </w:r>
          </w:p>
        </w:tc>
      </w:tr>
      <w:tr w:rsidR="00B229A7" w14:paraId="2A9620BD" w14:textId="77777777">
        <w:tc>
          <w:tcPr>
            <w:tcW w:w="1980" w:type="dxa"/>
          </w:tcPr>
          <w:p w14:paraId="6CFA42D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引发的企业经营及内控思考</w:t>
            </w:r>
          </w:p>
        </w:tc>
        <w:tc>
          <w:tcPr>
            <w:tcW w:w="6316" w:type="dxa"/>
          </w:tcPr>
          <w:p w14:paraId="57E295B5" w14:textId="77777777" w:rsidR="00B229A7" w:rsidRDefault="00D7072C">
            <w:pPr>
              <w:spacing w:line="276" w:lineRule="auto"/>
              <w:rPr>
                <w:rFonts w:ascii="宋体" w:hAnsi="宋体"/>
                <w:color w:val="000000" w:themeColor="text1"/>
                <w:kern w:val="0"/>
                <w:szCs w:val="21"/>
              </w:rPr>
            </w:pPr>
            <w:r>
              <w:rPr>
                <w:rStyle w:val="11"/>
                <w:rFonts w:ascii="宋体" w:hAnsi="宋体" w:hint="eastAsia"/>
                <w:i w:val="0"/>
                <w:iCs w:val="0"/>
                <w:color w:val="000000" w:themeColor="text1"/>
                <w:kern w:val="0"/>
                <w:szCs w:val="21"/>
              </w:rPr>
              <w:t>财务顾问应当切实履行持续督导责任，督促上市公司规范运作。</w:t>
            </w:r>
          </w:p>
        </w:tc>
      </w:tr>
      <w:tr w:rsidR="00B229A7" w14:paraId="099C3133" w14:textId="77777777">
        <w:tc>
          <w:tcPr>
            <w:tcW w:w="1980" w:type="dxa"/>
          </w:tcPr>
          <w:p w14:paraId="5C72C04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316" w:type="dxa"/>
          </w:tcPr>
          <w:p w14:paraId="39479141" w14:textId="77777777" w:rsidR="00B229A7" w:rsidRDefault="00D7072C">
            <w:pPr>
              <w:spacing w:line="276" w:lineRule="auto"/>
              <w:rPr>
                <w:rFonts w:ascii="宋体" w:hAnsi="宋体"/>
                <w:color w:val="000000" w:themeColor="text1"/>
                <w:kern w:val="0"/>
                <w:szCs w:val="21"/>
              </w:rPr>
            </w:pPr>
            <w:r>
              <w:rPr>
                <w:rFonts w:ascii="宋体" w:hAnsi="宋体" w:hint="eastAsia"/>
                <w:bCs/>
                <w:color w:val="000000" w:themeColor="text1"/>
                <w:kern w:val="0"/>
                <w:szCs w:val="21"/>
              </w:rPr>
              <w:t>对外担保</w:t>
            </w:r>
          </w:p>
        </w:tc>
      </w:tr>
    </w:tbl>
    <w:p w14:paraId="4818290D" w14:textId="77777777" w:rsidR="00B229A7" w:rsidRDefault="00B229A7">
      <w:pPr>
        <w:spacing w:line="276" w:lineRule="auto"/>
        <w:rPr>
          <w:rFonts w:ascii="宋体" w:hAnsi="宋体"/>
          <w:color w:val="000000" w:themeColor="text1"/>
          <w:szCs w:val="21"/>
        </w:rPr>
      </w:pPr>
    </w:p>
    <w:p w14:paraId="61EBA20D" w14:textId="77777777" w:rsidR="00B229A7" w:rsidRDefault="00D7072C">
      <w:pPr>
        <w:pStyle w:val="1"/>
      </w:pPr>
      <w:bookmarkStart w:id="89" w:name="_Toc515709074"/>
      <w:bookmarkStart w:id="90" w:name="_Toc104812503"/>
      <w:bookmarkStart w:id="91" w:name="_Toc104812322"/>
      <w:bookmarkStart w:id="92" w:name="_Toc104812601"/>
      <w:r>
        <w:t>2</w:t>
      </w:r>
      <w:r>
        <w:rPr>
          <w:rFonts w:hint="eastAsia"/>
        </w:rPr>
        <w:t>6</w:t>
      </w:r>
      <w:bookmarkEnd w:id="89"/>
      <w:r>
        <w:rPr>
          <w:rFonts w:hint="eastAsia"/>
        </w:rPr>
        <w:t>中国工商银行</w:t>
      </w:r>
      <w:r>
        <w:rPr>
          <w:rFonts w:hint="eastAsia"/>
        </w:rPr>
        <w:t>--</w:t>
      </w:r>
      <w:r>
        <w:rPr>
          <w:rFonts w:hint="eastAsia"/>
        </w:rPr>
        <w:t>第三方支付</w:t>
      </w:r>
      <w:bookmarkEnd w:id="90"/>
      <w:bookmarkEnd w:id="91"/>
      <w:bookmarkEnd w:id="92"/>
    </w:p>
    <w:tbl>
      <w:tblPr>
        <w:tblStyle w:val="a4"/>
        <w:tblW w:w="8296" w:type="dxa"/>
        <w:tblLayout w:type="fixed"/>
        <w:tblLook w:val="04A0" w:firstRow="1" w:lastRow="0" w:firstColumn="1" w:lastColumn="0" w:noHBand="0" w:noVBand="1"/>
      </w:tblPr>
      <w:tblGrid>
        <w:gridCol w:w="1980"/>
        <w:gridCol w:w="6316"/>
      </w:tblGrid>
      <w:tr w:rsidR="00B229A7" w14:paraId="517B5970" w14:textId="77777777">
        <w:tc>
          <w:tcPr>
            <w:tcW w:w="1980" w:type="dxa"/>
          </w:tcPr>
          <w:p w14:paraId="27B4ADC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597AA79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w:t>
            </w:r>
            <w:r>
              <w:rPr>
                <w:rFonts w:ascii="宋体" w:hAnsi="宋体"/>
                <w:color w:val="000000" w:themeColor="text1"/>
                <w:kern w:val="0"/>
                <w:szCs w:val="21"/>
              </w:rPr>
              <w:t>16</w:t>
            </w:r>
          </w:p>
        </w:tc>
      </w:tr>
      <w:tr w:rsidR="00B229A7" w14:paraId="3624FF56" w14:textId="77777777">
        <w:tc>
          <w:tcPr>
            <w:tcW w:w="1980" w:type="dxa"/>
          </w:tcPr>
          <w:p w14:paraId="04230FE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5024FDA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4E173194" w14:textId="77777777">
        <w:tc>
          <w:tcPr>
            <w:tcW w:w="1980" w:type="dxa"/>
          </w:tcPr>
          <w:p w14:paraId="44645B2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59091FD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2016年</w:t>
            </w:r>
          </w:p>
        </w:tc>
      </w:tr>
      <w:tr w:rsidR="00B229A7" w14:paraId="5DC114B2" w14:textId="77777777">
        <w:tc>
          <w:tcPr>
            <w:tcW w:w="1980" w:type="dxa"/>
          </w:tcPr>
          <w:p w14:paraId="6AD5D6A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2897AC7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中国工商银行股份有限公司内部审计局上海分局</w:t>
            </w:r>
          </w:p>
        </w:tc>
      </w:tr>
      <w:tr w:rsidR="00B229A7" w14:paraId="4FE2FB2D" w14:textId="77777777">
        <w:tc>
          <w:tcPr>
            <w:tcW w:w="1980" w:type="dxa"/>
          </w:tcPr>
          <w:p w14:paraId="5343CFF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6B8E5F1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银行卡、电子银行、个人金融等</w:t>
            </w:r>
          </w:p>
        </w:tc>
      </w:tr>
      <w:tr w:rsidR="00B229A7" w14:paraId="0F28A003" w14:textId="77777777">
        <w:tc>
          <w:tcPr>
            <w:tcW w:w="1980" w:type="dxa"/>
          </w:tcPr>
          <w:p w14:paraId="51CAD71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6DA9B2B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2391262" w14:textId="77777777" w:rsidR="00B229A7" w:rsidRDefault="00D7072C">
            <w:pPr>
              <w:spacing w:line="276" w:lineRule="auto"/>
              <w:rPr>
                <w:rFonts w:ascii="宋体" w:hAnsi="宋体"/>
                <w:bCs/>
                <w:color w:val="000000" w:themeColor="text1"/>
                <w:kern w:val="0"/>
                <w:szCs w:val="21"/>
              </w:rPr>
            </w:pPr>
            <w:r>
              <w:rPr>
                <w:rFonts w:ascii="宋体" w:hAnsi="宋体"/>
                <w:b/>
                <w:color w:val="000000" w:themeColor="text1"/>
                <w:kern w:val="0"/>
                <w:szCs w:val="21"/>
              </w:rPr>
              <w:tab/>
            </w:r>
            <w:r>
              <w:rPr>
                <w:rFonts w:ascii="宋体" w:hAnsi="宋体" w:hint="eastAsia"/>
                <w:bCs/>
                <w:color w:val="000000" w:themeColor="text1"/>
                <w:kern w:val="0"/>
                <w:szCs w:val="21"/>
              </w:rPr>
              <w:t>中国工商银行（INDUSTRIAL AND COMMERCIAL BANK OF CHINA，简称ICBC ，工行）成立于1984年1月1日。总行位于北京复兴门内大街55号，是国有大型商业银行，国家副部级单位。中国工商银行的基本任务是依据国家的法律和法规，通过国内外开展融资活动筹集社会资金，加强信贷资金管理，支持企业生产和技术改造，为我国经济建设服务。</w:t>
            </w:r>
          </w:p>
          <w:p w14:paraId="02830A9A" w14:textId="77777777" w:rsidR="00B229A7" w:rsidRDefault="00B229A7">
            <w:pPr>
              <w:spacing w:line="276" w:lineRule="auto"/>
              <w:rPr>
                <w:rFonts w:ascii="宋体" w:hAnsi="宋体"/>
                <w:bCs/>
                <w:color w:val="000000" w:themeColor="text1"/>
                <w:kern w:val="0"/>
                <w:szCs w:val="21"/>
              </w:rPr>
            </w:pPr>
          </w:p>
          <w:p w14:paraId="783A76FB" w14:textId="77777777" w:rsidR="00B229A7" w:rsidRDefault="00D7072C">
            <w:pPr>
              <w:spacing w:line="276" w:lineRule="auto"/>
              <w:jc w:val="left"/>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75F36E7F" w14:textId="77777777" w:rsidR="00B229A7" w:rsidRDefault="00D7072C">
            <w:pPr>
              <w:spacing w:line="276" w:lineRule="auto"/>
              <w:rPr>
                <w:rFonts w:ascii="宋体" w:hAnsi="宋体"/>
                <w:color w:val="000000" w:themeColor="text1"/>
                <w:kern w:val="0"/>
                <w:szCs w:val="21"/>
              </w:rPr>
            </w:pPr>
            <w:r>
              <w:rPr>
                <w:rFonts w:ascii="宋体" w:hAnsi="宋体"/>
                <w:b/>
                <w:color w:val="000000" w:themeColor="text1"/>
                <w:kern w:val="0"/>
                <w:szCs w:val="21"/>
              </w:rPr>
              <w:tab/>
            </w:r>
            <w:r>
              <w:rPr>
                <w:rFonts w:ascii="宋体" w:hAnsi="宋体"/>
                <w:color w:val="000000" w:themeColor="text1"/>
                <w:kern w:val="0"/>
                <w:szCs w:val="21"/>
              </w:rPr>
              <w:t>第三方支付业务虽已发展多年，但进入监管及银行业视线的时间并不长，马云曾说传统金融行业对其业务“一开始是看不见，随后是看不起，之后是看不懂，最终变为追不上”，但对中国工商银行（以下简称工行）及工行内部审计人来讲，并不适用。自第三方</w:t>
            </w:r>
            <w:r>
              <w:rPr>
                <w:rFonts w:ascii="宋体" w:hAnsi="宋体"/>
                <w:color w:val="000000" w:themeColor="text1"/>
                <w:kern w:val="0"/>
                <w:szCs w:val="21"/>
              </w:rPr>
              <w:lastRenderedPageBreak/>
              <w:t>支付、P2P 网络贷款、众筹等互联网金融业态出现以来，工行管理层和内部审计持续关注并研究互联网金融的概念、范围、风险及对银行业的影响和变化。2013 年初，在第三方支付迅猛增长且具有一定规模之时，工行内部审计局适时开展专项审计，是坚持“以风险为导向、以服务为宗旨、以增值为目的”审计理念的一个鲜活案例，体现了内部审计对新热点、新业务、新风险判断的及时性和敏锐性，对银行经营转型发展增值服务的前瞻性。</w:t>
            </w:r>
          </w:p>
          <w:p w14:paraId="16E303E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w:t>
            </w:r>
            <w:r>
              <w:rPr>
                <w:rFonts w:ascii="宋体" w:hAnsi="宋体"/>
                <w:color w:val="000000" w:themeColor="text1"/>
                <w:kern w:val="0"/>
                <w:szCs w:val="21"/>
              </w:rPr>
              <w:t xml:space="preserve">第三方支付资金安全风险波及银行伴随我国互联网和电子商务的蓬勃发展，2012 年末第三方支付业务保持强劲增长，根据艾瑞咨询的统计数据显示，2012 年第三方支付业务交易规模（包括非金融支付机构规模以上企业互联网业务、银行卡收单、移动支付、电话支付、预付卡发行与受理等业务交易规模的总和）达 12.9 万亿，同比增长54.2%。然而与此同时，由于木马、钓鱼网站和账户、密码被盗等引发的用户资金被恶意划走事件屡见不鲜，敲响了第三方支付这一“朝阳产业”的警钟。当年 8 月央行披露的数据显示，获得许可证的 197 家第三方支付机构的支付业务量、支付业务金额及客户备付金余额已经分别占到全国总规模的 82%、95%和 93%。然而，在高速发展背后，这些机构普遍存在高风险问题。诸如，资金管理存在较大的风险隐患；银行卡收单业务违规现象突出；支付机构内部控制风险管理能力普遍不足；支付机构随意开展所谓创新业务，突破业务类型和范围，逃避监管；预付卡等业务合作方面不规范问题较多，关闭跑路事件时有发生。在互联网金融新兴业态下，商业银行作为第三方支付机构备付金存管行，在合作的同时面临着商业竞争的挑战和风险传导的压力。如，支付机构增加了银行的支付、结算业务交易量，但同等规模的支付结算业务收入却大幅滑坡，面临着支付脱媒的挑战；更为严峻的是客户银行资金通过第三方支付被盗取的事件频发，对商业银行声誉和信用造成负面影响，在以互联网技术为特征的新媒介时代，负面影响的范围更大、程度更深、速度更快。随着支付机构规模和业务的迅速扩张，工行以积极开放的心态与第三方支付机构建立了业务合作关系，并具有一定规模。2012 年末，百余家第三方支付机构在工行开立人民币结算账户，占比接近当时有牌照第三方支付机构的 75%，存款余额超过 50 多亿元，其中位列前十的第三方支付机构结算账户存款余额占比超过 75%，上海和浙江两地的交易结算量最大，占比 88.75%。在此背景下，为了解合作支付机构对工行客户信息安全、资金安全的影响，全面分析合作管理中存在的机制性、规范性问题，剖析第三方支付对银行存贷款业务以及中间业务收入增长所带来的冲击和挑战，构筑银行与第三方支付之间的防火墙，总行内部审计局决定于2013 </w:t>
            </w:r>
            <w:r>
              <w:rPr>
                <w:rFonts w:ascii="宋体" w:hAnsi="宋体"/>
                <w:color w:val="000000" w:themeColor="text1"/>
                <w:kern w:val="0"/>
                <w:szCs w:val="21"/>
              </w:rPr>
              <w:lastRenderedPageBreak/>
              <w:t>年针对第三方支付业务量大的地区及业务品种开展专项审计，为有效规避运营风险和声誉风险提供审计确认，为及时应对市场变革提出合理的具有前瞻性的咨询建议。</w:t>
            </w:r>
          </w:p>
          <w:p w14:paraId="1E18D7C9"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二）履行新时期赋予内部审计增值服务的使命内部审计由“监督主导型”向“服务主导型”转变是社会经济发展的必然趋向。审计目标是审计履行职责、开展项目的领航灯，决定了审计范围、内容和步骤。商业银行在互联网金融发展的新时期，机遇和挑战并存，如何把握机遇、规避风险、谋求转型发展，是内部审计为组织增值服务的重要目标。在此理念的指引下，第三方支付管理审计目标锁定三个方面：一是摸清现状，全面、深入了解与第三方支付机构的合作及管理情况，各</w:t>
            </w:r>
            <w:r>
              <w:rPr>
                <w:rFonts w:ascii="宋体" w:hAnsi="宋体" w:hint="eastAsia"/>
                <w:color w:val="000000" w:themeColor="text1"/>
                <w:kern w:val="0"/>
                <w:szCs w:val="21"/>
              </w:rPr>
              <w:t>经营管理职能部门和机构的整体协调性和步调一致性。二是查明风险，关注资金、信息及系统的安全性，结合监管法规和工行制度，从机制、流程、系统入手，查找和揭示工行与支付机构合作过程中的风险隐患。三是助力发展，在“互联网金融”新型业态下，综合分析第三方支付对商业银行传统业务带来的冲击和挑战并提出针对性建议，结合审计与咨询的职能，助力经营转型发展。</w:t>
            </w:r>
          </w:p>
          <w:p w14:paraId="3A1AF5F6" w14:textId="77777777" w:rsidR="00B229A7" w:rsidRDefault="00B229A7">
            <w:pPr>
              <w:spacing w:line="276" w:lineRule="auto"/>
              <w:jc w:val="left"/>
              <w:rPr>
                <w:rFonts w:ascii="宋体" w:hAnsi="宋体"/>
                <w:bCs/>
                <w:color w:val="000000" w:themeColor="text1"/>
                <w:kern w:val="0"/>
                <w:szCs w:val="21"/>
              </w:rPr>
            </w:pPr>
          </w:p>
          <w:p w14:paraId="375AC432"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3025863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审计的重要发现：</w:t>
            </w:r>
          </w:p>
          <w:p w14:paraId="2A9B7DF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w:t>
            </w:r>
            <w:r>
              <w:rPr>
                <w:rFonts w:ascii="宋体" w:hAnsi="宋体"/>
                <w:color w:val="000000" w:themeColor="text1"/>
                <w:kern w:val="0"/>
                <w:szCs w:val="21"/>
              </w:rPr>
              <w:t>桥接网贷，套现资金通过现场对客户交易行为的审计确认，审计组发现有客户通过“深圳红岭创投”网站，使用信用卡经工行网银进行套现并出借资金的情况。随后，通过互联网寻找不同的网贷公司，开展穿行测试，发现还有部分网络贷款平台通过第三方支付机构接入网银系统，提供信用卡充值、套现、出借资金的情况。特别是某些网站在工行没有向其提供网银交易接口的情况下，经由支付宝、财付通、盛付通等多家第三方支付机构转接进入网银支付网关或是 B2C快捷支付接口，完成使用信用卡充值、套现及出借资金的行为。该审计发现，充分揭示了商业银行只能被动接受合作的第三方支付机构的二级商户暗藏风险的情况。商业银行大多与第三方支付机构有业务合作，这些第三方支付机构前端连接银行网银系统，后端连接自身发展的商户，使这些第三方支付机构自身发展的商户成为银行的二级商户，这些二级商户通过第三方支付机构，等同获取了与银行连接的通道。而第三方支付机构隐匿了数据传输，并未向银行提供二级商户的资质、业务情况，当网络贷款平台被发展成为第三方支付机构的特约商户，那么银行客户同样可以在这些网络贷款平台使用工行信用卡进行套现和出借资金。</w:t>
            </w:r>
          </w:p>
          <w:p w14:paraId="2A3D5D14"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（二）多地接入，多头议价通过多地的现场审计，审计组发现某第</w:t>
            </w:r>
            <w:r>
              <w:rPr>
                <w:rFonts w:ascii="宋体" w:hAnsi="宋体"/>
                <w:color w:val="000000" w:themeColor="text1"/>
                <w:kern w:val="0"/>
                <w:szCs w:val="21"/>
              </w:rPr>
              <w:lastRenderedPageBreak/>
              <w:t>三方支付巨头，利用各地分行间信息的不透明，多地开户、多地接入、多头议价，造成分行间的内部竞争。经过审计，该巨头与工行五个一级分行签署接入协议，利用流量分配压低支付与清算的收费类型与费率，各地分行有的按笔收费、有的打包收费，有事前收费也有事后收费，协议费率从0.08% ～ 0.5% 不等，实际收费甚至还有折扣，银行内部无法形成集团议价优势。甚至该巨头在开展“光棍节”“秒杀”等营销行为时，将多地接入分行作为其支付结算的冗余与备份，第三方支付机构在台前获得了鲜花与掌声，商业银行却在幕后为其默默奉献，并承受着资金安全的风险。商业银行为搭建安全、稳定、高效的支付结算系统与网络，花费了巨额资金，投入了大量人力物力，在第三方支付机构接入后，收入附加值较高的服务行为逐渐演化为附加值较低的通道行为。抢占互联网金融的制高点、合理开展与第三方支付机构的竞争与合作，是当下商业银行必须考虑也是不得不考虑的重点</w:t>
            </w:r>
            <w:r>
              <w:rPr>
                <w:rFonts w:ascii="宋体" w:hAnsi="宋体" w:hint="eastAsia"/>
                <w:color w:val="000000" w:themeColor="text1"/>
                <w:kern w:val="0"/>
                <w:szCs w:val="21"/>
              </w:rPr>
              <w:t>。</w:t>
            </w:r>
          </w:p>
        </w:tc>
      </w:tr>
      <w:tr w:rsidR="00B229A7" w14:paraId="6485B873" w14:textId="77777777">
        <w:tc>
          <w:tcPr>
            <w:tcW w:w="1980" w:type="dxa"/>
          </w:tcPr>
          <w:p w14:paraId="248F3B1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25DB2E2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内部审计</w:t>
            </w:r>
          </w:p>
        </w:tc>
      </w:tr>
      <w:tr w:rsidR="00B229A7" w14:paraId="12263100" w14:textId="77777777">
        <w:tc>
          <w:tcPr>
            <w:tcW w:w="1980" w:type="dxa"/>
          </w:tcPr>
          <w:p w14:paraId="7901F56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引发的企业经营及内控思考</w:t>
            </w:r>
          </w:p>
        </w:tc>
        <w:tc>
          <w:tcPr>
            <w:tcW w:w="6316" w:type="dxa"/>
          </w:tcPr>
          <w:p w14:paraId="5B308A9E"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一）支持监管规范互联网金融生态充分发挥第一大行的业务典型代表性，通过有力的案例和数据推动监管机构进一步完善非金融机构新兴金融业务的管理。审计组拜访了人民银行支付结算司，了解互联网金融监管的变化趋势，就支付业务监管差异交换了意见，并得到人民银行的重视与认可，将审计组提出的“将非金融支付机构纳入银行卡收单业务监管范畴”建议，纳入了《银行卡收单业务管理办法》，并于2013年7月3日正式发布。审计成果得到了监管部门的认可，第三方支付逐步纳入监管范畴，协助监管推动互联网金融健康发展。</w:t>
            </w:r>
          </w:p>
          <w:p w14:paraId="7042C8B4" w14:textId="77777777" w:rsidR="00B229A7" w:rsidRDefault="00D7072C">
            <w:pPr>
              <w:numPr>
                <w:ilvl w:val="0"/>
                <w:numId w:val="6"/>
              </w:numPr>
              <w:spacing w:line="276" w:lineRule="auto"/>
              <w:rPr>
                <w:rFonts w:ascii="宋体" w:hAnsi="宋体"/>
                <w:color w:val="000000" w:themeColor="text1"/>
                <w:kern w:val="0"/>
                <w:szCs w:val="21"/>
              </w:rPr>
            </w:pPr>
            <w:r>
              <w:rPr>
                <w:rFonts w:ascii="宋体" w:hAnsi="宋体"/>
                <w:color w:val="000000" w:themeColor="text1"/>
                <w:kern w:val="0"/>
                <w:szCs w:val="21"/>
              </w:rPr>
              <w:t>有效整改防范系统风险审计报告得到了管理层的高度重视，工行相关管理部门第一时间启动整改工作，关闭支付宝多点接口，实现单点接入，避免内部价格竞争恶化，并逐步规范了限额管理，在维护工行整体利益的同时保障了客户资金安全。该风险的有效管控措施一时成为了社会关注的热点，同业若干家银行也及时效仿，使整个金融系统对相关业务的风险认知程度有所提高，促进了系统性金融风险的有效防范和预警。</w:t>
            </w:r>
          </w:p>
          <w:p w14:paraId="4D1AA484" w14:textId="77777777" w:rsidR="00B229A7" w:rsidRDefault="00D7072C">
            <w:pPr>
              <w:numPr>
                <w:ilvl w:val="0"/>
                <w:numId w:val="6"/>
              </w:numPr>
              <w:spacing w:line="276" w:lineRule="auto"/>
              <w:rPr>
                <w:rFonts w:ascii="宋体" w:hAnsi="宋体"/>
                <w:color w:val="000000" w:themeColor="text1"/>
                <w:kern w:val="0"/>
                <w:szCs w:val="21"/>
              </w:rPr>
            </w:pPr>
            <w:r>
              <w:rPr>
                <w:rFonts w:ascii="宋体" w:hAnsi="宋体"/>
                <w:color w:val="000000" w:themeColor="text1"/>
                <w:kern w:val="0"/>
                <w:szCs w:val="21"/>
              </w:rPr>
              <w:t>咨询服务促进长远发展建议自建电商平台，加强互联网金融产品的创新与推出。为工行参与互联网金融竞争提供参考，确定了“e-ICBC”的发展战略，以及“融e购”为代表的集支付、融资、金融交易、商务、信息五大功能于一体及线上线下一体化的互联网金融服务体系，对工行长远的战略规划起到了借鉴作用。同时，也为金融同业的互联网金融发展提供了良好的示范。五、案例经验总结与启示对第三方支付管理专项审计不仅仅是对该类业务风险的一</w:t>
            </w:r>
            <w:r>
              <w:rPr>
                <w:rFonts w:ascii="宋体" w:hAnsi="宋体"/>
                <w:color w:val="000000" w:themeColor="text1"/>
                <w:kern w:val="0"/>
                <w:szCs w:val="21"/>
              </w:rPr>
              <w:lastRenderedPageBreak/>
              <w:t>次全面体检，也是内部审计首次涉足互联网金融，开展审计确认与咨询服务的一次实践，更是银行业内部审计在新业态环境下对新风险、新挑战的理解和研究，为未来跨专业、跨部门、跨机构、跨系统等“跨界”审计的开展积累了经验，奠定了基础。</w:t>
            </w:r>
          </w:p>
        </w:tc>
      </w:tr>
      <w:tr w:rsidR="00B229A7" w14:paraId="6E8A2F2F" w14:textId="77777777">
        <w:tc>
          <w:tcPr>
            <w:tcW w:w="1980" w:type="dxa"/>
          </w:tcPr>
          <w:p w14:paraId="5E3286B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53662F42" w14:textId="77777777" w:rsidR="00B229A7" w:rsidRDefault="00D7072C">
            <w:pPr>
              <w:numPr>
                <w:ilvl w:val="0"/>
                <w:numId w:val="7"/>
              </w:numPr>
              <w:spacing w:line="276" w:lineRule="auto"/>
              <w:rPr>
                <w:rFonts w:ascii="宋体" w:hAnsi="宋体"/>
                <w:color w:val="000000" w:themeColor="text1"/>
                <w:kern w:val="0"/>
                <w:szCs w:val="21"/>
              </w:rPr>
            </w:pPr>
            <w:r>
              <w:rPr>
                <w:rFonts w:ascii="宋体" w:hAnsi="宋体"/>
                <w:color w:val="000000" w:themeColor="text1"/>
                <w:kern w:val="0"/>
                <w:szCs w:val="21"/>
              </w:rPr>
              <w:t>前瞻立项决定项目起点为进一步提升内部审计工作的战略性、系统性、建设性和前瞻性，工行内部审计紧跟当前市场热点，关注行内工作重点，确定审计项目。重点是为全行甚至同业金融机构在面对第三方支付为代表的非金融机构的冲击提供建议，化被动为主动。同时，为监管机构及时出台相关监管制度提供参考。</w:t>
            </w:r>
          </w:p>
          <w:p w14:paraId="122FD397" w14:textId="77777777" w:rsidR="00B229A7" w:rsidRDefault="00D7072C">
            <w:pPr>
              <w:numPr>
                <w:ilvl w:val="0"/>
                <w:numId w:val="7"/>
              </w:numPr>
              <w:spacing w:line="276" w:lineRule="auto"/>
              <w:rPr>
                <w:rFonts w:ascii="宋体" w:hAnsi="宋体"/>
                <w:color w:val="000000" w:themeColor="text1"/>
                <w:kern w:val="0"/>
                <w:szCs w:val="21"/>
              </w:rPr>
            </w:pPr>
            <w:r>
              <w:rPr>
                <w:rFonts w:ascii="宋体" w:hAnsi="宋体"/>
                <w:color w:val="000000" w:themeColor="text1"/>
                <w:kern w:val="0"/>
                <w:szCs w:val="21"/>
              </w:rPr>
              <w:t>科学设计奠定成功基点项目前期，通过预调研摸清现状，清晰定位项目目标；项目初期，通过应用大数据分析，有效挖掘内外部数据隐含的潜在风险和趋势；项目中期，审计组成员跨专业融合，内部控制看管理、财务管理看收益、信息科技看安全、团队融合看发展；项目后期，出具双份报告，立足不同角度，关注互联网金融对商业银行的内外风险传导。</w:t>
            </w:r>
          </w:p>
          <w:p w14:paraId="4FD50ED0" w14:textId="77777777" w:rsidR="00B229A7" w:rsidRDefault="00D7072C">
            <w:pPr>
              <w:numPr>
                <w:ilvl w:val="0"/>
                <w:numId w:val="7"/>
              </w:numPr>
              <w:spacing w:line="276" w:lineRule="auto"/>
              <w:rPr>
                <w:rFonts w:ascii="宋体" w:hAnsi="宋体"/>
                <w:color w:val="000000" w:themeColor="text1"/>
                <w:kern w:val="0"/>
                <w:szCs w:val="21"/>
              </w:rPr>
            </w:pPr>
            <w:r>
              <w:rPr>
                <w:rFonts w:ascii="宋体" w:hAnsi="宋体"/>
                <w:color w:val="000000" w:themeColor="text1"/>
                <w:kern w:val="0"/>
                <w:szCs w:val="21"/>
              </w:rPr>
              <w:t>创新思路提增审计亮点由于实践了创新互联网思维驱动发展的思路为项目增加了看点，审计及调研建议得到全方位的响应。向外，看市场、看监管、看同业、看第三方支付，谋求商业银行互联网金融发展策略，为管理层发展“e-ICBC”银行系互联网金融品牌的战略方针提供参考；向内，维护集团公司利益、守住风险控制的底线、着眼长远发展，管理机制进一步完善，风险防控措施进一步健全。</w:t>
            </w:r>
          </w:p>
          <w:p w14:paraId="3BA61BED" w14:textId="77777777" w:rsidR="00B229A7" w:rsidRDefault="00D7072C">
            <w:pPr>
              <w:spacing w:line="276" w:lineRule="auto"/>
              <w:rPr>
                <w:rStyle w:val="11"/>
                <w:rFonts w:ascii="宋体" w:hAnsi="宋体"/>
                <w:i w:val="0"/>
                <w:iCs w:val="0"/>
                <w:color w:val="000000" w:themeColor="text1"/>
                <w:kern w:val="0"/>
                <w:szCs w:val="21"/>
              </w:rPr>
            </w:pPr>
            <w:r>
              <w:rPr>
                <w:rFonts w:ascii="宋体" w:hAnsi="宋体"/>
                <w:color w:val="000000" w:themeColor="text1"/>
                <w:kern w:val="0"/>
                <w:szCs w:val="21"/>
              </w:rPr>
              <w:t>（四）发散思维提升审计价值由简单的风险审计思维扩展到金融创新管理模式调研，由排查工行内部经营性风险传导到揭露金融行业系统性风险，由传统审计模式延伸到客户体验式调研模式，由产品管理条线审计职能发散至全行发展战略规划咨询职能。传统审计的思维不断被突破和革新，在有限目标下延伸审计思路，不断提升审计成果</w:t>
            </w:r>
            <w:r>
              <w:rPr>
                <w:rFonts w:ascii="宋体" w:hAnsi="宋体" w:hint="eastAsia"/>
                <w:color w:val="000000" w:themeColor="text1"/>
                <w:kern w:val="0"/>
                <w:szCs w:val="21"/>
              </w:rPr>
              <w:t>价值。</w:t>
            </w:r>
          </w:p>
        </w:tc>
      </w:tr>
      <w:tr w:rsidR="00B229A7" w14:paraId="1EBD025F" w14:textId="77777777">
        <w:tc>
          <w:tcPr>
            <w:tcW w:w="1980" w:type="dxa"/>
          </w:tcPr>
          <w:p w14:paraId="464100F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316" w:type="dxa"/>
          </w:tcPr>
          <w:p w14:paraId="46CF6E0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内部审计、第三方支付</w:t>
            </w:r>
          </w:p>
        </w:tc>
      </w:tr>
    </w:tbl>
    <w:p w14:paraId="5410CBB4" w14:textId="77777777" w:rsidR="00B229A7" w:rsidRDefault="00B229A7">
      <w:pPr>
        <w:spacing w:line="276" w:lineRule="auto"/>
        <w:rPr>
          <w:rFonts w:ascii="宋体" w:hAnsi="宋体"/>
          <w:color w:val="000000" w:themeColor="text1"/>
          <w:szCs w:val="21"/>
        </w:rPr>
      </w:pPr>
    </w:p>
    <w:p w14:paraId="2363A663" w14:textId="77777777" w:rsidR="00B229A7" w:rsidRDefault="00D7072C">
      <w:pPr>
        <w:pStyle w:val="1"/>
      </w:pPr>
      <w:bookmarkStart w:id="93" w:name="_Toc515709075"/>
      <w:bookmarkStart w:id="94" w:name="_Toc104812323"/>
      <w:bookmarkStart w:id="95" w:name="_Toc104812504"/>
      <w:bookmarkStart w:id="96" w:name="_Toc104812602"/>
      <w:r>
        <w:t>2</w:t>
      </w:r>
      <w:r>
        <w:rPr>
          <w:rFonts w:hint="eastAsia"/>
        </w:rPr>
        <w:t>7</w:t>
      </w:r>
      <w:bookmarkEnd w:id="93"/>
      <w:r>
        <w:rPr>
          <w:rFonts w:hint="eastAsia"/>
        </w:rPr>
        <w:t>中国光大银行</w:t>
      </w:r>
      <w:r>
        <w:rPr>
          <w:rFonts w:hint="eastAsia"/>
        </w:rPr>
        <w:t>--</w:t>
      </w:r>
      <w:r>
        <w:rPr>
          <w:rFonts w:hint="eastAsia"/>
        </w:rPr>
        <w:t>员工舞弊行为</w:t>
      </w:r>
      <w:bookmarkEnd w:id="94"/>
      <w:bookmarkEnd w:id="95"/>
      <w:bookmarkEnd w:id="96"/>
    </w:p>
    <w:tbl>
      <w:tblPr>
        <w:tblStyle w:val="a4"/>
        <w:tblW w:w="8296" w:type="dxa"/>
        <w:tblLayout w:type="fixed"/>
        <w:tblLook w:val="04A0" w:firstRow="1" w:lastRow="0" w:firstColumn="1" w:lastColumn="0" w:noHBand="0" w:noVBand="1"/>
      </w:tblPr>
      <w:tblGrid>
        <w:gridCol w:w="1980"/>
        <w:gridCol w:w="6316"/>
      </w:tblGrid>
      <w:tr w:rsidR="00B229A7" w14:paraId="132E754D" w14:textId="77777777">
        <w:tc>
          <w:tcPr>
            <w:tcW w:w="1980" w:type="dxa"/>
          </w:tcPr>
          <w:p w14:paraId="40F2F05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42FA30C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w:t>
            </w:r>
            <w:r>
              <w:rPr>
                <w:rFonts w:ascii="宋体" w:hAnsi="宋体"/>
                <w:color w:val="000000" w:themeColor="text1"/>
                <w:kern w:val="0"/>
                <w:szCs w:val="21"/>
              </w:rPr>
              <w:t>17</w:t>
            </w:r>
          </w:p>
        </w:tc>
      </w:tr>
      <w:tr w:rsidR="00B229A7" w14:paraId="58D129A1" w14:textId="77777777">
        <w:tc>
          <w:tcPr>
            <w:tcW w:w="1980" w:type="dxa"/>
          </w:tcPr>
          <w:p w14:paraId="7856BC1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327BF77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5D9AEFA5" w14:textId="77777777">
        <w:tc>
          <w:tcPr>
            <w:tcW w:w="1980" w:type="dxa"/>
          </w:tcPr>
          <w:p w14:paraId="6B36F56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3672650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2016年</w:t>
            </w:r>
          </w:p>
        </w:tc>
      </w:tr>
      <w:tr w:rsidR="00B229A7" w14:paraId="7B65CF5F" w14:textId="77777777">
        <w:tc>
          <w:tcPr>
            <w:tcW w:w="1980" w:type="dxa"/>
          </w:tcPr>
          <w:p w14:paraId="1BE883E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案例企业名称</w:t>
            </w:r>
          </w:p>
        </w:tc>
        <w:tc>
          <w:tcPr>
            <w:tcW w:w="6316" w:type="dxa"/>
          </w:tcPr>
          <w:p w14:paraId="421A060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中国光大银行股份有限公司</w:t>
            </w:r>
          </w:p>
        </w:tc>
      </w:tr>
      <w:tr w:rsidR="00B229A7" w14:paraId="065486A4" w14:textId="77777777">
        <w:tc>
          <w:tcPr>
            <w:tcW w:w="1980" w:type="dxa"/>
          </w:tcPr>
          <w:p w14:paraId="0BD15C6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79D1F29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银行业务</w:t>
            </w:r>
          </w:p>
        </w:tc>
      </w:tr>
      <w:tr w:rsidR="00B229A7" w14:paraId="2D652377" w14:textId="77777777">
        <w:tc>
          <w:tcPr>
            <w:tcW w:w="1980" w:type="dxa"/>
          </w:tcPr>
          <w:p w14:paraId="73BDF7C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59D6671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113E2F15" w14:textId="77777777" w:rsidR="00B229A7" w:rsidRDefault="00D7072C">
            <w:pPr>
              <w:spacing w:line="276" w:lineRule="auto"/>
              <w:rPr>
                <w:rFonts w:ascii="宋体" w:hAnsi="宋体"/>
                <w:bCs/>
                <w:color w:val="000000" w:themeColor="text1"/>
                <w:kern w:val="0"/>
                <w:szCs w:val="21"/>
              </w:rPr>
            </w:pPr>
            <w:r>
              <w:rPr>
                <w:rFonts w:ascii="宋体" w:hAnsi="宋体"/>
                <w:b/>
                <w:color w:val="000000" w:themeColor="text1"/>
                <w:kern w:val="0"/>
                <w:szCs w:val="21"/>
              </w:rPr>
              <w:tab/>
            </w:r>
            <w:r>
              <w:rPr>
                <w:rFonts w:ascii="宋体" w:hAnsi="宋体" w:hint="eastAsia"/>
                <w:bCs/>
                <w:color w:val="000000" w:themeColor="text1"/>
                <w:kern w:val="0"/>
                <w:szCs w:val="21"/>
              </w:rPr>
              <w:t>中国光大银行（CHINA EVERBRIGHT BANK、光大银行）成立于1992年8月，是经国务院批复并经中国人民银行批准设立的全国性股份制商业银行，总部设在北京。中国光大银行于2010年8月在上海证券交易所挂牌上市、2013年12月在香港联合交易所挂牌上市。</w:t>
            </w:r>
          </w:p>
          <w:p w14:paraId="19A0FBEB" w14:textId="77777777" w:rsidR="00B229A7" w:rsidRDefault="00B229A7">
            <w:pPr>
              <w:spacing w:line="276" w:lineRule="auto"/>
              <w:rPr>
                <w:rFonts w:ascii="宋体" w:hAnsi="宋体"/>
                <w:bCs/>
                <w:color w:val="000000" w:themeColor="text1"/>
                <w:kern w:val="0"/>
                <w:szCs w:val="21"/>
              </w:rPr>
            </w:pPr>
          </w:p>
          <w:p w14:paraId="4FED1E3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56AC2400"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银行业作为经营货币业务的高风险行业，其面临的风险既有外部的也有内部的，银行防范外部风险应以提高自身的科学决策及管理水平、经营实力和市场应变能力为重要手段;防范内部风险应在防止员工操作风险和舞弊行为方面下大力气。</w:t>
            </w:r>
          </w:p>
          <w:p w14:paraId="24EE0AEA"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所谓银行员工舞弊行为是指银行从业人员利用自己所掌握的权力、金融业务知识、操作技术及商业银行内部管理漏洞和法律法规制度不健全，通过不履行或不正确履行职务而给银行造成重大资金损失的行为，是权力运作过程中的一种扭曲现象。具体表现为贪污、受贿、挪用资金、渎职、内外勾结等。近年来，银行业案件呈高发态势，其中多数为内部人员违法违规案件，这些案件不仅造成了巨大的经济损失，也严重损害了银行的信誉和社会形象。</w:t>
            </w:r>
          </w:p>
          <w:p w14:paraId="5B257099" w14:textId="77777777" w:rsidR="00B229A7" w:rsidRDefault="00D7072C">
            <w:pPr>
              <w:spacing w:line="276" w:lineRule="auto"/>
              <w:ind w:firstLineChars="200" w:firstLine="420"/>
              <w:rPr>
                <w:rFonts w:ascii="宋体" w:hAnsi="宋体"/>
                <w:bCs/>
                <w:color w:val="000000" w:themeColor="text1"/>
                <w:kern w:val="0"/>
                <w:szCs w:val="21"/>
              </w:rPr>
            </w:pPr>
            <w:r>
              <w:rPr>
                <w:rFonts w:ascii="宋体" w:hAnsi="宋体" w:hint="eastAsia"/>
                <w:bCs/>
                <w:color w:val="000000" w:themeColor="text1"/>
                <w:kern w:val="0"/>
                <w:szCs w:val="21"/>
              </w:rPr>
              <w:t>剖析案件原因和过程，很大一部分都源于内部员工的舞弊行为，因此，防范员工舞弊行为是银行防止违法违规违纪案件发生、减少资产损失的有效途径。光大银行内部审计部门在审计过程中非常重视员工舞弊行为的审计工作。2014年，在对某分行的常规审计过程中，发现某分行信用卡中心主任王某的舞弊行为，即是典型的例子。</w:t>
            </w:r>
          </w:p>
          <w:p w14:paraId="465D8342" w14:textId="77777777" w:rsidR="00B229A7" w:rsidRDefault="00B229A7">
            <w:pPr>
              <w:spacing w:line="276" w:lineRule="auto"/>
              <w:rPr>
                <w:rFonts w:ascii="宋体" w:hAnsi="宋体"/>
                <w:b/>
                <w:color w:val="000000" w:themeColor="text1"/>
                <w:kern w:val="0"/>
                <w:szCs w:val="21"/>
              </w:rPr>
            </w:pPr>
          </w:p>
          <w:p w14:paraId="0C81677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【案情分析】</w:t>
            </w:r>
          </w:p>
          <w:p w14:paraId="5B6B6765"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1.现场审计。现场审计阶段对员工违规事实进行确认是员工舞弊行为审计的关键。现场审计只有在掌握足够信息以及对违规嫌疑人充分了解的基础上才可能取得突破，具体可细分为以下四个步骤。</w:t>
            </w:r>
          </w:p>
          <w:p w14:paraId="426A70B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一是通过调阅相关档案资料及凭证、实地走访企业等方式进一步确认违规事实，对非现场发现的疑点进一步查实、查透。</w:t>
            </w:r>
          </w:p>
          <w:p w14:paraId="08742E2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二是通过调阅违规嫌疑人的人事档案，与人事部门、分行领导访谈，充分了解违规嫌疑人的基本情况。此项工作要把握知悉范围，避免消息走漏。</w:t>
            </w:r>
          </w:p>
          <w:p w14:paraId="6C1C1F3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三是通过与违规嫌疑人谈话并由当事人书面陈述的方式对问题进行最终认定。通过合理设计谈话顺序、时间、地点来营造氛围(审计人员已掌握全部违规事实，并努力在帮助违规嫌疑人纠正违规行</w:t>
            </w:r>
            <w:r>
              <w:rPr>
                <w:rFonts w:ascii="宋体" w:hAnsi="宋体"/>
                <w:color w:val="000000" w:themeColor="text1"/>
                <w:kern w:val="0"/>
                <w:szCs w:val="21"/>
              </w:rPr>
              <w:lastRenderedPageBreak/>
              <w:t>为)，在谈话中要利用已掌握的信息，通过分拆瓦解、各个击破的方式寻求突破。访谈中一方面需注意倾听查找可疑情况，另一方面需做好相关记录，最终从违规程度较轻、违规事项风险相对较小的地方人手，抽丝剥苗，还原事实经过，寻找问题的根源。在违规嫌疑人基本承认违规事实后，要求违规嫌疑人当场作出书面陈述并签字确认，审计人员全程陪同。</w:t>
            </w:r>
          </w:p>
          <w:p w14:paraId="0DE60A3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四是根据谈话情况整理排查函，将相关线索交被审计单位进行深入排查及处理后续工作。为便于分行有的放矢地开展工作，排查函中必须明确具体的排查要求，并要求分行及时采取有效措施，消除风险隐患。最终分行根据银行问责管理的相关规定，视违规事项的损失情况，风险程度对责任人进行问责，起到警示全行的作用。</w:t>
            </w:r>
          </w:p>
          <w:p w14:paraId="4D22073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开展员工舞弊行为审计，除了认真落实上述四个步骤外，更重要的是团队的协作与配合，仅仅依靠个人的能力是无法完成整个违规事实认定工作的。</w:t>
            </w:r>
          </w:p>
          <w:p w14:paraId="2D7AB34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2.本案例的现场检查。现场审计初期，首先调阅POS机具供应商的相关账户资料，了解到HY公司成立于2011年8月，注册资金仅3万元，并且自成立以来仅与该分行有过业务往来。该分行选择如此资质的供应商，并在短期内发生大额采购的做法，引起了审计人员的关注。其次通过调阅传票，了解到分行购买的是深圳市某公司K301型POS机具，且采购未经分行招标流程。经上网及电话咨询公司代理商，采购价应在800元/台(少量采购价格);此外审计人员还实地暗访了HY公司，了解企业的实际经营情况。</w:t>
            </w:r>
          </w:p>
          <w:p w14:paraId="573C616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审计人员抽调了王某的档案了解其基本情况，重点包括从业经历、住房用车情况、信用卡情况、个人财产情况。从相关档案了解到，王某2009年4月以外包人员身份人行，2010年4月转正，2012年初提为信用卡中心副主任(二级部门副经理级)。2011年购车，2012年购房，在行里有一笔住房按揭贷款80万元、一笔薪资贷29.8万元，信用卡额度高达90万元频繁用于套现，每个月用于偿还信用卡分期、住房贷款所需资金高达十几万元，而其每个月的固定收入不到5000元。</w:t>
            </w:r>
          </w:p>
          <w:p w14:paraId="4272094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根据上述疑点，审计部门领导及相关审计人员连夜与负责此事的分行信用卡中心负责人王某谈话，起初王某抗拒与侥幸心理较强，故意绕开关键话题，寻找各种理由百般推脱，但审计人员利用已经掌握的大量事实，包括POS 机具市场价格、供应商情况、其本人购房情况、信用卡使用情况等，最终攻破了王某的心理防线，他承认了相关违规事实。谈话结束后，他留下一句“现在我心头的这块石头终于可以放下了”，这句话给审计人员留下了深刻的印象。</w:t>
            </w:r>
          </w:p>
          <w:p w14:paraId="2BDBE17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基于审计手段及时间的限制。审计人员及时整理排查函交分行进行</w:t>
            </w:r>
            <w:r>
              <w:rPr>
                <w:rFonts w:ascii="宋体" w:hAnsi="宋体"/>
                <w:color w:val="000000" w:themeColor="text1"/>
                <w:kern w:val="0"/>
                <w:szCs w:val="21"/>
              </w:rPr>
              <w:lastRenderedPageBreak/>
              <w:t>深入排查。分行领导高度重视，组织专人深人排查，最终确定了相关机具的实际采购价，并组织人员对全行固定资产进行盘点，确保账实相符;排查中还发现违规员工所管理的部门通过虚构交易笔数，多支付 商户补贴款等问题。</w:t>
            </w:r>
          </w:p>
        </w:tc>
      </w:tr>
      <w:tr w:rsidR="00B229A7" w14:paraId="6490D378" w14:textId="77777777">
        <w:tc>
          <w:tcPr>
            <w:tcW w:w="1980" w:type="dxa"/>
          </w:tcPr>
          <w:p w14:paraId="1C0E5D8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审计机构名称</w:t>
            </w:r>
          </w:p>
        </w:tc>
        <w:tc>
          <w:tcPr>
            <w:tcW w:w="6316" w:type="dxa"/>
          </w:tcPr>
          <w:p w14:paraId="6E26E0F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中国光大银行股份有限公司审计部</w:t>
            </w:r>
          </w:p>
        </w:tc>
      </w:tr>
      <w:tr w:rsidR="00B229A7" w14:paraId="5D9DE06D" w14:textId="77777777">
        <w:tc>
          <w:tcPr>
            <w:tcW w:w="1980" w:type="dxa"/>
          </w:tcPr>
          <w:p w14:paraId="230D92E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5AC9D932"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(一)员工舞弊行为形成原因分析</w:t>
            </w:r>
          </w:p>
          <w:p w14:paraId="0C9E4A3B"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1.价值观念偏差及守法意识淡漠是导致员工舞弊行为发生的根本原因。个别自制力差的员工受拜金主义享乐主义的影响，逐渐背离了应有的诚实守信的道德观念，法制观念淡薄，做事不计后果。分析每一个个案的发生原因，无一例外地表现出人的趋利性。</w:t>
            </w:r>
          </w:p>
          <w:p w14:paraId="2F925E9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w:t>
            </w:r>
            <w:r>
              <w:rPr>
                <w:rFonts w:ascii="宋体" w:hAnsi="宋体"/>
                <w:color w:val="000000" w:themeColor="text1"/>
                <w:kern w:val="0"/>
                <w:szCs w:val="21"/>
              </w:rPr>
              <w:t>员工思想教育滞后及抱有侥幸心理是导致舞弊行为发生的重要因素。一是个别基层行没有正确处理加快业务发展和加强员工学习教育之间的关系，忽视和放松了对员工思想道德的关注和教育，缺乏长期、有效的学习教育机制，教育形式单一、内容陈旧，流于形式，不能真正触及员工的内心深处，无法取得应有的教育效果;二是大部分员工在违规时抱有侥幸心理，往往觉得自己违规的事项比较隐蔽，如通过行外账户或自己控制的账户(家人或不相关第三者)进行资金划转、间接与授信企业发生资金往来等，不易被他人所察觉。</w:t>
            </w:r>
          </w:p>
          <w:p w14:paraId="1D43F105"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3</w:t>
            </w:r>
            <w:r>
              <w:rPr>
                <w:rFonts w:ascii="宋体" w:hAnsi="宋体" w:hint="eastAsia"/>
                <w:color w:val="000000" w:themeColor="text1"/>
                <w:kern w:val="0"/>
                <w:szCs w:val="21"/>
              </w:rPr>
              <w:t>.</w:t>
            </w:r>
            <w:r>
              <w:rPr>
                <w:rFonts w:ascii="宋体" w:hAnsi="宋体"/>
                <w:color w:val="000000" w:themeColor="text1"/>
                <w:kern w:val="0"/>
                <w:szCs w:val="21"/>
              </w:rPr>
              <w:t>个别基层行内部控制不力是员工舞弊行为发生的重要原因。部分分行偏重于对经营指标的追求，对内部控制管理的考核只看结果，忽视内部控制管理的内容和全过程，检查工作往往点到为止、重形式不重实质，这种不作为在一定程度上也加剧了风险的演化，“铁规章”并没有起到应有的约束和震慑作用。近年来，总行组织了多次全行系统的风险排查工作，通过下发数据要求分行逐户、逐个进行排查，但从实际执行效果来看，一些分行仅由相关管理部门(监察或合规)的负责人针对总行下发的数据通过电话方式进行谈话，既无谈话记录，也无细致的排查，当然起不到任何警示作用。一定程度上助长了违规员工的违规意愿，令其觉得自己的违规事项是不容易被发现的，即使发现也很容易蒙混过关。</w:t>
            </w:r>
          </w:p>
          <w:p w14:paraId="528213B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4.</w:t>
            </w:r>
            <w:r>
              <w:rPr>
                <w:rFonts w:ascii="宋体" w:hAnsi="宋体"/>
                <w:color w:val="000000" w:themeColor="text1"/>
                <w:kern w:val="0"/>
                <w:szCs w:val="21"/>
              </w:rPr>
              <w:t>市场寻租行为成为员工舞弊行为发生的诱因。由于一些员工所掌握的权力往往能够给企业和相关个人带来巨大的利益，因此，这些员工常常成为一些牟取不正当利益的企业和个人的寻租目标。一些企业也把这种寻租方式作为一种常用的“攻关手段”，一些职业操守水平较低的人员往往抵御不住利益诱惑，失去理智，从而引发内外勾结案件。</w:t>
            </w:r>
          </w:p>
          <w:p w14:paraId="633A8D6C" w14:textId="77777777" w:rsidR="00B229A7" w:rsidRDefault="00B229A7">
            <w:pPr>
              <w:spacing w:line="276" w:lineRule="auto"/>
              <w:rPr>
                <w:rFonts w:ascii="宋体" w:hAnsi="宋体"/>
                <w:color w:val="000000" w:themeColor="text1"/>
                <w:kern w:val="0"/>
                <w:szCs w:val="21"/>
              </w:rPr>
            </w:pPr>
          </w:p>
          <w:p w14:paraId="58504871"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(二)加强员工舞弊行为审计的几点启示</w:t>
            </w:r>
          </w:p>
          <w:p w14:paraId="1AF7F996"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经常地对员工开展思想和法制教育可以从源头上预防员工舞弊行为</w:t>
            </w:r>
            <w:r>
              <w:rPr>
                <w:rFonts w:ascii="宋体" w:hAnsi="宋体"/>
                <w:color w:val="000000" w:themeColor="text1"/>
                <w:kern w:val="0"/>
                <w:szCs w:val="21"/>
              </w:rPr>
              <w:lastRenderedPageBreak/>
              <w:t>的发生，同时还应加大对违法违规违纪员工的审计和处罚惩戒力度。从审计角度来看，有以下几点体会。</w:t>
            </w:r>
          </w:p>
          <w:p w14:paraId="362E9D80"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1</w:t>
            </w:r>
            <w:r>
              <w:rPr>
                <w:rFonts w:ascii="宋体" w:hAnsi="宋体" w:hint="eastAsia"/>
                <w:color w:val="000000" w:themeColor="text1"/>
                <w:kern w:val="0"/>
                <w:szCs w:val="21"/>
              </w:rPr>
              <w:t>.</w:t>
            </w:r>
            <w:r>
              <w:rPr>
                <w:rFonts w:ascii="宋体" w:hAnsi="宋体"/>
                <w:color w:val="000000" w:themeColor="text1"/>
                <w:kern w:val="0"/>
                <w:szCs w:val="21"/>
              </w:rPr>
              <w:t>高度重视员工舞弊行为审计工作。从目前检查情况看，银行业面临的内部控制与案防形式日益复杂和严峻，员工舞弊行为在一定程度、一定范围内还是普遍存在，且有蔓延的趋势。个别员工违规的性质较为恶劣、违规所得金额巨大，容易诱发案件风险以及银行的声誉风险。因此审计人员应高度重视员工舞弊行为审计工作，建立长效机制，力争做到早发现、早制止，早解决。</w:t>
            </w:r>
          </w:p>
          <w:p w14:paraId="355CFF35"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2.提高业务能力和专业敏感性。员工舞弊行为宙计工作，需要审计人员对相关线索保持足够的敏感性，在充分掌握信息的基础上，模拟各种情况，大胆假设推断，在非现场阶段做好充足准备，“胸有成竹”才可在现场阶段直接将相关问题查实落地。现场阶段需速战速决，通过非现场准备的充分信息，迅速突破违规人员的心理防线，决不让违规事实的确认因各种因素的干扰而拖延。</w:t>
            </w:r>
          </w:p>
          <w:p w14:paraId="4BB76793"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3.注意工作方式方法。违规事项认定后，考虑到</w:t>
            </w:r>
            <w:r>
              <w:rPr>
                <w:rFonts w:ascii="宋体" w:hAnsi="宋体" w:hint="eastAsia"/>
                <w:color w:val="000000" w:themeColor="text1"/>
                <w:kern w:val="0"/>
                <w:szCs w:val="21"/>
              </w:rPr>
              <w:t>审</w:t>
            </w:r>
            <w:r>
              <w:rPr>
                <w:rFonts w:ascii="宋体" w:hAnsi="宋体"/>
                <w:color w:val="000000" w:themeColor="text1"/>
                <w:kern w:val="0"/>
                <w:szCs w:val="21"/>
              </w:rPr>
              <w:t>计时间，手段等客观因素的限制，具体情况可交由分行相关部门进行深人查实。但是，核实过程中审计人员应与分行充分沟通，通过督促、指导与沟通，协助分行还原违规事项的全貌，并对人员进行问责。</w:t>
            </w:r>
          </w:p>
          <w:p w14:paraId="560D4BA4"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4.加大处罚惩戒力度。出现舞弊行为的员工多数在作案前是不计后果的，但有些长期预谋作案的内部员工似乎也在考虑自己的作案成本及得失，如果说开展员工警示教育能够起到使员工从思想上不想去作案的作用，那么严厉的处罚和惩戒，可以使有作案预谋的人感到法律的震慑力，从而打消不良的念头。因此，在对问题查实查透的基础上，对重大违规违纪人员进行问责，“违规必查，违规必究”，加大违规成本和处罚力度，才能起到真正的威慑和警示作用。</w:t>
            </w:r>
          </w:p>
          <w:p w14:paraId="571BB93B"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员工舞弊行为的防范需全行共同努力，而不能仅仅依赖审计部门。各分行要建立严密的内部风险防控体系，完善内部管理制度，充分发挥中后台部门的监督职责，实现对前台业务人员的有效制约和对支行的有效管理。要运用综合管理监督平台，加强对异常交易的持续监测，进一步加大对员工异常行为的监督力度，防范员工操作风险和舞弊行为的发生。</w:t>
            </w:r>
          </w:p>
        </w:tc>
      </w:tr>
      <w:tr w:rsidR="00B229A7" w14:paraId="189AFB27" w14:textId="77777777">
        <w:tc>
          <w:tcPr>
            <w:tcW w:w="1980" w:type="dxa"/>
          </w:tcPr>
          <w:p w14:paraId="0CB7A73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7C95C45C"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员工舞弊、内部审计</w:t>
            </w:r>
          </w:p>
        </w:tc>
      </w:tr>
    </w:tbl>
    <w:p w14:paraId="0CA1D938" w14:textId="77777777" w:rsidR="00B229A7" w:rsidRDefault="00B229A7">
      <w:pPr>
        <w:spacing w:line="276" w:lineRule="auto"/>
        <w:rPr>
          <w:rFonts w:ascii="宋体" w:hAnsi="宋体"/>
          <w:color w:val="000000" w:themeColor="text1"/>
          <w:szCs w:val="21"/>
        </w:rPr>
      </w:pPr>
    </w:p>
    <w:p w14:paraId="3816E8D9" w14:textId="77777777" w:rsidR="00B229A7" w:rsidRDefault="00D7072C">
      <w:pPr>
        <w:pStyle w:val="1"/>
      </w:pPr>
      <w:bookmarkStart w:id="97" w:name="_Toc515709076"/>
      <w:bookmarkStart w:id="98" w:name="_Toc104812505"/>
      <w:bookmarkStart w:id="99" w:name="_Toc104812324"/>
      <w:bookmarkStart w:id="100" w:name="_Toc104812603"/>
      <w:r>
        <w:lastRenderedPageBreak/>
        <w:t>2</w:t>
      </w:r>
      <w:r>
        <w:rPr>
          <w:rFonts w:hint="eastAsia"/>
        </w:rPr>
        <w:t>8</w:t>
      </w:r>
      <w:bookmarkEnd w:id="97"/>
      <w:r>
        <w:rPr>
          <w:rFonts w:hint="eastAsia"/>
        </w:rPr>
        <w:t>路通视信</w:t>
      </w:r>
      <w:bookmarkEnd w:id="98"/>
      <w:bookmarkEnd w:id="99"/>
      <w:bookmarkEnd w:id="100"/>
    </w:p>
    <w:tbl>
      <w:tblPr>
        <w:tblStyle w:val="a4"/>
        <w:tblW w:w="8409" w:type="dxa"/>
        <w:tblLayout w:type="fixed"/>
        <w:tblLook w:val="04A0" w:firstRow="1" w:lastRow="0" w:firstColumn="1" w:lastColumn="0" w:noHBand="0" w:noVBand="1"/>
      </w:tblPr>
      <w:tblGrid>
        <w:gridCol w:w="2007"/>
        <w:gridCol w:w="6402"/>
      </w:tblGrid>
      <w:tr w:rsidR="00B229A7" w14:paraId="31ED50F5" w14:textId="77777777">
        <w:tc>
          <w:tcPr>
            <w:tcW w:w="2007" w:type="dxa"/>
          </w:tcPr>
          <w:p w14:paraId="61EFACD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402" w:type="dxa"/>
          </w:tcPr>
          <w:p w14:paraId="42C59B8D"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0</w:t>
            </w:r>
            <w:r>
              <w:rPr>
                <w:rFonts w:ascii="宋体" w:hAnsi="宋体" w:hint="eastAsia"/>
                <w:color w:val="000000" w:themeColor="text1"/>
                <w:kern w:val="0"/>
                <w:szCs w:val="21"/>
              </w:rPr>
              <w:t>11</w:t>
            </w:r>
            <w:r>
              <w:rPr>
                <w:rFonts w:ascii="宋体" w:hAnsi="宋体"/>
                <w:color w:val="000000" w:themeColor="text1"/>
                <w:kern w:val="0"/>
                <w:szCs w:val="21"/>
              </w:rPr>
              <w:t>10</w:t>
            </w:r>
          </w:p>
        </w:tc>
      </w:tr>
      <w:tr w:rsidR="00B229A7" w14:paraId="2C4900A5" w14:textId="77777777">
        <w:tc>
          <w:tcPr>
            <w:tcW w:w="2007" w:type="dxa"/>
          </w:tcPr>
          <w:p w14:paraId="78478D9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402" w:type="dxa"/>
          </w:tcPr>
          <w:p w14:paraId="6C0F916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11互联网与IT类</w:t>
            </w:r>
          </w:p>
        </w:tc>
      </w:tr>
      <w:tr w:rsidR="00B229A7" w14:paraId="3F840C1D" w14:textId="77777777">
        <w:tc>
          <w:tcPr>
            <w:tcW w:w="2007" w:type="dxa"/>
          </w:tcPr>
          <w:p w14:paraId="07AA7BA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402" w:type="dxa"/>
          </w:tcPr>
          <w:p w14:paraId="32569AF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2021年</w:t>
            </w:r>
          </w:p>
        </w:tc>
      </w:tr>
      <w:tr w:rsidR="00B229A7" w14:paraId="641D7D49" w14:textId="77777777">
        <w:tc>
          <w:tcPr>
            <w:tcW w:w="2007" w:type="dxa"/>
          </w:tcPr>
          <w:p w14:paraId="47D17D3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402" w:type="dxa"/>
          </w:tcPr>
          <w:p w14:paraId="4ABD882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无锡路通视信网络股份有限公司</w:t>
            </w:r>
          </w:p>
        </w:tc>
      </w:tr>
      <w:tr w:rsidR="00B229A7" w14:paraId="20B16A4F" w14:textId="77777777">
        <w:tc>
          <w:tcPr>
            <w:tcW w:w="2007" w:type="dxa"/>
          </w:tcPr>
          <w:p w14:paraId="5A5C450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402" w:type="dxa"/>
          </w:tcPr>
          <w:p w14:paraId="20D1839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网络传输系统、智慧物联应用和相关技术服务</w:t>
            </w:r>
          </w:p>
        </w:tc>
      </w:tr>
      <w:tr w:rsidR="00B229A7" w14:paraId="1DA26187" w14:textId="77777777">
        <w:trPr>
          <w:trHeight w:val="3251"/>
        </w:trPr>
        <w:tc>
          <w:tcPr>
            <w:tcW w:w="2007" w:type="dxa"/>
          </w:tcPr>
          <w:p w14:paraId="51480C4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402" w:type="dxa"/>
          </w:tcPr>
          <w:p w14:paraId="540ACBE4"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D3CBF19" w14:textId="77777777" w:rsidR="00B229A7" w:rsidRDefault="00D7072C">
            <w:pPr>
              <w:spacing w:line="276" w:lineRule="auto"/>
              <w:rPr>
                <w:rFonts w:ascii="宋体" w:hAnsi="宋体" w:cs="Arial"/>
                <w:bCs/>
                <w:color w:val="000000" w:themeColor="text1"/>
                <w:kern w:val="0"/>
                <w:szCs w:val="21"/>
                <w:shd w:val="clear" w:color="auto" w:fill="FFFFFF"/>
              </w:rPr>
            </w:pPr>
            <w:r>
              <w:rPr>
                <w:rFonts w:ascii="宋体" w:hAnsi="宋体"/>
                <w:b/>
                <w:color w:val="000000" w:themeColor="text1"/>
                <w:kern w:val="0"/>
                <w:szCs w:val="21"/>
              </w:rPr>
              <w:tab/>
            </w:r>
            <w:r>
              <w:rPr>
                <w:rFonts w:ascii="宋体" w:hAnsi="宋体" w:hint="eastAsia"/>
                <w:bCs/>
                <w:color w:val="000000" w:themeColor="text1"/>
                <w:kern w:val="0"/>
                <w:szCs w:val="21"/>
              </w:rPr>
              <w:t>无锡路通视信网络股份有限公司致力于成为网络综合解决方案世界知名企业，为全球网络运营商提供综合解决方案和服务。公司成立于2007年2月，于2016年10月在深圳证券交易所创业板上市。路通视信一贯坚持“专业、专注”,始终以客户需求和先进技术为驱动力，形成了端到端的光纤接入(</w:t>
            </w:r>
            <w:proofErr w:type="spellStart"/>
            <w:r>
              <w:rPr>
                <w:rFonts w:ascii="宋体" w:hAnsi="宋体" w:hint="eastAsia"/>
                <w:bCs/>
                <w:color w:val="000000" w:themeColor="text1"/>
                <w:kern w:val="0"/>
                <w:szCs w:val="21"/>
              </w:rPr>
              <w:t>FTTx</w:t>
            </w:r>
            <w:proofErr w:type="spellEnd"/>
            <w:r>
              <w:rPr>
                <w:rFonts w:ascii="宋体" w:hAnsi="宋体" w:hint="eastAsia"/>
                <w:bCs/>
                <w:color w:val="000000" w:themeColor="text1"/>
                <w:kern w:val="0"/>
                <w:szCs w:val="21"/>
              </w:rPr>
              <w:t>)、CMTS+CM(HFC)、</w:t>
            </w:r>
            <w:proofErr w:type="spellStart"/>
            <w:r>
              <w:rPr>
                <w:rFonts w:ascii="宋体" w:hAnsi="宋体" w:hint="eastAsia"/>
                <w:bCs/>
                <w:color w:val="000000" w:themeColor="text1"/>
                <w:kern w:val="0"/>
                <w:szCs w:val="21"/>
              </w:rPr>
              <w:t>xPON+EOC</w:t>
            </w:r>
            <w:proofErr w:type="spellEnd"/>
            <w:r>
              <w:rPr>
                <w:rFonts w:ascii="宋体" w:hAnsi="宋体" w:hint="eastAsia"/>
                <w:bCs/>
                <w:color w:val="000000" w:themeColor="text1"/>
                <w:kern w:val="0"/>
                <w:szCs w:val="21"/>
              </w:rPr>
              <w:t>等网络建设和网络优化解决方案，并提供专业化的网络规划设计、网络优化改造、网络运维监测、工程施工等服务，助力网络运营商取得成功；同时，路通视信瞄准物联网、云计算和新型城镇化建设的趋势，自主研发了以物联网技术为基础，为政企客户提供智慧城市建设、公用事业管理以及基于行业智慧应用的智慧物联解决方案，覆盖智慧旅游、智慧社区、智慧家庭、视频监控、应急广播、农村电商、智慧政务等领域，打造22个+行业解决方案，并先后在30余个城市展开行业系统落地应用，提供从规划-建设-运营的一体化服务，全面构建智慧城市生态圈。路通人以“让世界畅享更好的网络及应用”为使命，在未来“联接无处不在”的世界中，将利用上市公司资本平台及人才优势，以打磨产品的工匠精神和开放合作的心态，与各类合作伙伴一道共同推动网络进步，更好满足人类对丰富多彩网络生活的需求。</w:t>
            </w:r>
          </w:p>
          <w:p w14:paraId="5E7BF0AE"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53CD31CE"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hint="eastAsia"/>
                <w:bCs/>
                <w:color w:val="000000" w:themeColor="text1"/>
                <w:kern w:val="0"/>
                <w:szCs w:val="21"/>
              </w:rPr>
              <w:t>2021年度，</w:t>
            </w:r>
            <w:r>
              <w:rPr>
                <w:rFonts w:ascii="宋体" w:hAnsi="宋体" w:hint="eastAsia"/>
                <w:color w:val="000000" w:themeColor="text1"/>
                <w:kern w:val="0"/>
                <w:szCs w:val="21"/>
              </w:rPr>
              <w:t>中天运会计师事务所</w:t>
            </w:r>
            <w:r>
              <w:rPr>
                <w:rFonts w:ascii="宋体" w:hAnsi="宋体" w:hint="eastAsia"/>
                <w:bCs/>
                <w:color w:val="000000" w:themeColor="text1"/>
                <w:kern w:val="0"/>
                <w:szCs w:val="21"/>
              </w:rPr>
              <w:t>出具了保留意见的财务报表审计报告。</w:t>
            </w:r>
          </w:p>
          <w:p w14:paraId="01FC8993" w14:textId="77777777" w:rsidR="00B229A7" w:rsidRDefault="00B229A7">
            <w:pPr>
              <w:spacing w:line="276" w:lineRule="auto"/>
              <w:rPr>
                <w:rFonts w:ascii="宋体" w:hAnsi="宋体"/>
                <w:bCs/>
                <w:color w:val="000000" w:themeColor="text1"/>
                <w:kern w:val="0"/>
                <w:szCs w:val="21"/>
              </w:rPr>
            </w:pPr>
          </w:p>
          <w:p w14:paraId="503688C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【案情分析】</w:t>
            </w:r>
          </w:p>
          <w:p w14:paraId="572ABD06" w14:textId="77777777" w:rsidR="00B229A7" w:rsidRDefault="00D7072C">
            <w:pPr>
              <w:pStyle w:val="a6"/>
              <w:spacing w:line="276" w:lineRule="auto"/>
              <w:rPr>
                <w:rFonts w:ascii="宋体" w:hAnsi="宋体"/>
                <w:color w:val="000000" w:themeColor="text1"/>
                <w:kern w:val="0"/>
                <w:szCs w:val="21"/>
              </w:rPr>
            </w:pPr>
            <w:r>
              <w:rPr>
                <w:rFonts w:ascii="宋体" w:hAnsi="宋体" w:hint="eastAsia"/>
                <w:bCs/>
                <w:color w:val="000000" w:themeColor="text1"/>
                <w:kern w:val="0"/>
                <w:szCs w:val="21"/>
              </w:rPr>
              <w:t>2021年12月31日，路通视信合并资产负债表中的预付款项余额为5,312.22万元，其中包括预付芯片款2850万元以及预付网络设备及软件款2300万元。上述预付芯片款、预付网络设备及软件款合计金额5150万元，占路通视信2021年12月31日资产总额的6.48%。针对上述预付款我们执行了检查相关合同、付款凭证、函证、供应商访谈等审计程序，但无法执行进一步审计程序就预付款项的</w:t>
            </w:r>
            <w:r>
              <w:rPr>
                <w:rFonts w:ascii="宋体" w:hAnsi="宋体" w:hint="eastAsia"/>
                <w:bCs/>
                <w:color w:val="000000" w:themeColor="text1"/>
                <w:kern w:val="0"/>
                <w:szCs w:val="21"/>
              </w:rPr>
              <w:lastRenderedPageBreak/>
              <w:t>合理性获取充分、适当的审计证据，无法确定是否有必要对相关财务报表金额及披露作出调整。</w:t>
            </w:r>
          </w:p>
        </w:tc>
      </w:tr>
      <w:tr w:rsidR="00B229A7" w14:paraId="4DB4DC7F" w14:textId="77777777">
        <w:tc>
          <w:tcPr>
            <w:tcW w:w="2007" w:type="dxa"/>
          </w:tcPr>
          <w:p w14:paraId="7984436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审计机构名称</w:t>
            </w:r>
          </w:p>
        </w:tc>
        <w:tc>
          <w:tcPr>
            <w:tcW w:w="6402" w:type="dxa"/>
          </w:tcPr>
          <w:p w14:paraId="621B55B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中天运会计师事务所</w:t>
            </w:r>
          </w:p>
        </w:tc>
      </w:tr>
      <w:tr w:rsidR="00B229A7" w14:paraId="00CD9A7F" w14:textId="77777777">
        <w:tc>
          <w:tcPr>
            <w:tcW w:w="2007" w:type="dxa"/>
          </w:tcPr>
          <w:p w14:paraId="2E7BCDC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402" w:type="dxa"/>
          </w:tcPr>
          <w:p w14:paraId="5E9121E1"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外部审计、保留意见</w:t>
            </w:r>
          </w:p>
        </w:tc>
      </w:tr>
    </w:tbl>
    <w:p w14:paraId="6AACA0DF" w14:textId="77777777" w:rsidR="00B229A7" w:rsidRDefault="00D7072C">
      <w:pPr>
        <w:pStyle w:val="1"/>
      </w:pPr>
      <w:bookmarkStart w:id="101" w:name="_Toc515709077"/>
      <w:bookmarkStart w:id="102" w:name="_Toc104812325"/>
      <w:bookmarkStart w:id="103" w:name="_Toc104812506"/>
      <w:bookmarkStart w:id="104" w:name="_Toc104812604"/>
      <w:r>
        <w:t>2</w:t>
      </w:r>
      <w:r>
        <w:rPr>
          <w:rFonts w:hint="eastAsia"/>
        </w:rPr>
        <w:t>9</w:t>
      </w:r>
      <w:bookmarkEnd w:id="101"/>
      <w:r>
        <w:rPr>
          <w:rFonts w:hint="eastAsia"/>
        </w:rPr>
        <w:t>中天金融</w:t>
      </w:r>
      <w:bookmarkEnd w:id="102"/>
      <w:bookmarkEnd w:id="103"/>
      <w:bookmarkEnd w:id="104"/>
    </w:p>
    <w:tbl>
      <w:tblPr>
        <w:tblStyle w:val="a4"/>
        <w:tblW w:w="8409" w:type="dxa"/>
        <w:tblLayout w:type="fixed"/>
        <w:tblLook w:val="04A0" w:firstRow="1" w:lastRow="0" w:firstColumn="1" w:lastColumn="0" w:noHBand="0" w:noVBand="1"/>
      </w:tblPr>
      <w:tblGrid>
        <w:gridCol w:w="2007"/>
        <w:gridCol w:w="6402"/>
      </w:tblGrid>
      <w:tr w:rsidR="00B229A7" w14:paraId="18A0D16A" w14:textId="77777777">
        <w:tc>
          <w:tcPr>
            <w:tcW w:w="2007" w:type="dxa"/>
          </w:tcPr>
          <w:p w14:paraId="7BA487B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402" w:type="dxa"/>
          </w:tcPr>
          <w:p w14:paraId="71F6803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w:t>
            </w:r>
            <w:r>
              <w:rPr>
                <w:rFonts w:ascii="宋体" w:hAnsi="宋体"/>
                <w:color w:val="000000" w:themeColor="text1"/>
                <w:kern w:val="0"/>
                <w:szCs w:val="21"/>
              </w:rPr>
              <w:t>18</w:t>
            </w:r>
          </w:p>
        </w:tc>
      </w:tr>
      <w:tr w:rsidR="00B229A7" w14:paraId="5AF013D1" w14:textId="77777777">
        <w:tc>
          <w:tcPr>
            <w:tcW w:w="2007" w:type="dxa"/>
          </w:tcPr>
          <w:p w14:paraId="6C8E7B7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402" w:type="dxa"/>
          </w:tcPr>
          <w:p w14:paraId="31245C2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476AC610" w14:textId="77777777">
        <w:tc>
          <w:tcPr>
            <w:tcW w:w="2007" w:type="dxa"/>
          </w:tcPr>
          <w:p w14:paraId="473515F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402" w:type="dxa"/>
          </w:tcPr>
          <w:p w14:paraId="5A99555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2021年</w:t>
            </w:r>
          </w:p>
        </w:tc>
      </w:tr>
      <w:tr w:rsidR="00B229A7" w14:paraId="71AB816F" w14:textId="77777777">
        <w:tc>
          <w:tcPr>
            <w:tcW w:w="2007" w:type="dxa"/>
          </w:tcPr>
          <w:p w14:paraId="663D322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402" w:type="dxa"/>
          </w:tcPr>
          <w:p w14:paraId="54B9A99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中天金融集团股份有限公司</w:t>
            </w:r>
          </w:p>
        </w:tc>
      </w:tr>
      <w:tr w:rsidR="00B229A7" w14:paraId="57FF8AFF" w14:textId="77777777">
        <w:tc>
          <w:tcPr>
            <w:tcW w:w="2007" w:type="dxa"/>
          </w:tcPr>
          <w:p w14:paraId="5B91640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402" w:type="dxa"/>
          </w:tcPr>
          <w:p w14:paraId="73B73F2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金融投资；股权投资；实业投资；资产经营；产业基金、产权市场投资与管理；金融服务及研究；金融企业投资及管理、咨询；城市基础及公共设施投资管理；壹级房地产开发。</w:t>
            </w:r>
          </w:p>
        </w:tc>
      </w:tr>
      <w:tr w:rsidR="00B229A7" w14:paraId="14BEA6B4" w14:textId="77777777">
        <w:trPr>
          <w:trHeight w:val="3251"/>
        </w:trPr>
        <w:tc>
          <w:tcPr>
            <w:tcW w:w="2007" w:type="dxa"/>
          </w:tcPr>
          <w:p w14:paraId="018436F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402" w:type="dxa"/>
          </w:tcPr>
          <w:p w14:paraId="483DBC3C"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036B121C" w14:textId="77777777" w:rsidR="00B229A7" w:rsidRDefault="00D7072C">
            <w:pPr>
              <w:spacing w:line="276" w:lineRule="auto"/>
              <w:ind w:firstLineChars="100" w:firstLine="210"/>
              <w:rPr>
                <w:rFonts w:ascii="宋体" w:hAnsi="宋体"/>
                <w:bCs/>
                <w:color w:val="000000" w:themeColor="text1"/>
                <w:kern w:val="0"/>
                <w:szCs w:val="21"/>
              </w:rPr>
            </w:pPr>
            <w:r>
              <w:rPr>
                <w:rFonts w:ascii="宋体" w:hAnsi="宋体" w:hint="eastAsia"/>
                <w:bCs/>
                <w:color w:val="000000" w:themeColor="text1"/>
                <w:kern w:val="0"/>
                <w:szCs w:val="21"/>
              </w:rPr>
              <w:t>中天金融集团股份有限公司（以下简称“中天金融”），成立于1978年，1994年在深圳证券交易所主板上市，是贵州省第一家上市公司，股票代码000540。中天金融旗下员工近20000人，是贵州省内成长最快、规模最大、综合实力最强的民营企业之一。2007年以来，营业收入年化增长41.25%，净利润年化增长39.98%，并在2014年实现了营收破百亿。</w:t>
            </w:r>
          </w:p>
          <w:p w14:paraId="3DA25F9D"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193AE0A8"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hint="eastAsia"/>
                <w:bCs/>
                <w:color w:val="000000" w:themeColor="text1"/>
                <w:kern w:val="0"/>
                <w:szCs w:val="21"/>
              </w:rPr>
              <w:t>2021年末，</w:t>
            </w:r>
            <w:r>
              <w:rPr>
                <w:rFonts w:ascii="宋体" w:hAnsi="宋体" w:hint="eastAsia"/>
                <w:color w:val="000000" w:themeColor="text1"/>
                <w:kern w:val="0"/>
                <w:szCs w:val="21"/>
              </w:rPr>
              <w:t>信永中和会计师事务所</w:t>
            </w:r>
            <w:r>
              <w:rPr>
                <w:rFonts w:ascii="宋体" w:hAnsi="宋体" w:hint="eastAsia"/>
                <w:bCs/>
                <w:color w:val="000000" w:themeColor="text1"/>
                <w:kern w:val="0"/>
                <w:szCs w:val="21"/>
              </w:rPr>
              <w:t>出具了保留意见的财务报表审计报告。</w:t>
            </w:r>
          </w:p>
          <w:p w14:paraId="02C93F9D"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【案情分析】</w:t>
            </w:r>
          </w:p>
          <w:p w14:paraId="7D9A0E72"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hint="eastAsia"/>
                <w:color w:val="000000" w:themeColor="text1"/>
                <w:kern w:val="0"/>
                <w:szCs w:val="21"/>
              </w:rPr>
              <w:t>1、华夏人寿保险股份有限公司股权收购交易进展及定金的可回收性：如财务报表附注十七、“3、收购华夏人寿保险股份有限公司21%—25%的股权”所述，2017年11月、12月中天金融集团与北京千禧世豪电子科技有限公司、北京中胜世纪科技有限公司签订《中天金</w:t>
            </w:r>
            <w:r>
              <w:rPr>
                <w:rFonts w:ascii="宋体" w:hAnsi="宋体" w:hint="eastAsia"/>
                <w:color w:val="000000" w:themeColor="text1"/>
                <w:kern w:val="0"/>
                <w:szCs w:val="21"/>
              </w:rPr>
              <w:lastRenderedPageBreak/>
              <w:t>融集团股份有限公司与北京千禧世豪电子科技有限公司和北京中胜世纪科技有限公司之框架协议》及补充协议，约定中天金融集团或其指定的控股子公司拟以现金购买两家公司合计持有的华夏人寿保险股份有限公司（以下简称华夏保险）21%—25%的股权，并支付了定金70亿元。截至2021年末，拟进行交易无任何进展，交易定金也未能收回。由于该股权交易的特殊性及其固有不确定性，使得我们未能实施必要的审计程序获取有关前述交易进展情况、股权收购定金可收回金额及其对经营的影响等方面充分、适当的审计证据。</w:t>
            </w:r>
          </w:p>
          <w:p w14:paraId="1A293643"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color w:val="000000" w:themeColor="text1"/>
                <w:kern w:val="0"/>
                <w:szCs w:val="21"/>
              </w:rPr>
              <w:t>2、非公开市场投资的计量合理性与披露充分性：中天金融集团合并财务报表范围内的中融人寿保险股份有限公司（以下简称中融人寿保险）2021年通过非公开市场投资了非上市公司股权和非标准金融产品。这些投资中包括账面价值144.04亿元的非上市公司股权投资，2021年度确认公允价值变动损失14.36亿元，我们未能就前述投资公允价值变动计量及基于其资金实际使用情况的财务报告信息披露等方面获取充分、适当的审计证据。</w:t>
            </w:r>
          </w:p>
          <w:p w14:paraId="3A1362B6"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color w:val="000000" w:themeColor="text1"/>
                <w:kern w:val="0"/>
                <w:szCs w:val="21"/>
              </w:rPr>
              <w:t>3、与持续经营假设重大不确定性相关的改善措施未能充分披露：如财务报表附注三、“财务报表编制基础”所述，中天金融集团披露了与持续经营相关的重大不确定性和包括部分借款经与债权人协商已经取得展期协议、继续推进地产板块股权转让款项的收回和股权交割事宜、转让公司持有的中天国富证券有限公司股权、推进华夏保险股权收购事项或者收回已支付的交易定金70.00亿元等改善措施，但仍有部分拟实施的为改善持续经营不确定性相关的措施在财务报告中未能充分披露。</w:t>
            </w:r>
          </w:p>
        </w:tc>
      </w:tr>
      <w:tr w:rsidR="00B229A7" w14:paraId="3080C147" w14:textId="77777777">
        <w:tc>
          <w:tcPr>
            <w:tcW w:w="2007" w:type="dxa"/>
          </w:tcPr>
          <w:p w14:paraId="710DFEE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审计机构名称</w:t>
            </w:r>
          </w:p>
        </w:tc>
        <w:tc>
          <w:tcPr>
            <w:tcW w:w="6402" w:type="dxa"/>
          </w:tcPr>
          <w:p w14:paraId="40F9215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信永中和会计师事务所</w:t>
            </w:r>
          </w:p>
        </w:tc>
      </w:tr>
      <w:tr w:rsidR="00B229A7" w14:paraId="71FE5979" w14:textId="77777777">
        <w:tc>
          <w:tcPr>
            <w:tcW w:w="2007" w:type="dxa"/>
          </w:tcPr>
          <w:p w14:paraId="56837CE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w:t>
            </w:r>
            <w:r>
              <w:rPr>
                <w:rFonts w:ascii="宋体" w:hAnsi="宋体" w:hint="eastAsia"/>
                <w:color w:val="000000" w:themeColor="text1"/>
                <w:kern w:val="0"/>
                <w:szCs w:val="21"/>
              </w:rPr>
              <w:t>审计术语</w:t>
            </w:r>
            <w:r>
              <w:rPr>
                <w:rFonts w:ascii="宋体" w:hAnsi="宋体"/>
                <w:color w:val="000000" w:themeColor="text1"/>
                <w:kern w:val="0"/>
                <w:szCs w:val="21"/>
              </w:rPr>
              <w:t>或审计方法</w:t>
            </w:r>
          </w:p>
        </w:tc>
        <w:tc>
          <w:tcPr>
            <w:tcW w:w="6402" w:type="dxa"/>
          </w:tcPr>
          <w:p w14:paraId="0D5ADDDF"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外部审计、保留意见</w:t>
            </w:r>
          </w:p>
        </w:tc>
      </w:tr>
    </w:tbl>
    <w:p w14:paraId="45BB7044" w14:textId="77777777" w:rsidR="00B229A7" w:rsidRDefault="00B229A7">
      <w:pPr>
        <w:spacing w:line="276" w:lineRule="auto"/>
        <w:rPr>
          <w:rFonts w:ascii="宋体" w:hAnsi="宋体"/>
          <w:color w:val="000000" w:themeColor="text1"/>
          <w:szCs w:val="21"/>
        </w:rPr>
      </w:pPr>
    </w:p>
    <w:p w14:paraId="42CEBD8A" w14:textId="77777777" w:rsidR="00B229A7" w:rsidRDefault="00D7072C">
      <w:pPr>
        <w:pStyle w:val="1"/>
      </w:pPr>
      <w:bookmarkStart w:id="105" w:name="_Toc515709078"/>
      <w:bookmarkStart w:id="106" w:name="_Toc104812605"/>
      <w:bookmarkStart w:id="107" w:name="_Toc104812326"/>
      <w:bookmarkStart w:id="108" w:name="_Toc104812507"/>
      <w:r>
        <w:t>3</w:t>
      </w:r>
      <w:r>
        <w:rPr>
          <w:rFonts w:hint="eastAsia"/>
        </w:rPr>
        <w:t>0</w:t>
      </w:r>
      <w:bookmarkEnd w:id="105"/>
      <w:r>
        <w:rPr>
          <w:rFonts w:hint="eastAsia"/>
        </w:rPr>
        <w:t>海航投资公司</w:t>
      </w:r>
      <w:bookmarkEnd w:id="106"/>
      <w:bookmarkEnd w:id="107"/>
      <w:bookmarkEnd w:id="108"/>
    </w:p>
    <w:tbl>
      <w:tblPr>
        <w:tblStyle w:val="a4"/>
        <w:tblW w:w="8409" w:type="dxa"/>
        <w:tblLayout w:type="fixed"/>
        <w:tblLook w:val="04A0" w:firstRow="1" w:lastRow="0" w:firstColumn="1" w:lastColumn="0" w:noHBand="0" w:noVBand="1"/>
      </w:tblPr>
      <w:tblGrid>
        <w:gridCol w:w="2007"/>
        <w:gridCol w:w="6402"/>
      </w:tblGrid>
      <w:tr w:rsidR="00B229A7" w14:paraId="6E71006C" w14:textId="77777777">
        <w:tc>
          <w:tcPr>
            <w:tcW w:w="2007" w:type="dxa"/>
          </w:tcPr>
          <w:p w14:paraId="104A330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402" w:type="dxa"/>
          </w:tcPr>
          <w:p w14:paraId="09932EA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w:t>
            </w:r>
            <w:r>
              <w:rPr>
                <w:rFonts w:ascii="宋体" w:hAnsi="宋体"/>
                <w:color w:val="000000" w:themeColor="text1"/>
                <w:kern w:val="0"/>
                <w:szCs w:val="21"/>
              </w:rPr>
              <w:t>19</w:t>
            </w:r>
          </w:p>
        </w:tc>
      </w:tr>
      <w:tr w:rsidR="00B229A7" w14:paraId="130C15E0" w14:textId="77777777">
        <w:tc>
          <w:tcPr>
            <w:tcW w:w="2007" w:type="dxa"/>
          </w:tcPr>
          <w:p w14:paraId="002A2DF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402" w:type="dxa"/>
          </w:tcPr>
          <w:p w14:paraId="6D31300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40D327F1" w14:textId="77777777">
        <w:tc>
          <w:tcPr>
            <w:tcW w:w="2007" w:type="dxa"/>
          </w:tcPr>
          <w:p w14:paraId="51AFDD0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402" w:type="dxa"/>
          </w:tcPr>
          <w:p w14:paraId="62BE7D2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2021年</w:t>
            </w:r>
          </w:p>
        </w:tc>
      </w:tr>
      <w:tr w:rsidR="00B229A7" w14:paraId="5F0900F0" w14:textId="77777777">
        <w:tc>
          <w:tcPr>
            <w:tcW w:w="2007" w:type="dxa"/>
          </w:tcPr>
          <w:p w14:paraId="7FB010E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402" w:type="dxa"/>
          </w:tcPr>
          <w:p w14:paraId="2086662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海航投资公司</w:t>
            </w:r>
          </w:p>
        </w:tc>
      </w:tr>
      <w:tr w:rsidR="00B229A7" w14:paraId="4EDEA6A9" w14:textId="77777777">
        <w:tc>
          <w:tcPr>
            <w:tcW w:w="2007" w:type="dxa"/>
          </w:tcPr>
          <w:p w14:paraId="7775E82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402" w:type="dxa"/>
          </w:tcPr>
          <w:p w14:paraId="0159034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项目投资及管理、投资咨询。</w:t>
            </w:r>
          </w:p>
        </w:tc>
      </w:tr>
      <w:tr w:rsidR="00B229A7" w14:paraId="402FF8F6" w14:textId="77777777">
        <w:trPr>
          <w:trHeight w:val="3251"/>
        </w:trPr>
        <w:tc>
          <w:tcPr>
            <w:tcW w:w="2007" w:type="dxa"/>
          </w:tcPr>
          <w:p w14:paraId="4EAC774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企业单位案情描述</w:t>
            </w:r>
          </w:p>
        </w:tc>
        <w:tc>
          <w:tcPr>
            <w:tcW w:w="6402" w:type="dxa"/>
          </w:tcPr>
          <w:p w14:paraId="496830C9"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D247AFE" w14:textId="77777777" w:rsidR="00B229A7" w:rsidRDefault="00D7072C">
            <w:pPr>
              <w:spacing w:line="276" w:lineRule="auto"/>
              <w:ind w:firstLineChars="100" w:firstLine="210"/>
              <w:rPr>
                <w:rFonts w:ascii="宋体" w:hAnsi="宋体"/>
                <w:bCs/>
                <w:color w:val="000000" w:themeColor="text1"/>
                <w:kern w:val="0"/>
                <w:szCs w:val="21"/>
              </w:rPr>
            </w:pPr>
            <w:r>
              <w:rPr>
                <w:rFonts w:ascii="宋体" w:hAnsi="宋体" w:hint="eastAsia"/>
                <w:bCs/>
                <w:color w:val="000000" w:themeColor="text1"/>
                <w:kern w:val="0"/>
                <w:szCs w:val="21"/>
              </w:rPr>
              <w:t>公司原名为大连渤海饭店(集团)股份有限公司。大连亿城集团股份有限公司,由大连渤海集团有限公司会同大连华信信托投资股份有限公司、大连日兴实业公司发起,并经大连市体改委发(1993)62号文件批准,以定向募集方式设立,于1993年5月27日正式注册成立。1996年经中国证监会批准向社会公开发行股票,公司由定向募集公司转变为社会公众公司。</w:t>
            </w:r>
          </w:p>
          <w:p w14:paraId="3B8F324C" w14:textId="77777777" w:rsidR="00B229A7" w:rsidRDefault="00B229A7">
            <w:pPr>
              <w:spacing w:line="276" w:lineRule="auto"/>
              <w:ind w:firstLineChars="100" w:firstLine="211"/>
              <w:rPr>
                <w:rFonts w:ascii="宋体" w:hAnsi="宋体"/>
                <w:b/>
                <w:color w:val="000000" w:themeColor="text1"/>
                <w:kern w:val="0"/>
                <w:szCs w:val="21"/>
              </w:rPr>
            </w:pPr>
          </w:p>
          <w:p w14:paraId="7F89672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5546F8F7" w14:textId="77777777" w:rsidR="00B229A7" w:rsidRDefault="00D7072C">
            <w:pPr>
              <w:spacing w:line="276" w:lineRule="auto"/>
              <w:ind w:firstLineChars="100" w:firstLine="210"/>
              <w:rPr>
                <w:rFonts w:ascii="宋体" w:hAnsi="宋体"/>
                <w:bCs/>
                <w:color w:val="000000" w:themeColor="text1"/>
                <w:kern w:val="0"/>
                <w:szCs w:val="21"/>
              </w:rPr>
            </w:pPr>
            <w:r>
              <w:rPr>
                <w:rFonts w:ascii="宋体" w:hAnsi="宋体" w:hint="eastAsia"/>
                <w:bCs/>
                <w:color w:val="000000" w:themeColor="text1"/>
                <w:kern w:val="0"/>
                <w:szCs w:val="21"/>
              </w:rPr>
              <w:t>2021年度，大华会计师事务所（特殊普通合伙）出具了保留意见的财务报表审计报告。</w:t>
            </w:r>
          </w:p>
          <w:p w14:paraId="1ECA05C2" w14:textId="77777777" w:rsidR="00B229A7" w:rsidRDefault="00D7072C">
            <w:pPr>
              <w:spacing w:line="276" w:lineRule="auto"/>
              <w:rPr>
                <w:rFonts w:ascii="宋体" w:hAnsi="宋体"/>
                <w:color w:val="000000" w:themeColor="text1"/>
                <w:kern w:val="0"/>
                <w:szCs w:val="21"/>
              </w:rPr>
            </w:pPr>
            <w:r>
              <w:rPr>
                <w:rFonts w:ascii="宋体" w:hAnsi="宋体"/>
                <w:b/>
                <w:color w:val="000000" w:themeColor="text1"/>
                <w:kern w:val="0"/>
                <w:szCs w:val="21"/>
              </w:rPr>
              <w:tab/>
            </w:r>
          </w:p>
          <w:p w14:paraId="474B97C7"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【案情分析】</w:t>
            </w:r>
          </w:p>
          <w:p w14:paraId="3A0A7EE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如财务报表关联担保情况所述，截至2021年12月31日，海航投资公司为关联方提供的担保本金余额为148,410.54万元，截至财务报表报出日，担保责任尚未解除。这些为关联方提供的担保，未履行董事会、股东大会等相应审批程序，其中，为海航物流集团有限公司146,400.00万元借款提供的担保，相关诉讼尚未判决，海航投资公司无法预计担保事项产生的财务影响。我们亦无法实施有效的审计程序，以获取充分、适当的审计证据确定为关联方提供担保对公司财务报表的影响。</w:t>
            </w:r>
          </w:p>
          <w:p w14:paraId="3FB2C34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二）如财务报表所述，截止2021年12月31日，对大连众城文化产业发展合伙企业（有限合伙）（以下简称“大连众城”）的长期股权投资账面价值为99,985.30万元，由于海航投资公司未能提供大连众城的审计报告、评估报告等相关资料，导致我们无法实施必要的审计程序，无法获取充分、适当的审计证据。因此，我们无法确定该项股权投资的账面价值，以及是否发生减值，亦无法确定是否有必要对资产减值损失、投资收益及财务报表的其他项目作出调整，也无法确定应调整的金额。</w:t>
            </w:r>
          </w:p>
          <w:p w14:paraId="47F9409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海航投资公司于2021年12月16日收到了中国证券监督管理委员会（以下简称“中国证监会”）《立案告知书》（证监立案字0212021001号），因涉嫌信息披露违法违规，根据《中华人民共和国证券法》、《中华人民共和国行政处罚法》等法律法规，中国证监会决定对海航投资公司立案。截至本报告批准报出日止，由于立案调查尚未有最终结论，我们无法判断立案调查结果对公司财务报表可能产生的影响。</w:t>
            </w:r>
          </w:p>
        </w:tc>
      </w:tr>
      <w:tr w:rsidR="00B229A7" w14:paraId="4E654993" w14:textId="77777777">
        <w:tc>
          <w:tcPr>
            <w:tcW w:w="2007" w:type="dxa"/>
          </w:tcPr>
          <w:p w14:paraId="0B6EC4D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审计机构名称</w:t>
            </w:r>
          </w:p>
        </w:tc>
        <w:tc>
          <w:tcPr>
            <w:tcW w:w="6402" w:type="dxa"/>
          </w:tcPr>
          <w:p w14:paraId="338347C6" w14:textId="77777777" w:rsidR="00B229A7" w:rsidRDefault="00D7072C">
            <w:pPr>
              <w:spacing w:line="276" w:lineRule="auto"/>
              <w:jc w:val="center"/>
              <w:rPr>
                <w:rFonts w:ascii="宋体" w:hAnsi="宋体"/>
                <w:color w:val="000000" w:themeColor="text1"/>
                <w:kern w:val="0"/>
                <w:szCs w:val="21"/>
              </w:rPr>
            </w:pPr>
            <w:r>
              <w:rPr>
                <w:rFonts w:ascii="宋体" w:hAnsi="宋体" w:hint="eastAsia"/>
                <w:bCs/>
                <w:color w:val="000000" w:themeColor="text1"/>
                <w:kern w:val="0"/>
                <w:szCs w:val="21"/>
              </w:rPr>
              <w:t>大华会计师事务所</w:t>
            </w:r>
          </w:p>
        </w:tc>
      </w:tr>
      <w:tr w:rsidR="00B229A7" w14:paraId="1702A3FC" w14:textId="77777777">
        <w:tc>
          <w:tcPr>
            <w:tcW w:w="2007" w:type="dxa"/>
          </w:tcPr>
          <w:p w14:paraId="1EC473A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w:t>
            </w:r>
            <w:r>
              <w:rPr>
                <w:rFonts w:ascii="宋体" w:hAnsi="宋体" w:hint="eastAsia"/>
                <w:color w:val="000000" w:themeColor="text1"/>
                <w:kern w:val="0"/>
                <w:szCs w:val="21"/>
              </w:rPr>
              <w:t>审计术语</w:t>
            </w:r>
            <w:r>
              <w:rPr>
                <w:rFonts w:ascii="宋体" w:hAnsi="宋体"/>
                <w:color w:val="000000" w:themeColor="text1"/>
                <w:kern w:val="0"/>
                <w:szCs w:val="21"/>
              </w:rPr>
              <w:t>或</w:t>
            </w:r>
            <w:r>
              <w:rPr>
                <w:rFonts w:ascii="宋体" w:hAnsi="宋体"/>
                <w:color w:val="000000" w:themeColor="text1"/>
                <w:kern w:val="0"/>
                <w:szCs w:val="21"/>
              </w:rPr>
              <w:lastRenderedPageBreak/>
              <w:t>审计方法</w:t>
            </w:r>
          </w:p>
        </w:tc>
        <w:tc>
          <w:tcPr>
            <w:tcW w:w="6402" w:type="dxa"/>
          </w:tcPr>
          <w:p w14:paraId="7195B30B" w14:textId="77777777" w:rsidR="00B229A7" w:rsidRDefault="00D7072C">
            <w:pPr>
              <w:tabs>
                <w:tab w:val="left" w:pos="2160"/>
              </w:tabs>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外部审计、保留意见</w:t>
            </w:r>
          </w:p>
        </w:tc>
      </w:tr>
    </w:tbl>
    <w:p w14:paraId="5B59BF1B" w14:textId="77777777" w:rsidR="00B229A7" w:rsidRDefault="00B229A7">
      <w:pPr>
        <w:spacing w:line="276" w:lineRule="auto"/>
        <w:rPr>
          <w:rFonts w:ascii="宋体" w:hAnsi="宋体"/>
          <w:color w:val="000000" w:themeColor="text1"/>
          <w:szCs w:val="21"/>
        </w:rPr>
      </w:pPr>
    </w:p>
    <w:p w14:paraId="1D05505E" w14:textId="77777777" w:rsidR="00B229A7" w:rsidRDefault="00D7072C">
      <w:pPr>
        <w:pStyle w:val="1"/>
      </w:pPr>
      <w:bookmarkStart w:id="109" w:name="_Toc104812327"/>
      <w:bookmarkStart w:id="110" w:name="_Toc104812508"/>
      <w:bookmarkStart w:id="111" w:name="_Toc104812606"/>
      <w:r>
        <w:t>3</w:t>
      </w:r>
      <w:r>
        <w:rPr>
          <w:rFonts w:hint="eastAsia"/>
        </w:rPr>
        <w:t>1-</w:t>
      </w:r>
      <w:r>
        <w:t xml:space="preserve">40 </w:t>
      </w:r>
      <w:r>
        <w:rPr>
          <w:rFonts w:hint="eastAsia"/>
        </w:rPr>
        <w:t>主要分析人：张婉诗</w:t>
      </w:r>
      <w:bookmarkEnd w:id="109"/>
      <w:bookmarkEnd w:id="110"/>
      <w:bookmarkEnd w:id="111"/>
    </w:p>
    <w:p w14:paraId="6FE8ECA7" w14:textId="77777777" w:rsidR="00B229A7" w:rsidRDefault="00D7072C">
      <w:pPr>
        <w:pStyle w:val="1"/>
      </w:pPr>
      <w:bookmarkStart w:id="112" w:name="_Toc104812328"/>
      <w:bookmarkStart w:id="113" w:name="_Toc104812509"/>
      <w:bookmarkStart w:id="114" w:name="_Toc104812607"/>
      <w:r>
        <w:t>31</w:t>
      </w:r>
      <w:r>
        <w:rPr>
          <w:rFonts w:hint="eastAsia"/>
        </w:rPr>
        <w:t>包商银行接管事件</w:t>
      </w:r>
      <w:bookmarkEnd w:id="112"/>
      <w:bookmarkEnd w:id="113"/>
      <w:bookmarkEnd w:id="114"/>
    </w:p>
    <w:tbl>
      <w:tblPr>
        <w:tblStyle w:val="a4"/>
        <w:tblW w:w="0" w:type="auto"/>
        <w:tblLook w:val="04A0" w:firstRow="1" w:lastRow="0" w:firstColumn="1" w:lastColumn="0" w:noHBand="0" w:noVBand="1"/>
      </w:tblPr>
      <w:tblGrid>
        <w:gridCol w:w="2157"/>
        <w:gridCol w:w="6365"/>
      </w:tblGrid>
      <w:tr w:rsidR="00B229A7" w14:paraId="14560F3B" w14:textId="77777777">
        <w:tc>
          <w:tcPr>
            <w:tcW w:w="2157" w:type="dxa"/>
          </w:tcPr>
          <w:p w14:paraId="55CBBFF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048F9BB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120</w:t>
            </w:r>
          </w:p>
        </w:tc>
      </w:tr>
      <w:tr w:rsidR="00B229A7" w14:paraId="7918F019" w14:textId="77777777">
        <w:tc>
          <w:tcPr>
            <w:tcW w:w="2157" w:type="dxa"/>
          </w:tcPr>
          <w:p w14:paraId="44930A0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57F5505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5A02384C" w14:textId="77777777">
        <w:trPr>
          <w:trHeight w:val="328"/>
        </w:trPr>
        <w:tc>
          <w:tcPr>
            <w:tcW w:w="2157" w:type="dxa"/>
          </w:tcPr>
          <w:p w14:paraId="4CBFFA0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7BE6A2D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2019年5月</w:t>
            </w:r>
          </w:p>
        </w:tc>
      </w:tr>
      <w:tr w:rsidR="00B229A7" w14:paraId="6651F9BA" w14:textId="77777777">
        <w:tc>
          <w:tcPr>
            <w:tcW w:w="2157" w:type="dxa"/>
          </w:tcPr>
          <w:p w14:paraId="223690F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2263B63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包商股份有限公司（包商银行）</w:t>
            </w:r>
          </w:p>
        </w:tc>
      </w:tr>
      <w:tr w:rsidR="00B229A7" w14:paraId="6ED71628" w14:textId="77777777">
        <w:tc>
          <w:tcPr>
            <w:tcW w:w="2157" w:type="dxa"/>
          </w:tcPr>
          <w:p w14:paraId="71E632A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27331C72"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代理发行、代理兑付、承销政府债券；买卖政府债券、金融债券；吸收公众存款；发放短期、中期、长期贷款；办理国内外结算；从事银行卡业务；提供信用证服务及担保等。</w:t>
            </w:r>
          </w:p>
        </w:tc>
      </w:tr>
      <w:tr w:rsidR="00B229A7" w14:paraId="03B9B030" w14:textId="77777777">
        <w:tc>
          <w:tcPr>
            <w:tcW w:w="2157" w:type="dxa"/>
          </w:tcPr>
          <w:p w14:paraId="4C79E71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65" w:type="dxa"/>
          </w:tcPr>
          <w:p w14:paraId="7BA2CF7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2FFEFDD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包商银行股份有限公司（</w:t>
            </w:r>
            <w:proofErr w:type="spellStart"/>
            <w:r>
              <w:rPr>
                <w:rFonts w:ascii="宋体" w:hAnsi="宋体" w:hint="eastAsia"/>
                <w:color w:val="000000" w:themeColor="text1"/>
                <w:kern w:val="0"/>
                <w:szCs w:val="21"/>
              </w:rPr>
              <w:t>Baoshang</w:t>
            </w:r>
            <w:proofErr w:type="spellEnd"/>
            <w:r>
              <w:rPr>
                <w:rFonts w:ascii="宋体" w:hAnsi="宋体" w:hint="eastAsia"/>
                <w:color w:val="000000" w:themeColor="text1"/>
                <w:kern w:val="0"/>
                <w:szCs w:val="21"/>
              </w:rPr>
              <w:t xml:space="preserve"> Bank Limited，简称包商银行）于1998年12月28日经</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HYPERLINK "https://baike.baidu.com/item/%E4%B8%AD%E5%9B%BD%E4%BA%BA%E6%B0%91%E9%93%B6%E8%A1%8C" \t "https://baike.baidu.com/item/%E5%8C%85%E5%95%86%E9%93%B6%E8%A1%8C%E8%82%A1%E4%BB%BD%E6%9C%89%E9%99%90%E5%85%AC%E5%8F%B8/_blank" </w:instrText>
            </w:r>
            <w:r>
              <w:rPr>
                <w:rFonts w:ascii="宋体" w:hAnsi="宋体" w:hint="eastAsia"/>
                <w:color w:val="000000" w:themeColor="text1"/>
                <w:kern w:val="0"/>
                <w:szCs w:val="21"/>
              </w:rPr>
              <w:fldChar w:fldCharType="separate"/>
            </w:r>
            <w:r>
              <w:rPr>
                <w:rFonts w:ascii="宋体" w:hAnsi="宋体" w:hint="eastAsia"/>
                <w:color w:val="000000" w:themeColor="text1"/>
                <w:kern w:val="0"/>
                <w:szCs w:val="21"/>
              </w:rPr>
              <w:t>中国人民银行</w:t>
            </w:r>
            <w:r>
              <w:rPr>
                <w:rFonts w:ascii="宋体" w:hAnsi="宋体" w:hint="eastAsia"/>
                <w:color w:val="000000" w:themeColor="text1"/>
                <w:kern w:val="0"/>
                <w:szCs w:val="21"/>
              </w:rPr>
              <w:fldChar w:fldCharType="end"/>
            </w:r>
            <w:r>
              <w:rPr>
                <w:rFonts w:ascii="宋体" w:hAnsi="宋体" w:hint="eastAsia"/>
                <w:color w:val="000000" w:themeColor="text1"/>
                <w:kern w:val="0"/>
                <w:szCs w:val="21"/>
              </w:rPr>
              <w:t>批准设立，前身为包头市商业银行，2007年9月28日经</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HYPERLINK "https://baike.baidu.com/item/%E4%B8%AD%E5%9B%BD%E9%93%B6%E7%9B%91%E4%BC%9A/921602" \t "https://baike.baidu.com/item/%E5%8C%85%E5%95%86%E9%93%B6%E8%A1%8C%E8%82%A1%E4%BB%BD%E6%9C%89%E9%99%90%E5%85%AC%E5%8F%B8/_blank" </w:instrText>
            </w:r>
            <w:r>
              <w:rPr>
                <w:rFonts w:ascii="宋体" w:hAnsi="宋体" w:hint="eastAsia"/>
                <w:color w:val="000000" w:themeColor="text1"/>
                <w:kern w:val="0"/>
                <w:szCs w:val="21"/>
              </w:rPr>
              <w:fldChar w:fldCharType="separate"/>
            </w:r>
            <w:r>
              <w:rPr>
                <w:rFonts w:ascii="宋体" w:hAnsi="宋体" w:hint="eastAsia"/>
                <w:color w:val="000000" w:themeColor="text1"/>
                <w:kern w:val="0"/>
                <w:szCs w:val="21"/>
              </w:rPr>
              <w:t>中国银监会</w:t>
            </w:r>
            <w:r>
              <w:rPr>
                <w:rFonts w:ascii="宋体" w:hAnsi="宋体" w:hint="eastAsia"/>
                <w:color w:val="000000" w:themeColor="text1"/>
                <w:kern w:val="0"/>
                <w:szCs w:val="21"/>
              </w:rPr>
              <w:fldChar w:fldCharType="end"/>
            </w:r>
            <w:r>
              <w:rPr>
                <w:rFonts w:ascii="宋体" w:hAnsi="宋体" w:hint="eastAsia"/>
                <w:color w:val="000000" w:themeColor="text1"/>
                <w:kern w:val="0"/>
                <w:szCs w:val="21"/>
              </w:rPr>
              <w:t>批准更名为包商银行，成为区域性</w:t>
            </w:r>
            <w:hyperlink r:id="rId26" w:tgtFrame="https://baike.baidu.com/item/%E5%8C%85%E5%95%86%E9%93%B6%E8%A1%8C%E8%82%A1%E4%BB%BD%E6%9C%89%E9%99%90%E5%85%AC%E5%8F%B8/_blank" w:history="1">
              <w:r>
                <w:rPr>
                  <w:rFonts w:ascii="宋体" w:hAnsi="宋体" w:hint="eastAsia"/>
                  <w:color w:val="000000" w:themeColor="text1"/>
                  <w:kern w:val="0"/>
                  <w:szCs w:val="21"/>
                </w:rPr>
                <w:t>股份制商业银行</w:t>
              </w:r>
            </w:hyperlink>
            <w:r>
              <w:rPr>
                <w:rFonts w:ascii="宋体" w:hAnsi="宋体" w:hint="eastAsia"/>
                <w:color w:val="000000" w:themeColor="text1"/>
                <w:kern w:val="0"/>
                <w:szCs w:val="21"/>
              </w:rPr>
              <w:t>，</w:t>
            </w:r>
            <w:hyperlink r:id="rId27" w:tgtFrame="https://baike.baidu.com/item/%E5%8C%85%E5%95%86%E9%93%B6%E8%A1%8C%E8%82%A1%E4%BB%BD%E6%9C%89%E9%99%90%E5%85%AC%E5%8F%B8/_blank" w:history="1">
              <w:r>
                <w:rPr>
                  <w:rFonts w:ascii="宋体" w:hAnsi="宋体" w:hint="eastAsia"/>
                  <w:color w:val="000000" w:themeColor="text1"/>
                  <w:kern w:val="0"/>
                  <w:szCs w:val="21"/>
                </w:rPr>
                <w:t>总部</w:t>
              </w:r>
            </w:hyperlink>
            <w:r>
              <w:rPr>
                <w:rFonts w:ascii="宋体" w:hAnsi="宋体" w:hint="eastAsia"/>
                <w:color w:val="000000" w:themeColor="text1"/>
                <w:kern w:val="0"/>
                <w:szCs w:val="21"/>
              </w:rPr>
              <w:t>设在</w:t>
            </w:r>
            <w:hyperlink r:id="rId28" w:tgtFrame="https://baike.baidu.com/item/%E5%8C%85%E5%95%86%E9%93%B6%E8%A1%8C%E8%82%A1%E4%BB%BD%E6%9C%89%E9%99%90%E5%85%AC%E5%8F%B8/_blank" w:history="1">
              <w:r>
                <w:rPr>
                  <w:rFonts w:ascii="宋体" w:hAnsi="宋体" w:hint="eastAsia"/>
                  <w:color w:val="000000" w:themeColor="text1"/>
                  <w:kern w:val="0"/>
                  <w:szCs w:val="21"/>
                </w:rPr>
                <w:t>包头市</w:t>
              </w:r>
            </w:hyperlink>
            <w:r>
              <w:rPr>
                <w:rFonts w:ascii="宋体" w:hAnsi="宋体" w:hint="eastAsia"/>
                <w:color w:val="000000" w:themeColor="text1"/>
                <w:kern w:val="0"/>
                <w:szCs w:val="21"/>
              </w:rPr>
              <w:t>。</w:t>
            </w:r>
          </w:p>
          <w:p w14:paraId="645C549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2019年5月24日，根据有关法律法规规定，由中国人民银行、</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HYPERLINK "https://baike.baidu.com/item/%E4%B8%AD%E5%9B%BD%E9%93%B6%E8%A1%8C%E4%BF%9D%E9%99%A9%E7%9B%91%E7%9D%A3%E7%AE%A1%E7%90%86%E5%A7%94%E5%91%98%E4%BC%9A/22428897" \t "https://baike.baidu.com/item/%E5%8C%85%E5%95%86%E9%93%B6%E8%A1%8C%E8%82%A1%E4%BB%BD%E6%9C%89%E9%99%90%E5%85%AC%E5%8F%B8/_blank" </w:instrText>
            </w:r>
            <w:r>
              <w:rPr>
                <w:rFonts w:ascii="宋体" w:hAnsi="宋体" w:hint="eastAsia"/>
                <w:color w:val="000000" w:themeColor="text1"/>
                <w:kern w:val="0"/>
                <w:szCs w:val="21"/>
              </w:rPr>
              <w:fldChar w:fldCharType="separate"/>
            </w:r>
            <w:r>
              <w:rPr>
                <w:rFonts w:ascii="宋体" w:hAnsi="宋体" w:hint="eastAsia"/>
                <w:color w:val="000000" w:themeColor="text1"/>
                <w:kern w:val="0"/>
                <w:szCs w:val="21"/>
              </w:rPr>
              <w:t>中国银行保险监督管理委员会</w:t>
            </w:r>
            <w:r>
              <w:rPr>
                <w:rFonts w:ascii="宋体" w:hAnsi="宋体" w:hint="eastAsia"/>
                <w:color w:val="000000" w:themeColor="text1"/>
                <w:kern w:val="0"/>
                <w:szCs w:val="21"/>
              </w:rPr>
              <w:fldChar w:fldCharType="end"/>
            </w:r>
            <w:r>
              <w:rPr>
                <w:rFonts w:ascii="宋体" w:hAnsi="宋体" w:hint="eastAsia"/>
                <w:color w:val="000000" w:themeColor="text1"/>
                <w:kern w:val="0"/>
                <w:szCs w:val="21"/>
              </w:rPr>
              <w:t>会同有关方面组建接管组，对包商银行实施接管。（于2021年2月7日，包商银行被裁定破产.）</w:t>
            </w:r>
          </w:p>
          <w:p w14:paraId="452686B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【案例背景】</w:t>
            </w:r>
          </w:p>
          <w:p w14:paraId="7209F99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包商银行接管事件的起因是明天集团持有包商银行８９％的股权，是包商银行的大股东，违规占用包商银行大量的资金，长期未归还资金，造成逾期，导致包商银行无法正常支取客户的到期资金，爆发严重的信用危机，触发《商业银行法》第６４条“商业银行已经或者可能发生信用危机，严重影响存款人的利益”和《银行业监督管理法》第３８条“可能发生信用危机，严重影响存款人和其他客户合法权益”等法定接管条件。因此，在２０１９年５月２４日，为保护存款人的合法权益，中国人民银行、中国银行保险监督管理委员会发布公告，鉴于包商银行出现严重信用风险，依照《中华人民共和国中国人民银行法》《中华人民共和国银行业监督管理法》和《中华人民共和国商业银行法》的有关规定，决定自２０１９年５月２４日起接管包商银行。包商银行成为银保监会成立以来首家被接管的商业银行。</w:t>
            </w:r>
          </w:p>
        </w:tc>
      </w:tr>
      <w:tr w:rsidR="00B229A7" w14:paraId="6493D2FB" w14:textId="77777777">
        <w:tc>
          <w:tcPr>
            <w:tcW w:w="2157" w:type="dxa"/>
          </w:tcPr>
          <w:p w14:paraId="05A8E51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关联审计机构名称</w:t>
            </w:r>
          </w:p>
        </w:tc>
        <w:tc>
          <w:tcPr>
            <w:tcW w:w="6365" w:type="dxa"/>
          </w:tcPr>
          <w:p w14:paraId="3B69CABF"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大华会计师事务所</w:t>
            </w:r>
          </w:p>
        </w:tc>
      </w:tr>
      <w:tr w:rsidR="00B229A7" w14:paraId="4E595D6E" w14:textId="77777777">
        <w:tc>
          <w:tcPr>
            <w:tcW w:w="2157" w:type="dxa"/>
          </w:tcPr>
          <w:p w14:paraId="1611DFF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引发审计实施思考</w:t>
            </w:r>
          </w:p>
        </w:tc>
        <w:tc>
          <w:tcPr>
            <w:tcW w:w="6365" w:type="dxa"/>
          </w:tcPr>
          <w:p w14:paraId="46C9FF7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会计事务所接受内部控制审计委托，评价受托责任履行情况。内部控制是防范企业财务报告错误和舞弊行为的第一道防线，也是保证银行将会计准则和制度落到实处的内在机制。因此会计事务所开展内部控制审计，需对公司治理、业务活动、信息系统等方面进行内部控制评价测试，发现和评估内控缺陷，提供可行性整改建议和完善思路。通过会计事务所的内部控制审计，促进银行健全和完善内部控制制度，建立风险防范机制，加强银行内部管理，有力地促进银行提升管理水平。</w:t>
            </w:r>
          </w:p>
        </w:tc>
      </w:tr>
      <w:tr w:rsidR="00B229A7" w14:paraId="5A99FFEB" w14:textId="77777777">
        <w:tc>
          <w:tcPr>
            <w:tcW w:w="2157" w:type="dxa"/>
          </w:tcPr>
          <w:p w14:paraId="5562147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关联的审计术语与审计方法</w:t>
            </w:r>
          </w:p>
        </w:tc>
        <w:tc>
          <w:tcPr>
            <w:tcW w:w="6365" w:type="dxa"/>
          </w:tcPr>
          <w:p w14:paraId="2EB7C1F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内部控制；内部控制制度；</w:t>
            </w:r>
          </w:p>
        </w:tc>
      </w:tr>
    </w:tbl>
    <w:p w14:paraId="60FBC19F" w14:textId="77777777" w:rsidR="00B229A7" w:rsidRDefault="00B229A7">
      <w:pPr>
        <w:spacing w:line="276" w:lineRule="auto"/>
        <w:rPr>
          <w:rFonts w:ascii="宋体" w:hAnsi="宋体"/>
          <w:color w:val="000000" w:themeColor="text1"/>
          <w:szCs w:val="21"/>
        </w:rPr>
      </w:pPr>
    </w:p>
    <w:p w14:paraId="353FD624" w14:textId="77777777" w:rsidR="00B229A7" w:rsidRDefault="00D7072C">
      <w:pPr>
        <w:pStyle w:val="1"/>
      </w:pPr>
      <w:bookmarkStart w:id="115" w:name="_Toc104812510"/>
      <w:bookmarkStart w:id="116" w:name="_Toc104812329"/>
      <w:bookmarkStart w:id="117" w:name="_Toc104812608"/>
      <w:r>
        <w:t>32</w:t>
      </w:r>
      <w:r>
        <w:rPr>
          <w:rFonts w:hint="eastAsia"/>
        </w:rPr>
        <w:t>曼氏金融破产事件</w:t>
      </w:r>
      <w:bookmarkEnd w:id="115"/>
      <w:bookmarkEnd w:id="116"/>
      <w:bookmarkEnd w:id="117"/>
    </w:p>
    <w:tbl>
      <w:tblPr>
        <w:tblStyle w:val="a4"/>
        <w:tblW w:w="0" w:type="auto"/>
        <w:tblLook w:val="04A0" w:firstRow="1" w:lastRow="0" w:firstColumn="1" w:lastColumn="0" w:noHBand="0" w:noVBand="1"/>
      </w:tblPr>
      <w:tblGrid>
        <w:gridCol w:w="2157"/>
        <w:gridCol w:w="6365"/>
      </w:tblGrid>
      <w:tr w:rsidR="00B229A7" w14:paraId="678ABFE8" w14:textId="77777777">
        <w:tc>
          <w:tcPr>
            <w:tcW w:w="2157" w:type="dxa"/>
          </w:tcPr>
          <w:p w14:paraId="6D06F3B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3EC004F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121</w:t>
            </w:r>
          </w:p>
        </w:tc>
      </w:tr>
      <w:tr w:rsidR="00B229A7" w14:paraId="3B74D946" w14:textId="77777777">
        <w:trPr>
          <w:trHeight w:val="328"/>
        </w:trPr>
        <w:tc>
          <w:tcPr>
            <w:tcW w:w="2157" w:type="dxa"/>
          </w:tcPr>
          <w:p w14:paraId="50F11B1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4CAA470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0DFB733E" w14:textId="77777777">
        <w:tc>
          <w:tcPr>
            <w:tcW w:w="2157" w:type="dxa"/>
          </w:tcPr>
          <w:p w14:paraId="0CC02F9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43ED9F0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2011年</w:t>
            </w:r>
          </w:p>
        </w:tc>
      </w:tr>
      <w:tr w:rsidR="00B229A7" w14:paraId="59411CC5" w14:textId="77777777">
        <w:tc>
          <w:tcPr>
            <w:tcW w:w="2157" w:type="dxa"/>
          </w:tcPr>
          <w:p w14:paraId="0280C9E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21CD3A4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曼氏金融</w:t>
            </w:r>
          </w:p>
        </w:tc>
      </w:tr>
      <w:tr w:rsidR="00B229A7" w14:paraId="45A64F5B" w14:textId="77777777">
        <w:tc>
          <w:tcPr>
            <w:tcW w:w="2157" w:type="dxa"/>
          </w:tcPr>
          <w:p w14:paraId="31F988C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4D014AF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期货、基金等</w:t>
            </w:r>
          </w:p>
        </w:tc>
      </w:tr>
      <w:tr w:rsidR="00B229A7" w14:paraId="240FC5E9" w14:textId="77777777">
        <w:tc>
          <w:tcPr>
            <w:tcW w:w="2157" w:type="dxa"/>
          </w:tcPr>
          <w:p w14:paraId="183F3D8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65" w:type="dxa"/>
          </w:tcPr>
          <w:p w14:paraId="4D2884B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26773E90"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曼氏金融集团是世界最大的期货交易商，也是世界最大的证券市场公开上市的对冲基金运营商。集团历史距今有200余年的时间，是</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HYPERLINK "https://baike.baidu.com/item/%E8%8B%B1%E5%9B%BD" \t "https://baike.baidu.com/item/%E6%9B%BC%E6%B0%8F%E9%87%91%E8%9E%8D%E9%9B%86%E5%9B%A2/_blank" </w:instrText>
            </w:r>
            <w:r>
              <w:rPr>
                <w:rFonts w:ascii="宋体" w:hAnsi="宋体" w:hint="eastAsia"/>
                <w:color w:val="000000" w:themeColor="text1"/>
                <w:kern w:val="0"/>
                <w:szCs w:val="21"/>
              </w:rPr>
              <w:fldChar w:fldCharType="separate"/>
            </w:r>
            <w:r>
              <w:rPr>
                <w:rFonts w:ascii="宋体" w:hAnsi="宋体" w:hint="eastAsia"/>
                <w:color w:val="000000" w:themeColor="text1"/>
                <w:kern w:val="0"/>
                <w:szCs w:val="21"/>
              </w:rPr>
              <w:t>英国</w:t>
            </w:r>
            <w:r>
              <w:rPr>
                <w:rFonts w:ascii="宋体" w:hAnsi="宋体" w:hint="eastAsia"/>
                <w:color w:val="000000" w:themeColor="text1"/>
                <w:kern w:val="0"/>
                <w:szCs w:val="21"/>
              </w:rPr>
              <w:fldChar w:fldCharType="end"/>
            </w:r>
            <w:r>
              <w:rPr>
                <w:rFonts w:ascii="宋体" w:hAnsi="宋体" w:hint="eastAsia"/>
                <w:color w:val="000000" w:themeColor="text1"/>
                <w:kern w:val="0"/>
                <w:szCs w:val="21"/>
              </w:rPr>
              <w:t>最大的100家上市公司之一（属于FTSE100）。GNI touch 是曼氏金融集团新近独立出去的MF Global Ltd（曼氏全球）的CFD部门，是发明CFD交易方式的公司，也是世界第1家把CFD交易方式介绍给个人投资者的运营商（1998年）。Man Spread trading 是曼氏全球的点差交易部门。MF Global Ltd（曼氏全球）在美国纽约证券交易所上市。</w:t>
            </w:r>
          </w:p>
          <w:p w14:paraId="47A7DFF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【案莉背景】</w:t>
            </w:r>
          </w:p>
          <w:p w14:paraId="0E4910A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 xml:space="preserve">2007年7月，在衍生品业务发展的鼎盛时期，英国曼氏集团(Man Group)旗下负责经纪业务的子公司曼氏金融(Man Financial)通过第一次公开募股方式独立出来，改名为全球曼氏金融控股公司。2009年11月，由于政府正在推进对衍生品交易行业的监管改革，曼氏金融被要求将总部从原来的百慕大迁回美国。2010年3月，原 New Jersey 州长和高盛的前任首席执行官Jon Corzine 成为曼氏金融新的首席执行官和董事会主席。同年8 月，由于节省支出的做法 ， </w:t>
            </w:r>
            <w:r>
              <w:rPr>
                <w:rFonts w:ascii="宋体" w:hAnsi="宋体" w:hint="eastAsia"/>
                <w:color w:val="000000" w:themeColor="text1"/>
                <w:kern w:val="0"/>
                <w:szCs w:val="21"/>
              </w:rPr>
              <w:lastRenderedPageBreak/>
              <w:t>并且伴随着整个市场交易量的增加，在 Jon Corzine 的带领下， 公司在一年半处于亏损的状态下成功扭亏为盈。2011年2月， Jon Corzine 做出要在五年之内使公司转型为投行的决策。 接下来几个月内， 公司就已经持有63亿美元的欧洲债券，同年8月， 由于担心欧债资产质量下降，美国金融监管机构建议公司提高投资欧债而使用的净资产。8月31日， 公司更改了报告，依据更新后的净资产来看，大概有 1.5 亿美元的缺口，在9月1日公布的资料里披露了这个修改事项。随着欧债危机越来越严重， 2011 年10月24日，穆迪将公司的债务评级降低至仅高于“ 垃圾” 级别， 10月25日，公司发布的第二季度报表中列示损失数额已到 1.87亿美元， 致使其当日股价暴跌，并且在接下来的几天一直下跌。 10月31日，在与买家协商失败后，曼氏金融向法院提出破产保护。</w:t>
            </w:r>
          </w:p>
        </w:tc>
      </w:tr>
      <w:tr w:rsidR="00B229A7" w14:paraId="51335347" w14:textId="77777777">
        <w:tc>
          <w:tcPr>
            <w:tcW w:w="2157" w:type="dxa"/>
          </w:tcPr>
          <w:p w14:paraId="0C2831D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关联审计机构名称</w:t>
            </w:r>
          </w:p>
        </w:tc>
        <w:tc>
          <w:tcPr>
            <w:tcW w:w="6365" w:type="dxa"/>
          </w:tcPr>
          <w:p w14:paraId="7D0C054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普华永道会计师事务所</w:t>
            </w:r>
          </w:p>
        </w:tc>
      </w:tr>
      <w:tr w:rsidR="00B229A7" w14:paraId="5B1BDB8D" w14:textId="77777777">
        <w:tc>
          <w:tcPr>
            <w:tcW w:w="2157" w:type="dxa"/>
          </w:tcPr>
          <w:p w14:paraId="390EA69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引发审计实施思考</w:t>
            </w:r>
          </w:p>
        </w:tc>
        <w:tc>
          <w:tcPr>
            <w:tcW w:w="6365" w:type="dxa"/>
          </w:tcPr>
          <w:p w14:paraId="0219692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曼氏金融的审计事务所自上市以来一直是普华永道提供审计，因此审计失败的原因不会是改变事务所导致的不熟悉，但是也正是由于太过了解导致出现了审计失败的隐患，增加了审计风险。况且因为曼氏金融交易活动本就复杂多样，会计处理繁杂，这就不容易让审计师对公司的交易流程有深入了解，很难通过仅有的资料信息审查出相关问题。虽然如此，但是事务所也有责任，在进行审计时没有保持作为一个审计师应有的审慎态度，只关注到了表明呈现出的情况，却忽略了存在的内控风险。2011年1月1日出台的《中华人民共和国国家审计准则》中第115条表明，审计工作人员在审查被审计单位情况时，应该把重点放在被审计单位所处行业出现过重大违法行为的情况、导致发生重大违法行为的原因、有关内控风险管理和落实情况等等。所以审计师不仅要审计报表是否真实，还要把重点放在内控方面，尽快了解被审计单位出现的内控漏洞，帮助投资者做出正确的投资判断。但是普华永道却没能发现内控问题， 给曼氏金融提供了违规空间，也给投资者带来了不利影响。</w:t>
            </w:r>
          </w:p>
          <w:p w14:paraId="23E42B3A"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14F39510" wp14:editId="5FAA43F4">
                  <wp:extent cx="2324100" cy="792480"/>
                  <wp:effectExtent l="0" t="0" r="7620" b="0"/>
                  <wp:docPr id="18" name="图片 18"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表格&#10;&#10;描述已自动生成"/>
                          <pic:cNvPicPr>
                            <a:picLocks noChangeAspect="1"/>
                          </pic:cNvPicPr>
                        </pic:nvPicPr>
                        <pic:blipFill>
                          <a:blip r:embed="rId29"/>
                          <a:stretch>
                            <a:fillRect/>
                          </a:stretch>
                        </pic:blipFill>
                        <pic:spPr>
                          <a:xfrm>
                            <a:off x="0" y="0"/>
                            <a:ext cx="2324100" cy="792480"/>
                          </a:xfrm>
                          <a:prstGeom prst="rect">
                            <a:avLst/>
                          </a:prstGeom>
                          <a:noFill/>
                          <a:ln>
                            <a:noFill/>
                          </a:ln>
                        </pic:spPr>
                      </pic:pic>
                    </a:graphicData>
                  </a:graphic>
                </wp:inline>
              </w:drawing>
            </w:r>
          </w:p>
          <w:p w14:paraId="035B280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由表可知，该公司的审计费用一直偏高，其审计独立性受到一定程度影响，并且在2010年审计费用又大幅下降，可能会影响会计师的积极性。因为现在审计市场的竞争也是越来越激烈，作为一种有偿审计方式，事务所很有可能为增加收益而减少一些重要的步骤以节约成本，还有可能为增加收入出具虚假的审计报告，并且审计师个人的原因也会对审计质量有影响，审计质量的好坏不只和审计</w:t>
            </w:r>
            <w:r>
              <w:rPr>
                <w:rFonts w:ascii="宋体" w:hAnsi="宋体" w:hint="eastAsia"/>
                <w:color w:val="000000" w:themeColor="text1"/>
                <w:kern w:val="0"/>
                <w:szCs w:val="21"/>
              </w:rPr>
              <w:lastRenderedPageBreak/>
              <w:t>流程、 资源配置、专业能力与学历水平等相关，与审计师本人的工作经验和职业判断也有很大的相关性。</w:t>
            </w:r>
          </w:p>
        </w:tc>
      </w:tr>
      <w:tr w:rsidR="00B229A7" w14:paraId="640D6AF1" w14:textId="77777777">
        <w:tc>
          <w:tcPr>
            <w:tcW w:w="2157" w:type="dxa"/>
          </w:tcPr>
          <w:p w14:paraId="56C29AD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关联的审计术语与审计方法</w:t>
            </w:r>
          </w:p>
        </w:tc>
        <w:tc>
          <w:tcPr>
            <w:tcW w:w="6365" w:type="dxa"/>
          </w:tcPr>
          <w:p w14:paraId="02BB3C8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风险管理；内部控制；金融监管</w:t>
            </w:r>
          </w:p>
        </w:tc>
      </w:tr>
    </w:tbl>
    <w:p w14:paraId="71CC9B55" w14:textId="77777777" w:rsidR="00B229A7" w:rsidRDefault="00B229A7">
      <w:pPr>
        <w:spacing w:line="276" w:lineRule="auto"/>
        <w:rPr>
          <w:rFonts w:ascii="宋体" w:hAnsi="宋体"/>
          <w:color w:val="000000" w:themeColor="text1"/>
          <w:szCs w:val="21"/>
        </w:rPr>
      </w:pPr>
    </w:p>
    <w:p w14:paraId="516FFF6B" w14:textId="77777777" w:rsidR="00B229A7" w:rsidRDefault="00D7072C">
      <w:pPr>
        <w:pStyle w:val="1"/>
      </w:pPr>
      <w:bookmarkStart w:id="118" w:name="_Toc104812330"/>
      <w:bookmarkStart w:id="119" w:name="_Toc104812609"/>
      <w:bookmarkStart w:id="120" w:name="_Toc104812511"/>
      <w:r>
        <w:rPr>
          <w:rFonts w:hint="eastAsia"/>
        </w:rPr>
        <w:t>3</w:t>
      </w:r>
      <w:r>
        <w:t>3</w:t>
      </w:r>
      <w:r>
        <w:rPr>
          <w:rFonts w:hint="eastAsia"/>
        </w:rPr>
        <w:t>大智慧审计失败</w:t>
      </w:r>
      <w:bookmarkEnd w:id="118"/>
      <w:bookmarkEnd w:id="119"/>
      <w:bookmarkEnd w:id="120"/>
    </w:p>
    <w:tbl>
      <w:tblPr>
        <w:tblStyle w:val="a4"/>
        <w:tblW w:w="0" w:type="auto"/>
        <w:tblLayout w:type="fixed"/>
        <w:tblLook w:val="04A0" w:firstRow="1" w:lastRow="0" w:firstColumn="1" w:lastColumn="0" w:noHBand="0" w:noVBand="1"/>
      </w:tblPr>
      <w:tblGrid>
        <w:gridCol w:w="2137"/>
        <w:gridCol w:w="6385"/>
      </w:tblGrid>
      <w:tr w:rsidR="00B229A7" w14:paraId="1748C187" w14:textId="77777777">
        <w:tc>
          <w:tcPr>
            <w:tcW w:w="2137" w:type="dxa"/>
          </w:tcPr>
          <w:p w14:paraId="50A6894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85" w:type="dxa"/>
          </w:tcPr>
          <w:p w14:paraId="1FEE6295"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1111</w:t>
            </w:r>
          </w:p>
        </w:tc>
      </w:tr>
      <w:tr w:rsidR="00B229A7" w14:paraId="7C97F201" w14:textId="77777777">
        <w:trPr>
          <w:trHeight w:val="328"/>
        </w:trPr>
        <w:tc>
          <w:tcPr>
            <w:tcW w:w="2137" w:type="dxa"/>
          </w:tcPr>
          <w:p w14:paraId="5D3511E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85" w:type="dxa"/>
          </w:tcPr>
          <w:p w14:paraId="57FC13F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011互联网与IT业</w:t>
            </w:r>
          </w:p>
        </w:tc>
      </w:tr>
      <w:tr w:rsidR="00B229A7" w14:paraId="3F4A6221" w14:textId="77777777">
        <w:tc>
          <w:tcPr>
            <w:tcW w:w="2137" w:type="dxa"/>
          </w:tcPr>
          <w:p w14:paraId="6C2BFE6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85" w:type="dxa"/>
          </w:tcPr>
          <w:p w14:paraId="6ECCBBB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2013年</w:t>
            </w:r>
          </w:p>
        </w:tc>
      </w:tr>
      <w:tr w:rsidR="00B229A7" w14:paraId="79681958" w14:textId="77777777">
        <w:tc>
          <w:tcPr>
            <w:tcW w:w="2137" w:type="dxa"/>
          </w:tcPr>
          <w:p w14:paraId="23A34F3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85" w:type="dxa"/>
          </w:tcPr>
          <w:p w14:paraId="4B222EBE"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上海大智慧股份有限公司</w:t>
            </w:r>
          </w:p>
        </w:tc>
      </w:tr>
      <w:tr w:rsidR="00B229A7" w14:paraId="7BE3BC43" w14:textId="77777777">
        <w:tc>
          <w:tcPr>
            <w:tcW w:w="2137" w:type="dxa"/>
          </w:tcPr>
          <w:p w14:paraId="29A13B8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85" w:type="dxa"/>
          </w:tcPr>
          <w:p w14:paraId="2974AB7E"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计算机软件服务，电信业务，互联网证券期货讯息类视听节目，计算机系统服务</w:t>
            </w:r>
            <w:r>
              <w:rPr>
                <w:rFonts w:ascii="宋体" w:hAnsi="宋体" w:hint="eastAsia"/>
                <w:color w:val="000000" w:themeColor="text1"/>
                <w:kern w:val="0"/>
                <w:szCs w:val="21"/>
              </w:rPr>
              <w:t>等</w:t>
            </w:r>
          </w:p>
        </w:tc>
      </w:tr>
      <w:tr w:rsidR="00B229A7" w14:paraId="11F4128B" w14:textId="77777777">
        <w:tc>
          <w:tcPr>
            <w:tcW w:w="2137" w:type="dxa"/>
          </w:tcPr>
          <w:p w14:paraId="6ABA5F1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85" w:type="dxa"/>
          </w:tcPr>
          <w:p w14:paraId="0ADE958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181A266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上海大智慧股份有限公司是我国互联网金融信息服务行业内影响力较大的公司，于2000 年 12 月创立，并于 2011 年 1 月在上海证券交易所上市，是同行业内唯一一家在国内主板上市的 A 股公司。大智慧专注于金融领域的信息技术产品设计开发、生产与销售，同时为国内外资本市场提供投资、咨询等服务，是一家全国性的投资管理咨询企业，并以互联网为平台、以软件终端为载体，展现给投资者真实有效的金融方面的数据。大智慧一直努力进行技术研究与创新，不断开发创新产品，满足投资者的需求，在行业内一直处于领先的地位。</w:t>
            </w:r>
          </w:p>
          <w:p w14:paraId="3E40A55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【案例背景】</w:t>
            </w:r>
          </w:p>
          <w:p w14:paraId="51131B7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大智慧公司在2012年发生了2.67亿元的巨额亏损，却在2013 年却实现了全年盈利，针对此种异常情况，经过调查，证监会于2016 年7月发布了行政处罚书。行政处罚书中指出，大智慧在2013年使用了提前确认收入、利用框架协议虚增收入和虚构利润等方式进行财务报表的粉饰，使全年利润扭亏为盈。受到行政处罚的公告一经发布，大智慧的股价暴跌了近30%，大智慧不但要向投资者赔偿高额的资金，而且还致使股民们失去了对证券市场的信任，使得社会的大量资金流失。而作为其审计机构的立信会计师事务所，因为在审计报告中给出了错误的审计意见的而受到了应有的处罚。</w:t>
            </w:r>
          </w:p>
          <w:p w14:paraId="6510CA64" w14:textId="77777777" w:rsidR="00B229A7" w:rsidRDefault="00D7072C">
            <w:pPr>
              <w:widowControl/>
              <w:spacing w:line="276" w:lineRule="auto"/>
              <w:ind w:firstLineChars="200" w:firstLine="420"/>
              <w:jc w:val="left"/>
              <w:rPr>
                <w:rFonts w:ascii="宋体" w:hAnsi="宋体" w:cs="仿宋"/>
                <w:color w:val="000000" w:themeColor="text1"/>
                <w:kern w:val="0"/>
                <w:szCs w:val="21"/>
              </w:rPr>
            </w:pPr>
            <w:r>
              <w:rPr>
                <w:rFonts w:ascii="宋体" w:hAnsi="宋体" w:cs="仿宋" w:hint="eastAsia"/>
                <w:color w:val="000000" w:themeColor="text1"/>
                <w:kern w:val="0"/>
                <w:szCs w:val="21"/>
                <w:lang w:bidi="ar"/>
              </w:rPr>
              <w:t>立信出具的大智慧公司 2013 年度审计报告，是一份可以将企业的经营状况和财务状况真实准确地反映出来的无保留意见的审计报告，中国证监会调查了负责立信审计工作的姜维杰和葛勤，两名</w:t>
            </w:r>
            <w:r>
              <w:rPr>
                <w:rFonts w:ascii="宋体" w:hAnsi="宋体" w:cs="仿宋" w:hint="eastAsia"/>
                <w:color w:val="000000" w:themeColor="text1"/>
                <w:kern w:val="0"/>
                <w:szCs w:val="21"/>
                <w:lang w:bidi="ar"/>
              </w:rPr>
              <w:lastRenderedPageBreak/>
              <w:t xml:space="preserve">注册会计师都说明了大智慧 2013 年的年度报告可以将企业的财务和经营具体情况真实无误地反映出来，立信董事会也对公司的财务报告进行了详细审查，这也证明了立信曾经给出了肯定的审计意见。但是，正是因为立信出具的这份标准无保留意见的审计报告，使大智慧的财务舞弊行为得以隐瞒，使其通过虚增利润的手段为不退市创造了条件。 </w:t>
            </w:r>
          </w:p>
          <w:p w14:paraId="50314055" w14:textId="77777777" w:rsidR="00B229A7" w:rsidRDefault="00D7072C">
            <w:pPr>
              <w:widowControl/>
              <w:spacing w:line="276" w:lineRule="auto"/>
              <w:ind w:firstLineChars="200" w:firstLine="420"/>
              <w:jc w:val="left"/>
              <w:rPr>
                <w:rFonts w:ascii="宋体" w:hAnsi="宋体" w:cs="仿宋"/>
                <w:color w:val="000000" w:themeColor="text1"/>
                <w:kern w:val="0"/>
                <w:szCs w:val="21"/>
              </w:rPr>
            </w:pPr>
            <w:r>
              <w:rPr>
                <w:rFonts w:ascii="宋体" w:hAnsi="宋体" w:cs="仿宋" w:hint="eastAsia"/>
                <w:color w:val="000000" w:themeColor="text1"/>
                <w:kern w:val="0"/>
                <w:szCs w:val="21"/>
                <w:lang w:bidi="ar"/>
              </w:rPr>
              <w:t xml:space="preserve">2011 年大智慧上市，立信一直为其提供审计服务，而通过为大智慧审计而得到的审计费用，每年在 60—105 万元之间，至 2016 年被证监会处罚，已获取了 475 万元的审计费用。可以看出，大智慧已成为立信比较固定的客户，且立信在为大智慧的提供连续审计服务的过程中，取得了较为丰厚的报酬。此外，通过对大智慧每年净利润变化情况的统计，如表 4-1，在 2011 年上市时，大智慧的净利润急剧减少，仅为 1.06 亿元，在 2012 年亏损 2.67 亿元。2013 年大智慧实际亏损 1.1 亿元，但是为了维持市场领先的地位，在虚增 1.2 亿元利润后，最终实现1166 万元的净利润。在出现这种情况时，立信却给出了标准无保留意见的审计报告。 </w:t>
            </w:r>
          </w:p>
          <w:p w14:paraId="0C7DED33"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21FDC9E0" wp14:editId="20364EE0">
                  <wp:extent cx="3813175" cy="807720"/>
                  <wp:effectExtent l="0" t="0" r="12065" b="0"/>
                  <wp:docPr id="19" name="图片 1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表格&#10;&#10;描述已自动生成"/>
                          <pic:cNvPicPr>
                            <a:picLocks noChangeAspect="1"/>
                          </pic:cNvPicPr>
                        </pic:nvPicPr>
                        <pic:blipFill>
                          <a:blip r:embed="rId30"/>
                          <a:stretch>
                            <a:fillRect/>
                          </a:stretch>
                        </pic:blipFill>
                        <pic:spPr>
                          <a:xfrm>
                            <a:off x="0" y="0"/>
                            <a:ext cx="3813175" cy="807720"/>
                          </a:xfrm>
                          <a:prstGeom prst="rect">
                            <a:avLst/>
                          </a:prstGeom>
                          <a:noFill/>
                          <a:ln>
                            <a:noFill/>
                          </a:ln>
                        </pic:spPr>
                      </pic:pic>
                    </a:graphicData>
                  </a:graphic>
                </wp:inline>
              </w:drawing>
            </w:r>
          </w:p>
          <w:p w14:paraId="56017BB8" w14:textId="77777777" w:rsidR="00B229A7" w:rsidRDefault="00B229A7">
            <w:pPr>
              <w:spacing w:line="276" w:lineRule="auto"/>
              <w:ind w:firstLineChars="200" w:firstLine="420"/>
              <w:rPr>
                <w:rFonts w:ascii="宋体" w:hAnsi="宋体"/>
                <w:color w:val="000000" w:themeColor="text1"/>
                <w:kern w:val="0"/>
                <w:szCs w:val="21"/>
              </w:rPr>
            </w:pPr>
          </w:p>
        </w:tc>
      </w:tr>
      <w:tr w:rsidR="00B229A7" w14:paraId="58714548" w14:textId="77777777">
        <w:tc>
          <w:tcPr>
            <w:tcW w:w="2137" w:type="dxa"/>
          </w:tcPr>
          <w:p w14:paraId="5B782A0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关联审计机构名称</w:t>
            </w:r>
          </w:p>
        </w:tc>
        <w:tc>
          <w:tcPr>
            <w:tcW w:w="6385" w:type="dxa"/>
          </w:tcPr>
          <w:p w14:paraId="2BF1059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立信会计师事务所</w:t>
            </w:r>
          </w:p>
        </w:tc>
      </w:tr>
      <w:tr w:rsidR="00B229A7" w14:paraId="3C0C11F5" w14:textId="77777777">
        <w:tc>
          <w:tcPr>
            <w:tcW w:w="2137" w:type="dxa"/>
          </w:tcPr>
          <w:p w14:paraId="0C7BAE8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引发审计实施思考</w:t>
            </w:r>
          </w:p>
        </w:tc>
        <w:tc>
          <w:tcPr>
            <w:tcW w:w="6385" w:type="dxa"/>
          </w:tcPr>
          <w:p w14:paraId="7FE4376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在审计工作中，审计人员不够了解被审计单位的具体状况、相关专业知识不足，很可能造成其审计的错误判断，导致审计程序缺乏针对性或执行不到位，甚至无法识别财务报表中存在的问题。</w:t>
            </w:r>
          </w:p>
          <w:p w14:paraId="712F597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 xml:space="preserve">审计人员的审计工作能力是决定审计成败的关键性因素，企业的日常经营管理中，若出现财务漏洞以及决策性的战略错误，审计人员若未依照职业道德要求及时指出错误，在实际工作中未进行实质性测验，同时审计人员不具备专业的职业能力，无法对审计中可能出现的风险进行及时有效地识别与评估，给出了不正确的审计意见，造成审计失败发生。假如审计人员了解被审计单位的经营情况和行业环境，便有助于提高审计工作的效率和质量。财务活动是企业经营货币来往最直接的表现，财务活动若出现舞弊行为无疑是为企业的违法操作与违规经营进行掩护，若审计人员对单位或企业的经济活动较为陌生，则很容易忽略基础问题而无法真实反映实际内容。因此审计人员若对企业的财务经营管理与日常业务经营活动不熟悉很难查清实际问题，企业的生产经营若出现状况，则很大程度上会为审计工作提供虚假财务报告。 </w:t>
            </w:r>
          </w:p>
          <w:p w14:paraId="40890B3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lastRenderedPageBreak/>
              <w:t>审计人员对互联网金融信息服务业的发展现状缺乏了解，也不知道该行业业务模式和收入确认的特点，忽略了对高风险科目的关注，造成最终出具了错误的审计意见。</w:t>
            </w:r>
          </w:p>
          <w:p w14:paraId="6480321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 xml:space="preserve">注册会计师在对大智慧开展审计工作时，没有严格实施风险评估阶段关联方检查程序以及风险应对阶段实质性审计程序，使部分审计程序流于形式，发挥不了作用，尤其是在内部证据不可靠，客户函证效果不理想的情况下，立信本应该为获得较多的审计证据而启动风险防控程序，然而却仍然仅进行常规的审计工作，只是例行审计了大智慧前面给出的电话录音，并没有研究大智慧规模退款的原因，对大智慧全体员工的审核也是以普通客户名义的程序性检查。 </w:t>
            </w:r>
          </w:p>
          <w:p w14:paraId="250E98E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2013年12月大智慧向部分客户销售非标定价产品，本次销售以发行高收益理财产品和新股作为掩护，虚增2013年销售收入287.25万元。面对软件销售银行回单上明显异常的备注时，审计人员没有为了降低审计风险而拥有的职业怀疑态度</w:t>
            </w:r>
            <w:r>
              <w:rPr>
                <w:rFonts w:ascii="宋体" w:hAnsi="宋体" w:hint="eastAsia"/>
                <w:color w:val="000000" w:themeColor="text1"/>
                <w:kern w:val="0"/>
                <w:szCs w:val="21"/>
              </w:rPr>
              <w:t>.</w:t>
            </w:r>
          </w:p>
        </w:tc>
      </w:tr>
      <w:tr w:rsidR="00B229A7" w14:paraId="3ED66F5D" w14:textId="77777777">
        <w:tc>
          <w:tcPr>
            <w:tcW w:w="2137" w:type="dxa"/>
          </w:tcPr>
          <w:p w14:paraId="3619C78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关联的审计术语与审计方法</w:t>
            </w:r>
          </w:p>
        </w:tc>
        <w:tc>
          <w:tcPr>
            <w:tcW w:w="6385" w:type="dxa"/>
          </w:tcPr>
          <w:p w14:paraId="1607A87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审计失败；审计质量</w:t>
            </w:r>
          </w:p>
        </w:tc>
      </w:tr>
    </w:tbl>
    <w:p w14:paraId="437B1AFA" w14:textId="77777777" w:rsidR="00B229A7" w:rsidRDefault="00B229A7">
      <w:pPr>
        <w:spacing w:line="276" w:lineRule="auto"/>
        <w:rPr>
          <w:rFonts w:ascii="宋体" w:hAnsi="宋体"/>
          <w:color w:val="000000" w:themeColor="text1"/>
          <w:szCs w:val="21"/>
        </w:rPr>
      </w:pPr>
    </w:p>
    <w:p w14:paraId="64C6BAA4" w14:textId="77777777" w:rsidR="00B229A7" w:rsidRDefault="00D7072C">
      <w:pPr>
        <w:pStyle w:val="1"/>
      </w:pPr>
      <w:bookmarkStart w:id="121" w:name="_Toc104812331"/>
      <w:bookmarkStart w:id="122" w:name="_Toc104812610"/>
      <w:bookmarkStart w:id="123" w:name="_Toc104812512"/>
      <w:r>
        <w:rPr>
          <w:rFonts w:hint="eastAsia"/>
        </w:rPr>
        <w:t>3</w:t>
      </w:r>
      <w:r>
        <w:t>4</w:t>
      </w:r>
      <w:r>
        <w:rPr>
          <w:rFonts w:hint="eastAsia"/>
        </w:rPr>
        <w:t>北八道操纵证券市场案</w:t>
      </w:r>
      <w:bookmarkEnd w:id="121"/>
      <w:bookmarkEnd w:id="122"/>
      <w:bookmarkEnd w:id="123"/>
    </w:p>
    <w:tbl>
      <w:tblPr>
        <w:tblStyle w:val="a4"/>
        <w:tblW w:w="0" w:type="auto"/>
        <w:tblLook w:val="04A0" w:firstRow="1" w:lastRow="0" w:firstColumn="1" w:lastColumn="0" w:noHBand="0" w:noVBand="1"/>
      </w:tblPr>
      <w:tblGrid>
        <w:gridCol w:w="2157"/>
        <w:gridCol w:w="6365"/>
      </w:tblGrid>
      <w:tr w:rsidR="00B229A7" w14:paraId="12888B35" w14:textId="77777777">
        <w:tc>
          <w:tcPr>
            <w:tcW w:w="2157" w:type="dxa"/>
          </w:tcPr>
          <w:p w14:paraId="36F30CE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2542E64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122</w:t>
            </w:r>
          </w:p>
        </w:tc>
      </w:tr>
      <w:tr w:rsidR="00B229A7" w14:paraId="5D860A39" w14:textId="77777777">
        <w:trPr>
          <w:trHeight w:val="328"/>
        </w:trPr>
        <w:tc>
          <w:tcPr>
            <w:tcW w:w="2157" w:type="dxa"/>
          </w:tcPr>
          <w:p w14:paraId="1B51353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1572507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66E44253" w14:textId="77777777">
        <w:tc>
          <w:tcPr>
            <w:tcW w:w="2157" w:type="dxa"/>
          </w:tcPr>
          <w:p w14:paraId="7A43057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7836BC5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2021年</w:t>
            </w:r>
          </w:p>
        </w:tc>
      </w:tr>
      <w:tr w:rsidR="00B229A7" w14:paraId="3E0E95D1" w14:textId="77777777">
        <w:tc>
          <w:tcPr>
            <w:tcW w:w="2157" w:type="dxa"/>
          </w:tcPr>
          <w:p w14:paraId="5DD1599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436613B3"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八道集团有限公司</w:t>
            </w:r>
          </w:p>
        </w:tc>
      </w:tr>
      <w:tr w:rsidR="00B229A7" w14:paraId="0DB5B436" w14:textId="77777777">
        <w:tc>
          <w:tcPr>
            <w:tcW w:w="2157" w:type="dxa"/>
          </w:tcPr>
          <w:p w14:paraId="509639F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2E3A4D5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实业投资，</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HYPERLINK "https://baike.baidu.com/item/%E6%8A%95%E8%B5%84%E5%92%A8%E8%AF%A2/7802019" \t "https://baike.baidu.com/item/%E5%8C%97%E5%85%AB%E9%81%93%E9%9B%86%E5%9B%A2%E6%9C%89%E9%99%90%E5%85%AC%E5%8F%B8/_blank" </w:instrText>
            </w:r>
            <w:r>
              <w:rPr>
                <w:rFonts w:ascii="宋体" w:hAnsi="宋体" w:hint="eastAsia"/>
                <w:color w:val="000000" w:themeColor="text1"/>
                <w:kern w:val="0"/>
                <w:szCs w:val="21"/>
              </w:rPr>
              <w:fldChar w:fldCharType="separate"/>
            </w:r>
            <w:r>
              <w:rPr>
                <w:rFonts w:ascii="宋体" w:hAnsi="宋体" w:hint="eastAsia"/>
                <w:color w:val="000000" w:themeColor="text1"/>
                <w:kern w:val="0"/>
                <w:szCs w:val="21"/>
              </w:rPr>
              <w:t>投资咨询</w:t>
            </w:r>
            <w:r>
              <w:rPr>
                <w:rFonts w:ascii="宋体" w:hAnsi="宋体" w:hint="eastAsia"/>
                <w:color w:val="000000" w:themeColor="text1"/>
                <w:kern w:val="0"/>
                <w:szCs w:val="21"/>
              </w:rPr>
              <w:fldChar w:fldCharType="end"/>
            </w:r>
            <w:r>
              <w:rPr>
                <w:rFonts w:ascii="宋体" w:hAnsi="宋体" w:hint="eastAsia"/>
                <w:color w:val="000000" w:themeColor="text1"/>
                <w:kern w:val="0"/>
                <w:szCs w:val="21"/>
              </w:rPr>
              <w:t>、</w:t>
            </w:r>
            <w:hyperlink r:id="rId31" w:tgtFrame="https://baike.baidu.com/item/%E5%8C%97%E5%85%AB%E9%81%93%E9%9B%86%E5%9B%A2%E6%9C%89%E9%99%90%E5%85%AC%E5%8F%B8/_blank" w:history="1">
              <w:r>
                <w:rPr>
                  <w:rFonts w:ascii="宋体" w:hAnsi="宋体" w:hint="eastAsia"/>
                  <w:color w:val="000000" w:themeColor="text1"/>
                  <w:kern w:val="0"/>
                  <w:szCs w:val="21"/>
                </w:rPr>
                <w:t>企业管理咨询</w:t>
              </w:r>
            </w:hyperlink>
            <w:r>
              <w:rPr>
                <w:rFonts w:ascii="宋体" w:hAnsi="宋体" w:hint="eastAsia"/>
                <w:color w:val="000000" w:themeColor="text1"/>
                <w:kern w:val="0"/>
                <w:szCs w:val="21"/>
              </w:rPr>
              <w:t>（以上咨询除经纪）等</w:t>
            </w:r>
          </w:p>
        </w:tc>
      </w:tr>
      <w:tr w:rsidR="00B229A7" w14:paraId="2000B50E" w14:textId="77777777">
        <w:tc>
          <w:tcPr>
            <w:tcW w:w="2157" w:type="dxa"/>
          </w:tcPr>
          <w:p w14:paraId="0ECF388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65" w:type="dxa"/>
          </w:tcPr>
          <w:p w14:paraId="3EB8AD1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4DD55CF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北八道集团有限公司于2013年4月7日在自贸区市场监督管理局登记成立。法定代表人林庆丰，公司经营范围包括实业投资，</w:t>
            </w:r>
            <w:hyperlink r:id="rId32" w:tgtFrame="https://baike.baidu.com/item/%E5%8C%97%E5%85%AB%E9%81%93%E9%9B%86%E5%9B%A2%E6%9C%89%E9%99%90%E5%85%AC%E5%8F%B8/_blank" w:history="1">
              <w:r>
                <w:rPr>
                  <w:rFonts w:ascii="宋体" w:hAnsi="宋体" w:hint="eastAsia"/>
                  <w:color w:val="000000" w:themeColor="text1"/>
                  <w:kern w:val="0"/>
                  <w:szCs w:val="21"/>
                </w:rPr>
                <w:t>投资咨询</w:t>
              </w:r>
            </w:hyperlink>
            <w:r>
              <w:rPr>
                <w:rFonts w:ascii="宋体" w:hAnsi="宋体" w:hint="eastAsia"/>
                <w:color w:val="000000" w:themeColor="text1"/>
                <w:kern w:val="0"/>
                <w:szCs w:val="21"/>
              </w:rPr>
              <w:t>、</w:t>
            </w:r>
            <w:hyperlink r:id="rId33" w:tgtFrame="https://baike.baidu.com/item/%E5%8C%97%E5%85%AB%E9%81%93%E9%9B%86%E5%9B%A2%E6%9C%89%E9%99%90%E5%85%AC%E5%8F%B8/_blank" w:history="1">
              <w:r>
                <w:rPr>
                  <w:rFonts w:ascii="宋体" w:hAnsi="宋体" w:hint="eastAsia"/>
                  <w:color w:val="000000" w:themeColor="text1"/>
                  <w:kern w:val="0"/>
                  <w:szCs w:val="21"/>
                </w:rPr>
                <w:t>企业管理咨询</w:t>
              </w:r>
            </w:hyperlink>
            <w:r>
              <w:rPr>
                <w:rFonts w:ascii="宋体" w:hAnsi="宋体" w:hint="eastAsia"/>
                <w:color w:val="000000" w:themeColor="text1"/>
                <w:kern w:val="0"/>
                <w:szCs w:val="21"/>
              </w:rPr>
              <w:t>（以上咨询除经纪）等。</w:t>
            </w:r>
          </w:p>
          <w:p w14:paraId="0D5B609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【案例背景】</w:t>
            </w:r>
          </w:p>
          <w:p w14:paraId="059669C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2月至5月，北八道集团通过多个配资中介筹集资金数十亿元，利用多达300多个股票账户，100多台电脑，10多位操盘手同时交易，采用频繁对倒成交、盘中拉抬股价、快速封涨停等异常交易手法，连续炒作多只次新股，涉嫌操纵市场。</w:t>
            </w:r>
            <w:r>
              <w:rPr>
                <w:rFonts w:ascii="宋体" w:hAnsi="宋体" w:hint="eastAsia"/>
                <w:color w:val="000000" w:themeColor="text1"/>
                <w:kern w:val="0"/>
                <w:szCs w:val="21"/>
              </w:rPr>
              <w:br/>
              <w:t xml:space="preserve">　　北八道集团违规操作标的主要是次新股，涉嫌操纵的次新股包括张家港行、江阴银行、和胜股份等，操纵期间累计获利9.45亿元。</w:t>
            </w:r>
            <w:r>
              <w:rPr>
                <w:rFonts w:ascii="宋体" w:hAnsi="宋体" w:hint="eastAsia"/>
                <w:color w:val="000000" w:themeColor="text1"/>
                <w:kern w:val="0"/>
                <w:szCs w:val="21"/>
              </w:rPr>
              <w:br/>
              <w:t xml:space="preserve">　　在调查过程中，北八道集团高管及相关人员拒不配合调查，财</w:t>
            </w:r>
            <w:r>
              <w:rPr>
                <w:rFonts w:ascii="宋体" w:hAnsi="宋体" w:hint="eastAsia"/>
                <w:color w:val="000000" w:themeColor="text1"/>
                <w:kern w:val="0"/>
                <w:szCs w:val="21"/>
              </w:rPr>
              <w:lastRenderedPageBreak/>
              <w:t>会人员为销毁证据抓伤证监会稽查人员。</w:t>
            </w:r>
          </w:p>
          <w:p w14:paraId="76651C6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北八道集团所谓的赚钱手法，是在前期疯狂买入次新股股票，吸引大量的市场目光，普通投资者误以为有利好消息而跟风买进，北八道集团利用完被操纵股票后转手便抛售股票，这种突击买入、大举卖出的手法十分凶残，导致张家港行当时的股价发生剧烈波动，在30个交易日内股价就翻了一番。</w:t>
            </w:r>
            <w:r>
              <w:rPr>
                <w:rFonts w:ascii="宋体" w:hAnsi="宋体" w:hint="eastAsia"/>
                <w:color w:val="000000" w:themeColor="text1"/>
                <w:kern w:val="0"/>
                <w:szCs w:val="21"/>
              </w:rPr>
              <w:br/>
              <w:t xml:space="preserve">　　在案件涉及的三只股票里，均在2017年2月出现了集体异动，资金在疯狂的炒作这三只个股。其中，和胜股份在2017年2月6日至15日股价累计上涨95.53%；张家港行在2017年2月6日至21日累计上涨135.19%；江阴银行则在2017年2月10日至2月28日累计上涨了114.21%，而同期中小板指指数2017年2月整个涨幅仅为4.48%，这三只个股股价可谓巨幅偏离市场走势。</w:t>
            </w:r>
            <w:r>
              <w:rPr>
                <w:rFonts w:ascii="宋体" w:hAnsi="宋体" w:hint="eastAsia"/>
                <w:color w:val="000000" w:themeColor="text1"/>
                <w:kern w:val="0"/>
                <w:szCs w:val="21"/>
              </w:rPr>
              <w:br/>
              <w:t xml:space="preserve">　　其中最引人关注的是张家港行。张家港行于2017年1月24日在深交所挂牌上市，它是当年唯一一家在A股成功上市的银行。张家港行上市后，在不到三个月的时间里，股价一度从4.37元/股的发行价涨至30.41元/股，最高涨幅达595.88%。</w:t>
            </w:r>
            <w:r>
              <w:rPr>
                <w:rFonts w:ascii="宋体" w:hAnsi="宋体" w:hint="eastAsia"/>
                <w:color w:val="000000" w:themeColor="text1"/>
                <w:kern w:val="0"/>
                <w:szCs w:val="21"/>
              </w:rPr>
              <w:br/>
              <w:t xml:space="preserve">　　在张家港行在挂牌上市满一年之际，又出现了连续跌停。2018年1月24日，张家港行6.53亿股限售股解禁上市。按此前一天收盘价计算，解禁市值为96.45亿元。就在限售股解禁当天，张家港行的股价遭遇开盘即跌停，此后一天也同样出现开盘跌停。两日成交额达到4.1亿元。时至2018年3月，张家港行市值已跌去近400亿，不过其24倍的市盈率仍然是26家A股上市银行之首。</w:t>
            </w:r>
          </w:p>
        </w:tc>
      </w:tr>
      <w:tr w:rsidR="00B229A7" w14:paraId="31BBA130" w14:textId="77777777">
        <w:tc>
          <w:tcPr>
            <w:tcW w:w="2157" w:type="dxa"/>
          </w:tcPr>
          <w:p w14:paraId="562E8EC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引发审计实施思考</w:t>
            </w:r>
          </w:p>
        </w:tc>
        <w:tc>
          <w:tcPr>
            <w:tcW w:w="6365" w:type="dxa"/>
          </w:tcPr>
          <w:p w14:paraId="53279CEA"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证监会对于证券市场应加强对于监管力度，提高证券审计的透明度。对于异常股票应及时进行专项审计。</w:t>
            </w:r>
          </w:p>
        </w:tc>
      </w:tr>
    </w:tbl>
    <w:p w14:paraId="062382A9" w14:textId="77777777" w:rsidR="00B229A7" w:rsidRDefault="00B229A7">
      <w:pPr>
        <w:spacing w:line="276" w:lineRule="auto"/>
        <w:rPr>
          <w:rFonts w:ascii="宋体" w:hAnsi="宋体"/>
          <w:color w:val="000000" w:themeColor="text1"/>
          <w:szCs w:val="21"/>
        </w:rPr>
      </w:pPr>
    </w:p>
    <w:p w14:paraId="1B58472B" w14:textId="77777777" w:rsidR="00B229A7" w:rsidRDefault="00D7072C">
      <w:pPr>
        <w:pStyle w:val="1"/>
      </w:pPr>
      <w:bookmarkStart w:id="124" w:name="_Toc104812513"/>
      <w:bookmarkStart w:id="125" w:name="_Toc104812332"/>
      <w:bookmarkStart w:id="126" w:name="_Toc104812611"/>
      <w:r>
        <w:rPr>
          <w:rFonts w:hint="eastAsia"/>
        </w:rPr>
        <w:t>3</w:t>
      </w:r>
      <w:r>
        <w:t>5</w:t>
      </w:r>
      <w:r>
        <w:rPr>
          <w:rFonts w:hint="eastAsia"/>
        </w:rPr>
        <w:t>光大证券乌龙指</w:t>
      </w:r>
      <w:bookmarkEnd w:id="124"/>
      <w:bookmarkEnd w:id="125"/>
      <w:bookmarkEnd w:id="126"/>
    </w:p>
    <w:tbl>
      <w:tblPr>
        <w:tblStyle w:val="a4"/>
        <w:tblW w:w="0" w:type="auto"/>
        <w:tblLayout w:type="fixed"/>
        <w:tblLook w:val="04A0" w:firstRow="1" w:lastRow="0" w:firstColumn="1" w:lastColumn="0" w:noHBand="0" w:noVBand="1"/>
      </w:tblPr>
      <w:tblGrid>
        <w:gridCol w:w="2157"/>
        <w:gridCol w:w="6365"/>
      </w:tblGrid>
      <w:tr w:rsidR="00B229A7" w14:paraId="526C08FD" w14:textId="77777777">
        <w:tc>
          <w:tcPr>
            <w:tcW w:w="2157" w:type="dxa"/>
          </w:tcPr>
          <w:p w14:paraId="24AEF1D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667FDDC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123</w:t>
            </w:r>
          </w:p>
        </w:tc>
      </w:tr>
      <w:tr w:rsidR="00B229A7" w14:paraId="56D09AFF" w14:textId="77777777">
        <w:trPr>
          <w:trHeight w:val="328"/>
        </w:trPr>
        <w:tc>
          <w:tcPr>
            <w:tcW w:w="2157" w:type="dxa"/>
          </w:tcPr>
          <w:p w14:paraId="15A1A8C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75D3BB9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01金融业</w:t>
            </w:r>
          </w:p>
        </w:tc>
      </w:tr>
      <w:tr w:rsidR="00B229A7" w14:paraId="38F4EB63" w14:textId="77777777">
        <w:tc>
          <w:tcPr>
            <w:tcW w:w="2157" w:type="dxa"/>
          </w:tcPr>
          <w:p w14:paraId="1BD70E5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244CFF9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2013年8月</w:t>
            </w:r>
          </w:p>
        </w:tc>
      </w:tr>
      <w:tr w:rsidR="00B229A7" w14:paraId="6144232A" w14:textId="77777777">
        <w:tc>
          <w:tcPr>
            <w:tcW w:w="2157" w:type="dxa"/>
          </w:tcPr>
          <w:p w14:paraId="26F7180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7061569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光大证券股份有限公司</w:t>
            </w:r>
          </w:p>
        </w:tc>
      </w:tr>
      <w:tr w:rsidR="00B229A7" w14:paraId="061A1736" w14:textId="77777777">
        <w:tc>
          <w:tcPr>
            <w:tcW w:w="2157" w:type="dxa"/>
          </w:tcPr>
          <w:p w14:paraId="0E05FE9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1703C14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证券的代理买卖；代理证券的还本付息、分红派息；证券代保管、鉴证等</w:t>
            </w:r>
          </w:p>
        </w:tc>
      </w:tr>
      <w:tr w:rsidR="00B229A7" w14:paraId="2B123AEB" w14:textId="77777777">
        <w:tc>
          <w:tcPr>
            <w:tcW w:w="2157" w:type="dxa"/>
          </w:tcPr>
          <w:p w14:paraId="31F92D5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65" w:type="dxa"/>
          </w:tcPr>
          <w:p w14:paraId="3F4E0BD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30294D1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光大证券股份有限公司成立 1996 年，是一家国有控股的全国性的综合类股份制证券公司。光大证券的业务范围主要包括证券的</w:t>
            </w:r>
            <w:r>
              <w:rPr>
                <w:rFonts w:ascii="宋体" w:hAnsi="宋体" w:hint="eastAsia"/>
                <w:color w:val="000000" w:themeColor="text1"/>
                <w:kern w:val="0"/>
                <w:szCs w:val="21"/>
              </w:rPr>
              <w:lastRenderedPageBreak/>
              <w:t>代理买卖；代理证券的还本付息、分红派息；证券代保管、鉴证；代理登记开户；证券的自营买卖；证券的承销与保荐等。光大证券于 2007 年增资扩股方案；，增资完成后公司注册资本由244，500 万元增加至 289，800 万元。2009 年 8 月 4 日，光大证券成功的在上海证券交易所挂牌上市。</w:t>
            </w:r>
          </w:p>
          <w:p w14:paraId="3B801DB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【案例背景】</w:t>
            </w:r>
          </w:p>
          <w:p w14:paraId="3D01AB1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2013年8月16日，光大证券在进行ETF（交易型开放式指数基金）申赎套利交易时，因程序错误，所使用的策略交易系统以234亿元巨量资金申购180ETF成份股，实际成交72.7亿元，引发市场剧烈波动。当天下午，在未向社会公告相关情况的情形下，光大证券欲图“自救”，进行股指期货和ETF交易。</w:t>
            </w:r>
          </w:p>
          <w:p w14:paraId="040D332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一周后，光大证券总裁徐浩明离任。同年11月，证监会认定光大证券“自救”构成内幕交易，给予最严厉处罚：没收光大证券违法所得，并处以违法所得5倍的罚款，罚没款共计5.23亿元；对四名责任人员分别给予警告，处以60万元罚款，并采取终身证券、期货市场禁入措施。</w:t>
            </w:r>
          </w:p>
          <w:p w14:paraId="09700F93" w14:textId="77777777" w:rsidR="00B229A7" w:rsidRDefault="00B229A7">
            <w:pPr>
              <w:spacing w:line="276" w:lineRule="auto"/>
              <w:rPr>
                <w:rFonts w:ascii="宋体" w:hAnsi="宋体"/>
                <w:color w:val="000000" w:themeColor="text1"/>
                <w:kern w:val="0"/>
                <w:szCs w:val="21"/>
              </w:rPr>
            </w:pPr>
          </w:p>
        </w:tc>
      </w:tr>
      <w:tr w:rsidR="00B229A7" w14:paraId="7BB16C59" w14:textId="77777777">
        <w:tc>
          <w:tcPr>
            <w:tcW w:w="2157" w:type="dxa"/>
          </w:tcPr>
          <w:p w14:paraId="756B0BE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关联审计机构名称</w:t>
            </w:r>
          </w:p>
        </w:tc>
        <w:tc>
          <w:tcPr>
            <w:tcW w:w="6365" w:type="dxa"/>
          </w:tcPr>
          <w:p w14:paraId="26B4A88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立信会计师事务所</w:t>
            </w:r>
          </w:p>
        </w:tc>
      </w:tr>
      <w:tr w:rsidR="00B229A7" w14:paraId="63659D06" w14:textId="77777777">
        <w:tc>
          <w:tcPr>
            <w:tcW w:w="2157" w:type="dxa"/>
          </w:tcPr>
          <w:p w14:paraId="60968C7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引发审计实施思考</w:t>
            </w:r>
          </w:p>
        </w:tc>
        <w:tc>
          <w:tcPr>
            <w:tcW w:w="6365" w:type="dxa"/>
          </w:tcPr>
          <w:p w14:paraId="0A978E1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光大证券在公司治理方面却存在一些问题，对内控信息披露造成一定的影响。从 5 年的年报公司治理情况的介绍中，光大董事会高层近年来变动频繁，公司治理层的治理理念和能力没有充足的时间进行整合，使董事会内部乃至于整个光大都因频繁的变动而处在动荡不安中，出现了意见不同的派系。并且，光大管理层中有不少来自于其母公司光大集团，这部分外来的高管与本土高层在理念上有一定不合。空降高管和本土高层的派系之争，使得公司内部连续出现中高层离职潮，人员的频繁变动造成公司业务混乱。</w:t>
            </w:r>
          </w:p>
          <w:p w14:paraId="7331FE0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5E7C9933" wp14:editId="6D0E31B6">
                  <wp:extent cx="3513455" cy="2588895"/>
                  <wp:effectExtent l="0" t="0" r="6985" b="1905"/>
                  <wp:docPr id="2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图示&#10;&#10;描述已自动生成"/>
                          <pic:cNvPicPr>
                            <a:picLocks noChangeAspect="1"/>
                          </pic:cNvPicPr>
                        </pic:nvPicPr>
                        <pic:blipFill>
                          <a:blip r:embed="rId34"/>
                          <a:stretch>
                            <a:fillRect/>
                          </a:stretch>
                        </pic:blipFill>
                        <pic:spPr>
                          <a:xfrm>
                            <a:off x="0" y="0"/>
                            <a:ext cx="3513455" cy="2588895"/>
                          </a:xfrm>
                          <a:prstGeom prst="rect">
                            <a:avLst/>
                          </a:prstGeom>
                          <a:noFill/>
                          <a:ln>
                            <a:noFill/>
                          </a:ln>
                        </pic:spPr>
                      </pic:pic>
                    </a:graphicData>
                  </a:graphic>
                </wp:inline>
              </w:drawing>
            </w:r>
          </w:p>
          <w:p w14:paraId="5FEB93A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lastRenderedPageBreak/>
              <w:t>从上图中可以看出，光大最大的两个股东分别是中国光大（集团）总公司和中国光大集团有限公司，控制人分别是国务院和财政部。这个结构说明了，光大的股权结构中，国有股权一家独大，持股比例达 67.6%。而前五大股东的持股比例更为 70%以上。而且国有股和法人股主要持股的结构，让光大在获得足够雄厚的发展资源的同时，也有相应的弊端。股权的过于集中会使得持有股权多数的股东在决策之时忽略中小股东的利益，甚至会出现大股东刻意侵害小股东的情况。</w:t>
            </w:r>
          </w:p>
          <w:p w14:paraId="6B8B8B2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以及内部控制、治理层等等原因可以看出其内部控制存在缺陷，而内部控制的缺陷往往会影响审计重要性的判断。</w:t>
            </w:r>
          </w:p>
        </w:tc>
      </w:tr>
      <w:tr w:rsidR="00B229A7" w14:paraId="285D002D" w14:textId="77777777">
        <w:tc>
          <w:tcPr>
            <w:tcW w:w="2157" w:type="dxa"/>
          </w:tcPr>
          <w:p w14:paraId="4C45CAD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关联的审计术语与审计方法</w:t>
            </w:r>
          </w:p>
        </w:tc>
        <w:tc>
          <w:tcPr>
            <w:tcW w:w="6365" w:type="dxa"/>
          </w:tcPr>
          <w:p w14:paraId="2C82936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内部控制 上市证券公司 信息披露 光大证券  </w:t>
            </w:r>
          </w:p>
        </w:tc>
      </w:tr>
    </w:tbl>
    <w:p w14:paraId="12DC9591" w14:textId="77777777" w:rsidR="00B229A7" w:rsidRDefault="00B229A7">
      <w:pPr>
        <w:spacing w:line="276" w:lineRule="auto"/>
        <w:rPr>
          <w:rFonts w:ascii="宋体" w:hAnsi="宋体"/>
          <w:color w:val="000000" w:themeColor="text1"/>
          <w:szCs w:val="21"/>
        </w:rPr>
      </w:pPr>
    </w:p>
    <w:p w14:paraId="33629FA3" w14:textId="77777777" w:rsidR="00B229A7" w:rsidRDefault="00D7072C">
      <w:pPr>
        <w:pStyle w:val="1"/>
      </w:pPr>
      <w:bookmarkStart w:id="127" w:name="_Toc104812333"/>
      <w:bookmarkStart w:id="128" w:name="_Toc104812514"/>
      <w:bookmarkStart w:id="129" w:name="_Toc104812612"/>
      <w:r>
        <w:rPr>
          <w:rFonts w:hint="eastAsia"/>
        </w:rPr>
        <w:t>3</w:t>
      </w:r>
      <w:r>
        <w:t>6</w:t>
      </w:r>
      <w:r>
        <w:rPr>
          <w:rFonts w:hint="eastAsia"/>
        </w:rPr>
        <w:t>浙数文化并购案</w:t>
      </w:r>
      <w:bookmarkEnd w:id="127"/>
      <w:bookmarkEnd w:id="128"/>
      <w:bookmarkEnd w:id="129"/>
    </w:p>
    <w:tbl>
      <w:tblPr>
        <w:tblStyle w:val="a4"/>
        <w:tblW w:w="0" w:type="auto"/>
        <w:tblLook w:val="04A0" w:firstRow="1" w:lastRow="0" w:firstColumn="1" w:lastColumn="0" w:noHBand="0" w:noVBand="1"/>
      </w:tblPr>
      <w:tblGrid>
        <w:gridCol w:w="2157"/>
        <w:gridCol w:w="6365"/>
      </w:tblGrid>
      <w:tr w:rsidR="00B229A7" w14:paraId="7DAA6BF8" w14:textId="77777777">
        <w:tc>
          <w:tcPr>
            <w:tcW w:w="2157" w:type="dxa"/>
          </w:tcPr>
          <w:p w14:paraId="6993006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4782BD7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1112</w:t>
            </w:r>
          </w:p>
        </w:tc>
      </w:tr>
      <w:tr w:rsidR="00B229A7" w14:paraId="7DDDB4E7" w14:textId="77777777">
        <w:trPr>
          <w:trHeight w:val="328"/>
        </w:trPr>
        <w:tc>
          <w:tcPr>
            <w:tcW w:w="2157" w:type="dxa"/>
          </w:tcPr>
          <w:p w14:paraId="0DFCF3B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3C1E9F9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011互联网与IT业</w:t>
            </w:r>
          </w:p>
        </w:tc>
      </w:tr>
      <w:tr w:rsidR="00B229A7" w14:paraId="54B1D28C" w14:textId="77777777">
        <w:tc>
          <w:tcPr>
            <w:tcW w:w="2157" w:type="dxa"/>
          </w:tcPr>
          <w:p w14:paraId="3D71F99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58807FC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2012年</w:t>
            </w:r>
          </w:p>
        </w:tc>
      </w:tr>
      <w:tr w:rsidR="00B229A7" w14:paraId="129FBBBE" w14:textId="77777777">
        <w:tc>
          <w:tcPr>
            <w:tcW w:w="2157" w:type="dxa"/>
          </w:tcPr>
          <w:p w14:paraId="44E730F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744EEB2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浙报数字文化集团股份有限公司</w:t>
            </w:r>
          </w:p>
        </w:tc>
      </w:tr>
      <w:tr w:rsidR="00B229A7" w14:paraId="224703C9" w14:textId="77777777">
        <w:tc>
          <w:tcPr>
            <w:tcW w:w="2157" w:type="dxa"/>
          </w:tcPr>
          <w:p w14:paraId="14F21EA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278E89BE"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文化产业投资、投资管理（未经金融等监管部门批准，不得从事向公众融资存款、融资担保、代客理财等金融服务）及咨询服务</w:t>
            </w:r>
            <w:r>
              <w:rPr>
                <w:rFonts w:ascii="宋体" w:hAnsi="宋体" w:hint="eastAsia"/>
                <w:color w:val="000000" w:themeColor="text1"/>
                <w:kern w:val="0"/>
                <w:szCs w:val="21"/>
              </w:rPr>
              <w:t>等</w:t>
            </w:r>
          </w:p>
        </w:tc>
      </w:tr>
      <w:tr w:rsidR="00B229A7" w14:paraId="088D5D76" w14:textId="77777777">
        <w:tc>
          <w:tcPr>
            <w:tcW w:w="2157" w:type="dxa"/>
          </w:tcPr>
          <w:p w14:paraId="1968ED9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65" w:type="dxa"/>
          </w:tcPr>
          <w:p w14:paraId="697097B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1F78649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浙报数</w:t>
            </w:r>
            <w:proofErr w:type="gramStart"/>
            <w:r>
              <w:rPr>
                <w:rFonts w:ascii="宋体" w:hAnsi="宋体" w:hint="eastAsia"/>
                <w:color w:val="000000" w:themeColor="text1"/>
                <w:kern w:val="0"/>
                <w:szCs w:val="21"/>
              </w:rPr>
              <w:t>字文化</w:t>
            </w:r>
            <w:proofErr w:type="gramEnd"/>
            <w:r>
              <w:rPr>
                <w:rFonts w:ascii="宋体" w:hAnsi="宋体" w:hint="eastAsia"/>
                <w:color w:val="000000" w:themeColor="text1"/>
                <w:kern w:val="0"/>
                <w:szCs w:val="21"/>
              </w:rPr>
              <w:t>集团股份有限公司(证券简称：</w:t>
            </w:r>
            <w:proofErr w:type="gramStart"/>
            <w:r>
              <w:rPr>
                <w:rFonts w:ascii="宋体" w:hAnsi="宋体" w:hint="eastAsia"/>
                <w:color w:val="000000" w:themeColor="text1"/>
                <w:kern w:val="0"/>
                <w:szCs w:val="21"/>
              </w:rPr>
              <w:t>浙数文化</w:t>
            </w:r>
            <w:proofErr w:type="gramEnd"/>
            <w:r>
              <w:rPr>
                <w:rFonts w:ascii="宋体" w:hAnsi="宋体" w:hint="eastAsia"/>
                <w:color w:val="000000" w:themeColor="text1"/>
                <w:kern w:val="0"/>
                <w:szCs w:val="21"/>
              </w:rPr>
              <w:t>)脱胎于中国报业集团中第一家媒体经营性资产整体上市的公司</w:t>
            </w:r>
            <w:r>
              <w:rPr>
                <w:rFonts w:ascii="宋体" w:hAnsi="宋体" w:hint="eastAsia"/>
                <w:color w:val="000000" w:themeColor="text1"/>
                <w:kern w:val="0"/>
                <w:szCs w:val="21"/>
              </w:rPr>
              <w:fldChar w:fldCharType="begin"/>
            </w:r>
            <w:r>
              <w:rPr>
                <w:rFonts w:ascii="宋体" w:hAnsi="宋体" w:hint="eastAsia"/>
                <w:color w:val="000000" w:themeColor="text1"/>
                <w:kern w:val="0"/>
                <w:szCs w:val="21"/>
              </w:rPr>
              <w:instrText xml:space="preserve"> HYPERLINK "https://baike.baidu.com/item/%E6%B5%99%E6%8A%A5%E4%BC%A0%E5%AA%92%E9%9B%86%E5%9B%A2%E8%82%A1%E4%BB%BD%E6%9C%89%E9%99%90%E5%85%AC%E5%8F%B8/7301973" \t "https://baike.baidu.com/item/%E6%B5%99%E6%8A%A5%E6%95%B0%E5%AD%97%E6%96%87%E5%8C%96%E9%9B%86%E5%9B%A2%E8%82%A1%E4%BB%BD%E6%9C%89%E9%99%90%E5%85%AC%E5%8F%B8/_blank" </w:instrText>
            </w:r>
            <w:r>
              <w:rPr>
                <w:rFonts w:ascii="宋体" w:hAnsi="宋体" w:hint="eastAsia"/>
                <w:color w:val="000000" w:themeColor="text1"/>
                <w:kern w:val="0"/>
                <w:szCs w:val="21"/>
              </w:rPr>
              <w:fldChar w:fldCharType="separate"/>
            </w:r>
            <w:r>
              <w:rPr>
                <w:rFonts w:ascii="宋体" w:hAnsi="宋体" w:hint="eastAsia"/>
                <w:color w:val="000000" w:themeColor="text1"/>
                <w:kern w:val="0"/>
                <w:szCs w:val="21"/>
              </w:rPr>
              <w:t>浙报传媒集团股份有限公司</w:t>
            </w:r>
            <w:r>
              <w:rPr>
                <w:rFonts w:ascii="宋体" w:hAnsi="宋体" w:hint="eastAsia"/>
                <w:color w:val="000000" w:themeColor="text1"/>
                <w:kern w:val="0"/>
                <w:szCs w:val="21"/>
              </w:rPr>
              <w:fldChar w:fldCharType="end"/>
            </w:r>
            <w:r>
              <w:rPr>
                <w:rFonts w:ascii="宋体" w:hAnsi="宋体" w:hint="eastAsia"/>
                <w:color w:val="000000" w:themeColor="text1"/>
                <w:kern w:val="0"/>
                <w:szCs w:val="21"/>
              </w:rPr>
              <w:t>，于2011年9月29日在上海证券交易所借壳上市，证券代码600633。</w:t>
            </w:r>
          </w:p>
          <w:p w14:paraId="68B73E3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【案例背景】</w:t>
            </w:r>
          </w:p>
          <w:p w14:paraId="58DB4DA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在并购活动的会计处理中，选择购买法还是权益结合法记录并购交易是并购审计中面临的特殊问题。此次并购案中并购双方是属于非同一控制，因而需要采取购买法对交易事项加以记录。购买法将并购交易视为是一个公司购买其他公司资产的交易，等同于将购买的公司视为一项资产，同库存、设备等相似，并没有差别对待。当企业并购成功时，合并财务报表的处理是将所得到的资产和负债按照购买时成本进行记录。并购方所支付的成本与标的企业被审计时所拥有的净资产产生的差额确认为商誉。购买成本与标的企业净资产的差额越高，所需确认的商誉就越高。评估机构运用收益法对</w:t>
            </w:r>
            <w:r>
              <w:rPr>
                <w:rFonts w:ascii="宋体" w:hAnsi="宋体" w:hint="eastAsia"/>
                <w:color w:val="000000" w:themeColor="text1"/>
                <w:kern w:val="0"/>
                <w:szCs w:val="21"/>
              </w:rPr>
              <w:lastRenderedPageBreak/>
              <w:t>标的公司进行评估，利用了自由现金流模型对目标企业价值进行估计，具体预测过程如表 1-2 和表 1-3：</w:t>
            </w:r>
          </w:p>
          <w:p w14:paraId="703FC36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5495FA71" wp14:editId="18B5AD7A">
                  <wp:extent cx="3348990" cy="2283460"/>
                  <wp:effectExtent l="0" t="0" r="3810" b="2540"/>
                  <wp:docPr id="21" name="图片 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表格&#10;&#10;描述已自动生成"/>
                          <pic:cNvPicPr>
                            <a:picLocks noChangeAspect="1"/>
                          </pic:cNvPicPr>
                        </pic:nvPicPr>
                        <pic:blipFill>
                          <a:blip r:embed="rId35"/>
                          <a:stretch>
                            <a:fillRect/>
                          </a:stretch>
                        </pic:blipFill>
                        <pic:spPr>
                          <a:xfrm>
                            <a:off x="0" y="0"/>
                            <a:ext cx="3348990" cy="2283460"/>
                          </a:xfrm>
                          <a:prstGeom prst="rect">
                            <a:avLst/>
                          </a:prstGeom>
                          <a:noFill/>
                          <a:ln>
                            <a:noFill/>
                          </a:ln>
                        </pic:spPr>
                      </pic:pic>
                    </a:graphicData>
                  </a:graphic>
                </wp:inline>
              </w:drawing>
            </w:r>
          </w:p>
          <w:p w14:paraId="59394E2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0CCCCE6E" wp14:editId="281812C7">
                  <wp:extent cx="3398520" cy="2364740"/>
                  <wp:effectExtent l="0" t="0" r="0" b="12700"/>
                  <wp:docPr id="22" name="图片 3"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手机屏幕截图&#10;&#10;描述已自动生成"/>
                          <pic:cNvPicPr>
                            <a:picLocks noChangeAspect="1"/>
                          </pic:cNvPicPr>
                        </pic:nvPicPr>
                        <pic:blipFill>
                          <a:blip r:embed="rId36"/>
                          <a:stretch>
                            <a:fillRect/>
                          </a:stretch>
                        </pic:blipFill>
                        <pic:spPr>
                          <a:xfrm>
                            <a:off x="0" y="0"/>
                            <a:ext cx="3398520" cy="2364740"/>
                          </a:xfrm>
                          <a:prstGeom prst="rect">
                            <a:avLst/>
                          </a:prstGeom>
                          <a:noFill/>
                          <a:ln>
                            <a:noFill/>
                          </a:ln>
                        </pic:spPr>
                      </pic:pic>
                    </a:graphicData>
                  </a:graphic>
                </wp:inline>
              </w:drawing>
            </w:r>
          </w:p>
          <w:p w14:paraId="0677AC9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评估机构在计算过程中，折现率采取了加权平均资本成本（WACC）。无风险报酬率根据 Wind 咨讯查询评估基准日银行间固定利率国债收益率(10 年期)的平均收益率确定，因此本次并购案的计算中，无风险报酬率 Rf 取 3.43%。市场风险溢价的确定是根据 1928-2011 年美国股票与国债的算术平均收益 5.79%和国家风险补偿额取 1.05%的计算得出。最终计算出企业的价值，杭州边锋通过审查的净资产的账面价值约为 1.7 亿人民币左右，而采用收益法评估的股权价值约为 29 亿，增值率超过 1600%；而上海浩方的账面价值约为 6317 万，而所有权益价值的评估值高达2.9 亿，这导致增值率高达 4,632.98%。在没有发生并购时，根据 2012 年 12 月 21日浙报数字文化集团的财务报表可知，其商誉金额为 480,000.00 元，而天健会计师事务所在并购后的备考财务报表中的商誉为 3,016,669,820.14 元，产生了高达30 亿的天价商誉，而上海浩方在并购前并无商誉，杭州边锋的商誉金额为12,343,022.72 元，远远低于 30 亿。因而，事务所在审计过程中，进行了对商誉减值的</w:t>
            </w:r>
            <w:r>
              <w:rPr>
                <w:rFonts w:ascii="宋体" w:hAnsi="宋体" w:hint="eastAsia"/>
                <w:color w:val="000000" w:themeColor="text1"/>
                <w:kern w:val="0"/>
                <w:szCs w:val="21"/>
              </w:rPr>
              <w:lastRenderedPageBreak/>
              <w:t>敏感性测试。根据天健出具的《关于浙报传媒集团股份有限公司非公开发行股票有关财务情况的补充说明》（天健[2012]490 号）就本次购买股权所确认商誉的资产减值测试所作的敏感性分析，以 2011 年 12 月 31 日为评估基准日，假设目标公司预期净利润下降一定的幅度（5%、10%、15%、20%，标的公司在本次评估中使用收益法评估的相关子公司在评估期各年度实现净利润均下降同等幅度），则 2012年末杭州边锋和上海浩方重新评估价值、商誉减值测试的减值金额、减值率及上市公司提取减值准备后对其 2012 年度合并报表净利润的影响金额（未考虑承诺期利润补偿的影响）的敏感性分析如表 1-4 和表 1-5。</w:t>
            </w:r>
          </w:p>
          <w:p w14:paraId="3825242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3E951457" wp14:editId="783A2259">
                  <wp:extent cx="3384550" cy="1432560"/>
                  <wp:effectExtent l="0" t="0" r="13970" b="0"/>
                  <wp:docPr id="23" name="图片 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descr="表格&#10;&#10;描述已自动生成"/>
                          <pic:cNvPicPr>
                            <a:picLocks noChangeAspect="1"/>
                          </pic:cNvPicPr>
                        </pic:nvPicPr>
                        <pic:blipFill>
                          <a:blip r:embed="rId37"/>
                          <a:stretch>
                            <a:fillRect/>
                          </a:stretch>
                        </pic:blipFill>
                        <pic:spPr>
                          <a:xfrm>
                            <a:off x="0" y="0"/>
                            <a:ext cx="3384550" cy="1432560"/>
                          </a:xfrm>
                          <a:prstGeom prst="rect">
                            <a:avLst/>
                          </a:prstGeom>
                          <a:noFill/>
                          <a:ln>
                            <a:noFill/>
                          </a:ln>
                        </pic:spPr>
                      </pic:pic>
                    </a:graphicData>
                  </a:graphic>
                </wp:inline>
              </w:drawing>
            </w:r>
          </w:p>
          <w:p w14:paraId="03E9ADD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69449AE1" wp14:editId="07F68EF8">
                  <wp:extent cx="3274695" cy="1461135"/>
                  <wp:effectExtent l="0" t="0" r="1905" b="1905"/>
                  <wp:docPr id="24" name="图片 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表格&#10;&#10;描述已自动生成"/>
                          <pic:cNvPicPr>
                            <a:picLocks noChangeAspect="1"/>
                          </pic:cNvPicPr>
                        </pic:nvPicPr>
                        <pic:blipFill>
                          <a:blip r:embed="rId38"/>
                          <a:stretch>
                            <a:fillRect/>
                          </a:stretch>
                        </pic:blipFill>
                        <pic:spPr>
                          <a:xfrm>
                            <a:off x="0" y="0"/>
                            <a:ext cx="3274695" cy="1461135"/>
                          </a:xfrm>
                          <a:prstGeom prst="rect">
                            <a:avLst/>
                          </a:prstGeom>
                          <a:noFill/>
                          <a:ln>
                            <a:noFill/>
                          </a:ln>
                        </pic:spPr>
                      </pic:pic>
                    </a:graphicData>
                  </a:graphic>
                </wp:inline>
              </w:drawing>
            </w:r>
          </w:p>
          <w:p w14:paraId="36BEBC4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事务所通过对两家企业的商誉减值测试，发现企业一旦发生商誉减值情况，则会对企业的净利润产生较大影响，仅就杭州边锋为例，一旦商誉发生减值其下降幅度为 5%的话，那么公司的净利润损失将过亿。天健会计师事务所在其出具的审核报告中，对标的企业连年增长的盈利预测做出审核，并出具了审核意见。事务所认为在该盈利预测是在合理假设的基础上恰当编制的，并且按照企业会计准则的规定进行列报。盈利预测的基本情况如图 1-</w:t>
            </w:r>
            <w:r>
              <w:rPr>
                <w:rFonts w:ascii="宋体" w:hAnsi="宋体" w:hint="eastAsia"/>
                <w:color w:val="000000" w:themeColor="text1"/>
                <w:kern w:val="0"/>
                <w:szCs w:val="21"/>
              </w:rPr>
              <w:t>3</w:t>
            </w:r>
            <w:r>
              <w:rPr>
                <w:rFonts w:ascii="宋体" w:hAnsi="宋体"/>
                <w:color w:val="000000" w:themeColor="text1"/>
                <w:kern w:val="0"/>
                <w:szCs w:val="21"/>
              </w:rPr>
              <w:t>、1-</w:t>
            </w:r>
            <w:r>
              <w:rPr>
                <w:rFonts w:ascii="宋体" w:hAnsi="宋体" w:hint="eastAsia"/>
                <w:color w:val="000000" w:themeColor="text1"/>
                <w:kern w:val="0"/>
                <w:szCs w:val="21"/>
              </w:rPr>
              <w:t>4</w:t>
            </w:r>
            <w:r>
              <w:rPr>
                <w:rFonts w:ascii="宋体" w:hAnsi="宋体"/>
                <w:color w:val="000000" w:themeColor="text1"/>
                <w:kern w:val="0"/>
                <w:szCs w:val="21"/>
              </w:rPr>
              <w:t>。</w:t>
            </w:r>
          </w:p>
          <w:p w14:paraId="4E49482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noProof/>
                <w:color w:val="000000" w:themeColor="text1"/>
                <w:kern w:val="0"/>
                <w:szCs w:val="21"/>
              </w:rPr>
              <w:lastRenderedPageBreak/>
              <w:drawing>
                <wp:inline distT="0" distB="0" distL="114300" distR="114300" wp14:anchorId="18D782C8" wp14:editId="1EC0FF76">
                  <wp:extent cx="2573020" cy="1806575"/>
                  <wp:effectExtent l="0" t="0" r="2540" b="6985"/>
                  <wp:docPr id="25"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descr="图表, 折线图&#10;&#10;描述已自动生成"/>
                          <pic:cNvPicPr>
                            <a:picLocks noChangeAspect="1"/>
                          </pic:cNvPicPr>
                        </pic:nvPicPr>
                        <pic:blipFill>
                          <a:blip r:embed="rId39"/>
                          <a:stretch>
                            <a:fillRect/>
                          </a:stretch>
                        </pic:blipFill>
                        <pic:spPr>
                          <a:xfrm>
                            <a:off x="0" y="0"/>
                            <a:ext cx="2573020" cy="1806575"/>
                          </a:xfrm>
                          <a:prstGeom prst="rect">
                            <a:avLst/>
                          </a:prstGeom>
                          <a:noFill/>
                          <a:ln>
                            <a:noFill/>
                          </a:ln>
                        </pic:spPr>
                      </pic:pic>
                    </a:graphicData>
                  </a:graphic>
                </wp:inline>
              </w:drawing>
            </w:r>
          </w:p>
          <w:p w14:paraId="6C61FCF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6D150C4F" wp14:editId="5B86269D">
                  <wp:extent cx="3149600" cy="1932940"/>
                  <wp:effectExtent l="0" t="0" r="5080" b="2540"/>
                  <wp:docPr id="26" name="图片 7"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descr="图表, 折线图&#10;&#10;描述已自动生成"/>
                          <pic:cNvPicPr>
                            <a:picLocks noChangeAspect="1"/>
                          </pic:cNvPicPr>
                        </pic:nvPicPr>
                        <pic:blipFill>
                          <a:blip r:embed="rId40"/>
                          <a:stretch>
                            <a:fillRect/>
                          </a:stretch>
                        </pic:blipFill>
                        <pic:spPr>
                          <a:xfrm>
                            <a:off x="0" y="0"/>
                            <a:ext cx="3149600" cy="1932940"/>
                          </a:xfrm>
                          <a:prstGeom prst="rect">
                            <a:avLst/>
                          </a:prstGeom>
                          <a:noFill/>
                          <a:ln>
                            <a:noFill/>
                          </a:ln>
                        </pic:spPr>
                      </pic:pic>
                    </a:graphicData>
                  </a:graphic>
                </wp:inline>
              </w:drawing>
            </w:r>
          </w:p>
          <w:p w14:paraId="0633B40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color w:val="000000" w:themeColor="text1"/>
                <w:kern w:val="0"/>
                <w:szCs w:val="21"/>
              </w:rPr>
              <w:t>在对于标的企业的预测中，其盈利不仅连年增长，其增长率也较为激进，在 2014年对于上海浩方的盈利增长率高达 78%，而事务所的审计人员在审核盈利预测的过程中，并没有提出质疑，出具了审核报告。该审核报告不仅是进行企业估值的依据，还是报由证监会进行发股申报的必要文件。</w:t>
            </w:r>
          </w:p>
        </w:tc>
      </w:tr>
      <w:tr w:rsidR="00B229A7" w14:paraId="55409E5E" w14:textId="77777777">
        <w:tc>
          <w:tcPr>
            <w:tcW w:w="2157" w:type="dxa"/>
          </w:tcPr>
          <w:p w14:paraId="32473C3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关联审计机构名称</w:t>
            </w:r>
          </w:p>
        </w:tc>
        <w:tc>
          <w:tcPr>
            <w:tcW w:w="6365" w:type="dxa"/>
          </w:tcPr>
          <w:p w14:paraId="71DD638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天健会计师事务</w:t>
            </w:r>
          </w:p>
        </w:tc>
      </w:tr>
      <w:tr w:rsidR="00B229A7" w14:paraId="408B4713" w14:textId="77777777">
        <w:tc>
          <w:tcPr>
            <w:tcW w:w="2157" w:type="dxa"/>
          </w:tcPr>
          <w:p w14:paraId="2B08521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引发审计实施思考</w:t>
            </w:r>
          </w:p>
        </w:tc>
        <w:tc>
          <w:tcPr>
            <w:tcW w:w="6365" w:type="dxa"/>
          </w:tcPr>
          <w:p w14:paraId="7942234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对目标企业价值评估的方法的选择，需要综合各种因素进行考虑后再定夺，且在采用各种方法评估时还需要人为判断选择各种参数，因此价值评估的过程带有一定的主观性。而价值评估的结果，不仅会对并购企业的并购决策产生影响，还会对财务报表项目如商誉等产生影响。审计人员可以通过查阅资产评估机构的底稿，评估时选择评估方法的假设、选用的参考对象和参数等是否恰当来对资产评估结果进行检查。</w:t>
            </w:r>
          </w:p>
          <w:p w14:paraId="7951573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30 亿的高额商誉存在较大的减值风险，事务所往往会做商誉减值敏感性的测试，以此来提醒并购企业防范商誉减值的风险，然而对于这一测试，事务所不应该仅仅依照企业要求而按部就班完成数据测算，还应该认真核查减值测试所依据的数据来源是否真实有效，这样才能保证测试结果的科学性，使其作为重要数据在并购决策中发挥作用。商誉减值的测试是一项面对未来的假设性工作，具有高度的不确定性，因此会采用关键假设和判断，审计人员在运用这些假设和判断时，要充分考虑并购双方及行业的基本情况，做到运用</w:t>
            </w:r>
            <w:r>
              <w:rPr>
                <w:rFonts w:ascii="宋体" w:hAnsi="宋体" w:hint="eastAsia"/>
                <w:color w:val="000000" w:themeColor="text1"/>
                <w:kern w:val="0"/>
                <w:szCs w:val="21"/>
              </w:rPr>
              <w:lastRenderedPageBreak/>
              <w:t>合理的判断与假设，保障减值测试及其敏感性分析是合理且有效的</w:t>
            </w:r>
          </w:p>
        </w:tc>
      </w:tr>
      <w:tr w:rsidR="00B229A7" w14:paraId="5F4DB003" w14:textId="77777777">
        <w:tc>
          <w:tcPr>
            <w:tcW w:w="2157" w:type="dxa"/>
          </w:tcPr>
          <w:p w14:paraId="3A326E0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关联的审计术语与审计方法</w:t>
            </w:r>
          </w:p>
        </w:tc>
        <w:tc>
          <w:tcPr>
            <w:tcW w:w="6365" w:type="dxa"/>
          </w:tcPr>
          <w:p w14:paraId="3BB30ED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企业并购 审计风险 并购审计风险</w:t>
            </w:r>
          </w:p>
        </w:tc>
      </w:tr>
    </w:tbl>
    <w:p w14:paraId="426655BB" w14:textId="77777777" w:rsidR="00B229A7" w:rsidRDefault="00B229A7">
      <w:pPr>
        <w:spacing w:line="276" w:lineRule="auto"/>
        <w:rPr>
          <w:rFonts w:ascii="宋体" w:hAnsi="宋体"/>
          <w:color w:val="000000" w:themeColor="text1"/>
          <w:szCs w:val="21"/>
        </w:rPr>
      </w:pPr>
    </w:p>
    <w:p w14:paraId="6AF3BD53" w14:textId="77777777" w:rsidR="00B229A7" w:rsidRDefault="00D7072C">
      <w:pPr>
        <w:pStyle w:val="1"/>
      </w:pPr>
      <w:bookmarkStart w:id="130" w:name="_Toc104812334"/>
      <w:bookmarkStart w:id="131" w:name="_Toc104812515"/>
      <w:bookmarkStart w:id="132" w:name="_Toc104812613"/>
      <w:r>
        <w:t>37</w:t>
      </w:r>
      <w:r>
        <w:rPr>
          <w:rFonts w:hint="eastAsia"/>
        </w:rPr>
        <w:t>St</w:t>
      </w:r>
      <w:r>
        <w:rPr>
          <w:rFonts w:hint="eastAsia"/>
        </w:rPr>
        <w:t>数知无法表示意见</w:t>
      </w:r>
      <w:bookmarkEnd w:id="130"/>
      <w:bookmarkEnd w:id="131"/>
      <w:bookmarkEnd w:id="132"/>
    </w:p>
    <w:tbl>
      <w:tblPr>
        <w:tblStyle w:val="a4"/>
        <w:tblW w:w="0" w:type="auto"/>
        <w:tblLook w:val="04A0" w:firstRow="1" w:lastRow="0" w:firstColumn="1" w:lastColumn="0" w:noHBand="0" w:noVBand="1"/>
      </w:tblPr>
      <w:tblGrid>
        <w:gridCol w:w="2157"/>
        <w:gridCol w:w="6365"/>
      </w:tblGrid>
      <w:tr w:rsidR="00B229A7" w14:paraId="6F064623" w14:textId="77777777">
        <w:tc>
          <w:tcPr>
            <w:tcW w:w="2157" w:type="dxa"/>
          </w:tcPr>
          <w:p w14:paraId="23B3038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259C0F5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1113</w:t>
            </w:r>
          </w:p>
        </w:tc>
      </w:tr>
      <w:tr w:rsidR="00B229A7" w14:paraId="7B681458" w14:textId="77777777">
        <w:trPr>
          <w:trHeight w:val="328"/>
        </w:trPr>
        <w:tc>
          <w:tcPr>
            <w:tcW w:w="2157" w:type="dxa"/>
          </w:tcPr>
          <w:p w14:paraId="5EBDA75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2CCACEB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011互联网与IT业</w:t>
            </w:r>
          </w:p>
        </w:tc>
      </w:tr>
      <w:tr w:rsidR="00B229A7" w14:paraId="29BFFEBA" w14:textId="77777777">
        <w:tc>
          <w:tcPr>
            <w:tcW w:w="2157" w:type="dxa"/>
          </w:tcPr>
          <w:p w14:paraId="62E16F1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7D6F168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2022年</w:t>
            </w:r>
          </w:p>
        </w:tc>
      </w:tr>
      <w:tr w:rsidR="00B229A7" w14:paraId="4350B740" w14:textId="77777777">
        <w:tc>
          <w:tcPr>
            <w:tcW w:w="2157" w:type="dxa"/>
          </w:tcPr>
          <w:p w14:paraId="459BFCB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0C3AB57A"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北京数知科技股份有限公司</w:t>
            </w:r>
          </w:p>
        </w:tc>
      </w:tr>
      <w:tr w:rsidR="00B229A7" w14:paraId="72551C94" w14:textId="77777777">
        <w:tc>
          <w:tcPr>
            <w:tcW w:w="2157" w:type="dxa"/>
          </w:tcPr>
          <w:p w14:paraId="0A92F95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4374C92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各类通信塔,通信网络产品和电力塔等产品及工程安装,互联网营销等</w:t>
            </w:r>
          </w:p>
        </w:tc>
      </w:tr>
      <w:tr w:rsidR="00B229A7" w14:paraId="718A3026" w14:textId="77777777">
        <w:tc>
          <w:tcPr>
            <w:tcW w:w="2157" w:type="dxa"/>
          </w:tcPr>
          <w:p w14:paraId="463643F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65" w:type="dxa"/>
          </w:tcPr>
          <w:p w14:paraId="2AD936D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6A1A8C9B"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北京数知科技股份有限公司（SZ.300038）成立于2004年，2010年1月在深交所创业板成功上市，目前在全球范围内拥有5大高端技术研发中心和3大产业基地，以及50多家分子公司，员工和业务遍及20多个国家和地区。</w:t>
            </w:r>
          </w:p>
          <w:p w14:paraId="17910BB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数知科技公司秉承“知识即服务Knowledge As A Service”的核心理念，致力于以科技创新推动经济产业发展。以资本与技术创新为核心驱动，大数据及人工智能技术的科技赋能城市产业发展服务提供商。</w:t>
            </w:r>
          </w:p>
          <w:p w14:paraId="327B83E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数知科技经过多年深耕产业相关研究与实践，在智慧金融、智慧医疗、智慧城市、智慧营销、5G与物联网等诸多领域融入“智慧因子”的核心成果。通过“一站式大数据+AI平台”进行数据集成开发，建立主题数据集，为行业客户提供优质高效的服务。公司研发的NLP和知识图谱技术已具备国际领先优势，在金融、医疗、交通、教育、环境、扶贫、信用、营销等企业级服务领域都有成熟的应用案例及解决方案。</w:t>
            </w:r>
          </w:p>
          <w:p w14:paraId="477F607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【案例背景】</w:t>
            </w:r>
          </w:p>
          <w:p w14:paraId="7CA4E6F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中兴华会计师事务所(特殊普通合伙)出具了无法表示意见的财务报表审计报告，【形成无法表示意见的基础】内容如下:</w:t>
            </w:r>
          </w:p>
          <w:p w14:paraId="5D3D3F8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(一)上年非标审计意见事项大信会计师事务所(特殊普通合伙)</w:t>
            </w:r>
          </w:p>
          <w:p w14:paraId="11BA5DD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在数知科技2020年度审计报告中对货币资金函证，预付款项性质，</w:t>
            </w:r>
          </w:p>
          <w:p w14:paraId="35AE74A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其他应收款性质及资金占用、锦阜投资及其会计处理、内控缺陷事项发表了无法表示意见，由于执行的审计程序及获取的审计证据受限，仍无法在本年对前述事项发表审计意见，无法判断前述事项对</w:t>
            </w:r>
            <w:r>
              <w:rPr>
                <w:rFonts w:ascii="宋体" w:hAnsi="宋体" w:hint="eastAsia"/>
                <w:color w:val="000000" w:themeColor="text1"/>
                <w:kern w:val="0"/>
                <w:szCs w:val="21"/>
              </w:rPr>
              <w:lastRenderedPageBreak/>
              <w:t>2021年度财务报表的影响。</w:t>
            </w:r>
          </w:p>
          <w:p w14:paraId="00BE981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 xml:space="preserve">(二)重要子公司审计受限我们在对数知科技重要子公司 Blackbird </w:t>
            </w:r>
            <w:proofErr w:type="spellStart"/>
            <w:r>
              <w:rPr>
                <w:rFonts w:ascii="宋体" w:hAnsi="宋体" w:hint="eastAsia"/>
                <w:color w:val="000000" w:themeColor="text1"/>
                <w:kern w:val="0"/>
                <w:szCs w:val="21"/>
              </w:rPr>
              <w:t>HypersonicInvestmentsLtd</w:t>
            </w:r>
            <w:proofErr w:type="spellEnd"/>
            <w:r>
              <w:rPr>
                <w:rFonts w:ascii="宋体" w:hAnsi="宋体" w:hint="eastAsia"/>
                <w:color w:val="000000" w:themeColor="text1"/>
                <w:kern w:val="0"/>
                <w:szCs w:val="21"/>
              </w:rPr>
              <w:t>(以下简称“BBHI”)进行</w:t>
            </w:r>
          </w:p>
          <w:p w14:paraId="2ADE822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审计时，由于新能疫情等客观因素影响，我们无法实施现场审计工作，关键的审计程序和审计证通过远程方式无法有效实施成供取，受上述审计限别，无法定88H2021年度财务报表是否真实，完整和准确。</w:t>
            </w:r>
          </w:p>
          <w:p w14:paraId="3532ED8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三)证程序受限按照审计准则的要求，我们针对数知科技及其子公司银行及往来欧项拿编了两证，最止本报告日，数知科技及其子公司银行函证合计发函361个，未能发函1个(河北银行保定分行开立的幕集资金专户)，尚未回函8个:往来函证合计发虽412个，尚来回示239个，对于载述未同承承证，我们无法实依养代审计程序获取充分，适当的审计证据。</w:t>
            </w:r>
          </w:p>
          <w:p w14:paraId="7DD01D1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(四)预计负债的确认如财务报表附注*五。(三十五)"和"十二、(二)”所述，数知科技针对可能面临的中小股民集体诉讼，于2021 年度确认预计负债722687178.72元。我们对前述预计负倾的计提实施了审计程序，在对虚假陈述实施日。更正日，基准日以及购入价。其准价等关健整数进行审构时我们注量到，对数知科技预计分债确认关键参数中的股民购入价。预计融偿比例再项参数，我们无法获取充分，适当的审计证据实施有效判断，进面无法判断预计负债计提的准确性和完整性。</w:t>
            </w:r>
          </w:p>
          <w:p w14:paraId="33F8DBE7" w14:textId="77777777" w:rsidR="00B229A7" w:rsidRDefault="00B229A7">
            <w:pPr>
              <w:spacing w:line="276" w:lineRule="auto"/>
              <w:rPr>
                <w:rFonts w:ascii="宋体" w:hAnsi="宋体"/>
                <w:color w:val="000000" w:themeColor="text1"/>
                <w:kern w:val="0"/>
                <w:szCs w:val="21"/>
              </w:rPr>
            </w:pPr>
          </w:p>
          <w:p w14:paraId="6D18F55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ab/>
            </w:r>
          </w:p>
        </w:tc>
      </w:tr>
      <w:tr w:rsidR="00B229A7" w14:paraId="07876721" w14:textId="77777777">
        <w:tc>
          <w:tcPr>
            <w:tcW w:w="2157" w:type="dxa"/>
          </w:tcPr>
          <w:p w14:paraId="5D661EB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关联审计机构名称</w:t>
            </w:r>
          </w:p>
        </w:tc>
        <w:tc>
          <w:tcPr>
            <w:tcW w:w="6365" w:type="dxa"/>
          </w:tcPr>
          <w:p w14:paraId="31B4FE2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中兴华会计师事务所</w:t>
            </w:r>
          </w:p>
        </w:tc>
      </w:tr>
      <w:tr w:rsidR="00B229A7" w14:paraId="0A4C4058" w14:textId="77777777">
        <w:tc>
          <w:tcPr>
            <w:tcW w:w="2157" w:type="dxa"/>
          </w:tcPr>
          <w:p w14:paraId="708C169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引发审计实施思考</w:t>
            </w:r>
          </w:p>
        </w:tc>
        <w:tc>
          <w:tcPr>
            <w:tcW w:w="6365" w:type="dxa"/>
          </w:tcPr>
          <w:p w14:paraId="494C2C4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由于疫情常态化的影响，到底该如何进行有效的审计，如何保证数据的真实可靠。</w:t>
            </w:r>
          </w:p>
        </w:tc>
      </w:tr>
      <w:tr w:rsidR="00B229A7" w14:paraId="03C20581" w14:textId="77777777">
        <w:tc>
          <w:tcPr>
            <w:tcW w:w="2157" w:type="dxa"/>
          </w:tcPr>
          <w:p w14:paraId="2A4D368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关联的审计术语与审计方法</w:t>
            </w:r>
          </w:p>
        </w:tc>
        <w:tc>
          <w:tcPr>
            <w:tcW w:w="6365" w:type="dxa"/>
          </w:tcPr>
          <w:p w14:paraId="6F329D1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无法表示意见、资金占用</w:t>
            </w:r>
          </w:p>
        </w:tc>
      </w:tr>
    </w:tbl>
    <w:p w14:paraId="4559E088" w14:textId="77777777" w:rsidR="00B229A7" w:rsidRDefault="00B229A7">
      <w:pPr>
        <w:spacing w:line="276" w:lineRule="auto"/>
        <w:rPr>
          <w:rFonts w:ascii="宋体" w:hAnsi="宋体"/>
          <w:color w:val="000000" w:themeColor="text1"/>
          <w:szCs w:val="21"/>
        </w:rPr>
      </w:pPr>
    </w:p>
    <w:p w14:paraId="2407A3DD" w14:textId="77777777" w:rsidR="00B229A7" w:rsidRDefault="00D7072C">
      <w:pPr>
        <w:pStyle w:val="1"/>
      </w:pPr>
      <w:bookmarkStart w:id="133" w:name="_Toc104812335"/>
      <w:bookmarkStart w:id="134" w:name="_Toc104812516"/>
      <w:bookmarkStart w:id="135" w:name="_Toc104812614"/>
      <w:r>
        <w:t xml:space="preserve">38 </w:t>
      </w:r>
      <w:r>
        <w:rPr>
          <w:rFonts w:hint="eastAsia"/>
        </w:rPr>
        <w:t>St</w:t>
      </w:r>
      <w:r>
        <w:rPr>
          <w:rFonts w:hint="eastAsia"/>
        </w:rPr>
        <w:t>网力</w:t>
      </w:r>
      <w:bookmarkEnd w:id="133"/>
      <w:bookmarkEnd w:id="134"/>
      <w:bookmarkEnd w:id="135"/>
    </w:p>
    <w:tbl>
      <w:tblPr>
        <w:tblStyle w:val="a4"/>
        <w:tblW w:w="0" w:type="auto"/>
        <w:tblLook w:val="04A0" w:firstRow="1" w:lastRow="0" w:firstColumn="1" w:lastColumn="0" w:noHBand="0" w:noVBand="1"/>
      </w:tblPr>
      <w:tblGrid>
        <w:gridCol w:w="2157"/>
        <w:gridCol w:w="6365"/>
      </w:tblGrid>
      <w:tr w:rsidR="00B229A7" w14:paraId="5FD18326" w14:textId="77777777">
        <w:tc>
          <w:tcPr>
            <w:tcW w:w="2157" w:type="dxa"/>
          </w:tcPr>
          <w:p w14:paraId="542622A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560D85C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1114</w:t>
            </w:r>
          </w:p>
        </w:tc>
      </w:tr>
      <w:tr w:rsidR="00B229A7" w14:paraId="04C1B32A" w14:textId="77777777">
        <w:trPr>
          <w:trHeight w:val="328"/>
        </w:trPr>
        <w:tc>
          <w:tcPr>
            <w:tcW w:w="2157" w:type="dxa"/>
          </w:tcPr>
          <w:p w14:paraId="03A1259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582B009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011互联网与IT业</w:t>
            </w:r>
          </w:p>
        </w:tc>
      </w:tr>
      <w:tr w:rsidR="00B229A7" w14:paraId="07B4651D" w14:textId="77777777">
        <w:tc>
          <w:tcPr>
            <w:tcW w:w="2157" w:type="dxa"/>
          </w:tcPr>
          <w:p w14:paraId="160308B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0D72C9C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2022年</w:t>
            </w:r>
          </w:p>
        </w:tc>
      </w:tr>
      <w:tr w:rsidR="00B229A7" w14:paraId="6820C84F" w14:textId="77777777">
        <w:tc>
          <w:tcPr>
            <w:tcW w:w="2157" w:type="dxa"/>
          </w:tcPr>
          <w:p w14:paraId="2E97C06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0EBC47F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东方网力科技股份有限公司</w:t>
            </w:r>
          </w:p>
        </w:tc>
      </w:tr>
      <w:tr w:rsidR="00B229A7" w14:paraId="63A7E792" w14:textId="77777777">
        <w:tc>
          <w:tcPr>
            <w:tcW w:w="2157" w:type="dxa"/>
          </w:tcPr>
          <w:p w14:paraId="4CB15DC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4B67AEC0"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技术开发、技术推广、技术转让、技术咨询、技术服务；基础软件</w:t>
            </w:r>
            <w:r>
              <w:rPr>
                <w:rFonts w:ascii="宋体" w:hAnsi="宋体"/>
                <w:color w:val="000000" w:themeColor="text1"/>
                <w:kern w:val="0"/>
                <w:szCs w:val="21"/>
              </w:rPr>
              <w:lastRenderedPageBreak/>
              <w:t>服务；应用软件服务；计算机系统服务；安防工程设计；制造电子计算机外部设备</w:t>
            </w:r>
            <w:r>
              <w:rPr>
                <w:rFonts w:ascii="宋体" w:hAnsi="宋体" w:hint="eastAsia"/>
                <w:color w:val="000000" w:themeColor="text1"/>
                <w:kern w:val="0"/>
                <w:szCs w:val="21"/>
              </w:rPr>
              <w:t>等</w:t>
            </w:r>
          </w:p>
        </w:tc>
      </w:tr>
      <w:tr w:rsidR="00B229A7" w14:paraId="4E7BC53B" w14:textId="77777777">
        <w:tc>
          <w:tcPr>
            <w:tcW w:w="2157" w:type="dxa"/>
          </w:tcPr>
          <w:p w14:paraId="3B6BB47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企业单位案情描述</w:t>
            </w:r>
          </w:p>
        </w:tc>
        <w:tc>
          <w:tcPr>
            <w:tcW w:w="6365" w:type="dxa"/>
          </w:tcPr>
          <w:p w14:paraId="2DF8013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1E52903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东方网力成立于2000年9月,总部位于中国北京,2014年1月在深交所创业板上市,股票代码:300367。公司在中国境内21个区域与海外设有分公司、子公司或办事处。多年来公司不断夯实研发基础,在国内拥有6大研发中心,拥有专利117个1,软件著作权129项2,研发投入保持在年销售收入的10%以上。</w:t>
            </w:r>
          </w:p>
          <w:p w14:paraId="6073588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【案例背景】</w:t>
            </w:r>
          </w:p>
          <w:p w14:paraId="44184F58" w14:textId="77777777" w:rsidR="00B229A7" w:rsidRDefault="00D7072C">
            <w:pPr>
              <w:spacing w:line="276" w:lineRule="auto"/>
              <w:ind w:firstLineChars="100" w:firstLine="210"/>
              <w:rPr>
                <w:rFonts w:ascii="宋体" w:hAnsi="宋体"/>
                <w:color w:val="000000" w:themeColor="text1"/>
                <w:kern w:val="0"/>
                <w:szCs w:val="21"/>
              </w:rPr>
            </w:pPr>
            <w:r>
              <w:rPr>
                <w:rFonts w:ascii="宋体" w:hAnsi="宋体" w:hint="eastAsia"/>
                <w:color w:val="000000" w:themeColor="text1"/>
                <w:kern w:val="0"/>
                <w:szCs w:val="21"/>
              </w:rPr>
              <w:t>信永中和会计师事务所（特殊普通合伙）出具了无法表示意见的财务报表审计报告，【形成无法表示意见的基础】内容如下：</w:t>
            </w:r>
          </w:p>
          <w:p w14:paraId="73A8B90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一)持续经营。截至2021年12月31日，东方网力归属于母公司股东权益合计为152,382.91万元；自2019年公司暴露违规担保及原实际控制人违规资金占用等问题，已连续三年持续巨额亏损，财务状况不断恶化；公司资金短缺、无法偿付到期债务以及违规担保等8事项涉及大量诉讼，导致大量银行账户、重要资产被冻结，被列入失信被执行人名单，开展正常经营业务受阻。虽然公司已在其本年度财务报告中对其持续经营的不确定性和改善措施进行了充分披露，但因前述多重不确定性的影响导致我们无法获取充分、适当的证据以判断东方网力以持续经营能力假设为基础编制的2021 年度财务报表是否恰当。</w:t>
            </w:r>
          </w:p>
          <w:p w14:paraId="2AD0695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(二)期初余额。本年度公司管理层在按照内部报表内部控制相关</w:t>
            </w:r>
          </w:p>
          <w:p w14:paraId="1865EFD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政策和程序对公司的资产、债权债务等进行了清查，并及时进行了多次前期会计差错更正和相关的信息披露。我们首次承接后按照《中国注册会计师审计准则第 1331 号——首次审计业务涉及的期初余额》的相关要求对期初余额执行了相应审计程序，受历史原因、管理层变更、核心人员离职及客观条件所限，我们仍未能获取部分期初余额是否对本年度财务信息产生重大影响的充分、适当的审计证据，无法判断应当进行追溯重述期初数的前期差错是否已经完整，也无法判断上述情况对财务报表期初数和上期比较数据的影响程度。</w:t>
            </w:r>
          </w:p>
          <w:p w14:paraId="19AFF98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(三)审计受限。受东方网力历史原因、以前年度财务报告内部控</w:t>
            </w:r>
          </w:p>
          <w:p w14:paraId="0F03AC3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制情况的影响，我们在审计过程中，未能对东方网力的部分银行账户、往来款项、收入、发出商品、对外投资、借款、律师等实施包括函证、监盘等我们认为必要的审计程序，无法获取前述货币资金、应收款项、存货、固定资产、各类投资等资产项目存在及计量准确</w:t>
            </w:r>
            <w:r>
              <w:rPr>
                <w:rFonts w:ascii="宋体" w:hAnsi="宋体" w:hint="eastAsia"/>
                <w:color w:val="000000" w:themeColor="text1"/>
                <w:kern w:val="0"/>
                <w:szCs w:val="21"/>
              </w:rPr>
              <w:lastRenderedPageBreak/>
              <w:t>性，收入真实性及截止，成本费用和负债真实性及完整性认定相关的充分、适当的审计证据。</w:t>
            </w:r>
          </w:p>
          <w:p w14:paraId="1AF3B35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(四)其他重大不确定事项。公司因资金短缺、无法偿付到期债务</w:t>
            </w:r>
          </w:p>
          <w:p w14:paraId="123320B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以及违规担保等事项涉及大量诉讼，虽然公司管理层对诉讼事项的影9响在 2021 年度财务报表中进行了必要列报与披露，但由于诉讼事项的复杂性及其结果的不确定性，如诉讼事项、违约金的影响金额、诉讼事项的完整性等，我们无法获取充分、适当的审计证据，以确认诉讼事项对公司财务报表可能产生的影响，我们也无法确定公司是否还存在其他尚未披露的违规担保事项、资金占用事项、关联方及关联方交易，无法就违规担保事项、资金占用事项、关联方及关联方交易披露的完整性获取充分、适当的审计证据。</w:t>
            </w:r>
          </w:p>
        </w:tc>
      </w:tr>
      <w:tr w:rsidR="00B229A7" w14:paraId="63F1D66E" w14:textId="77777777">
        <w:tc>
          <w:tcPr>
            <w:tcW w:w="2157" w:type="dxa"/>
          </w:tcPr>
          <w:p w14:paraId="7D4A48B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关联审计机构名称</w:t>
            </w:r>
          </w:p>
        </w:tc>
        <w:tc>
          <w:tcPr>
            <w:tcW w:w="6365" w:type="dxa"/>
          </w:tcPr>
          <w:p w14:paraId="25D47DF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信永中和会计师事务所</w:t>
            </w:r>
          </w:p>
        </w:tc>
      </w:tr>
      <w:tr w:rsidR="00B229A7" w14:paraId="07B531C4" w14:textId="77777777">
        <w:tc>
          <w:tcPr>
            <w:tcW w:w="2157" w:type="dxa"/>
          </w:tcPr>
          <w:p w14:paraId="4FBC286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引发审计实施思考</w:t>
            </w:r>
          </w:p>
        </w:tc>
        <w:tc>
          <w:tcPr>
            <w:tcW w:w="6365" w:type="dxa"/>
          </w:tcPr>
          <w:p w14:paraId="0066ED9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存在无法判断无法确认的事项，在到达何种程度时出具无法表示意见。</w:t>
            </w:r>
          </w:p>
        </w:tc>
      </w:tr>
      <w:tr w:rsidR="00B229A7" w14:paraId="175C4039" w14:textId="77777777">
        <w:tc>
          <w:tcPr>
            <w:tcW w:w="2157" w:type="dxa"/>
          </w:tcPr>
          <w:p w14:paraId="4D42EE5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关联的审计术语与审计方法</w:t>
            </w:r>
          </w:p>
        </w:tc>
        <w:tc>
          <w:tcPr>
            <w:tcW w:w="6365" w:type="dxa"/>
          </w:tcPr>
          <w:p w14:paraId="1BBF5CE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无法表示意见、债务、审计受限</w:t>
            </w:r>
          </w:p>
        </w:tc>
      </w:tr>
    </w:tbl>
    <w:p w14:paraId="49187B8F" w14:textId="77777777" w:rsidR="00B229A7" w:rsidRDefault="00B229A7">
      <w:pPr>
        <w:spacing w:line="276" w:lineRule="auto"/>
        <w:rPr>
          <w:rFonts w:ascii="宋体" w:hAnsi="宋体"/>
          <w:color w:val="000000" w:themeColor="text1"/>
          <w:szCs w:val="21"/>
        </w:rPr>
      </w:pPr>
    </w:p>
    <w:p w14:paraId="4B490746" w14:textId="77777777" w:rsidR="00B229A7" w:rsidRDefault="00D7072C">
      <w:pPr>
        <w:pStyle w:val="1"/>
      </w:pPr>
      <w:bookmarkStart w:id="136" w:name="_Toc104812336"/>
      <w:bookmarkStart w:id="137" w:name="_Toc104812517"/>
      <w:bookmarkStart w:id="138" w:name="_Toc104812615"/>
      <w:r>
        <w:rPr>
          <w:rFonts w:hint="eastAsia"/>
        </w:rPr>
        <w:t>3</w:t>
      </w:r>
      <w:r>
        <w:t>9</w:t>
      </w:r>
      <w:r>
        <w:rPr>
          <w:rFonts w:hint="eastAsia"/>
        </w:rPr>
        <w:t>腾信股份</w:t>
      </w:r>
      <w:bookmarkEnd w:id="136"/>
      <w:bookmarkEnd w:id="137"/>
      <w:bookmarkEnd w:id="138"/>
    </w:p>
    <w:tbl>
      <w:tblPr>
        <w:tblStyle w:val="a4"/>
        <w:tblW w:w="0" w:type="auto"/>
        <w:tblLook w:val="04A0" w:firstRow="1" w:lastRow="0" w:firstColumn="1" w:lastColumn="0" w:noHBand="0" w:noVBand="1"/>
      </w:tblPr>
      <w:tblGrid>
        <w:gridCol w:w="2157"/>
        <w:gridCol w:w="6365"/>
      </w:tblGrid>
      <w:tr w:rsidR="00B229A7" w14:paraId="057ACA28" w14:textId="77777777">
        <w:tc>
          <w:tcPr>
            <w:tcW w:w="2157" w:type="dxa"/>
          </w:tcPr>
          <w:p w14:paraId="4BA8D89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278A736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1115</w:t>
            </w:r>
          </w:p>
        </w:tc>
      </w:tr>
      <w:tr w:rsidR="00B229A7" w14:paraId="433E63F4" w14:textId="77777777">
        <w:trPr>
          <w:trHeight w:val="328"/>
        </w:trPr>
        <w:tc>
          <w:tcPr>
            <w:tcW w:w="2157" w:type="dxa"/>
          </w:tcPr>
          <w:p w14:paraId="52AA24C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6452456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011互联网与IT业</w:t>
            </w:r>
          </w:p>
        </w:tc>
      </w:tr>
      <w:tr w:rsidR="00B229A7" w14:paraId="40587DE6" w14:textId="77777777">
        <w:tc>
          <w:tcPr>
            <w:tcW w:w="2157" w:type="dxa"/>
          </w:tcPr>
          <w:p w14:paraId="4B8D5D0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0937E4F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2022年</w:t>
            </w:r>
          </w:p>
        </w:tc>
      </w:tr>
      <w:tr w:rsidR="00B229A7" w14:paraId="6FDE1C65" w14:textId="77777777">
        <w:tc>
          <w:tcPr>
            <w:tcW w:w="2157" w:type="dxa"/>
          </w:tcPr>
          <w:p w14:paraId="1DE2BF0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1EC7BE5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北京腾信创新网络营销技术股份有限公司</w:t>
            </w:r>
          </w:p>
        </w:tc>
      </w:tr>
      <w:tr w:rsidR="00B229A7" w14:paraId="6794A472" w14:textId="77777777">
        <w:tc>
          <w:tcPr>
            <w:tcW w:w="2157" w:type="dxa"/>
          </w:tcPr>
          <w:p w14:paraId="36F4342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5181472F"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技术开发；技术转让；技术咨询；技术推广；计算机网络技术培训；基础软件服务；应用软件服务；计算机系统服务；电脑图文设计、制作；设计</w:t>
            </w:r>
            <w:r>
              <w:rPr>
                <w:rFonts w:ascii="宋体" w:hAnsi="宋体" w:hint="eastAsia"/>
                <w:color w:val="000000" w:themeColor="text1"/>
                <w:kern w:val="0"/>
                <w:szCs w:val="21"/>
              </w:rPr>
              <w:t>等</w:t>
            </w:r>
          </w:p>
        </w:tc>
      </w:tr>
      <w:tr w:rsidR="00B229A7" w14:paraId="47F5BC9E" w14:textId="77777777">
        <w:tc>
          <w:tcPr>
            <w:tcW w:w="2157" w:type="dxa"/>
          </w:tcPr>
          <w:p w14:paraId="4C75A97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65" w:type="dxa"/>
          </w:tcPr>
          <w:p w14:paraId="58F3245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02C58C2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北京腾信创新网络营销技术股份有限公司（以下简称"腾信创新"）成立于2001年，是国内最早从事互联网营销服务的公司之一。腾信创新通过10年的积累，凭借其自主开发的强大技术平台、多年的行业经验、丰富的客户资源、高效的服务团队，为客户提供整合式的互联网营销技术服务，具体包括互联网营销数据挖掘、营销决策支持、营销方案设计、智能投放、数据监控、效果优化、营销创意解决方案，搜索引擎营销，以及网络舆情监控和网络公关解决方案等。</w:t>
            </w:r>
          </w:p>
          <w:p w14:paraId="6F9E5B4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【案例背景】</w:t>
            </w:r>
          </w:p>
          <w:p w14:paraId="2920ABF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中兴华会计师事务所（特殊普通合伙）出具了无法表 示意见的财务报表审计报告，【形成无法表示意见的基础】内容如下：</w:t>
            </w:r>
          </w:p>
          <w:p w14:paraId="65719577" w14:textId="77777777" w:rsidR="00B229A7" w:rsidRDefault="00D7072C">
            <w:pPr>
              <w:numPr>
                <w:ilvl w:val="0"/>
                <w:numId w:val="8"/>
              </w:numPr>
              <w:snapToGrid w:val="0"/>
              <w:spacing w:line="276" w:lineRule="auto"/>
              <w:rPr>
                <w:rFonts w:ascii="宋体" w:hAnsi="宋体"/>
                <w:color w:val="000000" w:themeColor="text1"/>
                <w:kern w:val="0"/>
                <w:szCs w:val="21"/>
              </w:rPr>
            </w:pPr>
            <w:r>
              <w:rPr>
                <w:rFonts w:ascii="宋体" w:hAnsi="宋体" w:hint="eastAsia"/>
                <w:color w:val="000000" w:themeColor="text1"/>
                <w:kern w:val="0"/>
                <w:szCs w:val="21"/>
              </w:rPr>
              <w:t>营业收入的真实性及准确性。2021 年度对其第一大客</w:t>
            </w:r>
          </w:p>
          <w:p w14:paraId="517FF0A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户的 交易确认收入2.53亿元，占本期营业收入总额的79.31%；截至2021年12月31日对该客户应收账款余额为5,564.26万元，我们未收到该客户的往来及交易询证函回函；2021年度贵公司与其他新增客户之间发生的交易确认收入5,320.41万元，占本期营业收入总额的 16.67%，均未能提供与广告投放相关的资料。我们未能获取充分、适当的审计证据，无法判断上述营业收入及应收账款余额的真实性、准确性。 </w:t>
            </w:r>
          </w:p>
          <w:p w14:paraId="34407BF5" w14:textId="77777777" w:rsidR="00B229A7" w:rsidRDefault="00D7072C">
            <w:pPr>
              <w:numPr>
                <w:ilvl w:val="0"/>
                <w:numId w:val="8"/>
              </w:numPr>
              <w:snapToGrid w:val="0"/>
              <w:spacing w:line="276" w:lineRule="auto"/>
              <w:rPr>
                <w:rFonts w:ascii="宋体" w:hAnsi="宋体"/>
                <w:color w:val="000000" w:themeColor="text1"/>
                <w:kern w:val="0"/>
                <w:szCs w:val="21"/>
              </w:rPr>
            </w:pPr>
            <w:r>
              <w:rPr>
                <w:rFonts w:ascii="宋体" w:hAnsi="宋体" w:hint="eastAsia"/>
                <w:color w:val="000000" w:themeColor="text1"/>
                <w:kern w:val="0"/>
                <w:szCs w:val="21"/>
              </w:rPr>
              <w:t>预付账款及其他应收款的可回收性及商业合理性。贵公</w:t>
            </w:r>
          </w:p>
          <w:p w14:paraId="28E0237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司在 2021 年度与大连才通万路贸易有限公司、天津市海尊商贸有限公司等 13 家单位发生多笔大额资金往来，款项以预付合同款支付，以合同终止退回，2021 年度累计支付金额为 102,575.00 万元、退回金 额为 39,021.89 万元，截至 2021 年 12 月 31 日上述大额预付款尚未 收回金额为 63,553.11 万元。贵公司在 2020 年 12 月向天津万信恒行 10 贸易有限公司支付 30,000.00 万元款项。截至审计报告日，我们未能获取充分、适当的审计证据，无法判断上述预付及其他应收款的商业合理性及可收回性。 </w:t>
            </w:r>
          </w:p>
          <w:p w14:paraId="39BCA428" w14:textId="77777777" w:rsidR="00B229A7" w:rsidRDefault="00D7072C">
            <w:pPr>
              <w:numPr>
                <w:ilvl w:val="0"/>
                <w:numId w:val="8"/>
              </w:numPr>
              <w:snapToGrid w:val="0"/>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亏损确认的递延所得税资产的可转回性。截至2021年 </w:t>
            </w:r>
          </w:p>
          <w:p w14:paraId="14F260E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12月31日，贵公司累计亏损33,106.99万元（详见附注六、14），确认递延所得税资4,966.05万元。如第（六）项所述，贵公司持续经营能力存在重大不确定性。我们无法确认由亏损确认的递延所得税资 产的可转回性。 </w:t>
            </w:r>
          </w:p>
          <w:p w14:paraId="317C7DF9" w14:textId="77777777" w:rsidR="00B229A7" w:rsidRDefault="00D7072C">
            <w:pPr>
              <w:numPr>
                <w:ilvl w:val="0"/>
                <w:numId w:val="8"/>
              </w:numPr>
              <w:snapToGrid w:val="0"/>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重大诉讼对财务报表的影响。如财务报表附注十二、2 </w:t>
            </w:r>
          </w:p>
          <w:p w14:paraId="0FF97D3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所述，贵公司存在多起重大未决诉讼，我们未能就这些未决诉讼获取充分、适当的审计证据，无法判断相关未决诉讼事项对财务报表的影响。 </w:t>
            </w:r>
          </w:p>
          <w:p w14:paraId="7144A26E" w14:textId="77777777" w:rsidR="00B229A7" w:rsidRDefault="00D7072C">
            <w:pPr>
              <w:numPr>
                <w:ilvl w:val="0"/>
                <w:numId w:val="8"/>
              </w:numPr>
              <w:snapToGrid w:val="0"/>
              <w:spacing w:line="276" w:lineRule="auto"/>
              <w:rPr>
                <w:rFonts w:ascii="宋体" w:hAnsi="宋体"/>
                <w:color w:val="000000" w:themeColor="text1"/>
                <w:kern w:val="0"/>
                <w:szCs w:val="21"/>
              </w:rPr>
            </w:pPr>
            <w:r>
              <w:rPr>
                <w:rFonts w:ascii="宋体" w:hAnsi="宋体" w:hint="eastAsia"/>
                <w:color w:val="000000" w:themeColor="text1"/>
                <w:kern w:val="0"/>
                <w:szCs w:val="21"/>
              </w:rPr>
              <w:t>金融资产公允价值计量。贵公司对上海数研腾信股权投</w:t>
            </w:r>
          </w:p>
          <w:p w14:paraId="711849C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资管理中心（有限合伙）的投资，投资成本2.50亿元，账面价值期初 期末均为1.04亿元，没有提供被投资单位公允价值计量的相关资料，我们无法确认该事项对财务报表的影响。 </w:t>
            </w:r>
          </w:p>
          <w:p w14:paraId="4BD4106B" w14:textId="77777777" w:rsidR="00B229A7" w:rsidRDefault="00D7072C">
            <w:pPr>
              <w:numPr>
                <w:ilvl w:val="0"/>
                <w:numId w:val="8"/>
              </w:numPr>
              <w:snapToGrid w:val="0"/>
              <w:spacing w:line="276" w:lineRule="auto"/>
              <w:rPr>
                <w:rFonts w:ascii="宋体" w:hAnsi="宋体"/>
                <w:color w:val="000000" w:themeColor="text1"/>
                <w:kern w:val="0"/>
                <w:szCs w:val="21"/>
              </w:rPr>
            </w:pPr>
            <w:r>
              <w:rPr>
                <w:rFonts w:ascii="宋体" w:hAnsi="宋体" w:hint="eastAsia"/>
                <w:color w:val="000000" w:themeColor="text1"/>
                <w:kern w:val="0"/>
                <w:szCs w:val="21"/>
              </w:rPr>
              <w:t>持续经营能力存在重大不确定性。贵公司连续两年严重</w:t>
            </w:r>
          </w:p>
          <w:p w14:paraId="2186B5B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亏损，大量债务违约并涉及诉讼。多个银行账户被冻结，所有房产被查封，营业收入大幅下降。管理层制定的各种应对措施是否能够落实具有很高的不确定性。我们无法获取与持续经营能力相关的充分、适当的审计证据，以判断贵公司在持续经营假设的基础上编制财务报表是否恰当。 </w:t>
            </w:r>
          </w:p>
        </w:tc>
      </w:tr>
      <w:tr w:rsidR="00B229A7" w14:paraId="7C15160A" w14:textId="77777777">
        <w:tc>
          <w:tcPr>
            <w:tcW w:w="2157" w:type="dxa"/>
          </w:tcPr>
          <w:p w14:paraId="3951C76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关联审计机构名称</w:t>
            </w:r>
          </w:p>
        </w:tc>
        <w:tc>
          <w:tcPr>
            <w:tcW w:w="6365" w:type="dxa"/>
          </w:tcPr>
          <w:p w14:paraId="115B714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中兴华会计师事务所</w:t>
            </w:r>
          </w:p>
        </w:tc>
      </w:tr>
      <w:tr w:rsidR="00B229A7" w14:paraId="669BC500" w14:textId="77777777">
        <w:tc>
          <w:tcPr>
            <w:tcW w:w="2157" w:type="dxa"/>
          </w:tcPr>
          <w:p w14:paraId="4FFB83C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引发审计实施思考</w:t>
            </w:r>
          </w:p>
        </w:tc>
        <w:tc>
          <w:tcPr>
            <w:tcW w:w="6365" w:type="dxa"/>
          </w:tcPr>
          <w:p w14:paraId="7EFA625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对于营业收入的真实性及准确性，预付账款及其他应收款等相关报表项目的审查判断。</w:t>
            </w:r>
          </w:p>
        </w:tc>
      </w:tr>
      <w:tr w:rsidR="00B229A7" w14:paraId="3869C440" w14:textId="77777777">
        <w:tc>
          <w:tcPr>
            <w:tcW w:w="2157" w:type="dxa"/>
          </w:tcPr>
          <w:p w14:paraId="00E174B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关联的审计术语与审计方法</w:t>
            </w:r>
          </w:p>
        </w:tc>
        <w:tc>
          <w:tcPr>
            <w:tcW w:w="6365" w:type="dxa"/>
          </w:tcPr>
          <w:p w14:paraId="6447FAB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无法表示意见，持续经营</w:t>
            </w:r>
          </w:p>
        </w:tc>
      </w:tr>
    </w:tbl>
    <w:p w14:paraId="4C9AB007" w14:textId="77777777" w:rsidR="00B229A7" w:rsidRDefault="00B229A7">
      <w:pPr>
        <w:spacing w:line="276" w:lineRule="auto"/>
        <w:rPr>
          <w:rFonts w:ascii="宋体" w:hAnsi="宋体"/>
          <w:color w:val="000000" w:themeColor="text1"/>
          <w:szCs w:val="21"/>
        </w:rPr>
      </w:pPr>
    </w:p>
    <w:p w14:paraId="655FE225" w14:textId="77777777" w:rsidR="00B229A7" w:rsidRDefault="00D7072C">
      <w:pPr>
        <w:pStyle w:val="1"/>
      </w:pPr>
      <w:bookmarkStart w:id="139" w:name="_Toc104812616"/>
      <w:bookmarkStart w:id="140" w:name="_Toc104812337"/>
      <w:bookmarkStart w:id="141" w:name="_Toc104812518"/>
      <w:r>
        <w:rPr>
          <w:rFonts w:hint="eastAsia"/>
        </w:rPr>
        <w:t>4</w:t>
      </w:r>
      <w:r>
        <w:t>0</w:t>
      </w:r>
      <w:r>
        <w:rPr>
          <w:rFonts w:hint="eastAsia"/>
        </w:rPr>
        <w:t>宝能收购万科案</w:t>
      </w:r>
      <w:bookmarkEnd w:id="139"/>
      <w:bookmarkEnd w:id="140"/>
      <w:bookmarkEnd w:id="141"/>
    </w:p>
    <w:tbl>
      <w:tblPr>
        <w:tblStyle w:val="a4"/>
        <w:tblW w:w="0" w:type="auto"/>
        <w:tblLook w:val="04A0" w:firstRow="1" w:lastRow="0" w:firstColumn="1" w:lastColumn="0" w:noHBand="0" w:noVBand="1"/>
      </w:tblPr>
      <w:tblGrid>
        <w:gridCol w:w="2157"/>
        <w:gridCol w:w="6365"/>
      </w:tblGrid>
      <w:tr w:rsidR="00B229A7" w14:paraId="011C2B5A" w14:textId="77777777">
        <w:tc>
          <w:tcPr>
            <w:tcW w:w="2157" w:type="dxa"/>
          </w:tcPr>
          <w:p w14:paraId="2A738AF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案例数据编号</w:t>
            </w:r>
          </w:p>
        </w:tc>
        <w:tc>
          <w:tcPr>
            <w:tcW w:w="6365" w:type="dxa"/>
          </w:tcPr>
          <w:p w14:paraId="2DA72AA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124</w:t>
            </w:r>
          </w:p>
        </w:tc>
      </w:tr>
      <w:tr w:rsidR="00B229A7" w14:paraId="65027B91" w14:textId="77777777">
        <w:trPr>
          <w:trHeight w:val="328"/>
        </w:trPr>
        <w:tc>
          <w:tcPr>
            <w:tcW w:w="2157" w:type="dxa"/>
          </w:tcPr>
          <w:p w14:paraId="30B7D7A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案例行业类别</w:t>
            </w:r>
          </w:p>
        </w:tc>
        <w:tc>
          <w:tcPr>
            <w:tcW w:w="6365" w:type="dxa"/>
          </w:tcPr>
          <w:p w14:paraId="17D86E0C" w14:textId="77777777" w:rsidR="00B229A7" w:rsidRDefault="00D7072C">
            <w:pPr>
              <w:spacing w:line="276" w:lineRule="auto"/>
              <w:jc w:val="center"/>
              <w:rPr>
                <w:rFonts w:ascii="宋体" w:hAnsi="宋体"/>
                <w:color w:val="000000" w:themeColor="text1"/>
                <w:kern w:val="0"/>
                <w:szCs w:val="21"/>
              </w:rPr>
            </w:pPr>
            <w:r>
              <w:rPr>
                <w:rFonts w:ascii="宋体" w:hAnsi="宋体" w:cs="Helvetica" w:hint="eastAsia"/>
                <w:color w:val="000000" w:themeColor="text1"/>
                <w:kern w:val="0"/>
                <w:szCs w:val="21"/>
                <w:shd w:val="clear" w:color="auto" w:fill="F6FAFF"/>
              </w:rPr>
              <w:t>01金融业</w:t>
            </w:r>
          </w:p>
        </w:tc>
      </w:tr>
      <w:tr w:rsidR="00B229A7" w14:paraId="1EFA203B" w14:textId="77777777">
        <w:tc>
          <w:tcPr>
            <w:tcW w:w="2157" w:type="dxa"/>
          </w:tcPr>
          <w:p w14:paraId="2B4B4A8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65" w:type="dxa"/>
          </w:tcPr>
          <w:p w14:paraId="0276B49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2015年</w:t>
            </w:r>
          </w:p>
        </w:tc>
      </w:tr>
      <w:tr w:rsidR="00B229A7" w14:paraId="1772BA18" w14:textId="77777777">
        <w:tc>
          <w:tcPr>
            <w:tcW w:w="2157" w:type="dxa"/>
          </w:tcPr>
          <w:p w14:paraId="7CB32D1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65" w:type="dxa"/>
          </w:tcPr>
          <w:p w14:paraId="00D57193"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深圳市宝能投资集团有限公司</w:t>
            </w:r>
          </w:p>
        </w:tc>
      </w:tr>
      <w:tr w:rsidR="00B229A7" w14:paraId="64E581D5" w14:textId="77777777">
        <w:tc>
          <w:tcPr>
            <w:tcW w:w="2157" w:type="dxa"/>
          </w:tcPr>
          <w:p w14:paraId="2759EC3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65" w:type="dxa"/>
          </w:tcPr>
          <w:p w14:paraId="3FC78927" w14:textId="77777777" w:rsidR="00B229A7" w:rsidRDefault="00D7072C">
            <w:pPr>
              <w:spacing w:line="276" w:lineRule="auto"/>
              <w:jc w:val="center"/>
              <w:rPr>
                <w:rFonts w:ascii="宋体" w:hAnsi="宋体"/>
                <w:color w:val="000000" w:themeColor="text1"/>
                <w:kern w:val="0"/>
                <w:szCs w:val="21"/>
              </w:rPr>
            </w:pPr>
            <w:r>
              <w:rPr>
                <w:rFonts w:ascii="宋体" w:hAnsi="宋体"/>
                <w:color w:val="000000" w:themeColor="text1"/>
                <w:kern w:val="0"/>
                <w:szCs w:val="21"/>
              </w:rPr>
              <w:t>投资兴办实业（具体项目另行申报）；投资文化旅游产业（具体项目另行申报）</w:t>
            </w:r>
            <w:r>
              <w:rPr>
                <w:rFonts w:ascii="宋体" w:hAnsi="宋体" w:hint="eastAsia"/>
                <w:color w:val="000000" w:themeColor="text1"/>
                <w:kern w:val="0"/>
                <w:szCs w:val="21"/>
              </w:rPr>
              <w:t>等</w:t>
            </w:r>
          </w:p>
        </w:tc>
      </w:tr>
      <w:tr w:rsidR="00B229A7" w14:paraId="2834BE35" w14:textId="77777777">
        <w:tc>
          <w:tcPr>
            <w:tcW w:w="2157" w:type="dxa"/>
          </w:tcPr>
          <w:p w14:paraId="53B2B6A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65" w:type="dxa"/>
          </w:tcPr>
          <w:p w14:paraId="0A16CCB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【企业背景】</w:t>
            </w:r>
          </w:p>
          <w:p w14:paraId="27B82EF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深圳市宝能投资集团有限公司于2000年03月23日成立。法定代表人姚振华。</w:t>
            </w:r>
          </w:p>
          <w:p w14:paraId="5FEFAE0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【案例背景】</w:t>
            </w:r>
          </w:p>
          <w:p w14:paraId="08F4F228"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2015 年 7 月 10 日，宝能系通过旗下控股公司前海人寿的险资买入万科 A 约5.5 亿股，占万科 A 总股本的约 5%，首度举牌万科。随后在 7 月 24 日，宝能系在继续动用险资的同时通过其旗下的钜盛华的资管计划增持至 10%，一举跃升为万科第二大股东。8 月 26 日，宝能系增持万科的股份至 15.04%，第三次举牌万科，同时超越了此前万科的第一大股东华润。9 月 4 日，前第一大股东华润斥资 4.97亿元，通过两次增持，新增万科约 0.4%的股份，以微弱优势夺回第一股东的位置，持股比例达 15.29%。2015 年 11 月 27 日至 2015 年 12 月 18 日，宝能系数度从 A股和香港 H 股购买万科股票，截至万科 12 月 18 日停牌，宝能系的持股比例达到24.26%，成为第一大股东。同日，万科股票停牌。</w:t>
            </w:r>
          </w:p>
          <w:p w14:paraId="37FA9C4F"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2015 年 12 月 18 日，随着宝能不断增持股份，万科以重大重组事项为由申请停牌，一方面在寻求白衣骑士的帮助，另一方面因为宝能大部分是高资金成本的杠杆资金，所以利用拖延战术企图拖垮宝能。2015 年 12 月 24 日，联手安邦成为一致行动人。2016 年 6 月 17 日，万科召开董事会审议重组预案，公司计划向深圳地铁集团发行 28.72 亿元股 A 股的方式收购后者持有的前海国际 100%股权，交易价格为 456.13 亿元。若本次交易完成后，深圳地</w:t>
            </w:r>
            <w:r>
              <w:rPr>
                <w:rFonts w:ascii="宋体" w:hAnsi="宋体" w:hint="eastAsia"/>
                <w:color w:val="000000" w:themeColor="text1"/>
                <w:kern w:val="0"/>
                <w:szCs w:val="21"/>
              </w:rPr>
              <w:lastRenderedPageBreak/>
              <w:t xml:space="preserve">铁集团将成为万科第一大股东，持股比例为 20.65%。2016 年 7 月 4 日，刘元生向监管机构举报华润和宝能系存在重大利益关联。2016 年 7 月 18 日，万科管理层向监管部门提交了《关于提请查处钜盛华及其控制的相关资管计划违法违规行为的报告》，要求审查宝能系资金合法性。 </w:t>
            </w:r>
          </w:p>
          <w:p w14:paraId="244B49E2"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2016年12月，深圳市介入协调，与华润、万科达成有关股权转让的协议。消息称，华润亦受到国资委监管层面的压力，国资委要求华润配合深圳市政妥善解决问题。</w:t>
            </w:r>
          </w:p>
          <w:p w14:paraId="775E2C0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2016年12月19日，万科宣布终止与深圳地铁的资产重组事项。</w:t>
            </w:r>
          </w:p>
          <w:p w14:paraId="72CB1873"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1月13日，万科发布公告，华润系将名下15.31%的万科股票，悉数转让至深圳地铁集团，转让对价为每股22元，深圳地铁成为万科第二大股东。同时，转让事宜也获得国资委批复。1月25日，此笔股权转让已完成过户登记。</w:t>
            </w:r>
          </w:p>
          <w:p w14:paraId="7475D7C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2017年3月16日，万科发布公告，恒大与地铁集团签署《战略合作框架协议》，将恒大持有万科14.07%股权的表决权、提案权及参加股东大会的权利不可撤销地委托给地铁集团，期限一年。</w:t>
            </w:r>
          </w:p>
          <w:p w14:paraId="67E4E68E"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地铁集团拥有万科29.38%的股权权利，成为万科实际上的第一大股东。</w:t>
            </w:r>
          </w:p>
          <w:p w14:paraId="536DC50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保监会亦表明立场，2016年12月，保监会下函责令前海人寿整改，并要求停止开展万能险新业务。</w:t>
            </w:r>
          </w:p>
          <w:p w14:paraId="352B9506"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2017年2月24日，保监会下发处罚决定书，对前海人寿编制虚假资料、违规运用保险资金等事项进行处罚，给予姚振华禁止进入保险业10年处罚。</w:t>
            </w:r>
          </w:p>
          <w:p w14:paraId="6400E2F7"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2017年2月25日，保监会对恒大人寿亦进行处罚，对其副总刘浩禁业5年处罚。</w:t>
            </w:r>
          </w:p>
          <w:p w14:paraId="11100B2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尾声</w:t>
            </w:r>
          </w:p>
          <w:p w14:paraId="2F87ABF5"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2017年6月9日，恒大发布公告，将所持有15.53亿股万科股票出售给深圳地铁，出售价格为每股18.80元。此价格与恒大平均持股成本23.3元/股相比，每股亏损4.5元，合计亏损约70亿元。</w:t>
            </w:r>
          </w:p>
          <w:p w14:paraId="02DCADF9"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形势逐渐清晰，地铁集团将获万科29.38%股票，拥有万科相对控股权。</w:t>
            </w:r>
          </w:p>
          <w:p w14:paraId="670AE65F" w14:textId="77777777" w:rsidR="00B229A7" w:rsidRDefault="00B229A7">
            <w:pPr>
              <w:spacing w:line="276" w:lineRule="auto"/>
              <w:ind w:firstLineChars="200" w:firstLine="420"/>
              <w:rPr>
                <w:rFonts w:ascii="宋体" w:hAnsi="宋体"/>
                <w:color w:val="000000" w:themeColor="text1"/>
                <w:kern w:val="0"/>
                <w:szCs w:val="21"/>
              </w:rPr>
            </w:pPr>
          </w:p>
        </w:tc>
      </w:tr>
      <w:tr w:rsidR="00B229A7" w14:paraId="1E11D3C0" w14:textId="77777777">
        <w:tc>
          <w:tcPr>
            <w:tcW w:w="2157" w:type="dxa"/>
          </w:tcPr>
          <w:p w14:paraId="0A71ACC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引发审计实施思考</w:t>
            </w:r>
          </w:p>
        </w:tc>
        <w:tc>
          <w:tcPr>
            <w:tcW w:w="6365" w:type="dxa"/>
          </w:tcPr>
          <w:p w14:paraId="45FD361D"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对于恶意收购，双方公司是否可以通过对方公司经营情况、审计情况寻找弱点。根据盈亏分析、动因分析等方法进行反收购或反击。</w:t>
            </w:r>
          </w:p>
        </w:tc>
      </w:tr>
      <w:tr w:rsidR="00B229A7" w14:paraId="2ADB669A" w14:textId="77777777">
        <w:tc>
          <w:tcPr>
            <w:tcW w:w="2157" w:type="dxa"/>
          </w:tcPr>
          <w:p w14:paraId="2CF51EB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关联的审计术语与审计方法</w:t>
            </w:r>
          </w:p>
        </w:tc>
        <w:tc>
          <w:tcPr>
            <w:tcW w:w="6365" w:type="dxa"/>
          </w:tcPr>
          <w:p w14:paraId="52A8A55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恶意收购、股东权力</w:t>
            </w:r>
          </w:p>
        </w:tc>
      </w:tr>
    </w:tbl>
    <w:p w14:paraId="3DFBE8AE" w14:textId="77777777" w:rsidR="00B229A7" w:rsidRDefault="00B229A7">
      <w:pPr>
        <w:spacing w:line="276" w:lineRule="auto"/>
        <w:rPr>
          <w:rFonts w:ascii="宋体" w:hAnsi="宋体"/>
          <w:color w:val="000000" w:themeColor="text1"/>
          <w:szCs w:val="21"/>
        </w:rPr>
      </w:pPr>
    </w:p>
    <w:p w14:paraId="041A20AC" w14:textId="77777777" w:rsidR="00B229A7" w:rsidRDefault="00B229A7">
      <w:pPr>
        <w:spacing w:line="276" w:lineRule="auto"/>
        <w:rPr>
          <w:rFonts w:ascii="宋体" w:hAnsi="宋体"/>
          <w:color w:val="000000" w:themeColor="text1"/>
          <w:szCs w:val="21"/>
        </w:rPr>
      </w:pPr>
    </w:p>
    <w:p w14:paraId="79642891" w14:textId="77777777" w:rsidR="00B229A7" w:rsidRDefault="00D7072C">
      <w:pPr>
        <w:pStyle w:val="1"/>
      </w:pPr>
      <w:bookmarkStart w:id="142" w:name="_Toc104812617"/>
      <w:bookmarkStart w:id="143" w:name="_Toc104812338"/>
      <w:bookmarkStart w:id="144" w:name="_Toc104812519"/>
      <w:r>
        <w:t>4</w:t>
      </w:r>
      <w:r>
        <w:rPr>
          <w:rFonts w:hint="eastAsia"/>
        </w:rPr>
        <w:t>1-</w:t>
      </w:r>
      <w:r>
        <w:t xml:space="preserve">50 </w:t>
      </w:r>
      <w:r>
        <w:rPr>
          <w:rFonts w:hint="eastAsia"/>
        </w:rPr>
        <w:t>主要分析人：任柏羽</w:t>
      </w:r>
      <w:bookmarkEnd w:id="142"/>
      <w:bookmarkEnd w:id="143"/>
      <w:bookmarkEnd w:id="144"/>
    </w:p>
    <w:p w14:paraId="12754AD3" w14:textId="77777777" w:rsidR="00B229A7" w:rsidRDefault="00D7072C">
      <w:pPr>
        <w:pStyle w:val="1"/>
      </w:pPr>
      <w:bookmarkStart w:id="145" w:name="_Toc104812520"/>
      <w:bookmarkStart w:id="146" w:name="_Toc104812618"/>
      <w:bookmarkStart w:id="147" w:name="_Toc104812339"/>
      <w:r>
        <w:rPr>
          <w:rFonts w:hint="eastAsia"/>
        </w:rPr>
        <w:t>4</w:t>
      </w:r>
      <w:r>
        <w:t>1</w:t>
      </w:r>
      <w:r>
        <w:rPr>
          <w:rFonts w:hint="eastAsia"/>
        </w:rPr>
        <w:t>长园集团财务造假</w:t>
      </w:r>
      <w:bookmarkEnd w:id="145"/>
      <w:bookmarkEnd w:id="146"/>
      <w:bookmarkEnd w:id="147"/>
    </w:p>
    <w:tbl>
      <w:tblPr>
        <w:tblStyle w:val="a4"/>
        <w:tblW w:w="8296" w:type="dxa"/>
        <w:tblLayout w:type="fixed"/>
        <w:tblLook w:val="04A0" w:firstRow="1" w:lastRow="0" w:firstColumn="1" w:lastColumn="0" w:noHBand="0" w:noVBand="1"/>
      </w:tblPr>
      <w:tblGrid>
        <w:gridCol w:w="1980"/>
        <w:gridCol w:w="6316"/>
      </w:tblGrid>
      <w:tr w:rsidR="00B229A7" w14:paraId="4609F161" w14:textId="77777777">
        <w:tc>
          <w:tcPr>
            <w:tcW w:w="1980" w:type="dxa"/>
          </w:tcPr>
          <w:p w14:paraId="38C435C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5A4FE4D0"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1116</w:t>
            </w:r>
          </w:p>
        </w:tc>
      </w:tr>
      <w:tr w:rsidR="00B229A7" w14:paraId="09803380" w14:textId="77777777">
        <w:tc>
          <w:tcPr>
            <w:tcW w:w="1980" w:type="dxa"/>
          </w:tcPr>
          <w:p w14:paraId="067DECB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27EEA6C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11互联网IT类</w:t>
            </w:r>
          </w:p>
        </w:tc>
      </w:tr>
      <w:tr w:rsidR="00B229A7" w14:paraId="63E024BB" w14:textId="77777777">
        <w:tc>
          <w:tcPr>
            <w:tcW w:w="1980" w:type="dxa"/>
          </w:tcPr>
          <w:p w14:paraId="164472D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5AF77F6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2016年、2017</w:t>
            </w:r>
          </w:p>
        </w:tc>
      </w:tr>
      <w:tr w:rsidR="00B229A7" w14:paraId="606F3C19" w14:textId="77777777">
        <w:tc>
          <w:tcPr>
            <w:tcW w:w="1980" w:type="dxa"/>
          </w:tcPr>
          <w:p w14:paraId="28EDF34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4B99A58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长园和鹰智能科技有限公司</w:t>
            </w:r>
          </w:p>
        </w:tc>
      </w:tr>
      <w:tr w:rsidR="00B229A7" w14:paraId="7C7436F6" w14:textId="77777777">
        <w:tc>
          <w:tcPr>
            <w:tcW w:w="1980" w:type="dxa"/>
          </w:tcPr>
          <w:p w14:paraId="26617D0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050719C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从事智能科技、工业自动化科技、机电科技领域内技术开发、技术咨询、技术服务；电子产品、机械设备、机电产品、五金交电的进出口、佣金代理（拍卖除外）和批发，以及其它相关的配套服务；计算机软件的技术开发、技术咨询、技术服务。</w:t>
            </w:r>
          </w:p>
        </w:tc>
      </w:tr>
      <w:tr w:rsidR="00B229A7" w14:paraId="7F0CEB3F" w14:textId="77777777">
        <w:tc>
          <w:tcPr>
            <w:tcW w:w="1980" w:type="dxa"/>
          </w:tcPr>
          <w:p w14:paraId="116D758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2F418C56"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00B19B1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长园和鹰智能科技有限公司于2006年8月10日在闵行区市场监督管理局登记成立。法定代表人尹智勇，公司经营范围包括从事智能科技、工业自动化科技、机电科技领域内技术开发等。</w:t>
            </w:r>
          </w:p>
          <w:p w14:paraId="389828CF"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40626A6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2016年6月7日，长园集团以18.8亿元现金收购了长园和鹰80％的股份，溢价率高达652.02%。支撑高溢价的关键正是长园和鹰被并购时做出的业绩承诺。长园和鹰原股东承诺，长园和鹰在2016、2017年净利润分别不少于1.5亿元、2亿元，两年合计净利润不少于3.5亿元。如果长园和鹰利润没有达到业绩承诺的目标，那么业绩补偿义务人也就是长园和鹰之前的股东需要按照并购协议的相关业绩承诺约定对长园集团进行利润补偿。2016年7月28日，长园和鹰完成了股权变更登记手续，正式成为长园集团旗下的控股子公司。</w:t>
            </w:r>
          </w:p>
          <w:p w14:paraId="1A9921F4"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7FB83F0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2016年、2017年长园和鹰虚增业绩导致长园集团2016年度报告虚增营业收入14，971.27万元，虚增利润总额12，300.38万元，分别占公开披露的长园集团当期营业收入、利润总额（追溯调整前）的2.56%、15.21%；2017年度报告虚增营业收入20，958.78万元，虚增利润总额17，989.83万元，分别占公开披露的长园集团当期营业收入、利润总额（追溯调整前）的2.82%、14.85%。对上述行为此前深圳证监局已作出行政处罚。</w:t>
            </w:r>
          </w:p>
          <w:p w14:paraId="5A567131"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lastRenderedPageBreak/>
              <w:t>长园集团不仅造假了财务报告，还恶意套现了28亿的财产。该集团在被曝光财务造假之前，迅速将手中持有的股票大量卖出，当股民们发现他们的这一违法行径时，已经为时已晚，大量财产被这个违法集团卷走，股民的利益严重受损。</w:t>
            </w:r>
          </w:p>
          <w:p w14:paraId="41413EA4" w14:textId="77777777" w:rsidR="00B229A7" w:rsidRDefault="00D7072C">
            <w:pPr>
              <w:spacing w:line="276" w:lineRule="auto"/>
              <w:ind w:firstLineChars="200" w:firstLine="420"/>
              <w:rPr>
                <w:rFonts w:ascii="宋体" w:hAnsi="宋体"/>
                <w:color w:val="000000" w:themeColor="text1"/>
                <w:kern w:val="0"/>
                <w:szCs w:val="21"/>
              </w:rPr>
            </w:pPr>
            <w:r>
              <w:rPr>
                <w:rFonts w:ascii="宋体" w:hAnsi="宋体" w:hint="eastAsia"/>
                <w:color w:val="000000" w:themeColor="text1"/>
                <w:kern w:val="0"/>
                <w:szCs w:val="21"/>
              </w:rPr>
              <w:t>长园集团控股子公司长园和鹰智能科技有限公司（以下简称长园和鹰）通过虚构海外销售、提前确认收入、重复确认收入、签订“阴阳合同”、项目核算不符合会计准则等多种方式虚增业绩，长园集团2016年、2017年分别虚增利润总额1.23亿元和1.8亿元，占到当期利润总额的15%左右，但大华所却对长园集团2016年、2017年财务报表出具了标准无保留意见的审计报告。</w:t>
            </w:r>
          </w:p>
        </w:tc>
      </w:tr>
      <w:tr w:rsidR="00B229A7" w14:paraId="2D4F4E76" w14:textId="77777777">
        <w:tc>
          <w:tcPr>
            <w:tcW w:w="1980" w:type="dxa"/>
          </w:tcPr>
          <w:p w14:paraId="2DA9CFA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668F94E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大华会计师事务所</w:t>
            </w:r>
          </w:p>
        </w:tc>
      </w:tr>
      <w:tr w:rsidR="00B229A7" w14:paraId="7057CC78" w14:textId="77777777">
        <w:tc>
          <w:tcPr>
            <w:tcW w:w="1980" w:type="dxa"/>
          </w:tcPr>
          <w:p w14:paraId="5681CCB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审计受罚或责任详情</w:t>
            </w:r>
          </w:p>
        </w:tc>
        <w:tc>
          <w:tcPr>
            <w:tcW w:w="6316" w:type="dxa"/>
          </w:tcPr>
          <w:p w14:paraId="4C97B67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一、对大华会计师事务所（特殊普通合伙）责令改正，没收业务收入3867924.53元，并处以7735849.06元罚款；</w:t>
            </w:r>
          </w:p>
          <w:p w14:paraId="733FC43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　　二、对刘基强、张洪富、莫建民、陈良给予警告，并分别处以6万元罚款。</w:t>
            </w:r>
          </w:p>
        </w:tc>
      </w:tr>
      <w:tr w:rsidR="00B229A7" w14:paraId="5C08D6DF" w14:textId="77777777">
        <w:tc>
          <w:tcPr>
            <w:tcW w:w="1980" w:type="dxa"/>
          </w:tcPr>
          <w:p w14:paraId="734C0AE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474B551A"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近年来，监管机构不断强化中介机构监管，其中审计机构作为重要的“守门人”更是监管的重中之重。</w:t>
            </w:r>
          </w:p>
          <w:p w14:paraId="300C92CC"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　　“可以预计，在强监管、零容忍的监管态势以及各市场参与主体的期待下，会计师事务所将面临更大的履职约束。注册会计师也只有真正地保持定力、顶住压力，敢于对不真实、不准确的财务信息披露’亮剑’，才能有效发挥作用，切实承担起资本市场’看门人’的职责。”资深监管人士指出。</w:t>
            </w:r>
          </w:p>
          <w:p w14:paraId="6D687978"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　</w:t>
            </w:r>
          </w:p>
        </w:tc>
      </w:tr>
      <w:tr w:rsidR="00B229A7" w14:paraId="3F3852C1" w14:textId="77777777">
        <w:tc>
          <w:tcPr>
            <w:tcW w:w="1980" w:type="dxa"/>
          </w:tcPr>
          <w:p w14:paraId="5A28009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316" w:type="dxa"/>
          </w:tcPr>
          <w:p w14:paraId="4BABFABF"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通过更改以下问题可以实施正确方法。</w:t>
            </w:r>
          </w:p>
          <w:p w14:paraId="1FBF5352"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一是在识别、评估重大错报风险方面存在缺陷。长园集团收购长园和鹰股权时存在业绩承诺约定，即后者在2016年度、2017年度累积合并报表口径扣非净利润不少于35000万元，而实际结果是33200.62万元，完成率约95%，接近达标。大华所2016年未充分了解被审计单位及其环境，未识别出长园和鹰因业绩承诺产生的舞弊动机和压力，未恰当评估长园和鹰在收入确认方面的舞弊风险。</w:t>
            </w:r>
          </w:p>
          <w:p w14:paraId="09EC33C7" w14:textId="77777777" w:rsidR="00B229A7" w:rsidRDefault="00B229A7">
            <w:pPr>
              <w:tabs>
                <w:tab w:val="left" w:pos="2160"/>
              </w:tabs>
              <w:spacing w:line="276" w:lineRule="auto"/>
              <w:rPr>
                <w:rStyle w:val="11"/>
                <w:rFonts w:ascii="宋体" w:hAnsi="宋体"/>
                <w:i w:val="0"/>
                <w:iCs w:val="0"/>
                <w:color w:val="000000" w:themeColor="text1"/>
                <w:kern w:val="0"/>
                <w:szCs w:val="21"/>
              </w:rPr>
            </w:pPr>
          </w:p>
          <w:p w14:paraId="458B1B9B"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　　二是应收账款函证程序存在缺陷。大华所未对部分大额应收账款实施函证程序，对可靠性存疑的回函未进一步获取审计证据消除疑虑，对部分未回函客户未实施替代程序。</w:t>
            </w:r>
          </w:p>
          <w:p w14:paraId="04AED9A3" w14:textId="77777777" w:rsidR="00B229A7" w:rsidRDefault="00B229A7">
            <w:pPr>
              <w:tabs>
                <w:tab w:val="left" w:pos="2160"/>
              </w:tabs>
              <w:spacing w:line="276" w:lineRule="auto"/>
              <w:rPr>
                <w:rStyle w:val="11"/>
                <w:rFonts w:ascii="宋体" w:hAnsi="宋体"/>
                <w:i w:val="0"/>
                <w:iCs w:val="0"/>
                <w:color w:val="000000" w:themeColor="text1"/>
                <w:kern w:val="0"/>
                <w:szCs w:val="21"/>
              </w:rPr>
            </w:pPr>
          </w:p>
          <w:p w14:paraId="42DFEAE7"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　　三是未保持应有的职业怀疑审慎评价已获取的审计证据。如大华所获取的长园和鹰子公司和鹰租赁与客户中蔼万家的合同明细表显示，同一编号合同的“开票金额”均是“合同金额”的4倍，但</w:t>
            </w:r>
            <w:r>
              <w:rPr>
                <w:rStyle w:val="11"/>
                <w:rFonts w:ascii="宋体" w:hAnsi="宋体" w:hint="eastAsia"/>
                <w:i w:val="0"/>
                <w:iCs w:val="0"/>
                <w:color w:val="000000" w:themeColor="text1"/>
                <w:kern w:val="0"/>
                <w:szCs w:val="21"/>
              </w:rPr>
              <w:lastRenderedPageBreak/>
              <w:t>大华所在2017年年报审计过程中未对和鹰租赁订立“阴阳合同”的舞弊迹象保持应有的职业怀疑。</w:t>
            </w:r>
          </w:p>
          <w:p w14:paraId="23436B99" w14:textId="77777777" w:rsidR="00B229A7" w:rsidRDefault="00B229A7">
            <w:pPr>
              <w:tabs>
                <w:tab w:val="left" w:pos="2160"/>
              </w:tabs>
              <w:spacing w:line="276" w:lineRule="auto"/>
              <w:rPr>
                <w:rStyle w:val="11"/>
                <w:rFonts w:ascii="宋体" w:hAnsi="宋体"/>
                <w:i w:val="0"/>
                <w:iCs w:val="0"/>
                <w:color w:val="000000" w:themeColor="text1"/>
                <w:kern w:val="0"/>
                <w:szCs w:val="21"/>
              </w:rPr>
            </w:pPr>
          </w:p>
          <w:p w14:paraId="6C839197"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　　四是未获取充分、适当的审计证据。大华所在2017年年报审计过程中仅审查了和鹰租赁与中蔼万家融资租赁业务起租通知书，且起租通知书仅有和鹰租赁单方面盖章，未检查相关交付验收单据，未获取和鹰租赁、和鹰设备履行全部发货义务的证据，即认可确认相关销售收入。大华所将前述中蔼万家融资租赁业务中的2200万元中介佣金由销售费用审计调整至营业成本，但相应调整没有充分、适当的审计证据支持，审计底稿也未说明调整的理由和依据。</w:t>
            </w:r>
          </w:p>
          <w:p w14:paraId="0E7532DD" w14:textId="77777777" w:rsidR="00B229A7" w:rsidRDefault="00B229A7">
            <w:pPr>
              <w:tabs>
                <w:tab w:val="left" w:pos="2160"/>
              </w:tabs>
              <w:spacing w:line="276" w:lineRule="auto"/>
              <w:rPr>
                <w:rStyle w:val="11"/>
                <w:rFonts w:ascii="宋体" w:hAnsi="宋体"/>
                <w:i w:val="0"/>
                <w:iCs w:val="0"/>
                <w:color w:val="000000" w:themeColor="text1"/>
                <w:kern w:val="0"/>
                <w:szCs w:val="21"/>
              </w:rPr>
            </w:pPr>
          </w:p>
          <w:p w14:paraId="412CF611"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　　五是未审慎评价在实施分析程序时识别出的异常关系。大华所将中蔼万家融资租赁业务2200万元中介佣金由销售费用调整至营业成本后，该笔业务销售平均毛利率降至49%，但该毛利率水平仍远高于2017年和鹰设备整体吊挂系统销售毛利率25.92%和自动裁剪机销售毛利率15.24%。大华所未对中蔼万家业务销售平均毛利率高企的异常情况予以充分关注，未对差异原因作进一步调查。</w:t>
            </w:r>
          </w:p>
          <w:p w14:paraId="74E8C356" w14:textId="77777777" w:rsidR="00B229A7" w:rsidRDefault="00B229A7">
            <w:pPr>
              <w:tabs>
                <w:tab w:val="left" w:pos="2160"/>
              </w:tabs>
              <w:spacing w:line="276" w:lineRule="auto"/>
              <w:rPr>
                <w:rStyle w:val="11"/>
                <w:rFonts w:ascii="宋体" w:hAnsi="宋体"/>
                <w:i w:val="0"/>
                <w:iCs w:val="0"/>
                <w:color w:val="000000" w:themeColor="text1"/>
                <w:kern w:val="0"/>
                <w:szCs w:val="21"/>
              </w:rPr>
            </w:pPr>
          </w:p>
          <w:p w14:paraId="209AC04B"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　　六是未合理运用职业判断。大华所未关注到《7470万元合同》已于2016年12月29日被《3.4亿元合同》所取代，且智能裁剪系统、服装吊挂系统及智能三维人体扫描仪是安徽红爱智能工厂整体项目的组成部分，按照《企业会计准则第15号-建造合同》第七条的规定，相关商品应当纳入智能工厂项目整体按照建造合同进行核算。</w:t>
            </w:r>
          </w:p>
          <w:p w14:paraId="6BCFAF12" w14:textId="77777777" w:rsidR="00B229A7" w:rsidRDefault="00B229A7">
            <w:pPr>
              <w:tabs>
                <w:tab w:val="left" w:pos="2160"/>
              </w:tabs>
              <w:spacing w:line="276" w:lineRule="auto"/>
              <w:rPr>
                <w:rStyle w:val="11"/>
                <w:rFonts w:ascii="宋体" w:hAnsi="宋体"/>
                <w:i w:val="0"/>
                <w:iCs w:val="0"/>
                <w:color w:val="000000" w:themeColor="text1"/>
                <w:kern w:val="0"/>
                <w:szCs w:val="21"/>
              </w:rPr>
            </w:pPr>
          </w:p>
          <w:p w14:paraId="197C3DBA"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　　七是合并报表时计算数据错误。按照被审计对象选择的完工百分比法，山东昊宝服饰有限公司智能工厂项目在2017年应确认1538.26万元收入，635.72万元成本。大华所在对长园和鹰合并层面进行核算时，将该项目收入错列为2173.98万元，成本错列为1538.26万元，导致长园集团2017年年报披露的基础数据出现错误，执业不审慎，未勤勉尽责。</w:t>
            </w:r>
          </w:p>
          <w:p w14:paraId="4E58C988" w14:textId="77777777" w:rsidR="00B229A7" w:rsidRDefault="00B229A7">
            <w:pPr>
              <w:spacing w:line="276" w:lineRule="auto"/>
              <w:rPr>
                <w:rFonts w:ascii="宋体" w:hAnsi="宋体"/>
                <w:color w:val="000000" w:themeColor="text1"/>
                <w:kern w:val="0"/>
                <w:szCs w:val="21"/>
              </w:rPr>
            </w:pPr>
          </w:p>
        </w:tc>
      </w:tr>
    </w:tbl>
    <w:p w14:paraId="6ECB829D" w14:textId="77777777" w:rsidR="00B229A7" w:rsidRDefault="00B229A7">
      <w:pPr>
        <w:spacing w:line="276" w:lineRule="auto"/>
        <w:rPr>
          <w:rFonts w:ascii="宋体" w:hAnsi="宋体"/>
          <w:color w:val="000000" w:themeColor="text1"/>
          <w:szCs w:val="21"/>
        </w:rPr>
      </w:pPr>
    </w:p>
    <w:p w14:paraId="105EAC56" w14:textId="77777777" w:rsidR="00B229A7" w:rsidRDefault="00D7072C">
      <w:pPr>
        <w:pStyle w:val="1"/>
      </w:pPr>
      <w:bookmarkStart w:id="148" w:name="_Toc104812521"/>
      <w:bookmarkStart w:id="149" w:name="_Toc104812340"/>
      <w:bookmarkStart w:id="150" w:name="_Toc104812619"/>
      <w:r>
        <w:rPr>
          <w:rFonts w:hint="eastAsia"/>
        </w:rPr>
        <w:t>4</w:t>
      </w:r>
      <w:r>
        <w:t>2</w:t>
      </w:r>
      <w:r>
        <w:rPr>
          <w:rFonts w:hint="eastAsia"/>
        </w:rPr>
        <w:t>盈方微违规案例</w:t>
      </w:r>
      <w:bookmarkEnd w:id="148"/>
      <w:bookmarkEnd w:id="149"/>
      <w:bookmarkEnd w:id="150"/>
    </w:p>
    <w:tbl>
      <w:tblPr>
        <w:tblStyle w:val="a4"/>
        <w:tblW w:w="8296" w:type="dxa"/>
        <w:tblLayout w:type="fixed"/>
        <w:tblLook w:val="04A0" w:firstRow="1" w:lastRow="0" w:firstColumn="1" w:lastColumn="0" w:noHBand="0" w:noVBand="1"/>
      </w:tblPr>
      <w:tblGrid>
        <w:gridCol w:w="1980"/>
        <w:gridCol w:w="6316"/>
      </w:tblGrid>
      <w:tr w:rsidR="00B229A7" w14:paraId="381A4138" w14:textId="77777777">
        <w:tc>
          <w:tcPr>
            <w:tcW w:w="1980" w:type="dxa"/>
          </w:tcPr>
          <w:p w14:paraId="1B0616E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53A9E74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1117</w:t>
            </w:r>
          </w:p>
        </w:tc>
      </w:tr>
      <w:tr w:rsidR="00B229A7" w14:paraId="1F290C1D" w14:textId="77777777">
        <w:tc>
          <w:tcPr>
            <w:tcW w:w="1980" w:type="dxa"/>
          </w:tcPr>
          <w:p w14:paraId="6244E48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案例</w:t>
            </w:r>
            <w:r>
              <w:rPr>
                <w:rFonts w:ascii="宋体" w:hAnsi="宋体"/>
                <w:color w:val="000000" w:themeColor="text1"/>
                <w:kern w:val="0"/>
                <w:szCs w:val="21"/>
              </w:rPr>
              <w:t>行业类别</w:t>
            </w:r>
          </w:p>
        </w:tc>
        <w:tc>
          <w:tcPr>
            <w:tcW w:w="6316" w:type="dxa"/>
          </w:tcPr>
          <w:p w14:paraId="0800BB9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11互联网IT类</w:t>
            </w:r>
          </w:p>
        </w:tc>
      </w:tr>
      <w:tr w:rsidR="00B229A7" w14:paraId="2AF20ED3" w14:textId="77777777">
        <w:tc>
          <w:tcPr>
            <w:tcW w:w="1980" w:type="dxa"/>
          </w:tcPr>
          <w:p w14:paraId="04C264D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30A4523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2015</w:t>
            </w:r>
          </w:p>
        </w:tc>
      </w:tr>
      <w:tr w:rsidR="00B229A7" w14:paraId="1DFB79B7" w14:textId="77777777">
        <w:tc>
          <w:tcPr>
            <w:tcW w:w="1980" w:type="dxa"/>
          </w:tcPr>
          <w:p w14:paraId="232F732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6E6118A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盈方微电子股份有限公司</w:t>
            </w:r>
          </w:p>
        </w:tc>
      </w:tr>
      <w:tr w:rsidR="00B229A7" w14:paraId="7ADE02CD" w14:textId="77777777">
        <w:tc>
          <w:tcPr>
            <w:tcW w:w="1980" w:type="dxa"/>
          </w:tcPr>
          <w:p w14:paraId="53791A0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67E943E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集成电路芯片、电子产品及计算机软硬件（除计算机信息系统安全专用产品）的研发、设计和销售；数据收集、分析与数据服务；数据管理软件产品以及数据管理整体解决方案的研发、销售；计算机技术领域内的技术开发、技术咨询、技术转让、技术服务；投资公司、从事实业投资活动</w:t>
            </w:r>
          </w:p>
        </w:tc>
      </w:tr>
      <w:tr w:rsidR="00B229A7" w14:paraId="5239A1C9" w14:textId="77777777">
        <w:tc>
          <w:tcPr>
            <w:tcW w:w="1980" w:type="dxa"/>
          </w:tcPr>
          <w:p w14:paraId="321E5A2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517632CF"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E880D7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ST盈方的全称是盈方微电子股份有限公司，公司起源于天发石油股份有限公司，2008年，公司名称变更为舜元地产发展股份有限公司，2013年又变更为舜元实业发展股份有限公司。舜元实业是股权分置改革中的最后一家公司，2014年盈方微借壳舜元实业完成上市，同年8月深圳证券交易所将证券简称正式更名为“盈方微”，证券代码“000670”。公司运营总部位于上海，同时在境内、外多地设有分支机构。*ST盈方是提供智能系统服务的运营商，其核心是设计和研发集成电路，在大数据运营的支撑下，从供应链入手整合、优化智能终端。针对专业集成电路的设计，*ST盈方在研发和应用智能处理器SOC芯片的基础上，按照不同需求对市场进行细分，推出相适应的芯片。针对智能系统的运营，*ST盈方则将后台</w:t>
            </w:r>
          </w:p>
          <w:p w14:paraId="04792EA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大数据、智能终端、互联网、北斗系统、物联网等整合，提供数据运营维护、智能家居等服务。</w:t>
            </w:r>
          </w:p>
          <w:p w14:paraId="38006F46" w14:textId="77777777" w:rsidR="00B229A7" w:rsidRDefault="00B229A7">
            <w:pPr>
              <w:spacing w:line="276" w:lineRule="auto"/>
              <w:rPr>
                <w:rFonts w:ascii="宋体" w:hAnsi="宋体"/>
                <w:color w:val="000000" w:themeColor="text1"/>
                <w:kern w:val="0"/>
                <w:szCs w:val="21"/>
              </w:rPr>
            </w:pPr>
          </w:p>
          <w:p w14:paraId="03B9B4C3"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065858A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高新技术飞速更迭的背景下，国家政策近年来始终大力扶持*ST盈方这类致力于高新技术研发和应用的公司，希望这些企业能研究设计出更多、更好的创新技术，推动社会发展，造福人类。盈方微身处这样具有发展潜力的朝阳产业，又成功借壳上市，有了更大、资源更优质的平台，不仅没有取得应有的成绩，还频频出现问题。盈利能力的持续下降，导致业绩承诺无法完成，加上内控体系严重失灵，最终走投无路，选择铤而走险进行财务造假来粉饰自己糟糕的经营业绩。</w:t>
            </w:r>
          </w:p>
          <w:p w14:paraId="064D16BF" w14:textId="77777777" w:rsidR="00B229A7" w:rsidRDefault="00B229A7">
            <w:pPr>
              <w:spacing w:line="276" w:lineRule="auto"/>
              <w:rPr>
                <w:rFonts w:ascii="宋体" w:hAnsi="宋体"/>
                <w:color w:val="000000" w:themeColor="text1"/>
                <w:kern w:val="0"/>
                <w:szCs w:val="21"/>
              </w:rPr>
            </w:pPr>
          </w:p>
          <w:p w14:paraId="566E5356"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617FDBB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2虚增营业收入</w:t>
            </w:r>
          </w:p>
          <w:p w14:paraId="011BD9C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随着市场的不断打开，*ST盈方的数据中心服务业务发展到了境外，2015年至2017年，美国的</w:t>
            </w:r>
            <w:proofErr w:type="spellStart"/>
            <w:r>
              <w:rPr>
                <w:rFonts w:ascii="宋体" w:hAnsi="宋体" w:hint="eastAsia"/>
                <w:color w:val="000000" w:themeColor="text1"/>
                <w:kern w:val="0"/>
                <w:szCs w:val="21"/>
              </w:rPr>
              <w:t>HighSharpElectronicLimited</w:t>
            </w:r>
            <w:proofErr w:type="spellEnd"/>
            <w:r>
              <w:rPr>
                <w:rFonts w:ascii="宋体" w:hAnsi="宋体" w:hint="eastAsia"/>
                <w:color w:val="000000" w:themeColor="text1"/>
                <w:kern w:val="0"/>
                <w:szCs w:val="21"/>
              </w:rPr>
              <w:t>（高锐电子有限公司，以下简称高锐电子）成为其重要客户，*ST盈方主要</w:t>
            </w:r>
            <w:r>
              <w:rPr>
                <w:rFonts w:ascii="宋体" w:hAnsi="宋体" w:hint="eastAsia"/>
                <w:color w:val="000000" w:themeColor="text1"/>
                <w:kern w:val="0"/>
                <w:szCs w:val="21"/>
              </w:rPr>
              <w:lastRenderedPageBreak/>
              <w:t>为高锐电子提供场地租赁及数据运营维护服务。</w:t>
            </w:r>
            <w:proofErr w:type="spellStart"/>
            <w:r>
              <w:rPr>
                <w:rFonts w:ascii="宋体" w:hAnsi="宋体" w:hint="eastAsia"/>
                <w:color w:val="000000" w:themeColor="text1"/>
                <w:kern w:val="0"/>
                <w:szCs w:val="21"/>
              </w:rPr>
              <w:t>Infotm.Inc</w:t>
            </w:r>
            <w:proofErr w:type="spellEnd"/>
            <w:r>
              <w:rPr>
                <w:rFonts w:ascii="宋体" w:hAnsi="宋体" w:hint="eastAsia"/>
                <w:color w:val="000000" w:themeColor="text1"/>
                <w:kern w:val="0"/>
                <w:szCs w:val="21"/>
              </w:rPr>
              <w:t>.（以</w:t>
            </w:r>
          </w:p>
          <w:p w14:paraId="247ECE9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下简称美国盈方微）是*ST盈方的全资子公司，美国盈方微与高锐电子签订了《场地租赁服务合同》；*ST盈方的另一家全资子公司，也就是上海盈方微电子有限公司(以下简称上海盈方微），则与高锐电子签订了《资料中心数据运营维护管理委托服务合同》。《场地租赁服务合同》中约定，双方开始合作的时间是2015年7月10日，合同关系的终止日期为2017年7月31日，自签订合同当年的9月1日起，高锐电子每月需要向美国盈方微支付90万美元</w:t>
            </w:r>
          </w:p>
          <w:p w14:paraId="2FC9014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作为租赁服务费；另一方面，《资料中心数据运营维护管理委托服务合同》中约定，上海盈方微与高锐电子的合作期间为2015年7月10日至2017年7月31日。双方合作的当年8月，上海盈方微向高锐电子收取60万美元的运营管理费，次月起运营管理费是每月220万美元。按照合同内容的要求，*ST盈方要在其自有的土地上，建造达到标准的相关设施，并且提供运营维护服务。然而规定的期限内，在自有土地上*ST盈方没能将土建工程顺利完工，合同双方只得在2015年8月签订补充合同，美国盈方微可以先通过另外租赁土地，向高锐电子提供数据中心服务。</w:t>
            </w:r>
          </w:p>
          <w:p w14:paraId="4D43C90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但是通过调查发现，2015年的8月和9月，*ST盈方实际上并没有履行合同中所约定的义务。情况如下：①*ST盈方事实上是从2015年10月1日开始，才另外租赁土地的，此前，</w:t>
            </w:r>
          </w:p>
          <w:p w14:paraId="3C837F1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*ST盈方根本没有场地可以提供给数据中心使用，自然也无法为高锐电子提供相应的服务。</w:t>
            </w:r>
          </w:p>
          <w:p w14:paraId="1BAECB2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②数据中心服务所使用的供电设备是在2015年10月才购买的，10月之前没有供电设备投入使用，*ST盈方无法为数据中心提供电力。③美国盈方微另外租赁的土地上，相关的基础工程建设及日常维护也是从2015年10月才开始进行。④在数据中心的机柜中，2015年8月、9月没有实际运行数量。⑤*ST盈方并没有提供数据中心服务器的运营服务，也从未向高锐电子提供过有关服务器的运行报告。根据《企业会计准则》中的收入确认条件，*ST盈方显然不应当确认当初所签订合同中归属于2015年8月、9月的收入。会计上的不当操作，造成上海盈方微2015年营业收入虚增了17,890,040.00元，美国盈方微2015年财务报表虚增营业收入900,000.00美元。</w:t>
            </w:r>
          </w:p>
          <w:p w14:paraId="1BB55DE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虚减期间费用</w:t>
            </w:r>
          </w:p>
          <w:p w14:paraId="17E1527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2015年*ST盈方在虚增收入的同时，也虚增了营业成本：上海盈方微虚增营业成本为了获得新老股东的青睐，*ST盈方在短时间内签了各种大额订单，还与研究所开展合作，为自己贴上了“北斗导航”和“物联网”的新兴产业标签，一时间成为万众追捧的明星股，但是很快*ST盈方的业绩就开始大幅滑坡。上市当年，*ST盈方便交出</w:t>
            </w:r>
            <w:r>
              <w:rPr>
                <w:rFonts w:ascii="宋体" w:hAnsi="宋体" w:hint="eastAsia"/>
                <w:color w:val="000000" w:themeColor="text1"/>
                <w:kern w:val="0"/>
                <w:szCs w:val="21"/>
              </w:rPr>
              <w:lastRenderedPageBreak/>
              <w:t>净利润下降58.67%的成绩单；在2015年财报被出具无法表示意见后，“戴帽ST”；2016年薄利去帽后，2017年净利润巨额亏损3.3亿元；2018年继续亏损1.78亿元，同年2月实际控制人陈志成因涉嫌票据诈骗被逮捕。2019年3月27日，因美国数据中心业务终止，且近期无法恢复，*ST盈方再次“戴帽ST”。4月上市公司披露2018年年报后，由于被实行退市风险预警“戴帽加星”，*ST盈方已在退市边缘摇摇欲坠。回顾盈方微借壳上市前后几年的发展过程，不难发现，其内部控制机制已出现了明显的问题，管理混乱不堪，业务也长期难以正常开展，盈利能力较差。在借壳上市这么短的时间内就问题频发，*ST盈方为了安抚其他股东和投资者的情绪，在2014年利润骤降的压力下，2015年*ST盈方通过财务造假将当年净利润比上期提高了94.25%。</w:t>
            </w:r>
          </w:p>
          <w:p w14:paraId="3A25ABB9" w14:textId="77777777" w:rsidR="00B229A7" w:rsidRDefault="00B229A7">
            <w:pPr>
              <w:spacing w:line="276" w:lineRule="auto"/>
              <w:rPr>
                <w:rFonts w:ascii="宋体" w:hAnsi="宋体"/>
                <w:color w:val="000000" w:themeColor="text1"/>
                <w:kern w:val="0"/>
                <w:szCs w:val="21"/>
              </w:rPr>
            </w:pPr>
          </w:p>
        </w:tc>
      </w:tr>
      <w:tr w:rsidR="00B229A7" w14:paraId="089B19D7" w14:textId="77777777">
        <w:tc>
          <w:tcPr>
            <w:tcW w:w="1980" w:type="dxa"/>
          </w:tcPr>
          <w:p w14:paraId="0800841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16D8720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亚太（集团）会计师事务所</w:t>
            </w:r>
          </w:p>
        </w:tc>
      </w:tr>
      <w:tr w:rsidR="00B229A7" w14:paraId="6B6F853C" w14:textId="77777777">
        <w:tc>
          <w:tcPr>
            <w:tcW w:w="1980" w:type="dxa"/>
          </w:tcPr>
          <w:p w14:paraId="413AEF6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审计受罚或责任详情</w:t>
            </w:r>
          </w:p>
        </w:tc>
        <w:tc>
          <w:tcPr>
            <w:tcW w:w="6316" w:type="dxa"/>
          </w:tcPr>
          <w:p w14:paraId="0CFFE36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1.对盈方微责令改正，给予警告，并处以罚款60万元；</w:t>
            </w:r>
          </w:p>
          <w:p w14:paraId="4FC449E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2.对陈志成给予警告，并处以罚款30万元；</w:t>
            </w:r>
          </w:p>
          <w:p w14:paraId="3853E81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3.对赵海峰给予警告，并处以罚款10万元；</w:t>
            </w:r>
          </w:p>
          <w:p w14:paraId="05FB13D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4.对史浩樑、李元、唐忠民、丁强、张怡等5人给予警告，并分别处以罚款5万元。</w:t>
            </w:r>
          </w:p>
          <w:p w14:paraId="0C35116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5.对陈炎表给予警告，并处以罚款3万元。</w:t>
            </w:r>
          </w:p>
          <w:p w14:paraId="6AE8436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此外，陈志成为违法行为情节严重，证监会拟决定：对陈志成采取5年证券市场禁入措施，自证监会宣布决定之日起，在禁入期间内，不得继续在原机构从事证券业务或者担任原上市公司、其他上市公司、非上市公众公司董监高职务。</w:t>
            </w:r>
          </w:p>
        </w:tc>
      </w:tr>
      <w:tr w:rsidR="00B229A7" w14:paraId="0BEB0439" w14:textId="77777777">
        <w:tc>
          <w:tcPr>
            <w:tcW w:w="1980" w:type="dxa"/>
          </w:tcPr>
          <w:p w14:paraId="30574A8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1FD20C82" w14:textId="77777777" w:rsidR="00B229A7" w:rsidRDefault="00D7072C">
            <w:pPr>
              <w:numPr>
                <w:ilvl w:val="0"/>
                <w:numId w:val="9"/>
              </w:num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加强会计人员的职业道德建设</w:t>
            </w:r>
          </w:p>
          <w:p w14:paraId="5836A24E" w14:textId="77777777" w:rsidR="00B229A7" w:rsidRDefault="00D7072C">
            <w:pPr>
              <w:numPr>
                <w:ilvl w:val="0"/>
                <w:numId w:val="9"/>
              </w:num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会计人员的职业道德水平和专业素质直接决定了会计信息质</w:t>
            </w:r>
          </w:p>
          <w:p w14:paraId="42FD6453"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量，所以，加强会计人员的职业道德建设显得尤为重要，从源头上杜绝财务报表造假的可能性，这对国家采取更为规范的手段加强射十职錄范射５１１出了更髙的要求。</w:t>
            </w:r>
          </w:p>
          <w:p w14:paraId="0DFEA3C4" w14:textId="77777777" w:rsidR="00B229A7" w:rsidRDefault="00D7072C">
            <w:pPr>
              <w:numPr>
                <w:ilvl w:val="0"/>
                <w:numId w:val="10"/>
              </w:num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强化内部控制制度</w:t>
            </w:r>
          </w:p>
          <w:p w14:paraId="7CDD40FC" w14:textId="77777777" w:rsidR="00B229A7" w:rsidRDefault="00D7072C">
            <w:pPr>
              <w:numPr>
                <w:ilvl w:val="0"/>
                <w:numId w:val="10"/>
              </w:num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纵观财务造假的上市公司，其内部控制都没有较好的发挥作</w:t>
            </w:r>
          </w:p>
          <w:p w14:paraId="4F12F8E2"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用。为了提高内部控制的有效性，企业管理人员需要更好的掌握从事企业内部控制系统建设所需的基本理论、法规要求、实务操作技能、评价指标和管理方法，将内部控制真正的应用到实处。（三）完善相关法律法规’加大惩罚力度与违规带来的利益相比，相关法律法规对违规操作的处罚不值一提，这也就导致了许多人为了利益铤而走险。制定与违规后果相匹配的惩罚措施，能够在一定程度上起到藤慑作用，减少财务造假等违规行为。</w:t>
            </w:r>
          </w:p>
          <w:p w14:paraId="25E2E153" w14:textId="77777777" w:rsidR="00B229A7" w:rsidRDefault="00B229A7">
            <w:pPr>
              <w:tabs>
                <w:tab w:val="left" w:pos="2160"/>
              </w:tabs>
              <w:spacing w:line="276" w:lineRule="auto"/>
              <w:rPr>
                <w:rStyle w:val="11"/>
                <w:rFonts w:ascii="宋体" w:hAnsi="宋体"/>
                <w:i w:val="0"/>
                <w:iCs w:val="0"/>
                <w:color w:val="000000" w:themeColor="text1"/>
                <w:kern w:val="0"/>
                <w:szCs w:val="21"/>
              </w:rPr>
            </w:pPr>
          </w:p>
        </w:tc>
      </w:tr>
      <w:tr w:rsidR="00B229A7" w14:paraId="2486157D" w14:textId="77777777">
        <w:tc>
          <w:tcPr>
            <w:tcW w:w="1980" w:type="dxa"/>
          </w:tcPr>
          <w:p w14:paraId="520DB4B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72DB425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舞弊风险的存在严重威胁着投资者的投资回报，然而当一家发生了财务舞弊的公司被证券监督管理机构处罚时，往往已经形成了程度较深、规模较大的不良影响。事实上，暂时未被处理的“非舞弊”公司并非绝对安全，也许在其平静的表面下也存在着不容忽视的舞弊风险。</w:t>
            </w:r>
          </w:p>
          <w:p w14:paraId="608D370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在日常经营中，公司的财务报告一般能够较为具体地反映其财务状况和经营成果，发展势态良好的公司，其财务数据大都有着相似的发展趋势或是都分布在某一范围，所以利用好财务报表所呈现的数据，能够前瞻性地对财务舞弊进行预警。本文所引用的舞弊风险指数模型就是以公司的财务数据为依据，通过科学的计算方法和指标选取，将计算结果与样本结果对比，来判定舞弊的潜在风险</w:t>
            </w:r>
          </w:p>
        </w:tc>
      </w:tr>
    </w:tbl>
    <w:p w14:paraId="46F32A7C" w14:textId="77777777" w:rsidR="00B229A7" w:rsidRDefault="00B229A7">
      <w:pPr>
        <w:spacing w:line="276" w:lineRule="auto"/>
        <w:rPr>
          <w:rFonts w:ascii="宋体" w:hAnsi="宋体"/>
          <w:color w:val="000000" w:themeColor="text1"/>
          <w:szCs w:val="21"/>
        </w:rPr>
      </w:pPr>
    </w:p>
    <w:p w14:paraId="79B1BB39" w14:textId="77777777" w:rsidR="00B229A7" w:rsidRDefault="00D7072C">
      <w:pPr>
        <w:pStyle w:val="1"/>
      </w:pPr>
      <w:bookmarkStart w:id="151" w:name="_Toc104812620"/>
      <w:bookmarkStart w:id="152" w:name="_Toc104812341"/>
      <w:bookmarkStart w:id="153" w:name="_Toc104812522"/>
      <w:r>
        <w:rPr>
          <w:rFonts w:hint="eastAsia"/>
        </w:rPr>
        <w:t>4</w:t>
      </w:r>
      <w:r>
        <w:t>3</w:t>
      </w:r>
      <w:r>
        <w:rPr>
          <w:rFonts w:hint="eastAsia"/>
        </w:rPr>
        <w:t>中国建设银行</w:t>
      </w:r>
      <w:r>
        <w:rPr>
          <w:rFonts w:hint="eastAsia"/>
        </w:rPr>
        <w:t>CZ</w:t>
      </w:r>
      <w:r>
        <w:rPr>
          <w:rFonts w:hint="eastAsia"/>
        </w:rPr>
        <w:t>分行员工舞弊</w:t>
      </w:r>
      <w:bookmarkEnd w:id="151"/>
      <w:bookmarkEnd w:id="152"/>
      <w:bookmarkEnd w:id="153"/>
    </w:p>
    <w:tbl>
      <w:tblPr>
        <w:tblStyle w:val="a4"/>
        <w:tblW w:w="8296" w:type="dxa"/>
        <w:tblLayout w:type="fixed"/>
        <w:tblLook w:val="04A0" w:firstRow="1" w:lastRow="0" w:firstColumn="1" w:lastColumn="0" w:noHBand="0" w:noVBand="1"/>
      </w:tblPr>
      <w:tblGrid>
        <w:gridCol w:w="1980"/>
        <w:gridCol w:w="6316"/>
      </w:tblGrid>
      <w:tr w:rsidR="00B229A7" w14:paraId="3F134404" w14:textId="77777777">
        <w:tc>
          <w:tcPr>
            <w:tcW w:w="1980" w:type="dxa"/>
          </w:tcPr>
          <w:p w14:paraId="3268744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6C421B0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125</w:t>
            </w:r>
          </w:p>
        </w:tc>
      </w:tr>
      <w:tr w:rsidR="00B229A7" w14:paraId="6D912782" w14:textId="77777777">
        <w:tc>
          <w:tcPr>
            <w:tcW w:w="1980" w:type="dxa"/>
          </w:tcPr>
          <w:p w14:paraId="6125261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69333BF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金融业</w:t>
            </w:r>
          </w:p>
        </w:tc>
      </w:tr>
      <w:tr w:rsidR="00B229A7" w14:paraId="4F323B02" w14:textId="77777777">
        <w:tc>
          <w:tcPr>
            <w:tcW w:w="1980" w:type="dxa"/>
          </w:tcPr>
          <w:p w14:paraId="74A594D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0F4B1A0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2015</w:t>
            </w:r>
          </w:p>
        </w:tc>
      </w:tr>
      <w:tr w:rsidR="00B229A7" w14:paraId="1B20B608" w14:textId="77777777">
        <w:tc>
          <w:tcPr>
            <w:tcW w:w="1980" w:type="dxa"/>
          </w:tcPr>
          <w:p w14:paraId="550EABF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2EE826A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中国建设银行</w:t>
            </w:r>
          </w:p>
        </w:tc>
      </w:tr>
      <w:tr w:rsidR="00B229A7" w14:paraId="5AB10D44" w14:textId="77777777">
        <w:tc>
          <w:tcPr>
            <w:tcW w:w="1980" w:type="dxa"/>
          </w:tcPr>
          <w:p w14:paraId="50F41C0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3FE54C6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吸收公众存款；发放短期、中期、长期贷款；办理国内外结算；办理票据承兑与贴现；发行金融债券；代理发行、代理兑付、承销政府债券；买卖政府债券、金融债券；从事同业拆借；买卖、代理买卖外汇；从事银行卡业务；提供信用证服务及担保；代理收付款项及代理保险业务；提供保管箱服务；经中国银行业监督管理机构等监管部门批准的其他业务。</w:t>
            </w:r>
          </w:p>
        </w:tc>
      </w:tr>
      <w:tr w:rsidR="00B229A7" w14:paraId="6589B7C1" w14:textId="77777777">
        <w:tc>
          <w:tcPr>
            <w:tcW w:w="1980" w:type="dxa"/>
          </w:tcPr>
          <w:p w14:paraId="5556E19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0119295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D52922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中国建设银行，简称建设银行或建行，最初行名为中国人民建设银行，１９９６年３月２６曰更名为中国建设银行。成立于１９５４年１０月１日，属于股份制商业银行，是国有五大商业银行之一。中国建设银行主要经营领域包括公司银行业务、个人银行业务和资金业务，中国内地设有分支机构１４，１２１家（２０１２年），在香港，台湾，墨尔本等地设有分行，拥有建信基金、建信租赁、建信信托、建信人寿、中德住房储蓄银行、建行亚洲、建行伦</w:t>
            </w:r>
          </w:p>
          <w:p w14:paraId="23BE46A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敦、建行俄罗斯、建行迪拜、建银国际等多家子公司，为客户提供全面的金融服务。中国建设银行拥有广泛的客户基础，与多个大型企业集团及中国经济战略性行业的主导企业保持银行业务联系，营</w:t>
            </w:r>
            <w:r>
              <w:rPr>
                <w:rFonts w:ascii="宋体" w:hAnsi="宋体" w:hint="eastAsia"/>
                <w:color w:val="000000" w:themeColor="text1"/>
                <w:kern w:val="0"/>
                <w:szCs w:val="21"/>
              </w:rPr>
              <w:lastRenderedPageBreak/>
              <w:t>销网络覆盖全国的主要地区，于２０１３年６月末，市值为１，７６７亿美元，居全球上市银行第五位。</w:t>
            </w:r>
          </w:p>
          <w:p w14:paraId="55A8469C"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33A9AA63"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2010年，CZ分行GD支行在进行年终现金查库时发现现金柜员借口忘记带钥匙后回家拿钥匙不知去向。查库发现该现金柜员名下库存现金账实不符。经查，从2009年2月起，该柜员利用其担任现金柜员、ATM机加钞员，以及CCBS系统中金库柜员的职务便</w:t>
            </w:r>
          </w:p>
          <w:p w14:paraId="0EFA5808" w14:textId="77777777" w:rsidR="00B229A7" w:rsidRDefault="00D7072C">
            <w:pPr>
              <w:spacing w:line="276" w:lineRule="auto"/>
              <w:rPr>
                <w:rFonts w:ascii="宋体" w:hAnsi="宋体"/>
                <w:bCs/>
                <w:color w:val="000000" w:themeColor="text1"/>
                <w:kern w:val="0"/>
                <w:szCs w:val="21"/>
              </w:rPr>
            </w:pPr>
            <w:r>
              <w:rPr>
                <w:rFonts w:ascii="宋体" w:hAnsi="宋体" w:hint="eastAsia"/>
                <w:bCs/>
                <w:color w:val="000000" w:themeColor="text1"/>
                <w:kern w:val="0"/>
                <w:szCs w:val="21"/>
              </w:rPr>
              <w:t>利，多次采取向其本人控制的个人账户虚存资金，向与其有债务关系的其他个人账户虚存资金，然后通过转账或ATM支取，以及借办理ATM清机加钞之机截留配款等手段，侵占现金尾箱资金220万元。</w:t>
            </w:r>
          </w:p>
          <w:p w14:paraId="350FE9FF"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3E90B33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①利用查库流于形式。该柜员管理5个现金尾箱，除一至两个尾箱用于日常营业外，其他尾箱寄存于当地邮政储蓄银行金库。近两年时间内，支行碰库人员和査库人员没有入库核查或将尾箱出库核查，仅凭当日在用尾箱现金与该柜员提供的寄库尾箱余额加总，认定账实相符。</w:t>
            </w:r>
          </w:p>
          <w:p w14:paraId="50389ED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②稽核审计未发现柜员办理虚假业务。该柜员多次虚存资金，业务办理过程中柜台前均无客户到场，对此委派营业主管、业务主管和柜员没有引起任何警觉。</w:t>
            </w:r>
          </w:p>
          <w:p w14:paraId="2733B2F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③自助设备加钞未全过程双人操作。加钞完毕后其他人员经常先行离开，该柜员拿着加钞后的多余现金随后离开加钞间，将现金藏匿于身上或杂物间隐蔽处，下班后携款离开。</w:t>
            </w:r>
          </w:p>
          <w:p w14:paraId="0564B0E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④不相容岗位混岗操作，违反现金柜员和金库柜员不相容岗位规定，违反现金柜员和ATM加钞员不相容岗位规定。</w:t>
            </w:r>
          </w:p>
          <w:p w14:paraId="02E3503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⑤关键岗位长期不轮岗。该柜员自2005年9月担任现金柜员以来，一直没有轮岗，严重违反现金柜员满一年必须轮岗的规定。</w:t>
            </w:r>
          </w:p>
        </w:tc>
      </w:tr>
      <w:tr w:rsidR="00B229A7" w14:paraId="66256096" w14:textId="77777777">
        <w:trPr>
          <w:trHeight w:val="90"/>
        </w:trPr>
        <w:tc>
          <w:tcPr>
            <w:tcW w:w="1980" w:type="dxa"/>
          </w:tcPr>
          <w:p w14:paraId="6F5B5C8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1EF989B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内部审计</w:t>
            </w:r>
          </w:p>
        </w:tc>
      </w:tr>
      <w:tr w:rsidR="00B229A7" w14:paraId="1A7BF307" w14:textId="77777777">
        <w:tc>
          <w:tcPr>
            <w:tcW w:w="1980" w:type="dxa"/>
          </w:tcPr>
          <w:p w14:paraId="42F7474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审计受罚或责任详情</w:t>
            </w:r>
          </w:p>
        </w:tc>
        <w:tc>
          <w:tcPr>
            <w:tcW w:w="6316" w:type="dxa"/>
          </w:tcPr>
          <w:p w14:paraId="2376B1D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根据《中国建设银行员工违规处理办法》“第一百三十条”，未按规定进行金库、尾箱、自助设备检查及营业日终尾箱款清点，情节较重的，给予警告至记大过处分；情节严重的，给予降级至开除处分。根据《中国建设银行员工违规处理办法》“第一百三</w:t>
            </w:r>
          </w:p>
          <w:p w14:paraId="1B910AF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十三条”，违反规定办理自动柜员机开机、加钞、清机，不及时维护自动柜员机、销售点终端（POS机），情节较重的，给予警告至记大过处分；情节严重的，给予降级至开除处分。该柜员违反多项规定，非法侵占银行财产，建行对其予以开除处分。公安部门将</w:t>
            </w:r>
          </w:p>
          <w:p w14:paraId="265DEC9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其在深圳抓获后，交由检察机关对其进行司法处理。稽核与审计部门在长达一年时间内进行多次检查，都没有进行开箱彻底检查，在该柜员的种种借口卡轻易地放弃的检査。对于稽核部门与审计部门</w:t>
            </w:r>
            <w:r>
              <w:rPr>
                <w:rFonts w:ascii="宋体" w:hAnsi="宋体" w:hint="eastAsia"/>
                <w:color w:val="000000" w:themeColor="text1"/>
                <w:kern w:val="0"/>
                <w:szCs w:val="21"/>
              </w:rPr>
              <w:lastRenderedPageBreak/>
              <w:t>的失职，CZ分行按规定予以处罚。</w:t>
            </w:r>
          </w:p>
          <w:p w14:paraId="7C491372" w14:textId="77777777" w:rsidR="00B229A7" w:rsidRDefault="00B229A7">
            <w:pPr>
              <w:spacing w:line="276" w:lineRule="auto"/>
              <w:rPr>
                <w:rFonts w:ascii="宋体" w:hAnsi="宋体"/>
                <w:color w:val="000000" w:themeColor="text1"/>
                <w:kern w:val="0"/>
                <w:szCs w:val="21"/>
              </w:rPr>
            </w:pPr>
          </w:p>
        </w:tc>
      </w:tr>
      <w:tr w:rsidR="00B229A7" w14:paraId="1E4CEAA0" w14:textId="77777777">
        <w:tc>
          <w:tcPr>
            <w:tcW w:w="1980" w:type="dxa"/>
          </w:tcPr>
          <w:p w14:paraId="20271BB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175E78CC"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Fonts w:ascii="宋体" w:hAnsi="宋体"/>
                <w:noProof/>
                <w:color w:val="000000" w:themeColor="text1"/>
                <w:kern w:val="0"/>
                <w:szCs w:val="21"/>
              </w:rPr>
              <w:drawing>
                <wp:inline distT="0" distB="0" distL="114300" distR="114300" wp14:anchorId="44842EE0" wp14:editId="1E07190D">
                  <wp:extent cx="3378200" cy="2851150"/>
                  <wp:effectExtent l="0" t="0" r="0" b="6350"/>
                  <wp:docPr id="27" name="图片 2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文本&#10;&#10;描述已自动生成"/>
                          <pic:cNvPicPr>
                            <a:picLocks noChangeAspect="1"/>
                          </pic:cNvPicPr>
                        </pic:nvPicPr>
                        <pic:blipFill>
                          <a:blip r:embed="rId41"/>
                          <a:stretch>
                            <a:fillRect/>
                          </a:stretch>
                        </pic:blipFill>
                        <pic:spPr>
                          <a:xfrm>
                            <a:off x="0" y="0"/>
                            <a:ext cx="3378200" cy="2851150"/>
                          </a:xfrm>
                          <a:prstGeom prst="rect">
                            <a:avLst/>
                          </a:prstGeom>
                          <a:noFill/>
                          <a:ln>
                            <a:noFill/>
                          </a:ln>
                        </pic:spPr>
                      </pic:pic>
                    </a:graphicData>
                  </a:graphic>
                </wp:inline>
              </w:drawing>
            </w:r>
          </w:p>
        </w:tc>
      </w:tr>
      <w:tr w:rsidR="00B229A7" w14:paraId="634B42CF" w14:textId="77777777">
        <w:tc>
          <w:tcPr>
            <w:tcW w:w="1980" w:type="dxa"/>
          </w:tcPr>
          <w:p w14:paraId="07D1BEA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316" w:type="dxa"/>
          </w:tcPr>
          <w:p w14:paraId="148C3EA0"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1158BAC1" wp14:editId="140125FA">
                  <wp:extent cx="3086100" cy="3968750"/>
                  <wp:effectExtent l="0" t="0" r="0" b="6350"/>
                  <wp:docPr id="28" name="图片 2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文本&#10;&#10;描述已自动生成"/>
                          <pic:cNvPicPr>
                            <a:picLocks noChangeAspect="1"/>
                          </pic:cNvPicPr>
                        </pic:nvPicPr>
                        <pic:blipFill>
                          <a:blip r:embed="rId42"/>
                          <a:stretch>
                            <a:fillRect/>
                          </a:stretch>
                        </pic:blipFill>
                        <pic:spPr>
                          <a:xfrm>
                            <a:off x="0" y="0"/>
                            <a:ext cx="3086100" cy="3968750"/>
                          </a:xfrm>
                          <a:prstGeom prst="rect">
                            <a:avLst/>
                          </a:prstGeom>
                          <a:noFill/>
                          <a:ln>
                            <a:noFill/>
                          </a:ln>
                        </pic:spPr>
                      </pic:pic>
                    </a:graphicData>
                  </a:graphic>
                </wp:inline>
              </w:drawing>
            </w:r>
          </w:p>
        </w:tc>
      </w:tr>
    </w:tbl>
    <w:p w14:paraId="594EF25D" w14:textId="77777777" w:rsidR="00B229A7" w:rsidRDefault="00B229A7">
      <w:pPr>
        <w:spacing w:line="276" w:lineRule="auto"/>
        <w:rPr>
          <w:rFonts w:ascii="宋体" w:hAnsi="宋体"/>
          <w:color w:val="000000" w:themeColor="text1"/>
          <w:szCs w:val="21"/>
        </w:rPr>
      </w:pPr>
    </w:p>
    <w:p w14:paraId="44B4BA98" w14:textId="77777777" w:rsidR="00B229A7" w:rsidRDefault="00D7072C">
      <w:pPr>
        <w:pStyle w:val="1"/>
      </w:pPr>
      <w:bookmarkStart w:id="154" w:name="_Toc104812523"/>
      <w:bookmarkStart w:id="155" w:name="_Toc104812621"/>
      <w:bookmarkStart w:id="156" w:name="_Toc104812342"/>
      <w:r>
        <w:rPr>
          <w:rFonts w:hint="eastAsia"/>
        </w:rPr>
        <w:lastRenderedPageBreak/>
        <w:t>4</w:t>
      </w:r>
      <w:r>
        <w:t>4</w:t>
      </w:r>
      <w:r>
        <w:rPr>
          <w:rFonts w:hint="eastAsia"/>
        </w:rPr>
        <w:t>基于纳克公司骗贷的工商银行山西分行内部审计</w:t>
      </w:r>
      <w:bookmarkEnd w:id="154"/>
      <w:bookmarkEnd w:id="155"/>
      <w:bookmarkEnd w:id="156"/>
    </w:p>
    <w:tbl>
      <w:tblPr>
        <w:tblStyle w:val="a4"/>
        <w:tblW w:w="8296" w:type="dxa"/>
        <w:tblLayout w:type="fixed"/>
        <w:tblLook w:val="04A0" w:firstRow="1" w:lastRow="0" w:firstColumn="1" w:lastColumn="0" w:noHBand="0" w:noVBand="1"/>
      </w:tblPr>
      <w:tblGrid>
        <w:gridCol w:w="1980"/>
        <w:gridCol w:w="6316"/>
      </w:tblGrid>
      <w:tr w:rsidR="00B229A7" w14:paraId="19A2E096" w14:textId="77777777">
        <w:tc>
          <w:tcPr>
            <w:tcW w:w="1980" w:type="dxa"/>
          </w:tcPr>
          <w:p w14:paraId="646726C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64472D5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126</w:t>
            </w:r>
          </w:p>
        </w:tc>
      </w:tr>
      <w:tr w:rsidR="00B229A7" w14:paraId="3C14613C" w14:textId="77777777">
        <w:tc>
          <w:tcPr>
            <w:tcW w:w="1980" w:type="dxa"/>
          </w:tcPr>
          <w:p w14:paraId="188E91A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30760E6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w:t>
            </w:r>
            <w:r>
              <w:rPr>
                <w:rFonts w:ascii="宋体" w:hAnsi="宋体" w:hint="eastAsia"/>
                <w:color w:val="000000" w:themeColor="text1"/>
                <w:kern w:val="0"/>
                <w:szCs w:val="21"/>
              </w:rPr>
              <w:t>金融业</w:t>
            </w:r>
          </w:p>
        </w:tc>
      </w:tr>
      <w:tr w:rsidR="00B229A7" w14:paraId="1BBA5204" w14:textId="77777777">
        <w:tc>
          <w:tcPr>
            <w:tcW w:w="1980" w:type="dxa"/>
          </w:tcPr>
          <w:p w14:paraId="74E31B6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479E373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2016</w:t>
            </w:r>
          </w:p>
        </w:tc>
      </w:tr>
      <w:tr w:rsidR="00B229A7" w14:paraId="347B497D" w14:textId="77777777">
        <w:tc>
          <w:tcPr>
            <w:tcW w:w="1980" w:type="dxa"/>
          </w:tcPr>
          <w:p w14:paraId="55E92D0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6D7173F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工商银行山西分行</w:t>
            </w:r>
          </w:p>
        </w:tc>
      </w:tr>
      <w:tr w:rsidR="00B229A7" w14:paraId="049810E5" w14:textId="77777777">
        <w:tc>
          <w:tcPr>
            <w:tcW w:w="1980" w:type="dxa"/>
          </w:tcPr>
          <w:p w14:paraId="78BF0A1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53F1F6D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资金管理、收费缴费、营销服务、金融理财、代理销售、电子商务等</w:t>
            </w:r>
          </w:p>
        </w:tc>
      </w:tr>
      <w:tr w:rsidR="00B229A7" w14:paraId="5D3D020E" w14:textId="77777777">
        <w:trPr>
          <w:trHeight w:val="1631"/>
        </w:trPr>
        <w:tc>
          <w:tcPr>
            <w:tcW w:w="1980" w:type="dxa"/>
          </w:tcPr>
          <w:p w14:paraId="58CCD2C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44BF9907"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055E6EDF"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国工商银行（INDUSTRIALANDCOMMERCIALBANKOFCHINA，简称ICBC，工行）成立于1984年1月1日。 [1]</w:t>
            </w:r>
            <w:bookmarkStart w:id="157" w:name="ref_[1]_14038"/>
            <w:r>
              <w:rPr>
                <w:rFonts w:ascii="宋体" w:hAnsi="宋体"/>
                <w:color w:val="000000" w:themeColor="text1"/>
                <w:kern w:val="0"/>
                <w:szCs w:val="21"/>
              </w:rPr>
              <w:t> </w:t>
            </w:r>
            <w:bookmarkEnd w:id="157"/>
            <w:r>
              <w:rPr>
                <w:rFonts w:ascii="宋体" w:hAnsi="宋体"/>
                <w:color w:val="000000" w:themeColor="text1"/>
                <w:kern w:val="0"/>
                <w:szCs w:val="21"/>
              </w:rPr>
              <w:t> 总行位于</w:t>
            </w:r>
            <w:r>
              <w:rPr>
                <w:rFonts w:ascii="宋体" w:hAnsi="宋体"/>
                <w:color w:val="000000" w:themeColor="text1"/>
                <w:kern w:val="0"/>
                <w:szCs w:val="21"/>
              </w:rPr>
              <w:fldChar w:fldCharType="begin"/>
            </w:r>
            <w:r>
              <w:rPr>
                <w:rFonts w:ascii="宋体" w:hAnsi="宋体"/>
                <w:color w:val="000000" w:themeColor="text1"/>
                <w:kern w:val="0"/>
                <w:szCs w:val="21"/>
              </w:rPr>
              <w:instrText xml:space="preserve"> HYPERLINK "https://baike.baidu.com/item/%E5%8C%97%E4%BA%AC/128981" \t "https://baike.baidu.com/item/%E4%B8%AD%E5%9B%BD%E5%B7%A5%E5%95%86%E9%93%B6%E8%A1%8C/_blank" </w:instrText>
            </w:r>
            <w:r>
              <w:rPr>
                <w:rFonts w:ascii="宋体" w:hAnsi="宋体"/>
                <w:color w:val="000000" w:themeColor="text1"/>
                <w:kern w:val="0"/>
                <w:szCs w:val="21"/>
              </w:rPr>
              <w:fldChar w:fldCharType="separate"/>
            </w:r>
            <w:r>
              <w:rPr>
                <w:rFonts w:ascii="宋体" w:hAnsi="宋体"/>
                <w:color w:val="000000" w:themeColor="text1"/>
                <w:kern w:val="0"/>
                <w:szCs w:val="21"/>
              </w:rPr>
              <w:t>北京</w:t>
            </w:r>
            <w:r>
              <w:rPr>
                <w:rFonts w:ascii="宋体" w:hAnsi="宋体"/>
                <w:color w:val="000000" w:themeColor="text1"/>
                <w:kern w:val="0"/>
                <w:szCs w:val="21"/>
              </w:rPr>
              <w:fldChar w:fldCharType="end"/>
            </w:r>
            <w:r>
              <w:rPr>
                <w:rFonts w:ascii="宋体" w:hAnsi="宋体"/>
                <w:color w:val="000000" w:themeColor="text1"/>
                <w:kern w:val="0"/>
                <w:szCs w:val="21"/>
              </w:rPr>
              <w:t>复兴门内大街55号，是国有大型商业银行， [123]</w:t>
            </w:r>
            <w:bookmarkStart w:id="158" w:name="ref_[123]_14038"/>
            <w:r>
              <w:rPr>
                <w:rFonts w:ascii="宋体" w:hAnsi="宋体"/>
                <w:color w:val="000000" w:themeColor="text1"/>
                <w:kern w:val="0"/>
                <w:szCs w:val="21"/>
              </w:rPr>
              <w:t> </w:t>
            </w:r>
            <w:bookmarkEnd w:id="158"/>
            <w:r>
              <w:rPr>
                <w:rFonts w:ascii="宋体" w:hAnsi="宋体"/>
                <w:color w:val="000000" w:themeColor="text1"/>
                <w:kern w:val="0"/>
                <w:szCs w:val="21"/>
              </w:rPr>
              <w:t> 国家</w:t>
            </w:r>
            <w:r>
              <w:rPr>
                <w:rFonts w:ascii="宋体" w:hAnsi="宋体"/>
                <w:color w:val="000000" w:themeColor="text1"/>
                <w:kern w:val="0"/>
                <w:szCs w:val="21"/>
              </w:rPr>
              <w:fldChar w:fldCharType="begin"/>
            </w:r>
            <w:r>
              <w:rPr>
                <w:rFonts w:ascii="宋体" w:hAnsi="宋体"/>
                <w:color w:val="000000" w:themeColor="text1"/>
                <w:kern w:val="0"/>
                <w:szCs w:val="21"/>
              </w:rPr>
              <w:instrText xml:space="preserve"> HYPERLINK "https://baike.baidu.com/item/%E5%89%AF%E9%83%A8%E7%BA%A7/6817383" \t "https://baike.baidu.com/item/%E4%B8%AD%E5%9B%BD%E5%B7%A5%E5%95%86%E9%93%B6%E8%A1%8C/_blank" </w:instrText>
            </w:r>
            <w:r>
              <w:rPr>
                <w:rFonts w:ascii="宋体" w:hAnsi="宋体"/>
                <w:color w:val="000000" w:themeColor="text1"/>
                <w:kern w:val="0"/>
                <w:szCs w:val="21"/>
              </w:rPr>
              <w:fldChar w:fldCharType="separate"/>
            </w:r>
            <w:r>
              <w:rPr>
                <w:rFonts w:ascii="宋体" w:hAnsi="宋体"/>
                <w:color w:val="000000" w:themeColor="text1"/>
                <w:kern w:val="0"/>
                <w:szCs w:val="21"/>
              </w:rPr>
              <w:t>副部级</w:t>
            </w:r>
            <w:r>
              <w:rPr>
                <w:rFonts w:ascii="宋体" w:hAnsi="宋体"/>
                <w:color w:val="000000" w:themeColor="text1"/>
                <w:kern w:val="0"/>
                <w:szCs w:val="21"/>
              </w:rPr>
              <w:fldChar w:fldCharType="end"/>
            </w:r>
            <w:r>
              <w:rPr>
                <w:rFonts w:ascii="宋体" w:hAnsi="宋体"/>
                <w:color w:val="000000" w:themeColor="text1"/>
                <w:kern w:val="0"/>
                <w:szCs w:val="21"/>
              </w:rPr>
              <w:t>单位。中国工商银行的基本任务是依据国家的法律和法规，通过国内外开展融资活动筹集社会资金，加强信贷资金管理，支持企业生产和技术改造，为我国经济建设服务。</w:t>
            </w:r>
            <w:bookmarkStart w:id="159" w:name="ref_[3]_14038"/>
            <w:r>
              <w:rPr>
                <w:rFonts w:ascii="宋体" w:hAnsi="宋体"/>
                <w:color w:val="000000" w:themeColor="text1"/>
                <w:kern w:val="0"/>
                <w:szCs w:val="21"/>
              </w:rPr>
              <w:t> </w:t>
            </w:r>
            <w:bookmarkEnd w:id="159"/>
          </w:p>
          <w:p w14:paraId="12D025E0"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2017年2月，</w:t>
            </w:r>
            <w:proofErr w:type="spellStart"/>
            <w:r>
              <w:rPr>
                <w:rFonts w:ascii="宋体" w:hAnsi="宋体"/>
                <w:color w:val="000000" w:themeColor="text1"/>
                <w:kern w:val="0"/>
                <w:szCs w:val="21"/>
              </w:rPr>
              <w:t>BrandFinance</w:t>
            </w:r>
            <w:proofErr w:type="spellEnd"/>
            <w:r>
              <w:rPr>
                <w:rFonts w:ascii="宋体" w:hAnsi="宋体"/>
                <w:color w:val="000000" w:themeColor="text1"/>
                <w:kern w:val="0"/>
                <w:szCs w:val="21"/>
              </w:rPr>
              <w:t>发布2017年度全球500强品牌榜单，中国工商银行排名第10位。2018年6月20日，《</w:t>
            </w:r>
            <w:r>
              <w:rPr>
                <w:rFonts w:ascii="宋体" w:hAnsi="宋体"/>
                <w:color w:val="000000" w:themeColor="text1"/>
                <w:kern w:val="0"/>
                <w:szCs w:val="21"/>
              </w:rPr>
              <w:fldChar w:fldCharType="begin"/>
            </w:r>
            <w:r>
              <w:rPr>
                <w:rFonts w:ascii="宋体" w:hAnsi="宋体"/>
                <w:color w:val="000000" w:themeColor="text1"/>
                <w:kern w:val="0"/>
                <w:szCs w:val="21"/>
              </w:rPr>
              <w:instrText xml:space="preserve"> HYPERLINK "https://baike.baidu.com/item/%E4%B8%AD%E5%9B%BD500%E6%9C%80%E5%85%B7%E4%BB%B7%E5%80%BC%E5%93%81%E7%89%8C/16508350" \t "https://baike.baidu.com/item/%E4%B8%AD%E5%9B%BD%E5%B7%A5%E5%95%86%E9%93%B6%E8%A1%8C/_blank" </w:instrText>
            </w:r>
            <w:r>
              <w:rPr>
                <w:rFonts w:ascii="宋体" w:hAnsi="宋体"/>
                <w:color w:val="000000" w:themeColor="text1"/>
                <w:kern w:val="0"/>
                <w:szCs w:val="21"/>
              </w:rPr>
              <w:fldChar w:fldCharType="separate"/>
            </w:r>
            <w:r>
              <w:rPr>
                <w:rFonts w:ascii="宋体" w:hAnsi="宋体"/>
                <w:color w:val="000000" w:themeColor="text1"/>
                <w:kern w:val="0"/>
                <w:szCs w:val="21"/>
              </w:rPr>
              <w:t>中国500最具价值品牌</w:t>
            </w:r>
            <w:r>
              <w:rPr>
                <w:rFonts w:ascii="宋体" w:hAnsi="宋体"/>
                <w:color w:val="000000" w:themeColor="text1"/>
                <w:kern w:val="0"/>
                <w:szCs w:val="21"/>
              </w:rPr>
              <w:fldChar w:fldCharType="end"/>
            </w:r>
            <w:r>
              <w:rPr>
                <w:rFonts w:ascii="宋体" w:hAnsi="宋体"/>
                <w:color w:val="000000" w:themeColor="text1"/>
                <w:kern w:val="0"/>
                <w:szCs w:val="21"/>
              </w:rPr>
              <w:t>》分析报告发布，中国工商银行排名第4位。2018年7月，英国《银行家》杂志发布2018年</w:t>
            </w:r>
            <w:r>
              <w:rPr>
                <w:rFonts w:ascii="宋体" w:hAnsi="宋体"/>
                <w:color w:val="000000" w:themeColor="text1"/>
                <w:kern w:val="0"/>
                <w:szCs w:val="21"/>
              </w:rPr>
              <w:fldChar w:fldCharType="begin"/>
            </w:r>
            <w:r>
              <w:rPr>
                <w:rFonts w:ascii="宋体" w:hAnsi="宋体"/>
                <w:color w:val="000000" w:themeColor="text1"/>
                <w:kern w:val="0"/>
                <w:szCs w:val="21"/>
              </w:rPr>
              <w:instrText xml:space="preserve"> HYPERLINK "https://baike.baidu.com/item/%E5%85%A8%E7%90%83%E9%93%B6%E8%A1%8C1000%E5%BC%BA%E6%8E%92%E5%90%8D/14751782" \t "https://baike.baidu.com/item/%E4%B8%AD%E5%9B%BD%E5%B7%A5%E5%95%86%E9%93%B6%E8%A1%8C/_blank" </w:instrText>
            </w:r>
            <w:r>
              <w:rPr>
                <w:rFonts w:ascii="宋体" w:hAnsi="宋体"/>
                <w:color w:val="000000" w:themeColor="text1"/>
                <w:kern w:val="0"/>
                <w:szCs w:val="21"/>
              </w:rPr>
              <w:fldChar w:fldCharType="separate"/>
            </w:r>
            <w:r>
              <w:rPr>
                <w:rFonts w:ascii="宋体" w:hAnsi="宋体"/>
                <w:color w:val="000000" w:themeColor="text1"/>
                <w:kern w:val="0"/>
                <w:szCs w:val="21"/>
              </w:rPr>
              <w:t>全球银行1000强排名</w:t>
            </w:r>
            <w:r>
              <w:rPr>
                <w:rFonts w:ascii="宋体" w:hAnsi="宋体"/>
                <w:color w:val="000000" w:themeColor="text1"/>
                <w:kern w:val="0"/>
                <w:szCs w:val="21"/>
              </w:rPr>
              <w:fldChar w:fldCharType="end"/>
            </w:r>
            <w:r>
              <w:rPr>
                <w:rFonts w:ascii="宋体" w:hAnsi="宋体"/>
                <w:color w:val="000000" w:themeColor="text1"/>
                <w:kern w:val="0"/>
                <w:szCs w:val="21"/>
              </w:rPr>
              <w:t>榜单，中国工商银行排名第1位。  2018年《财富》世界500强排名第26位。 </w:t>
            </w:r>
            <w:bookmarkStart w:id="160" w:name="ref_[6]_14038"/>
            <w:r>
              <w:rPr>
                <w:rFonts w:ascii="宋体" w:hAnsi="宋体"/>
                <w:color w:val="000000" w:themeColor="text1"/>
                <w:kern w:val="0"/>
                <w:szCs w:val="21"/>
              </w:rPr>
              <w:t> </w:t>
            </w:r>
            <w:bookmarkEnd w:id="160"/>
            <w:r>
              <w:rPr>
                <w:rFonts w:ascii="宋体" w:hAnsi="宋体"/>
                <w:color w:val="000000" w:themeColor="text1"/>
                <w:kern w:val="0"/>
                <w:szCs w:val="21"/>
              </w:rPr>
              <w:t> 2018年12月18日，</w:t>
            </w:r>
            <w:r>
              <w:rPr>
                <w:rFonts w:ascii="宋体" w:hAnsi="宋体"/>
                <w:color w:val="000000" w:themeColor="text1"/>
                <w:kern w:val="0"/>
                <w:szCs w:val="21"/>
              </w:rPr>
              <w:fldChar w:fldCharType="begin"/>
            </w:r>
            <w:r>
              <w:rPr>
                <w:rFonts w:ascii="宋体" w:hAnsi="宋体"/>
                <w:color w:val="000000" w:themeColor="text1"/>
                <w:kern w:val="0"/>
                <w:szCs w:val="21"/>
              </w:rPr>
              <w:instrText xml:space="preserve"> HYPERLINK "https://baike.baidu.com/item/%E4%B8%96%E7%95%8C%E5%93%81%E7%89%8C%E5%AE%9E%E9%AA%8C%E5%AE%A4/4040038" \t "https://baike.baidu.com/item/%E4%B8%AD%E5%9B%BD%E5%B7%A5%E5%95%86%E9%93%B6%E8%A1%8C/_blank" </w:instrText>
            </w:r>
            <w:r>
              <w:rPr>
                <w:rFonts w:ascii="宋体" w:hAnsi="宋体"/>
                <w:color w:val="000000" w:themeColor="text1"/>
                <w:kern w:val="0"/>
                <w:szCs w:val="21"/>
              </w:rPr>
              <w:fldChar w:fldCharType="separate"/>
            </w:r>
            <w:r>
              <w:rPr>
                <w:rFonts w:ascii="宋体" w:hAnsi="宋体"/>
                <w:color w:val="000000" w:themeColor="text1"/>
                <w:kern w:val="0"/>
                <w:szCs w:val="21"/>
              </w:rPr>
              <w:t>世界品牌实验室</w:t>
            </w:r>
            <w:r>
              <w:rPr>
                <w:rFonts w:ascii="宋体" w:hAnsi="宋体"/>
                <w:color w:val="000000" w:themeColor="text1"/>
                <w:kern w:val="0"/>
                <w:szCs w:val="21"/>
              </w:rPr>
              <w:fldChar w:fldCharType="end"/>
            </w:r>
            <w:r>
              <w:rPr>
                <w:rFonts w:ascii="宋体" w:hAnsi="宋体"/>
                <w:color w:val="000000" w:themeColor="text1"/>
                <w:kern w:val="0"/>
                <w:szCs w:val="21"/>
              </w:rPr>
              <w:t>编制的《</w:t>
            </w:r>
            <w:hyperlink r:id="rId43" w:tgtFrame="https://baike.baidu.com/item/%E4%B8%AD%E5%9B%BD%E5%B7%A5%E5%95%86%E9%93%B6%E8%A1%8C/_blank" w:history="1">
              <w:r>
                <w:rPr>
                  <w:rFonts w:ascii="宋体" w:hAnsi="宋体"/>
                  <w:color w:val="000000" w:themeColor="text1"/>
                  <w:kern w:val="0"/>
                  <w:szCs w:val="21"/>
                </w:rPr>
                <w:t>2018世界品牌500强</w:t>
              </w:r>
            </w:hyperlink>
            <w:r>
              <w:rPr>
                <w:rFonts w:ascii="宋体" w:hAnsi="宋体"/>
                <w:color w:val="000000" w:themeColor="text1"/>
                <w:kern w:val="0"/>
                <w:szCs w:val="21"/>
              </w:rPr>
              <w:t>》揭晓，中国工商银行排名第43位。 </w:t>
            </w:r>
            <w:bookmarkStart w:id="161" w:name="ref_[7]_14038"/>
            <w:r>
              <w:rPr>
                <w:rFonts w:ascii="宋体" w:hAnsi="宋体"/>
                <w:color w:val="000000" w:themeColor="text1"/>
                <w:kern w:val="0"/>
                <w:szCs w:val="21"/>
              </w:rPr>
              <w:t> </w:t>
            </w:r>
            <w:bookmarkEnd w:id="161"/>
            <w:r>
              <w:rPr>
                <w:rFonts w:ascii="宋体" w:hAnsi="宋体"/>
                <w:color w:val="000000" w:themeColor="text1"/>
                <w:kern w:val="0"/>
                <w:szCs w:val="21"/>
              </w:rPr>
              <w:t> 2019年6月26日，中国工商银行等8家银行首批上线运行企业信息联网核查系统。</w:t>
            </w:r>
          </w:p>
          <w:p w14:paraId="5649B314" w14:textId="77777777" w:rsidR="00B229A7" w:rsidRDefault="00D7072C">
            <w:pPr>
              <w:spacing w:line="276" w:lineRule="auto"/>
              <w:rPr>
                <w:rFonts w:ascii="宋体" w:hAnsi="宋体"/>
                <w:color w:val="000000" w:themeColor="text1"/>
                <w:kern w:val="0"/>
                <w:szCs w:val="21"/>
              </w:rPr>
            </w:pPr>
            <w:r>
              <w:rPr>
                <w:rFonts w:ascii="宋体" w:hAnsi="宋体"/>
                <w:color w:val="000000" w:themeColor="text1"/>
                <w:kern w:val="0"/>
                <w:szCs w:val="21"/>
              </w:rPr>
              <w:t>2019年7月，入选2019《财富》世界500强，排名26。 [9]</w:t>
            </w:r>
            <w:bookmarkStart w:id="162" w:name="ref_[9]_14038"/>
            <w:r>
              <w:rPr>
                <w:rFonts w:ascii="宋体" w:hAnsi="宋体"/>
                <w:color w:val="000000" w:themeColor="text1"/>
                <w:kern w:val="0"/>
                <w:szCs w:val="21"/>
              </w:rPr>
              <w:t> </w:t>
            </w:r>
            <w:bookmarkEnd w:id="162"/>
            <w:r>
              <w:rPr>
                <w:rFonts w:ascii="宋体" w:hAnsi="宋体"/>
                <w:color w:val="000000" w:themeColor="text1"/>
                <w:kern w:val="0"/>
                <w:szCs w:val="21"/>
              </w:rPr>
              <w:t> 2019年12月，中国工商银行入选2019中国品牌强国盛典榜样100品牌。 [10]</w:t>
            </w:r>
            <w:bookmarkStart w:id="163" w:name="ref_[10]_14038"/>
            <w:r>
              <w:rPr>
                <w:rFonts w:ascii="宋体" w:hAnsi="宋体"/>
                <w:color w:val="000000" w:themeColor="text1"/>
                <w:kern w:val="0"/>
                <w:szCs w:val="21"/>
              </w:rPr>
              <w:t> </w:t>
            </w:r>
            <w:bookmarkEnd w:id="163"/>
            <w:r>
              <w:rPr>
                <w:rFonts w:ascii="宋体" w:hAnsi="宋体"/>
                <w:color w:val="000000" w:themeColor="text1"/>
                <w:kern w:val="0"/>
                <w:szCs w:val="21"/>
              </w:rPr>
              <w:t> 2019年12月18日，人民日报发布中国</w:t>
            </w:r>
            <w:r>
              <w:rPr>
                <w:rFonts w:ascii="宋体" w:hAnsi="宋体"/>
                <w:color w:val="000000" w:themeColor="text1"/>
                <w:kern w:val="0"/>
                <w:szCs w:val="21"/>
              </w:rPr>
              <w:fldChar w:fldCharType="begin"/>
            </w:r>
            <w:r>
              <w:rPr>
                <w:rFonts w:ascii="宋体" w:hAnsi="宋体"/>
                <w:color w:val="000000" w:themeColor="text1"/>
                <w:kern w:val="0"/>
                <w:szCs w:val="21"/>
              </w:rPr>
              <w:instrText xml:space="preserve"> HYPERLINK "https://baike.baidu.com/item/%E5%93%81%E7%89%8C%E5%8F%91%E5%B1%95%E6%8C%87%E6%95%B0/1320346" \t "https://baike.baidu.com/item/%E4%B8%AD%E5%9B%BD%E5%B7%A5%E5%95%86%E9%93%B6%E8%A1%8C/_blank" </w:instrText>
            </w:r>
            <w:r>
              <w:rPr>
                <w:rFonts w:ascii="宋体" w:hAnsi="宋体"/>
                <w:color w:val="000000" w:themeColor="text1"/>
                <w:kern w:val="0"/>
                <w:szCs w:val="21"/>
              </w:rPr>
              <w:fldChar w:fldCharType="separate"/>
            </w:r>
            <w:r>
              <w:rPr>
                <w:rFonts w:ascii="宋体" w:hAnsi="宋体"/>
                <w:color w:val="000000" w:themeColor="text1"/>
                <w:kern w:val="0"/>
                <w:szCs w:val="21"/>
              </w:rPr>
              <w:t>品牌发展指数</w:t>
            </w:r>
            <w:r>
              <w:rPr>
                <w:rFonts w:ascii="宋体" w:hAnsi="宋体"/>
                <w:color w:val="000000" w:themeColor="text1"/>
                <w:kern w:val="0"/>
                <w:szCs w:val="21"/>
              </w:rPr>
              <w:fldChar w:fldCharType="end"/>
            </w:r>
            <w:r>
              <w:rPr>
                <w:rFonts w:ascii="宋体" w:hAnsi="宋体"/>
                <w:color w:val="000000" w:themeColor="text1"/>
                <w:kern w:val="0"/>
                <w:szCs w:val="21"/>
              </w:rPr>
              <w:t>100榜单，中国工商银行排名第9位。  2020年1月4日，获得2020《财经》长青奖“可持续发展效益奖”。2020年3月，入选2020年全球品牌价值500强第6位。 </w:t>
            </w:r>
            <w:bookmarkStart w:id="164" w:name="ref_[12]_14038"/>
            <w:r>
              <w:rPr>
                <w:rFonts w:ascii="宋体" w:hAnsi="宋体"/>
                <w:color w:val="000000" w:themeColor="text1"/>
                <w:kern w:val="0"/>
                <w:szCs w:val="21"/>
              </w:rPr>
              <w:t> </w:t>
            </w:r>
            <w:bookmarkEnd w:id="164"/>
            <w:r>
              <w:rPr>
                <w:rFonts w:ascii="宋体" w:hAnsi="宋体"/>
                <w:color w:val="000000" w:themeColor="text1"/>
                <w:kern w:val="0"/>
                <w:szCs w:val="21"/>
              </w:rPr>
              <w:t> 2020年8月《财富》世界500强排行榜发布，中国工商银行排名第24位。 </w:t>
            </w:r>
            <w:bookmarkStart w:id="165" w:name="ref_[13-14]_14038"/>
            <w:r>
              <w:rPr>
                <w:rFonts w:ascii="宋体" w:hAnsi="宋体"/>
                <w:color w:val="000000" w:themeColor="text1"/>
                <w:kern w:val="0"/>
                <w:szCs w:val="21"/>
              </w:rPr>
              <w:t> </w:t>
            </w:r>
            <w:bookmarkEnd w:id="165"/>
            <w:r>
              <w:rPr>
                <w:rFonts w:ascii="宋体" w:hAnsi="宋体"/>
                <w:color w:val="000000" w:themeColor="text1"/>
                <w:kern w:val="0"/>
                <w:szCs w:val="21"/>
              </w:rPr>
              <w:t> 2020年9月28日，入选2020中国企业500强榜单，排名第五</w:t>
            </w:r>
            <w:r>
              <w:rPr>
                <w:rFonts w:ascii="宋体" w:hAnsi="宋体" w:hint="eastAsia"/>
                <w:color w:val="000000" w:themeColor="text1"/>
                <w:kern w:val="0"/>
                <w:szCs w:val="21"/>
              </w:rPr>
              <w:t>。</w:t>
            </w:r>
          </w:p>
          <w:p w14:paraId="6467E2A6" w14:textId="77777777" w:rsidR="00B229A7" w:rsidRDefault="00B229A7">
            <w:pPr>
              <w:spacing w:line="276" w:lineRule="auto"/>
              <w:rPr>
                <w:rFonts w:ascii="宋体" w:hAnsi="宋体"/>
                <w:color w:val="000000" w:themeColor="text1"/>
                <w:kern w:val="0"/>
                <w:szCs w:val="21"/>
              </w:rPr>
            </w:pPr>
          </w:p>
          <w:p w14:paraId="006EF916"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3C56815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2016年，为了山西经济稳定增长并实现转型，工商银行山西省分行</w:t>
            </w:r>
            <w:r>
              <w:rPr>
                <w:rFonts w:ascii="宋体" w:hAnsi="宋体" w:hint="eastAsia"/>
                <w:color w:val="000000" w:themeColor="text1"/>
                <w:kern w:val="0"/>
                <w:szCs w:val="21"/>
              </w:rPr>
              <w:lastRenderedPageBreak/>
              <w:t>作出重要调整来应对当下存在的一系列问题。在省委省政府的号召下，工商银行山西省分行努力奔着“一个指引、两手硬”的政策落实，在理念经营上，也做出了重大调整，坚持“晋善晋美”等的发展理念。在自身发展的同时，要考虑当地其它行业经济的发展，要起到牵头带作用，这样以来，对实现山西经济全面转型具有重要意义。工商银行山西分行要有一种责任动的意识，担当意识，利用自身优势，全方位考虑能实现转型的一切因素，把握供给侧结构性改革的方向，做到对症下药，精准滴灌，争取在综合化金融服务的优势下，带动省内一些融资等企业的发展，起到一种先锋作用。针对一些新型企业，在政策上要充分考虑对它的支持力度问题，从而不仅仅只是对支柱产业的支持，避免造成太大的差距存在。为了广大消费者考虑，要随着社会的发挥发展不断优化自己，才能真正意义上的满足消费者的需求。因此要注意“e-ICBC”互联网金融品牌宣传问题，来适应当代社会的发展。也要努力预防和发现存在的各种风险，使地方金融稳步前进。与此发展的同时，对地方的发展做出贡献的责任义不容辞，保持自身国有银行的形象，对地方经济社会发展以及环境保护问题尽一份力，使经济效益、社会效益达成一致。2017年，为了工商银行山西分行更加优化，达到一种发展新局面，也是做出了重大政策改革。工商银行山西分行积极响应总行的号召，努力学习2017年总行工作会机议精神，分析自身存在的问题，抓住不足，努力改进，同时也要抓住发展遇，优化团队，积极培养优秀人才，去除不良作风在银行的发展，避免恶性循环，积极推动正能量的发展，为工商银行山西分行创造更大的效益，努力把工商银行山西分行打造成“三晋首选银行、员工幸福之家”。（2）工商银行山西分行内部审计运行机制工商银行山西分行内部审计主要针对两个目标：山西分行管辖的各级经营管理机构和分行承担的各项业务管理活动的过程和结果。内部审计部门的审计工作目标主要针对分支机构和各职能部门的业务经营管理28</w:t>
            </w:r>
          </w:p>
          <w:p w14:paraId="5DAD5B0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万方数据</w:t>
            </w:r>
          </w:p>
          <w:p w14:paraId="5E89C7C0" w14:textId="77777777" w:rsidR="00B229A7" w:rsidRDefault="00D7072C">
            <w:pPr>
              <w:spacing w:line="276" w:lineRule="auto"/>
              <w:rPr>
                <w:rFonts w:ascii="宋体" w:hAnsi="宋体"/>
                <w:color w:val="000000" w:themeColor="text1"/>
                <w:kern w:val="0"/>
                <w:szCs w:val="21"/>
              </w:rPr>
            </w:pPr>
            <w:proofErr w:type="spellStart"/>
            <w:r>
              <w:rPr>
                <w:rFonts w:ascii="宋体" w:hAnsi="宋体" w:hint="eastAsia"/>
                <w:color w:val="000000" w:themeColor="text1"/>
                <w:kern w:val="0"/>
                <w:szCs w:val="21"/>
              </w:rPr>
              <w:t>MPAcc</w:t>
            </w:r>
            <w:proofErr w:type="spellEnd"/>
            <w:r>
              <w:rPr>
                <w:rFonts w:ascii="宋体" w:hAnsi="宋体" w:hint="eastAsia"/>
                <w:color w:val="000000" w:themeColor="text1"/>
                <w:kern w:val="0"/>
                <w:szCs w:val="21"/>
              </w:rPr>
              <w:t>学位论文活动，而且要对使用资金单位进行检查。工商银行山西分行内部审计主要包括两大方面，一方面是所辖分支机构的所有者权益等的全面审计，另一方面是针对行长的任期经济责任等的专项审计。工商银行山西分行要明确自己的职责，掌握国家相关政策性信贷资金管理的政策内容，时刻分析讨论本系统的经营效果所带来的影响，在国家大力制定出台的一些列相关方针、政策中，工商银行山西分行一直以来都是认真落实的，确保政策性资金不流失，有效的保护政策性财产，为政策性资金收购的发展起到显著作用。</w:t>
            </w:r>
          </w:p>
          <w:p w14:paraId="66C0F108" w14:textId="77777777" w:rsidR="00B229A7" w:rsidRDefault="00B229A7">
            <w:pPr>
              <w:spacing w:line="276" w:lineRule="auto"/>
              <w:rPr>
                <w:rFonts w:ascii="宋体" w:hAnsi="宋体"/>
                <w:color w:val="000000" w:themeColor="text1"/>
                <w:kern w:val="0"/>
                <w:szCs w:val="21"/>
              </w:rPr>
            </w:pPr>
          </w:p>
          <w:p w14:paraId="12EBA969"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lastRenderedPageBreak/>
              <w:t>【案情描述】</w:t>
            </w:r>
          </w:p>
          <w:p w14:paraId="75CECB07"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lang w:bidi="ar"/>
              </w:rPr>
              <w:t>山西省纳克公司于</w:t>
            </w:r>
            <w:r>
              <w:rPr>
                <w:rFonts w:ascii="宋体" w:hAnsi="宋体"/>
                <w:color w:val="000000" w:themeColor="text1"/>
                <w:kern w:val="0"/>
                <w:szCs w:val="21"/>
                <w:lang w:bidi="ar"/>
              </w:rPr>
              <w:t>2008</w:t>
            </w:r>
            <w:r>
              <w:rPr>
                <w:rFonts w:ascii="宋体" w:hAnsi="宋体" w:cs="宋体" w:hint="eastAsia"/>
                <w:color w:val="000000" w:themeColor="text1"/>
                <w:kern w:val="0"/>
                <w:szCs w:val="21"/>
                <w:lang w:bidi="ar"/>
              </w:rPr>
              <w:t>年</w:t>
            </w:r>
            <w:r>
              <w:rPr>
                <w:rFonts w:ascii="宋体" w:hAnsi="宋体"/>
                <w:color w:val="000000" w:themeColor="text1"/>
                <w:kern w:val="0"/>
                <w:szCs w:val="21"/>
                <w:lang w:bidi="ar"/>
              </w:rPr>
              <w:t>7</w:t>
            </w:r>
            <w:r>
              <w:rPr>
                <w:rFonts w:ascii="宋体" w:hAnsi="宋体" w:cs="宋体" w:hint="eastAsia"/>
                <w:color w:val="000000" w:themeColor="text1"/>
                <w:kern w:val="0"/>
                <w:szCs w:val="21"/>
                <w:lang w:bidi="ar"/>
              </w:rPr>
              <w:t>月</w:t>
            </w:r>
            <w:r>
              <w:rPr>
                <w:rFonts w:ascii="宋体" w:hAnsi="宋体"/>
                <w:color w:val="000000" w:themeColor="text1"/>
                <w:kern w:val="0"/>
                <w:szCs w:val="21"/>
                <w:lang w:bidi="ar"/>
              </w:rPr>
              <w:t>28</w:t>
            </w:r>
            <w:r>
              <w:rPr>
                <w:rFonts w:ascii="宋体" w:hAnsi="宋体" w:cs="宋体" w:hint="eastAsia"/>
                <w:color w:val="000000" w:themeColor="text1"/>
                <w:kern w:val="0"/>
                <w:szCs w:val="21"/>
                <w:lang w:bidi="ar"/>
              </w:rPr>
              <w:t>日创立，法定代表人孔繁敏，公司注册资本</w:t>
            </w:r>
            <w:r>
              <w:rPr>
                <w:rFonts w:ascii="宋体" w:hAnsi="宋体"/>
                <w:color w:val="000000" w:themeColor="text1"/>
                <w:kern w:val="0"/>
                <w:szCs w:val="21"/>
                <w:lang w:bidi="ar"/>
              </w:rPr>
              <w:t>5510</w:t>
            </w:r>
            <w:r>
              <w:rPr>
                <w:rFonts w:ascii="宋体" w:hAnsi="宋体" w:cs="宋体" w:hint="eastAsia"/>
                <w:color w:val="000000" w:themeColor="text1"/>
                <w:kern w:val="0"/>
                <w:szCs w:val="21"/>
                <w:lang w:bidi="ar"/>
              </w:rPr>
              <w:t>万元，孔繁敏占据大部分股权，为</w:t>
            </w:r>
            <w:r>
              <w:rPr>
                <w:rFonts w:ascii="宋体" w:hAnsi="宋体"/>
                <w:color w:val="000000" w:themeColor="text1"/>
                <w:kern w:val="0"/>
                <w:szCs w:val="21"/>
                <w:lang w:bidi="ar"/>
              </w:rPr>
              <w:t>87.29%</w:t>
            </w:r>
            <w:r>
              <w:rPr>
                <w:rFonts w:ascii="宋体" w:hAnsi="宋体" w:cs="宋体" w:hint="eastAsia"/>
                <w:color w:val="000000" w:themeColor="text1"/>
                <w:kern w:val="0"/>
                <w:szCs w:val="21"/>
                <w:lang w:bidi="ar"/>
              </w:rPr>
              <w:t>。纳克公司主要对于太阳能方面的开发，负责生产与销售。在纳克公司成立初期，孔繁敏为了建厂房，以及日后公司的正常运营，频频向他人乞贷。</w:t>
            </w:r>
            <w:r>
              <w:rPr>
                <w:rFonts w:ascii="宋体" w:hAnsi="宋体"/>
                <w:color w:val="000000" w:themeColor="text1"/>
                <w:kern w:val="0"/>
                <w:szCs w:val="21"/>
                <w:lang w:bidi="ar"/>
              </w:rPr>
              <w:t>2010</w:t>
            </w:r>
            <w:r>
              <w:rPr>
                <w:rFonts w:ascii="宋体" w:hAnsi="宋体" w:cs="宋体" w:hint="eastAsia"/>
                <w:color w:val="000000" w:themeColor="text1"/>
                <w:kern w:val="0"/>
                <w:szCs w:val="21"/>
                <w:lang w:bidi="ar"/>
              </w:rPr>
              <w:t>年，企业面临危机，由于限制了光伏业的发展，所以公司欠下的债务没有能力偿还，于是弄虚作假，以山西国际电力光伏有限公司订单合同的办法向山西分行贷款，为了赢得万柏林支行的信任，制作了到期付款等确认书先后骗取万柏林支行</w:t>
            </w:r>
            <w:r>
              <w:rPr>
                <w:rFonts w:ascii="宋体" w:hAnsi="宋体"/>
                <w:color w:val="000000" w:themeColor="text1"/>
                <w:kern w:val="0"/>
                <w:szCs w:val="21"/>
                <w:lang w:bidi="ar"/>
              </w:rPr>
              <w:t>5000</w:t>
            </w:r>
            <w:r>
              <w:rPr>
                <w:rFonts w:ascii="宋体" w:hAnsi="宋体" w:cs="宋体" w:hint="eastAsia"/>
                <w:color w:val="000000" w:themeColor="text1"/>
                <w:kern w:val="0"/>
                <w:szCs w:val="21"/>
                <w:lang w:bidi="ar"/>
              </w:rPr>
              <w:t>万元、7</w:t>
            </w:r>
            <w:r>
              <w:rPr>
                <w:rFonts w:ascii="宋体" w:hAnsi="宋体"/>
                <w:color w:val="000000" w:themeColor="text1"/>
                <w:kern w:val="0"/>
                <w:szCs w:val="21"/>
                <w:lang w:bidi="ar"/>
              </w:rPr>
              <w:t>000</w:t>
            </w:r>
            <w:r>
              <w:rPr>
                <w:rFonts w:ascii="宋体" w:hAnsi="宋体" w:cs="宋体" w:hint="eastAsia"/>
                <w:color w:val="000000" w:themeColor="text1"/>
                <w:kern w:val="0"/>
                <w:szCs w:val="21"/>
                <w:lang w:bidi="ar"/>
              </w:rPr>
              <w:t>万元。直到</w:t>
            </w:r>
            <w:r>
              <w:rPr>
                <w:rFonts w:ascii="宋体" w:hAnsi="宋体"/>
                <w:color w:val="000000" w:themeColor="text1"/>
                <w:kern w:val="0"/>
                <w:szCs w:val="21"/>
                <w:lang w:bidi="ar"/>
              </w:rPr>
              <w:t>2012</w:t>
            </w:r>
            <w:r>
              <w:rPr>
                <w:rFonts w:ascii="宋体" w:hAnsi="宋体" w:cs="宋体" w:hint="eastAsia"/>
                <w:color w:val="000000" w:themeColor="text1"/>
                <w:kern w:val="0"/>
                <w:szCs w:val="21"/>
                <w:lang w:bidi="ar"/>
              </w:rPr>
              <w:t>年</w:t>
            </w:r>
            <w:r>
              <w:rPr>
                <w:rFonts w:ascii="宋体" w:hAnsi="宋体"/>
                <w:color w:val="000000" w:themeColor="text1"/>
                <w:kern w:val="0"/>
                <w:szCs w:val="21"/>
                <w:lang w:bidi="ar"/>
              </w:rPr>
              <w:t>11</w:t>
            </w:r>
            <w:r>
              <w:rPr>
                <w:rFonts w:ascii="宋体" w:hAnsi="宋体" w:cs="宋体" w:hint="eastAsia"/>
                <w:color w:val="000000" w:themeColor="text1"/>
                <w:kern w:val="0"/>
                <w:szCs w:val="21"/>
                <w:lang w:bidi="ar"/>
              </w:rPr>
              <w:t>月</w:t>
            </w:r>
            <w:r>
              <w:rPr>
                <w:rFonts w:ascii="宋体" w:hAnsi="宋体"/>
                <w:color w:val="000000" w:themeColor="text1"/>
                <w:kern w:val="0"/>
                <w:szCs w:val="21"/>
                <w:lang w:bidi="ar"/>
              </w:rPr>
              <w:t>26</w:t>
            </w:r>
            <w:r>
              <w:rPr>
                <w:rFonts w:ascii="宋体" w:hAnsi="宋体" w:cs="宋体" w:hint="eastAsia"/>
                <w:color w:val="000000" w:themeColor="text1"/>
                <w:kern w:val="0"/>
                <w:szCs w:val="21"/>
                <w:lang w:bidi="ar"/>
              </w:rPr>
              <w:t>日，</w:t>
            </w:r>
          </w:p>
          <w:p w14:paraId="194FB9FD"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lang w:bidi="ar"/>
              </w:rPr>
              <w:t>为了偿还万柏林支行的贷款，利用多次典当的地盘再次向太原立通典当行乞贷，骗取该典当行</w:t>
            </w:r>
            <w:r>
              <w:rPr>
                <w:rFonts w:ascii="宋体" w:hAnsi="宋体"/>
                <w:color w:val="000000" w:themeColor="text1"/>
                <w:kern w:val="0"/>
                <w:szCs w:val="21"/>
                <w:lang w:bidi="ar"/>
              </w:rPr>
              <w:t>570</w:t>
            </w:r>
            <w:r>
              <w:rPr>
                <w:rFonts w:ascii="宋体" w:hAnsi="宋体" w:cs="宋体" w:hint="eastAsia"/>
                <w:color w:val="000000" w:themeColor="text1"/>
                <w:kern w:val="0"/>
                <w:szCs w:val="21"/>
                <w:lang w:bidi="ar"/>
              </w:rPr>
              <w:t>万元。</w:t>
            </w:r>
          </w:p>
          <w:p w14:paraId="229EEEDC"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lang w:bidi="ar"/>
              </w:rPr>
              <w:t>相关的审计部门通过数据的分析最终发现，从</w:t>
            </w:r>
            <w:r>
              <w:rPr>
                <w:rFonts w:ascii="宋体" w:hAnsi="宋体"/>
                <w:color w:val="000000" w:themeColor="text1"/>
                <w:kern w:val="0"/>
                <w:szCs w:val="21"/>
                <w:lang w:bidi="ar"/>
              </w:rPr>
              <w:t>2011</w:t>
            </w:r>
            <w:r>
              <w:rPr>
                <w:rFonts w:ascii="宋体" w:hAnsi="宋体" w:cs="宋体" w:hint="eastAsia"/>
                <w:color w:val="000000" w:themeColor="text1"/>
                <w:kern w:val="0"/>
                <w:szCs w:val="21"/>
                <w:lang w:bidi="ar"/>
              </w:rPr>
              <w:t>年至</w:t>
            </w:r>
            <w:r>
              <w:rPr>
                <w:rFonts w:ascii="宋体" w:hAnsi="宋体"/>
                <w:color w:val="000000" w:themeColor="text1"/>
                <w:kern w:val="0"/>
                <w:szCs w:val="21"/>
                <w:lang w:bidi="ar"/>
              </w:rPr>
              <w:t>2012</w:t>
            </w:r>
            <w:r>
              <w:rPr>
                <w:rFonts w:ascii="宋体" w:hAnsi="宋体" w:cs="宋体" w:hint="eastAsia"/>
                <w:color w:val="000000" w:themeColor="text1"/>
                <w:kern w:val="0"/>
                <w:szCs w:val="21"/>
                <w:lang w:bidi="ar"/>
              </w:rPr>
              <w:t>年，山西纳克太阳能科技有限公司经营过程中存在很多不合理的经营行为，通过伪造工程承包合同等行为，从工商银行陕山西分行骗取融资贷款一共</w:t>
            </w:r>
            <w:r>
              <w:rPr>
                <w:rFonts w:ascii="宋体" w:hAnsi="宋体"/>
                <w:color w:val="000000" w:themeColor="text1"/>
                <w:kern w:val="0"/>
                <w:szCs w:val="21"/>
                <w:lang w:bidi="ar"/>
              </w:rPr>
              <w:t>1.7</w:t>
            </w:r>
            <w:r>
              <w:rPr>
                <w:rFonts w:ascii="宋体" w:hAnsi="宋体" w:cs="宋体" w:hint="eastAsia"/>
                <w:color w:val="000000" w:themeColor="text1"/>
                <w:kern w:val="0"/>
                <w:szCs w:val="21"/>
                <w:lang w:bidi="ar"/>
              </w:rPr>
              <w:t>亿元，造成贷款损失</w:t>
            </w:r>
            <w:r>
              <w:rPr>
                <w:rFonts w:ascii="宋体" w:hAnsi="宋体"/>
                <w:color w:val="000000" w:themeColor="text1"/>
                <w:kern w:val="0"/>
                <w:szCs w:val="21"/>
                <w:lang w:bidi="ar"/>
              </w:rPr>
              <w:t>8000</w:t>
            </w:r>
            <w:r>
              <w:rPr>
                <w:rFonts w:ascii="宋体" w:hAnsi="宋体" w:cs="宋体" w:hint="eastAsia"/>
                <w:color w:val="000000" w:themeColor="text1"/>
                <w:kern w:val="0"/>
                <w:szCs w:val="21"/>
                <w:lang w:bidi="ar"/>
              </w:rPr>
              <w:t>多万元。</w:t>
            </w:r>
          </w:p>
          <w:p w14:paraId="463E407E" w14:textId="77777777" w:rsidR="00B229A7" w:rsidRDefault="00B229A7">
            <w:pPr>
              <w:spacing w:line="276" w:lineRule="auto"/>
              <w:rPr>
                <w:rFonts w:ascii="宋体" w:hAnsi="宋体"/>
                <w:color w:val="000000" w:themeColor="text1"/>
                <w:kern w:val="0"/>
                <w:szCs w:val="21"/>
              </w:rPr>
            </w:pPr>
          </w:p>
        </w:tc>
      </w:tr>
      <w:tr w:rsidR="00B229A7" w14:paraId="26FABF1B" w14:textId="77777777">
        <w:tc>
          <w:tcPr>
            <w:tcW w:w="1980" w:type="dxa"/>
          </w:tcPr>
          <w:p w14:paraId="0884BC9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674396B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内部审计</w:t>
            </w:r>
          </w:p>
        </w:tc>
      </w:tr>
      <w:tr w:rsidR="00B229A7" w14:paraId="7C5A5BAB" w14:textId="77777777">
        <w:tc>
          <w:tcPr>
            <w:tcW w:w="1980" w:type="dxa"/>
          </w:tcPr>
          <w:p w14:paraId="7C823E9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审计受罚或责任详情</w:t>
            </w:r>
          </w:p>
        </w:tc>
        <w:tc>
          <w:tcPr>
            <w:tcW w:w="6316" w:type="dxa"/>
          </w:tcPr>
          <w:p w14:paraId="2BA8AB4F"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lang w:bidi="ar"/>
              </w:rPr>
              <w:t>最终该事件经过司法部门处理，判处公司法定代表人孔繁敏无期徒刑，以合同诈骗罪对该公司处以罚金</w:t>
            </w:r>
            <w:r>
              <w:rPr>
                <w:rFonts w:ascii="宋体" w:hAnsi="宋体"/>
                <w:color w:val="000000" w:themeColor="text1"/>
                <w:kern w:val="0"/>
                <w:szCs w:val="21"/>
                <w:lang w:bidi="ar"/>
              </w:rPr>
              <w:t>550</w:t>
            </w:r>
            <w:r>
              <w:rPr>
                <w:rFonts w:ascii="宋体" w:hAnsi="宋体" w:cs="宋体" w:hint="eastAsia"/>
                <w:color w:val="000000" w:themeColor="text1"/>
                <w:kern w:val="0"/>
                <w:szCs w:val="21"/>
                <w:lang w:bidi="ar"/>
              </w:rPr>
              <w:t>万元，追回赃款</w:t>
            </w:r>
            <w:r>
              <w:rPr>
                <w:rFonts w:ascii="宋体" w:hAnsi="宋体"/>
                <w:color w:val="000000" w:themeColor="text1"/>
                <w:kern w:val="0"/>
                <w:szCs w:val="21"/>
                <w:lang w:bidi="ar"/>
              </w:rPr>
              <w:t>8558.2</w:t>
            </w:r>
            <w:r>
              <w:rPr>
                <w:rFonts w:ascii="宋体" w:hAnsi="宋体" w:cs="宋体" w:hint="eastAsia"/>
                <w:color w:val="000000" w:themeColor="text1"/>
                <w:kern w:val="0"/>
                <w:szCs w:val="21"/>
                <w:lang w:bidi="ar"/>
              </w:rPr>
              <w:t>万元。</w:t>
            </w:r>
          </w:p>
          <w:p w14:paraId="00C0B7DD" w14:textId="77777777" w:rsidR="00B229A7" w:rsidRDefault="00B229A7">
            <w:pPr>
              <w:spacing w:line="276" w:lineRule="auto"/>
              <w:rPr>
                <w:rFonts w:ascii="宋体" w:hAnsi="宋体"/>
                <w:color w:val="000000" w:themeColor="text1"/>
                <w:kern w:val="0"/>
                <w:szCs w:val="21"/>
              </w:rPr>
            </w:pPr>
          </w:p>
        </w:tc>
      </w:tr>
      <w:tr w:rsidR="00B229A7" w14:paraId="43968B15" w14:textId="77777777">
        <w:tc>
          <w:tcPr>
            <w:tcW w:w="1980" w:type="dxa"/>
          </w:tcPr>
          <w:p w14:paraId="317BACC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70A024D5"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5.1提高内部审计与专项贷款的衔接度5.1.1深入了解专项贷款企业，实施跟踪审计工商银行山西分行对于贷款企业不仅要进行尽职调查和贷款申请的严格把关。还要深入了解贷款企业的全面状况，可以根据现金流为主线对每年的经营状况要有深入分析，这样有助于撰写出全面的准确的内部审计报告，并有利于管理层做出正确的决策。工商银行山西分行应当对于专项贷款启用跟踪审计手段，有利于提高内部审计与专项贷款之间的紧密度。对专项贷款的涉及单位实施全过程跟踪审计，来确保贷款资金的合理使用。审计的范围不仅要包括贷款资金的管理以及使用的情况，还要将重点放在公司企业的偿贷能力情况。5.1.2借助审计信息库加强之间的联系对审计信息库的建设有助于内部审计与专项贷款之间的联系。要控制不良贷款风险必须要加强对高风险领域的监测，积极引进现代信息技术，构建完善的信息“大数据”体系，利用远程审计和非现场审计工具，提升审计的效率与准度。在审计信息库里，可以找到有关贷款单位的审计信息，加强了内部审计与贷款企业审计信息之间的便捷有效性。在准确分析、全面掌握风险基础上，采取“双控”策略，</w:t>
            </w:r>
            <w:r>
              <w:rPr>
                <w:rStyle w:val="11"/>
                <w:rFonts w:ascii="宋体" w:hAnsi="宋体" w:hint="eastAsia"/>
                <w:i w:val="0"/>
                <w:iCs w:val="0"/>
                <w:color w:val="000000" w:themeColor="text1"/>
                <w:kern w:val="0"/>
                <w:szCs w:val="21"/>
              </w:rPr>
              <w:lastRenderedPageBreak/>
              <w:t>加强风险的管理。一是加强重点监督。要对重点领域、高风险行业进行重点监控，如房地产业、产能过剩业及融资平台等，要采取具体措施，对信用风险进行防控；二是对重点企业采取“黑名单”机制，积极探索大数据环境下的监督机制，加强交叉环节的信息共享，最大限度规避不良贷款比例。5.2加强对贷款企业的延伸审计工商银行山西分行应该应该利用延伸审计对贷款企业的尽职调查是否真实、贷后的检查是否到位和贷款资金是否存在风险进行再检查、再监督。向借款企业相关年度的延伸。由于企业一些问题的时间跨度较广，假若单从某一年的财务报表来看，是很难发现企业的经营实质，此时必须以现金流为主线，向之前的年度进行延伸。向借款企业的使用单位对象延伸。可以准确了解到贷款是否按尽职调查所了解的内容，项目资金按计划及时准确的被借款企业使用在对应的单位对象上。重点关注借款企业是否对借款资金进行挪用或截留等问题。向相关人员延伸。主要针对一些在财务报告中无法发现借款企业的问题，通过接触该企业不同层级的员工，在与这些人员的沟通交流之中可以发现该获得一些审计线索。5.3完善贷款项目的风险预警机制5.3.1提高贷款项目预警层次水平（1）运用非现场审计系统进行贷款风险监控。要建立极为清晰的反馈及预警机制，内审部门肩负对信贷风险的管理、监督与评价职能，应当将其独立于其他部门之外，采取垂直管理模式，发现风险情况有权直接向管理层和决策层汇报。不断提升风险预警传递、处理效率，将各种渠道的审计结果中的风险因素，进行有效分析与研判，将结果传递到审计部门，确保管理层决策更加科学、准确、全面、及时，消除各种隐患及风险。对于特定区域、行业经济环境、客户群体及产品的风险进行研究，按照“先导性”原则加强预判。对于涉及的贷款行业、经营、区域、营业网点、关联交易、转贷等数据资料录入综合系统，根据各数据变化进行准确计算，确保数据风险能够被准确预警，在风险初现或预判后，应当立即加以解决；对于正常贷款业务也要做好关注工作，通过深入分析逐渐找出其潜在的风险，对所有容易出现风险的关键点进行跟踪与检查，发现可疑情况必须要紧盯不放，找到发生问题的根源，防止出现失控局面。对于数据系统分析出来的贷款风险，必须要对疑点进行全面解析，从审核、发放、划转及提现等流程进行“回放”，确保所有环节都能够控制风险，不致出现操作性问题。（2）建立分级预警预控机制。对于风险预警可能根据不同的危害将其区分为不同等级的预警机制，一般可以分为严重问题和一般性问题，要求各层级人员对已经出现显性的风险做出反应，对于审计报告当中的系统性风险、大额贷款风险等纳入到领导班子办公会进行集中研究，明确整改时限和效果，并按照职责分工</w:t>
            </w:r>
            <w:r>
              <w:rPr>
                <w:rStyle w:val="11"/>
                <w:rFonts w:ascii="宋体" w:hAnsi="宋体" w:hint="eastAsia"/>
                <w:i w:val="0"/>
                <w:iCs w:val="0"/>
                <w:color w:val="000000" w:themeColor="text1"/>
                <w:kern w:val="0"/>
                <w:szCs w:val="21"/>
              </w:rPr>
              <w:lastRenderedPageBreak/>
              <w:t>记录在案，提高对贷款风险的自理效率。同时，将审计检查结果纳入到考核指标体系中，采取定性和定量结合的方式，对领导提拔、任用进行考核。在预警分析结果形成后，要定期向被审计单位管理部门进行通报，以确保其风险预警能够得到足够的重视。定期发布重点区域、重点行业、重点产品、重点客户存在的风险，以便于相关领域及人员能够有意识的35</w:t>
            </w:r>
          </w:p>
          <w:p w14:paraId="4AB1F7B7"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万方数据</w:t>
            </w:r>
          </w:p>
          <w:p w14:paraId="2878F688"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基于纳克公司骗贷的工商银行山西分行内部审计研究进行防范；对于非现场审计系统做出的预警信号，要根据其分层处置、风险情况进行区分，而后进行披露。经审计发现资信不良的用户，应当做出预警，审计单位应当做出相应的反应，即取消信用等级或降低等级，最大限度压缩授信规模，并在系统内进行记录和通报，以增强贷款风险的预警和处理能力。（3）开发贷款风险预警工具，提高风险预警能力。基于非现场审计系统，促进贷款风险预警体系建设，着重推广预警信号分类，主动增加情景分析、风险压力及敏感性测试等，积极做好各种风险的预警及防范工作，确保做到风险可预测，认真查找与剖析可能存在的问题，找到其存在的表象及原因，不断提升内审的价值及效率，增强风险预警能力。5.3.2以内部监督检查为基础完善风险控制体系加强对抵押物品的审核，保证资产效益最大化与有效性，从实践效果来看，银行内部系统是现代风险导向审计的前提与基础，在不良贷款处置过程中，对冲抵贷款物资进行准确评估，确保其具有足够的价值及变现能力，能够有效降低银行系统的经营性风险，最大限度避免固定资产流失。首先，内审部门对抵贷物资的变现能力进行综合评估，防止因估值不准而造成损失；其次，对其整个风险体系进行有效监督，确保其能够做到公平公正。因此，内部审计系统应当重点加强对内控环境的监督与管理，找到其中存在的薄弱部位，有针对性的加以解决；最大限度避免银行存在的处置风险。在银行内部检查和控制前提下，不断完善现代风险防控机制和管理体系。5.3.3实施贷款管理审计，从源头上防控贷款风险要提升各级对贷款审计工作的重视程度，建立相对完善的监督与评价机制，确保不会出现管理失职、操作失当、监督失控问题。（1）定期组织风险评估。在贷款风险审计和管理中，应当对客户经理配备、岗位轮换、责任追究等制度进行全面审核，特别是对于制度建设的科学性、完善性进行检查，通过对特定指标进行分析，了解信贷人员与信贷规模是否存在一致性，对其信用等级和工作业绩进行跟踪，看各级是否能够严格按照权限进行审批及发放，从而确保风险管理能够得到有效执行。（2）加强贷款质量评价。要将信贷人员贷款的质量情况纳入到具体审计方案当中，通过对贷款不良率、</w:t>
            </w:r>
            <w:r>
              <w:rPr>
                <w:rStyle w:val="11"/>
                <w:rFonts w:ascii="宋体" w:hAnsi="宋体" w:hint="eastAsia"/>
                <w:i w:val="0"/>
                <w:iCs w:val="0"/>
                <w:color w:val="000000" w:themeColor="text1"/>
                <w:kern w:val="0"/>
                <w:szCs w:val="21"/>
              </w:rPr>
              <w:lastRenderedPageBreak/>
              <w:t>违规率进行计算，从而对各信贷人员贷款质量进行综合评估，对于超过一定比例的信贷风险，要提高检查频率、加大外核覆盖面、调整贷款发放权限，按照违规情况和不良进行相应的责任追究。（3）检查户评级授信。要对客户评级结果进行抽查和普查，确保信贷人员无弄虚作假和擅自更改等问题，对于因导向错误而产生的贷款发放情况，要坚决予以纠正。对贷款人的经营现状、生产情况进行全面跟踪监测，看其资金使用是否与申请理由相一致；财务状况是否发生重大变化，如果发生变化要立即进行评估，以降低银行风险；是否能够按照资金管理方法，进行监督与划转，贷款资金有无转借或挪用的现象。5.4提高内部审计人员素质5.4.1提高内部审计队伍专业化水平从银行不良贷款清收工作效果来看，内部审计人员的素质是主要的决定因素。一方面，我国银行内审人员素质差异较大，在执行审计任务时，很难形成一致的标准，可以借鉴国外银行的审计经验，提高内部审计人员的资质审核；为保证在岗人员基本素质与能力，可以定期组织其进行换岗培训，确保审计人员素质能力始终与发展相适配；另一方面，加强对不良贷款清收效果的审计，根据各类数据情况，设置相应的考核指标体系，将审计工作进行量化，并建立行之有效的问责和激励机制，提升相关人员风险控制意识与能力。5.4.2完善内部审计人员的相关制度建立有效的竞争机制和激励机制，在内部审计部门建立相对科学高效的激励制度，通过公开、公平的竞争，激发内部审计人员工作的主动性，督促他们不断地进行学习，以增加自己的业务素质与能力。首先，设置合理的薪酬体系。通过数据对比，设置内部审计人员的薪酬、福利、待遇等，从定量和定性分析维度，建立行之有效的评估体系，将从业年限、知识学历、专业资质、业务水平等与个人绩效挂钩，确保每个员工都能够享有稳定的待遇；另外，明确审计工作的风险性，并其与个人薪酬、职务晋升、聘任岗位等联系在一起，确保赏罚分明。从考核体系看，将质量控制员、现场审计人员、监工员等纳入到风险考核范围，确保绩效评估工作可以有效展开，培育良好的审计环境和企业精神。5.5充分发挥内部审计在风险管理中的作用5.5.1将内部审计与风险管理高度有效融合在银行风险管理中，内部审计能够通过银行业务运营状况及财务状况的分析，为风险管理提供风险识别、计量和预警作用。因此在银行风险管理中，内部审计的作用十分关键，这就要求我们紧密结合二者，基于纳克公司骗贷的工商银行山西分行内部审计研究其发挥良好的协同作用，为银行的稳定发展提供保障。首先，结合银行的风险影响因素指定科学的审计计划，按照风险等级评估结果明确银行内部审计计划，从而确定审计项目。其次，通过对内部控制过程的评价找寻银行风险管理中的薄弱环节，</w:t>
            </w:r>
            <w:r>
              <w:rPr>
                <w:rStyle w:val="11"/>
                <w:rFonts w:ascii="宋体" w:hAnsi="宋体" w:hint="eastAsia"/>
                <w:i w:val="0"/>
                <w:iCs w:val="0"/>
                <w:color w:val="000000" w:themeColor="text1"/>
                <w:kern w:val="0"/>
                <w:szCs w:val="21"/>
              </w:rPr>
              <w:lastRenderedPageBreak/>
              <w:t>在风险计量和风险评估等方面，要最大限度找寻潜在风险并明确其严重性。在风险管理中引入内部审计，建立二者协同的风险管理机制不是短时间内能完成的，需要在日常运营过程中逐步渗透和融合，并逐步提升银行风险管理的有效性。此外，要建立以风险为导向的审计策略，通过银行内部控制审计与财务报表审计的有机结合，改善以往的审计模式。同时要不断完善银行风险评估的指标体系，提升银行的风险管理水平。5.5.2完善审计责任制度在银行风险管理中，要想最大限度发挥内部审计的优势与积极作用，有效提升银行的风险管理水平，需要建立审计责任制度，实现银行审计信息公开化、透明化，便于审计监管。首先，建立银行审计责任制度，对银行内部审计机构的职权、责任进行细化，落实到具体的审计人员，同时确立审计责任追究和激励机制，完善审计工作的相关程序和规范；其次，建立银行内部审计考核机制。由银行内部审计部门领导统一协调管理，对审计项目和工作绩效给予公平公正的评估，对于质量优秀的审计项目应该给予一定的奖励，对审计人员形成激励。对于违反内部审计工作规范、审计项目质量较差或造成风险的审计责任人应该追究其相应的责任。最后，不断完善银行内部审计的相关规章制度，结合风险管理的工作情况明确审计主体责任和职务分工，通过日常协同管理不断提升银行的风险管理水平。5.5.3促进银行风险管理信息化、动态化发展从上世纪90年代以来，我国金融业的发展迈入了电子化、信息化的时代。以银行业发展为例，从上世纪50-60年代，银行业处于电算化发展的关键时期，70年代电子资金转账系统的出现又将银行业电子化推到了新的高峰，80年代的自助银行互联及90年代以来快速兴起的网络银行业务，直到目前的手机银行、移动支付，不断推进银行业的信息化发展。可以说，银行业的每一次飞跃都是借助于电子信息技术的支撑。由于银行业有着全国联网系统、庞大的账户量及十分完备的数据库，具有先天的大数据优势，为风险管理的动态化发展奠定了坚实的基础和丰富的信息资源。在此基础上，银行应该不断加强信息技术在风险管理方面的运用，充分整合大数据资源，构建风险管理的动态指标，建立以风险为导向、内部控制审计与财务报表审计为基础的动态风险监管体系，实现银行风险管理的动态化，提高风险预警的及时性。具体监管体系可以有银行内部审计部门与风险管理部门共同负责、共同应用，形成全新的风险管理监查动态体系，并不断加强两个部门的协同性，提高银行风险管理的水平与效果。</w:t>
            </w:r>
          </w:p>
        </w:tc>
      </w:tr>
      <w:tr w:rsidR="00B229A7" w14:paraId="236D3B83" w14:textId="77777777">
        <w:tc>
          <w:tcPr>
            <w:tcW w:w="1980" w:type="dxa"/>
          </w:tcPr>
          <w:p w14:paraId="0162900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3D3B350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3.3.1内部审计的流程当审计项目已经立项时，在实施审计之前，审计部门应当向集团总裁递交关于审计的正式报告，集团总裁中的正式报告进行审核并批准以后，才能够授权审计部实施审计。审计</w:t>
            </w:r>
            <w:r>
              <w:rPr>
                <w:rFonts w:ascii="宋体" w:hAnsi="宋体" w:hint="eastAsia"/>
                <w:color w:val="000000" w:themeColor="text1"/>
                <w:kern w:val="0"/>
                <w:szCs w:val="21"/>
              </w:rPr>
              <w:lastRenderedPageBreak/>
              <w:t>准备。审计人员在确定审计事项后，即可开始制定审计计划。初步调查。在初步调查过程中，可以通过实地调研或座谈会的方式，找出相关的审计资料，并编写初步调查说明书。审计发现和审计建议。内部审计人员在收集关于审计的相关资料时，应当关注与此次审计相关的审计证据，将所有收集起来的审计证据形成审计评价和审计发现报告，并应当向上级递交适当的审计建议。审计报告。审计报告主要包括审计复核与监督、审计意见交换搞、被审计单位与审计单位之间的交换意见。后续审计。审计人员在评估相关风险后，可以将风险评估结果以及审计结果制定成书面报告，递交至集团总裁和审计委员会。审计评价。审计部负责人，针对审计项目的执行情况、审计方法、审计目标完成情况等等，需要进行总结和评估。审计档案。在完成上述六个步骤以后，审计人员需要整理和装订审计资料，完成资料装订后还需要为每一个审计档案进行编号，审计部负责保管所有的审计档案。3.3.2贷前尽职调查流程经理在对客户进行贷款之前，需要做一些基本的工作，例如要对客户的资料进行一定的了解，提前与客户进行相关的交流，然后通过自己的总结，做一份调查报告，为客户的贷款做准备。（1）收集客户相关资料收集客户资料是客户经理了解客户、明确客户基本信息的必要方式，然而客户的基本资料包括了其财务以及信用度等方面。①收集客户基本资料如果是企业客户，其基本资料主要包括营业执照、代码证、税务登记证、章程、验资报告、法人代表身份证等；如果是个人客户，则其基本资料主要包括身份证、户口簿及其家属的资料等。②收集客户财务资料客户财务资料主要是资产负债表、利润表、现金流量表等三张会计报表，在对客户的财务资料进行收集时，一般在时间范围上是三年，通过对客户在资金流动，是否负债情况，以及收益等方面的相关了解，进行一定的分析，充分了解客户。③收集客户信用资料目前收集客户信用资料最简便的方法是通过人民银行征信系统查看客户信用报告。通过信用报告，客户经理可以对客户过往信用记录、当前实有负债、或有负债、担保记录、诉讼情况等一览无余。（2）与客户进行良好沟通从沟通的高度来看，贷前调查应从宏观和微观两方面入手。宏观层面上，客户经理要了解客户经营行业在国际国内的总体走势、当前国内基于纳克公司骗贷的工商银行山西分行内部审计研究对客户经营行业的政策导向等；微观层面上，客户经理要了解客户经营行业在当地的产业集群状况，以及客户在产业集群中的区位优势、经营状况、产品特色、产品的上下链情况等。从沟通的角度来看，贷前调查应从名誉和信誉两方面入手。客户经理在与客户沟通前有必要通过外围调查对客户有一个框架性的认识，了解客户的社会认知度，然后通过面对面的交流对客</w:t>
            </w:r>
            <w:r>
              <w:rPr>
                <w:rFonts w:ascii="宋体" w:hAnsi="宋体" w:hint="eastAsia"/>
                <w:color w:val="000000" w:themeColor="text1"/>
                <w:kern w:val="0"/>
                <w:szCs w:val="21"/>
              </w:rPr>
              <w:lastRenderedPageBreak/>
              <w:t>户有一个全方位的认识，并且以此为参考依据对其进行客观评价。客户经理还可以从客户的诚信入手，了解客户过往的信贷关系史，掌握客户的信用意识和信誉度，以此作为判断客户优质与否的重要标准。从沟通的力度来看，贷前调查应从数量和质量两方面入手。客户经理在与客户沟通的过程中要在所掌握的各方面的数据上下力气，了解客户的资产、负债、现金流、年产量、销售能力、利润率、生产成本、税收、职工人数等数据，对客户的资产规模、资金实力、经营能力等进行大体判断。客户经理还可通过客户对产品品质的要求等，了解客户的管理方法，判断客户的管理理念是否先进。从沟通的深度来看，贷前调查应从策略和战略两方面入手。客户经理在与客户沟通交流的过程中要深入询问客户的经营策略、销售策略、管理策略等。经营策略是客户团队的智慧所在，策略正确，生产经营就相对顺利。客户经理还要关注客户的发展战略，判断客户发展战略的可行性，从而洞察客户的发展前景。（3）实地调查突出“四诊法”①望：看生产饱和度、看工作秩序生产饱和度是客户经营项目是否良好运作的重要指标。生产饱和，说明经营状况良好，生产停滞，说明经营存在问题。工作秩序体现了员工素质，但更多的还是反映了客户的管理水平。客户经理可以以工作秩序中折射出的管理水平与员工素质作为对客户评判的依据之一。②闻：听经营思路、听员工评价思想指导实践，客户的管理层必须调整好思路，明确发展方向，才能插上智慧的翅膀。因此，客户经理可以从客户的经营思路中判断客户未来的成长性。另外，员工评价好、工作积极，通常可以说明员工对工作比较满意，不存在工资拖欠问题，也能间接证明客户的经营状况较好。③问：问发展历史、问企业文化客户的生产经营状况绝不是一蹴而就的，客户经理可以根据实地看到的状况询问其发展过程，判断这个过程是否合理。另外，客户经理在实地调查的过程中也应关注客户的企业文化建设，因为从某种程度上说，对企业文化建设重视与否，从侧面反映了客户的文化内涵和经济实力。④切：核对数据、查看现金流客户经理收集的客户基本资料及财务报表，需要经过实地调查进行核实。客户经理可依据财务报表的构成逐一对各种数据进行盘点，通过总分账核对、明细账核对、账实核对等手段核各种财务数据，判断客户是否存在粉饰报表的行为，同时也能够进一步掌握客户资产、库存、负债、销售、利润等的真实情况。另外，客户经理还要注意查看客户的现金流量结构，进一步掌握客户的财务情况。（4）客观撰写调查报告客户经理在经过一系列尽职调查后，就进入调查报告的撰写阶段了。一般来说，尽职调查报告的要点主要包括：客户的基本情况、客户财务因素分析、客户非财务因素分析、客户贷款申请的合理性分析、贷款</w:t>
            </w:r>
            <w:r>
              <w:rPr>
                <w:rFonts w:ascii="宋体" w:hAnsi="宋体" w:hint="eastAsia"/>
                <w:color w:val="000000" w:themeColor="text1"/>
                <w:kern w:val="0"/>
                <w:szCs w:val="21"/>
              </w:rPr>
              <w:lastRenderedPageBreak/>
              <w:t>的担保情况分析、风险评价和防范措施、调查结论等方面。客户经理撰写的书面调查报告是决定贷与不贷、贷多贷少的文字参考材料。因而，尽职调查报告既要全面反映被调查客户的真实情况，又要提出客观公正的调查意见，为决策者提供最真实完整的信息，把好贷款出口关。3.3.3银行贷款审批流程银行业的贷款主要步骤有贷款的申请；信用等级评估，对借款人的信用等级进行评估；贷款调查，对借款人的安全性、合法性、盈利性等情况进行相应的调查；贷款审批；与借款人之间签订借款合同；贷款发放，根据借款合同规定贷款的日期及金额按期发放；贷后检查，对借款人借款后执行借款合同的情况以及借款人的经营情况进行定期的调查和检查。其中较为重要的就是在贷款申请时需要准备以下材料，借款人以及保证人的基本情况；财政部门或会计（审计）事务对上年度所核准后的财务报告，以及借款申请时前一期的财务报告；原有不合理占用贷款的纠正情况；抵押物、质押物清单或有处分权人的同意抵押、质押的证明以及保证人拟同意保证的有关证明；项目建议书和其可行性的报告；或者银行认为需要借款人提供其他的相关资料。</w:t>
            </w:r>
          </w:p>
        </w:tc>
      </w:tr>
    </w:tbl>
    <w:p w14:paraId="3090CEDB" w14:textId="77777777" w:rsidR="00B229A7" w:rsidRDefault="00B229A7">
      <w:pPr>
        <w:spacing w:line="276" w:lineRule="auto"/>
        <w:rPr>
          <w:rFonts w:ascii="宋体" w:hAnsi="宋体"/>
          <w:color w:val="000000" w:themeColor="text1"/>
          <w:szCs w:val="21"/>
        </w:rPr>
      </w:pPr>
    </w:p>
    <w:p w14:paraId="3E5C7F3A" w14:textId="77777777" w:rsidR="00B229A7" w:rsidRDefault="00D7072C">
      <w:pPr>
        <w:pStyle w:val="1"/>
      </w:pPr>
      <w:bookmarkStart w:id="166" w:name="_Toc104812524"/>
      <w:bookmarkStart w:id="167" w:name="_Toc104812622"/>
      <w:bookmarkStart w:id="168" w:name="_Toc104812343"/>
      <w:r>
        <w:rPr>
          <w:rFonts w:hint="eastAsia"/>
        </w:rPr>
        <w:t>4</w:t>
      </w:r>
      <w:r>
        <w:t>5</w:t>
      </w:r>
      <w:r>
        <w:rPr>
          <w:rFonts w:hint="eastAsia"/>
        </w:rPr>
        <w:t>百联集团商贸流通业务审计案例</w:t>
      </w:r>
      <w:bookmarkEnd w:id="166"/>
      <w:bookmarkEnd w:id="167"/>
      <w:bookmarkEnd w:id="168"/>
    </w:p>
    <w:tbl>
      <w:tblPr>
        <w:tblStyle w:val="a4"/>
        <w:tblW w:w="8296" w:type="dxa"/>
        <w:tblLayout w:type="fixed"/>
        <w:tblLook w:val="04A0" w:firstRow="1" w:lastRow="0" w:firstColumn="1" w:lastColumn="0" w:noHBand="0" w:noVBand="1"/>
      </w:tblPr>
      <w:tblGrid>
        <w:gridCol w:w="1980"/>
        <w:gridCol w:w="6316"/>
      </w:tblGrid>
      <w:tr w:rsidR="00B229A7" w14:paraId="62805CB6" w14:textId="77777777">
        <w:tc>
          <w:tcPr>
            <w:tcW w:w="1980" w:type="dxa"/>
          </w:tcPr>
          <w:p w14:paraId="7D899B7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231E752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01118</w:t>
            </w:r>
          </w:p>
        </w:tc>
      </w:tr>
      <w:tr w:rsidR="00B229A7" w14:paraId="7CA2C6CC" w14:textId="77777777">
        <w:tc>
          <w:tcPr>
            <w:tcW w:w="1980" w:type="dxa"/>
          </w:tcPr>
          <w:p w14:paraId="7171974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2DC5142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电子商务</w:t>
            </w:r>
          </w:p>
        </w:tc>
      </w:tr>
      <w:tr w:rsidR="00B229A7" w14:paraId="536639E5" w14:textId="77777777">
        <w:tc>
          <w:tcPr>
            <w:tcW w:w="1980" w:type="dxa"/>
          </w:tcPr>
          <w:p w14:paraId="0BB18DE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359C975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2014</w:t>
            </w:r>
          </w:p>
        </w:tc>
      </w:tr>
      <w:tr w:rsidR="00B229A7" w14:paraId="4197CD22" w14:textId="77777777">
        <w:tc>
          <w:tcPr>
            <w:tcW w:w="1980" w:type="dxa"/>
          </w:tcPr>
          <w:p w14:paraId="13C7F1D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789685C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百联集团</w:t>
            </w:r>
          </w:p>
        </w:tc>
      </w:tr>
      <w:tr w:rsidR="00B229A7" w14:paraId="00B4DA30" w14:textId="77777777">
        <w:tc>
          <w:tcPr>
            <w:tcW w:w="1980" w:type="dxa"/>
          </w:tcPr>
          <w:p w14:paraId="77A56C1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203086E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电子商务，综合百货、装潢装饰材料、服装针纺织品、五金交电、文教用品、新旧工艺品、金银制品、家具、古玩收购；国内贸易，货物及技术进出口业务；汽车配件；货物代理（一类）；收费停车费；仓储运输；实业投资，房地产开发经营，房屋出租，物业管理；预包装食品（不含熟食卤味、冷冻冷藏），图书报刊、电子出版物的零售，酒类商品批发。下列这些限分支机构经营：医疗器械、茶、食品、中西成药、音像制品、连锁超市、汽车修理、普通货物运输、房屋中介、餐饮服务，食品生产，娱乐</w:t>
            </w:r>
          </w:p>
        </w:tc>
      </w:tr>
      <w:tr w:rsidR="00B229A7" w14:paraId="65B4AB18" w14:textId="77777777">
        <w:tc>
          <w:tcPr>
            <w:tcW w:w="1980" w:type="dxa"/>
          </w:tcPr>
          <w:p w14:paraId="35231DB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1F3874E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53E9FC2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百联集团是上海原一百、华联、友谊三家商业集团和物资总公司合</w:t>
            </w:r>
          </w:p>
          <w:p w14:paraId="527B3CC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并组成的国有大型商贸流通企业，截至2014年末，百联集团旗下拥有6家上市公司，门店网点6000多家，从业人员16万，营业收入、利润等主要经济指标在国内同行中名列前茅。随着我国宏观经济与</w:t>
            </w:r>
            <w:r>
              <w:rPr>
                <w:rFonts w:ascii="宋体" w:hAnsi="宋体" w:hint="eastAsia"/>
                <w:color w:val="000000" w:themeColor="text1"/>
                <w:kern w:val="0"/>
                <w:szCs w:val="21"/>
              </w:rPr>
              <w:lastRenderedPageBreak/>
              <w:t>环境的变化，传统商贸企业正面临着以电子商务为代表的新渠道、新业态、新市场的挑战，企业经营管理出现了经销实体网点多、面临竞争对手多、营销模式多、工程投资项目多、经营占用资金多等新情况和新问题，百联集团已进入了创新转型、突围前进的关键时期。百联集团审计中心是集团内部控制和监管体系的重要部门，在集团董事会领导下，履行审计实施和审计管理双重职能。</w:t>
            </w:r>
          </w:p>
          <w:p w14:paraId="5CD7369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4755532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根据集团新一轮行动规划，审计中心在实施内部审计项目过程中，按照集团发展战略的要求，主动聚焦企业发展的重点和难点，将审计触角深入到企业重要经营环节、内部控制和风险管理等方面，紧紧盯住具有商贸特色的“三个环节”，即供应链管理、门店管理和资金管理；牢牢把握“四个抓手”，即突出审计重点、着力关口前移、强化咨询建议、注重成果运用；孜孜以求“两个实现”，即实现审计转型、服务增值，实现新审计准则的贯彻落实。近年来，审计中心根据商贸流通企业的特点，坚持深入基层企业和门店，开展形式多样、服务增值的审计工作，通过采取审计成就。项目一审到底的做法，关注经营管理的合法、合规和效益，取得了突出进展。</w:t>
            </w:r>
          </w:p>
          <w:p w14:paraId="2F650B3D"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526D02D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一)紧盯商品采购环节，为促进供应链建设当好“清道夫”企业库存商品的结构和质量是商品采购体系乃至供应链建设的重要内容。2014年，审计中心确定以下属一家连锁企业为审计对象，力求通过比对上年库存商品实绩，分析企业存货周转率指标和库龄指标，推断商品采购内部控制程序的设计合理性及执行有效性，帮助企业查</w:t>
            </w:r>
          </w:p>
          <w:p w14:paraId="3B12F09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找商品采购中存在的问题，找准和完善其关键风险控制点，预防、发现及纠正舞弊行为，以加强商品采购的内部控制管理。</w:t>
            </w:r>
          </w:p>
          <w:p w14:paraId="60A4755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1．库存异常引疑虑，组团审计倾全力。根据审计方案，审计人员在</w:t>
            </w:r>
          </w:p>
          <w:p w14:paraId="20369C6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执行分析程序后，发现该企业年末库存商品占比较高，周转速度明显慢于同行业平均水平，部分商品长期不动销且不可退换，部分商品滞销而进价却高于市场。这些异常现象引起了审计小组的警觉，以快报形式上报审计中心领导后，及时调整审计方案，抽调精兵强将协同作战，对该企业的商品库存情况实施了一次全面深人的审计。</w:t>
            </w:r>
          </w:p>
          <w:p w14:paraId="6A1B7A7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2．信息技术显身手，数据分析</w:t>
            </w:r>
          </w:p>
          <w:p w14:paraId="3B3690B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寻根源。该企业信息部根据审计小组的相关要求，导出2000余万条后台库存系统数据，总容量达7GB多，且格式多样化，结构十分复杂。显然，要通过这些数据对商品库存总体质量特征进行定性、评价，需要借助信息化审计技术对数据进行汇总分析提炼，得出有价值的结论。据此，审计小组结合该企业商品交易产生数据流的特征，尝试运用ACCESS软件对所有相关数据进行统一格式、文件切割、合</w:t>
            </w:r>
            <w:r>
              <w:rPr>
                <w:rFonts w:ascii="宋体" w:hAnsi="宋体" w:hint="eastAsia"/>
                <w:color w:val="000000" w:themeColor="text1"/>
                <w:kern w:val="0"/>
                <w:szCs w:val="21"/>
              </w:rPr>
              <w:lastRenderedPageBreak/>
              <w:t>并记录、匹配要素、筛选分析、差错复核等六个方面依次递进、相互关联的高强度操作测试，最终获得了该企业商品库存的整体分布情况，并在此基础上，运用EXCEL创建分析性中间表，通过反复比对分析出该企业库龄分布、动销周期及不动销等指标情况，找出了库存结构中存在的主要问题。</w:t>
            </w:r>
          </w:p>
          <w:p w14:paraId="375A494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3．追根寻源析成因，拔出萝I、带出泥。查找问题是为了帮助解决</w:t>
            </w:r>
          </w:p>
          <w:p w14:paraId="1DBA9E6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问题。审计小组通过实地勘察、流程测试、个别访谈、资料核对外围查证、分析比较等方法，针对该企业影响库存质量的问题，诸如，重收入指标考核、轻库存管理；商品采购实行垂直管理、缺乏横向监督；部分合同条款明显失严，不利于库存管理；订货系统不完善、退货责任不清晰；供应商准人和淘汰机制不健全等，分析成因，提出建议。同时，审计小组通过对供应商资质的分析，发现个别供应商已注销或被吊销营业执照，却还与该企业有业务往来；个别综合收益明显低于品类平均综合收益的供应商，取得不当得利。这些滞销商品、不合理订货、过多买断商品等问题，一定程度上影响了企业资产质量，造成了企业利益的流失。此次审计的成果表现为：一是帮助企业夯实了资产，推进了制度流程的完善，加快了相关库存</w:t>
            </w:r>
          </w:p>
          <w:p w14:paraId="1B5BE5A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标准落地；二是找出了存在问题的成因，促进了企业优化商品结构，助推盈利模式转型；三是发现了舞弊现象，为司法机关将个别</w:t>
            </w:r>
          </w:p>
          <w:p w14:paraId="2F862AC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有舞弊行为的商品采购人员绳之以法提供了充分的审计证据，帮助企业挽回了损失。专项审计报告得到集团董事会、总裁室及二</w:t>
            </w:r>
          </w:p>
          <w:p w14:paraId="49232E5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级公司管理层的高度重视，揭示的问题得到积极整改。</w:t>
            </w:r>
          </w:p>
        </w:tc>
      </w:tr>
      <w:tr w:rsidR="00B229A7" w14:paraId="569DF920" w14:textId="77777777">
        <w:tc>
          <w:tcPr>
            <w:tcW w:w="1980" w:type="dxa"/>
          </w:tcPr>
          <w:p w14:paraId="5F14B77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38CF6B2F"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一)突出不同业态的审计重点百联集团商贸业务不仅拥有百货、超商、大宗物资贸易三大传统主力业态，而且涉足商业房地产、现代物流、电子商务等新兴业态。面对不同业态，需要准确定位审计重点，才能在有限的时间内把审计项目做深查透，才能应对市场变化，满足企业发展的需求。近年来，内部审计通过实践，已梳理出集团不同业态的关键控制环节，明确了各有侧重的审计重点，并已编入《百联集团内部审计工作手册》，为集团内部审计工作提供了可操作的审计实务指南。</w:t>
            </w:r>
          </w:p>
          <w:p w14:paraId="084FB5D5"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(二)突出商贸命脉的风险防范现金流和实体店是商贸流通企业的两大命脉，也是防范经营风险的重中之重。在审计项目实施中，根据集团资金集约管理的要求，对集团所属企业资金集约情况进行了审</w:t>
            </w:r>
          </w:p>
          <w:p w14:paraId="74FF51FD"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计，并针对资金集约管理中尚需完善的方面提出了针对性的建议。集团根据审计建议，加大了资金集约管理力度，制定并实现了规章制度、信息平台、账户开户、支付流程、筹资安排“五个统一”的目标。同时，审计中牢牢把握商贸企业监管的重点和难点，促进企业不断强化内部控制管理。</w:t>
            </w:r>
          </w:p>
          <w:p w14:paraId="01F95E29"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lastRenderedPageBreak/>
              <w:t>(三)突出现代科技元素的运用要适应经济发展新常态，内部审计同样需要加快创新转型。在拓展审计思路上，立意要高一点，发散性思维要多一点，可借助现代管理学、宏观经济学等一些社会科学的基本原理，开阔视野，启发联想；在完善审计质量上，除了持续推进内部审计质量评估，不断优化审计质量外，还要在审计方法上综合运用好已有行之有效的方法，同时要更多借鉴“互联网+”思维，充分利用大数据分析等信息化技术，收集审计证据，规避审计抽样风险，提高审计工作效率和质量。</w:t>
            </w:r>
          </w:p>
        </w:tc>
      </w:tr>
      <w:tr w:rsidR="00B229A7" w14:paraId="14C534E3" w14:textId="77777777">
        <w:tc>
          <w:tcPr>
            <w:tcW w:w="1980" w:type="dxa"/>
          </w:tcPr>
          <w:p w14:paraId="056B1D3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w:t>
            </w:r>
            <w:r>
              <w:rPr>
                <w:rFonts w:ascii="宋体" w:hAnsi="宋体"/>
                <w:color w:val="000000" w:themeColor="text1"/>
                <w:kern w:val="0"/>
                <w:szCs w:val="21"/>
              </w:rPr>
              <w:t>的审计术语与审计方法</w:t>
            </w:r>
          </w:p>
        </w:tc>
        <w:tc>
          <w:tcPr>
            <w:tcW w:w="6316" w:type="dxa"/>
          </w:tcPr>
          <w:p w14:paraId="794D8B1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中心重点针对商贸流通企业业务流程中风险易发多发环节，即供应链管理、门店管理和大额资金管理等方面的内部控制情况，依据中国内部审计准则开展审计，促进企业健全内部控制和风险管理体系，提高其运行的有效性。</w:t>
            </w:r>
          </w:p>
          <w:p w14:paraId="2EDEF58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商品采购是供应链管理中的重点环节，是商贸企业最为常见的业务环节，也是区别于制造业的一项主要标志。由于操作环节多，一旦疏于管理，不仅直接影响企业库存商品质量，而且极易产生舞弊。根据《内部审计实务指南第2号——物资采购审计》、((第2204号内部审计具体准则——对舞弊行为进行检查和报告》的相关要求，针对商品库存占比较高的企业，评价其采购过程的合法合规性及合理可靠性，评估舞弊发生的可能性并实施必要的检查程序。</w:t>
            </w:r>
          </w:p>
          <w:p w14:paraId="3A7F4BF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门店销售和大宗商品贸易，是企业完成经济指标的主要经营手段。根据《第2202号内部审计具体准则——绩效审计))相关要求，对门</w:t>
            </w:r>
          </w:p>
          <w:p w14:paraId="4090F9A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店和大宗贸易经营管理活动的经济性、效率性和效果性进行审查和评价，特别要关注大额预付资金的风险防范。</w:t>
            </w:r>
          </w:p>
        </w:tc>
      </w:tr>
    </w:tbl>
    <w:p w14:paraId="6C8AA00F" w14:textId="77777777" w:rsidR="00B229A7" w:rsidRDefault="00B229A7">
      <w:pPr>
        <w:spacing w:line="276" w:lineRule="auto"/>
        <w:rPr>
          <w:rFonts w:ascii="宋体" w:hAnsi="宋体"/>
          <w:color w:val="000000" w:themeColor="text1"/>
          <w:szCs w:val="21"/>
        </w:rPr>
      </w:pPr>
    </w:p>
    <w:p w14:paraId="1D2B571D" w14:textId="77777777" w:rsidR="00B229A7" w:rsidRDefault="00D7072C">
      <w:pPr>
        <w:pStyle w:val="1"/>
      </w:pPr>
      <w:bookmarkStart w:id="169" w:name="_Toc104812623"/>
      <w:bookmarkStart w:id="170" w:name="_Toc104812525"/>
      <w:bookmarkStart w:id="171" w:name="_Toc104812344"/>
      <w:r>
        <w:rPr>
          <w:rFonts w:hint="eastAsia"/>
        </w:rPr>
        <w:t>4</w:t>
      </w:r>
      <w:r>
        <w:t>6</w:t>
      </w:r>
      <w:r>
        <w:t>小熊电器</w:t>
      </w:r>
      <w:bookmarkEnd w:id="169"/>
      <w:bookmarkEnd w:id="170"/>
      <w:bookmarkEnd w:id="171"/>
    </w:p>
    <w:tbl>
      <w:tblPr>
        <w:tblStyle w:val="a4"/>
        <w:tblW w:w="8296" w:type="dxa"/>
        <w:tblLayout w:type="fixed"/>
        <w:tblLook w:val="04A0" w:firstRow="1" w:lastRow="0" w:firstColumn="1" w:lastColumn="0" w:noHBand="0" w:noVBand="1"/>
      </w:tblPr>
      <w:tblGrid>
        <w:gridCol w:w="1980"/>
        <w:gridCol w:w="6316"/>
      </w:tblGrid>
      <w:tr w:rsidR="00B229A7" w14:paraId="6BB044A3" w14:textId="77777777">
        <w:tc>
          <w:tcPr>
            <w:tcW w:w="1980" w:type="dxa"/>
          </w:tcPr>
          <w:p w14:paraId="22B9AA2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47C1AA5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01119</w:t>
            </w:r>
          </w:p>
        </w:tc>
      </w:tr>
      <w:tr w:rsidR="00B229A7" w14:paraId="01B88099" w14:textId="77777777">
        <w:tc>
          <w:tcPr>
            <w:tcW w:w="1980" w:type="dxa"/>
          </w:tcPr>
          <w:p w14:paraId="6445FF2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6C5B32C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电子商务</w:t>
            </w:r>
          </w:p>
        </w:tc>
      </w:tr>
      <w:tr w:rsidR="00B229A7" w14:paraId="3FCEA258" w14:textId="77777777">
        <w:tc>
          <w:tcPr>
            <w:tcW w:w="1980" w:type="dxa"/>
          </w:tcPr>
          <w:p w14:paraId="1E2A21F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51658C92"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2016</w:t>
            </w:r>
          </w:p>
        </w:tc>
      </w:tr>
      <w:tr w:rsidR="00B229A7" w14:paraId="5B24E52B" w14:textId="77777777">
        <w:tc>
          <w:tcPr>
            <w:tcW w:w="1980" w:type="dxa"/>
          </w:tcPr>
          <w:p w14:paraId="7536D39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536169C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小熊电器</w:t>
            </w:r>
          </w:p>
        </w:tc>
      </w:tr>
      <w:tr w:rsidR="00B229A7" w14:paraId="067B0C42" w14:textId="77777777">
        <w:tc>
          <w:tcPr>
            <w:tcW w:w="1980" w:type="dxa"/>
          </w:tcPr>
          <w:p w14:paraId="31787A97"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7603AFC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研发、设计、加工、制造、销售：家用电器、电子产品及其配件，妇婴童用品，日用品；国内商业、物资供销业；货物或技术进出口业务（国家禁止或涉及行政审批的货物和技术进出口除外）；信息服务业务。</w:t>
            </w:r>
          </w:p>
        </w:tc>
      </w:tr>
      <w:tr w:rsidR="00B229A7" w14:paraId="1D277A9E" w14:textId="77777777">
        <w:tc>
          <w:tcPr>
            <w:tcW w:w="1980" w:type="dxa"/>
          </w:tcPr>
          <w:p w14:paraId="399204D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31D05CCF"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1854D97"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lang w:bidi="ar"/>
              </w:rPr>
              <w:t xml:space="preserve">小熊电器于 </w:t>
            </w:r>
            <w:r>
              <w:rPr>
                <w:rFonts w:ascii="宋体" w:hAnsi="宋体"/>
                <w:color w:val="000000" w:themeColor="text1"/>
                <w:kern w:val="0"/>
                <w:szCs w:val="21"/>
                <w:lang w:bidi="ar"/>
              </w:rPr>
              <w:t xml:space="preserve">2006 </w:t>
            </w:r>
            <w:r>
              <w:rPr>
                <w:rFonts w:ascii="宋体" w:hAnsi="宋体" w:cs="宋体" w:hint="eastAsia"/>
                <w:color w:val="000000" w:themeColor="text1"/>
                <w:kern w:val="0"/>
                <w:szCs w:val="21"/>
                <w:lang w:bidi="ar"/>
              </w:rPr>
              <w:t xml:space="preserve">年 </w:t>
            </w:r>
            <w:r>
              <w:rPr>
                <w:rFonts w:ascii="宋体" w:hAnsi="宋体"/>
                <w:color w:val="000000" w:themeColor="text1"/>
                <w:kern w:val="0"/>
                <w:szCs w:val="21"/>
                <w:lang w:bidi="ar"/>
              </w:rPr>
              <w:t xml:space="preserve">3 </w:t>
            </w:r>
            <w:r>
              <w:rPr>
                <w:rFonts w:ascii="宋体" w:hAnsi="宋体" w:cs="宋体" w:hint="eastAsia"/>
                <w:color w:val="000000" w:themeColor="text1"/>
                <w:kern w:val="0"/>
                <w:szCs w:val="21"/>
                <w:lang w:bidi="ar"/>
              </w:rPr>
              <w:t>月在广东顺德成立，经过十余年的发展，现</w:t>
            </w:r>
            <w:r>
              <w:rPr>
                <w:rFonts w:ascii="宋体" w:hAnsi="宋体" w:cs="宋体" w:hint="eastAsia"/>
                <w:color w:val="000000" w:themeColor="text1"/>
                <w:kern w:val="0"/>
                <w:szCs w:val="21"/>
                <w:lang w:bidi="ar"/>
              </w:rPr>
              <w:lastRenderedPageBreak/>
              <w:t>在已经成为了一 家以互联网大数据为基础进行产品创意，集研发设计、生产销售一体，主打网上销售的 一个互联网电子商务企业。 公司在激烈的市场竞争中一直秉承着</w:t>
            </w:r>
            <w:r>
              <w:rPr>
                <w:rFonts w:ascii="宋体" w:hAnsi="宋体"/>
                <w:color w:val="000000" w:themeColor="text1"/>
                <w:kern w:val="0"/>
                <w:szCs w:val="21"/>
                <w:lang w:bidi="ar"/>
              </w:rPr>
              <w:t>“</w:t>
            </w:r>
            <w:r>
              <w:rPr>
                <w:rFonts w:ascii="宋体" w:hAnsi="宋体" w:cs="宋体" w:hint="eastAsia"/>
                <w:color w:val="000000" w:themeColor="text1"/>
                <w:kern w:val="0"/>
                <w:szCs w:val="21"/>
                <w:lang w:bidi="ar"/>
              </w:rPr>
              <w:t>创意让生活更美好</w:t>
            </w:r>
            <w:r>
              <w:rPr>
                <w:rFonts w:ascii="宋体" w:hAnsi="宋体"/>
                <w:color w:val="000000" w:themeColor="text1"/>
                <w:kern w:val="0"/>
                <w:szCs w:val="21"/>
                <w:lang w:bidi="ar"/>
              </w:rPr>
              <w:t>”</w:t>
            </w:r>
            <w:r>
              <w:rPr>
                <w:rFonts w:ascii="宋体" w:hAnsi="宋体" w:cs="宋体" w:hint="eastAsia"/>
                <w:color w:val="000000" w:themeColor="text1"/>
                <w:kern w:val="0"/>
                <w:szCs w:val="21"/>
                <w:lang w:bidi="ar"/>
              </w:rPr>
              <w:t xml:space="preserve">的核心价值观，不断挖掘 客户的需求，在大数据技术的支持下对产品进行创新，推出一系列吸引消费者精致、实 用、时尚并且性价比高的产品。自成立以来，公司始终紧跟市场潮流，拥抱互联网思维， 坚持以优异的产品和高质量的服务来扩大市场，给顾客带来美好的生活体验。 公司创意小家电产品包括厨房小家电、生活小家电及其他小家电，其中细分产品酸 奶机、电动打蛋器、电热饭盒、加湿器、多士炉、煮蛋器、蒸蛋器等产品。小熊电器 </w:t>
            </w:r>
            <w:r>
              <w:rPr>
                <w:rFonts w:ascii="宋体" w:hAnsi="宋体"/>
                <w:color w:val="000000" w:themeColor="text1"/>
                <w:kern w:val="0"/>
                <w:szCs w:val="21"/>
                <w:lang w:bidi="ar"/>
              </w:rPr>
              <w:t xml:space="preserve">2017 </w:t>
            </w:r>
            <w:r>
              <w:rPr>
                <w:rFonts w:ascii="宋体" w:hAnsi="宋体" w:cs="宋体" w:hint="eastAsia"/>
                <w:color w:val="000000" w:themeColor="text1"/>
                <w:kern w:val="0"/>
                <w:szCs w:val="21"/>
                <w:lang w:bidi="ar"/>
              </w:rPr>
              <w:t>年、</w:t>
            </w:r>
            <w:r>
              <w:rPr>
                <w:rFonts w:ascii="宋体" w:hAnsi="宋体"/>
                <w:color w:val="000000" w:themeColor="text1"/>
                <w:kern w:val="0"/>
                <w:szCs w:val="21"/>
                <w:lang w:bidi="ar"/>
              </w:rPr>
              <w:t xml:space="preserve">2018 </w:t>
            </w:r>
            <w:r>
              <w:rPr>
                <w:rFonts w:ascii="宋体" w:hAnsi="宋体" w:cs="宋体" w:hint="eastAsia"/>
                <w:color w:val="000000" w:themeColor="text1"/>
                <w:kern w:val="0"/>
                <w:szCs w:val="21"/>
                <w:lang w:bidi="ar"/>
              </w:rPr>
              <w:t>年在天猫商城热销品牌榜排名第一。 小熊电器的智能管理部门主要包括营销中心、营运管理中心、财务管理中心、人力 资源中心、研发中心、供应商管理中心、品质管理中心、</w:t>
            </w:r>
            <w:r>
              <w:rPr>
                <w:rFonts w:ascii="宋体" w:hAnsi="宋体"/>
                <w:color w:val="000000" w:themeColor="text1"/>
                <w:kern w:val="0"/>
                <w:szCs w:val="21"/>
                <w:lang w:bidi="ar"/>
              </w:rPr>
              <w:t xml:space="preserve">6 </w:t>
            </w:r>
            <w:r>
              <w:rPr>
                <w:rFonts w:ascii="宋体" w:hAnsi="宋体" w:cs="宋体" w:hint="eastAsia"/>
                <w:color w:val="000000" w:themeColor="text1"/>
                <w:kern w:val="0"/>
                <w:szCs w:val="21"/>
                <w:lang w:bidi="ar"/>
              </w:rPr>
              <w:t xml:space="preserve">个电器事业部（锅煲，电热， 生活，西式，壶类和电动电器事业部）和个体产品项目部。 公司产品主要通过线上经销、电商平台入仓和线上直销方式在天猫商城、京东商城、 唯品会和苏宁易购等主流电商平台和拼多多、平安好医生等新兴电商平台进行销售。 </w:t>
            </w:r>
          </w:p>
          <w:p w14:paraId="11FE4BE9" w14:textId="77777777" w:rsidR="00B229A7" w:rsidRDefault="00B229A7">
            <w:pPr>
              <w:spacing w:line="276" w:lineRule="auto"/>
              <w:rPr>
                <w:rFonts w:ascii="宋体" w:hAnsi="宋体"/>
                <w:color w:val="000000" w:themeColor="text1"/>
                <w:kern w:val="0"/>
                <w:szCs w:val="21"/>
              </w:rPr>
            </w:pPr>
          </w:p>
          <w:p w14:paraId="63B2EA02"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61C829B0"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lang w:bidi="ar"/>
              </w:rPr>
              <w:t xml:space="preserve">小熊电器聘请信永中和会计师事务所（特殊普通合伙）对该公司截至 </w:t>
            </w:r>
            <w:r>
              <w:rPr>
                <w:rFonts w:ascii="宋体" w:hAnsi="宋体"/>
                <w:color w:val="000000" w:themeColor="text1"/>
                <w:kern w:val="0"/>
                <w:szCs w:val="21"/>
                <w:lang w:bidi="ar"/>
              </w:rPr>
              <w:t xml:space="preserve">2016 </w:t>
            </w:r>
            <w:r>
              <w:rPr>
                <w:rFonts w:ascii="宋体" w:hAnsi="宋体" w:cs="宋体" w:hint="eastAsia"/>
                <w:color w:val="000000" w:themeColor="text1"/>
                <w:kern w:val="0"/>
                <w:szCs w:val="21"/>
                <w:lang w:bidi="ar"/>
              </w:rPr>
              <w:t xml:space="preserve">年 </w:t>
            </w:r>
            <w:r>
              <w:rPr>
                <w:rFonts w:ascii="宋体" w:hAnsi="宋体"/>
                <w:color w:val="000000" w:themeColor="text1"/>
                <w:kern w:val="0"/>
                <w:szCs w:val="21"/>
                <w:lang w:bidi="ar"/>
              </w:rPr>
              <w:t xml:space="preserve">12 </w:t>
            </w:r>
            <w:r>
              <w:rPr>
                <w:rFonts w:ascii="宋体" w:hAnsi="宋体" w:cs="宋体" w:hint="eastAsia"/>
                <w:color w:val="000000" w:themeColor="text1"/>
                <w:kern w:val="0"/>
                <w:szCs w:val="21"/>
                <w:lang w:bidi="ar"/>
              </w:rPr>
              <w:t xml:space="preserve">月 </w:t>
            </w:r>
            <w:r>
              <w:rPr>
                <w:rFonts w:ascii="宋体" w:hAnsi="宋体"/>
                <w:color w:val="000000" w:themeColor="text1"/>
                <w:kern w:val="0"/>
                <w:szCs w:val="21"/>
                <w:lang w:bidi="ar"/>
              </w:rPr>
              <w:t xml:space="preserve">31 </w:t>
            </w:r>
            <w:r>
              <w:rPr>
                <w:rFonts w:ascii="宋体" w:hAnsi="宋体" w:cs="宋体" w:hint="eastAsia"/>
                <w:color w:val="000000" w:themeColor="text1"/>
                <w:kern w:val="0"/>
                <w:szCs w:val="21"/>
                <w:lang w:bidi="ar"/>
              </w:rPr>
              <w:t>日、</w:t>
            </w:r>
            <w:r>
              <w:rPr>
                <w:rFonts w:ascii="宋体" w:hAnsi="宋体"/>
                <w:color w:val="000000" w:themeColor="text1"/>
                <w:kern w:val="0"/>
                <w:szCs w:val="21"/>
                <w:lang w:bidi="ar"/>
              </w:rPr>
              <w:t xml:space="preserve">2017 </w:t>
            </w:r>
            <w:r>
              <w:rPr>
                <w:rFonts w:ascii="宋体" w:hAnsi="宋体" w:cs="宋体" w:hint="eastAsia"/>
                <w:color w:val="000000" w:themeColor="text1"/>
                <w:kern w:val="0"/>
                <w:szCs w:val="21"/>
                <w:lang w:bidi="ar"/>
              </w:rPr>
              <w:t xml:space="preserve">年 </w:t>
            </w:r>
            <w:r>
              <w:rPr>
                <w:rFonts w:ascii="宋体" w:hAnsi="宋体"/>
                <w:color w:val="000000" w:themeColor="text1"/>
                <w:kern w:val="0"/>
                <w:szCs w:val="21"/>
                <w:lang w:bidi="ar"/>
              </w:rPr>
              <w:t xml:space="preserve">12 </w:t>
            </w:r>
            <w:r>
              <w:rPr>
                <w:rFonts w:ascii="宋体" w:hAnsi="宋体" w:cs="宋体" w:hint="eastAsia"/>
                <w:color w:val="000000" w:themeColor="text1"/>
                <w:kern w:val="0"/>
                <w:szCs w:val="21"/>
                <w:lang w:bidi="ar"/>
              </w:rPr>
              <w:t xml:space="preserve">月 </w:t>
            </w:r>
            <w:r>
              <w:rPr>
                <w:rFonts w:ascii="宋体" w:hAnsi="宋体"/>
                <w:color w:val="000000" w:themeColor="text1"/>
                <w:kern w:val="0"/>
                <w:szCs w:val="21"/>
                <w:lang w:bidi="ar"/>
              </w:rPr>
              <w:t xml:space="preserve">31 </w:t>
            </w:r>
            <w:r>
              <w:rPr>
                <w:rFonts w:ascii="宋体" w:hAnsi="宋体" w:cs="宋体" w:hint="eastAsia"/>
                <w:color w:val="000000" w:themeColor="text1"/>
                <w:kern w:val="0"/>
                <w:szCs w:val="21"/>
                <w:lang w:bidi="ar"/>
              </w:rPr>
              <w:t xml:space="preserve">日以及 </w:t>
            </w:r>
            <w:r>
              <w:rPr>
                <w:rFonts w:ascii="宋体" w:hAnsi="宋体"/>
                <w:color w:val="000000" w:themeColor="text1"/>
                <w:kern w:val="0"/>
                <w:szCs w:val="21"/>
                <w:lang w:bidi="ar"/>
              </w:rPr>
              <w:t xml:space="preserve">2018 </w:t>
            </w:r>
            <w:r>
              <w:rPr>
                <w:rFonts w:ascii="宋体" w:hAnsi="宋体" w:cs="宋体" w:hint="eastAsia"/>
                <w:color w:val="000000" w:themeColor="text1"/>
                <w:kern w:val="0"/>
                <w:szCs w:val="21"/>
                <w:lang w:bidi="ar"/>
              </w:rPr>
              <w:t xml:space="preserve">年 </w:t>
            </w:r>
            <w:r>
              <w:rPr>
                <w:rFonts w:ascii="宋体" w:hAnsi="宋体"/>
                <w:color w:val="000000" w:themeColor="text1"/>
                <w:kern w:val="0"/>
                <w:szCs w:val="21"/>
                <w:lang w:bidi="ar"/>
              </w:rPr>
              <w:t xml:space="preserve">12 </w:t>
            </w:r>
            <w:r>
              <w:rPr>
                <w:rFonts w:ascii="宋体" w:hAnsi="宋体" w:cs="宋体" w:hint="eastAsia"/>
                <w:color w:val="000000" w:themeColor="text1"/>
                <w:kern w:val="0"/>
                <w:szCs w:val="21"/>
                <w:lang w:bidi="ar"/>
              </w:rPr>
              <w:t xml:space="preserve">月 </w:t>
            </w:r>
            <w:r>
              <w:rPr>
                <w:rFonts w:ascii="宋体" w:hAnsi="宋体"/>
                <w:color w:val="000000" w:themeColor="text1"/>
                <w:kern w:val="0"/>
                <w:szCs w:val="21"/>
                <w:lang w:bidi="ar"/>
              </w:rPr>
              <w:t xml:space="preserve">31 </w:t>
            </w:r>
            <w:r>
              <w:rPr>
                <w:rFonts w:ascii="宋体" w:hAnsi="宋体" w:cs="宋体" w:hint="eastAsia"/>
                <w:color w:val="000000" w:themeColor="text1"/>
                <w:kern w:val="0"/>
                <w:szCs w:val="21"/>
                <w:lang w:bidi="ar"/>
              </w:rPr>
              <w:t>日的合并及母公司资产负债表，</w:t>
            </w:r>
            <w:r>
              <w:rPr>
                <w:rFonts w:ascii="宋体" w:hAnsi="宋体"/>
                <w:color w:val="000000" w:themeColor="text1"/>
                <w:kern w:val="0"/>
                <w:szCs w:val="21"/>
                <w:lang w:bidi="ar"/>
              </w:rPr>
              <w:t xml:space="preserve">2016 </w:t>
            </w:r>
            <w:r>
              <w:rPr>
                <w:rFonts w:ascii="宋体" w:hAnsi="宋体" w:cs="宋体" w:hint="eastAsia"/>
                <w:color w:val="000000" w:themeColor="text1"/>
                <w:kern w:val="0"/>
                <w:szCs w:val="21"/>
                <w:lang w:bidi="ar"/>
              </w:rPr>
              <w:t>年度、</w:t>
            </w:r>
            <w:r>
              <w:rPr>
                <w:rFonts w:ascii="宋体" w:hAnsi="宋体"/>
                <w:color w:val="000000" w:themeColor="text1"/>
                <w:kern w:val="0"/>
                <w:szCs w:val="21"/>
                <w:lang w:bidi="ar"/>
              </w:rPr>
              <w:t xml:space="preserve">2017 </w:t>
            </w:r>
            <w:r>
              <w:rPr>
                <w:rFonts w:ascii="宋体" w:hAnsi="宋体" w:cs="宋体" w:hint="eastAsia"/>
                <w:color w:val="000000" w:themeColor="text1"/>
                <w:kern w:val="0"/>
                <w:szCs w:val="21"/>
                <w:lang w:bidi="ar"/>
              </w:rPr>
              <w:t xml:space="preserve">年度以及 </w:t>
            </w:r>
            <w:r>
              <w:rPr>
                <w:rFonts w:ascii="宋体" w:hAnsi="宋体"/>
                <w:color w:val="000000" w:themeColor="text1"/>
                <w:kern w:val="0"/>
                <w:szCs w:val="21"/>
                <w:lang w:bidi="ar"/>
              </w:rPr>
              <w:t xml:space="preserve">2018 </w:t>
            </w:r>
            <w:r>
              <w:rPr>
                <w:rFonts w:ascii="宋体" w:hAnsi="宋体" w:cs="宋体" w:hint="eastAsia"/>
                <w:color w:val="000000" w:themeColor="text1"/>
                <w:kern w:val="0"/>
                <w:szCs w:val="21"/>
                <w:lang w:bidi="ar"/>
              </w:rPr>
              <w:t xml:space="preserve">年度的合并及母公司利润表、合并及母公司现金流量表、合 并及母公司股东权益变动表以及财务报表附注进行了审计。信永中和会计师事务所（特 殊普通合伙）于 </w:t>
            </w:r>
            <w:r>
              <w:rPr>
                <w:rFonts w:ascii="宋体" w:hAnsi="宋体"/>
                <w:color w:val="000000" w:themeColor="text1"/>
                <w:kern w:val="0"/>
                <w:szCs w:val="21"/>
                <w:lang w:bidi="ar"/>
              </w:rPr>
              <w:t xml:space="preserve">2019 </w:t>
            </w:r>
            <w:r>
              <w:rPr>
                <w:rFonts w:ascii="宋体" w:hAnsi="宋体" w:cs="宋体" w:hint="eastAsia"/>
                <w:color w:val="000000" w:themeColor="text1"/>
                <w:kern w:val="0"/>
                <w:szCs w:val="21"/>
                <w:lang w:bidi="ar"/>
              </w:rPr>
              <w:t xml:space="preserve">年 </w:t>
            </w:r>
            <w:r>
              <w:rPr>
                <w:rFonts w:ascii="宋体" w:hAnsi="宋体"/>
                <w:color w:val="000000" w:themeColor="text1"/>
                <w:kern w:val="0"/>
                <w:szCs w:val="21"/>
                <w:lang w:bidi="ar"/>
              </w:rPr>
              <w:t xml:space="preserve">6 </w:t>
            </w:r>
            <w:r>
              <w:rPr>
                <w:rFonts w:ascii="宋体" w:hAnsi="宋体" w:cs="宋体" w:hint="eastAsia"/>
                <w:color w:val="000000" w:themeColor="text1"/>
                <w:kern w:val="0"/>
                <w:szCs w:val="21"/>
                <w:lang w:bidi="ar"/>
              </w:rPr>
              <w:t xml:space="preserve">月 </w:t>
            </w:r>
            <w:r>
              <w:rPr>
                <w:rFonts w:ascii="宋体" w:hAnsi="宋体"/>
                <w:color w:val="000000" w:themeColor="text1"/>
                <w:kern w:val="0"/>
                <w:szCs w:val="21"/>
                <w:lang w:bidi="ar"/>
              </w:rPr>
              <w:t xml:space="preserve">5 </w:t>
            </w:r>
            <w:r>
              <w:rPr>
                <w:rFonts w:ascii="宋体" w:hAnsi="宋体" w:cs="宋体" w:hint="eastAsia"/>
                <w:color w:val="000000" w:themeColor="text1"/>
                <w:kern w:val="0"/>
                <w:szCs w:val="21"/>
                <w:lang w:bidi="ar"/>
              </w:rPr>
              <w:t>日出具的标准无保留意见审计报告认为公司财务报表在 所有重大方面按照企业会计准则的规定编制，公允反映了本公司经营成果和现金流量。 虽然信永中和会计师事务所出具了标准无保留意见，但是根据小熊电器首次公开发 行股票申请文件反馈意见显示，证监会要求会计师事务所再次审慎核查的地方有很多， 比如对小熊电器在消费者当中的声誉以及其重营销轻研发模式能否支持公司进一步发 展表示怀疑，以及要求披露各线上销售方式下的主要平台、推广方式、结算方式、物流 方式、发出商品的权属、收入确认时点和依据、电商推广费用的承担方式及其会计核算 方式。还有对小熊电器电子商务系统的相关控制环节、执行情况、计算机系统及相关内 部控制的设计是否合理、执行是否有效表示怀疑等等。由此，对小熊电器审计风险进行 分析很有必要。</w:t>
            </w:r>
          </w:p>
          <w:p w14:paraId="56F43268" w14:textId="77777777" w:rsidR="00B229A7" w:rsidRDefault="00B229A7">
            <w:pPr>
              <w:spacing w:line="276" w:lineRule="auto"/>
              <w:rPr>
                <w:rFonts w:ascii="宋体" w:hAnsi="宋体"/>
                <w:color w:val="000000" w:themeColor="text1"/>
                <w:kern w:val="0"/>
                <w:szCs w:val="21"/>
              </w:rPr>
            </w:pPr>
          </w:p>
          <w:p w14:paraId="713EA814"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lastRenderedPageBreak/>
              <w:t>【案情描述】</w:t>
            </w:r>
          </w:p>
          <w:p w14:paraId="0BC3017A" w14:textId="77777777" w:rsidR="00B229A7" w:rsidRDefault="00D7072C">
            <w:pPr>
              <w:widowControl/>
              <w:spacing w:line="276" w:lineRule="auto"/>
              <w:jc w:val="left"/>
              <w:rPr>
                <w:rFonts w:ascii="宋体" w:hAnsi="宋体" w:cs="宋体"/>
                <w:color w:val="000000" w:themeColor="text1"/>
                <w:kern w:val="0"/>
                <w:szCs w:val="21"/>
                <w:lang w:bidi="ar"/>
              </w:rPr>
            </w:pPr>
            <w:r>
              <w:rPr>
                <w:rFonts w:ascii="宋体" w:hAnsi="宋体" w:cs="宋体" w:hint="eastAsia"/>
                <w:color w:val="000000" w:themeColor="text1"/>
                <w:kern w:val="0"/>
                <w:szCs w:val="21"/>
                <w:lang w:bidi="ar"/>
              </w:rPr>
              <w:t xml:space="preserve">小熊电器财务报表层次的重大错报风险主要表现在较高的经营风险，以及职工综合 素质不高和电子支付以及内控薄弱带来的风险。其中经营风险包括重营销轻研发导致的 市场竞争力不足、过度依赖单一大客户带来的渠道风险、以及难以预测销售量带来的存 货余额风险。 </w:t>
            </w:r>
            <w:r>
              <w:rPr>
                <w:rFonts w:ascii="宋体" w:hAnsi="宋体"/>
                <w:color w:val="000000" w:themeColor="text1"/>
                <w:kern w:val="0"/>
                <w:szCs w:val="21"/>
                <w:lang w:bidi="ar"/>
              </w:rPr>
              <w:t xml:space="preserve">4.3.1.1 </w:t>
            </w:r>
            <w:r>
              <w:rPr>
                <w:rFonts w:ascii="宋体" w:hAnsi="宋体" w:cs="宋体" w:hint="eastAsia"/>
                <w:color w:val="000000" w:themeColor="text1"/>
                <w:kern w:val="0"/>
                <w:szCs w:val="21"/>
                <w:lang w:bidi="ar"/>
              </w:rPr>
              <w:t>经营风险较高 （</w:t>
            </w:r>
            <w:r>
              <w:rPr>
                <w:rFonts w:ascii="宋体" w:hAnsi="宋体"/>
                <w:color w:val="000000" w:themeColor="text1"/>
                <w:kern w:val="0"/>
                <w:szCs w:val="21"/>
                <w:lang w:bidi="ar"/>
              </w:rPr>
              <w:t>1</w:t>
            </w:r>
            <w:r>
              <w:rPr>
                <w:rFonts w:ascii="宋体" w:hAnsi="宋体" w:cs="宋体" w:hint="eastAsia"/>
                <w:color w:val="000000" w:themeColor="text1"/>
                <w:kern w:val="0"/>
                <w:szCs w:val="21"/>
                <w:lang w:bidi="ar"/>
              </w:rPr>
              <w:t>）重营销轻研发带来的经营风险 小熊电器作为一个互联网电子商务企业，与传统小家电重点放在线下经销的经营模 式不同，而是依托互联网上的各个电商平台，通过线上销售来扩大市场份额，并且其产 品的特点是时尚、新颖，大部分商品的消费人群都是面向年轻人。在这种经营模式下， 小熊电器为了能够达到更好的品牌宣传和营销的效果，通过投入大量的资源来请流量明 星代言、在流行的综艺节目上进行广告植入、在社交媒体上做精准广告的投放等多种方 式来扩大产品的知名度。但是其研发支出费用却一直处于较低的水平，这种重营销轻研 发模式可能让公司的产品创新不足、品质不能得到保证，使得企业的经营风险变高。</w:t>
            </w:r>
          </w:p>
          <w:p w14:paraId="531C62B0" w14:textId="77777777" w:rsidR="00B229A7" w:rsidRDefault="00D7072C">
            <w:pPr>
              <w:widowControl/>
              <w:spacing w:line="276" w:lineRule="auto"/>
              <w:jc w:val="left"/>
              <w:rPr>
                <w:rFonts w:ascii="宋体" w:hAnsi="宋体" w:cs="宋体"/>
                <w:color w:val="000000" w:themeColor="text1"/>
                <w:kern w:val="0"/>
                <w:szCs w:val="21"/>
                <w:lang w:bidi="ar"/>
              </w:rPr>
            </w:pPr>
            <w:r>
              <w:rPr>
                <w:rFonts w:ascii="宋体" w:hAnsi="宋体" w:cs="宋体" w:hint="eastAsia"/>
                <w:color w:val="000000" w:themeColor="text1"/>
                <w:kern w:val="0"/>
                <w:szCs w:val="21"/>
                <w:lang w:bidi="ar"/>
              </w:rPr>
              <w:t>（</w:t>
            </w:r>
            <w:r>
              <w:rPr>
                <w:rFonts w:ascii="宋体" w:hAnsi="宋体"/>
                <w:color w:val="000000" w:themeColor="text1"/>
                <w:kern w:val="0"/>
                <w:szCs w:val="21"/>
                <w:lang w:bidi="ar"/>
              </w:rPr>
              <w:t>2</w:t>
            </w:r>
            <w:r>
              <w:rPr>
                <w:rFonts w:ascii="宋体" w:hAnsi="宋体" w:cs="宋体" w:hint="eastAsia"/>
                <w:color w:val="000000" w:themeColor="text1"/>
                <w:kern w:val="0"/>
                <w:szCs w:val="21"/>
                <w:lang w:bidi="ar"/>
              </w:rPr>
              <w:t xml:space="preserve">）过度依赖单一大客户 小熊电器作为一个互联网电子商务企业，由于其产品九成多都是通过网络平台来进 行销售。根据 </w:t>
            </w:r>
            <w:r>
              <w:rPr>
                <w:rFonts w:ascii="宋体" w:hAnsi="宋体"/>
                <w:color w:val="000000" w:themeColor="text1"/>
                <w:kern w:val="0"/>
                <w:szCs w:val="21"/>
                <w:lang w:bidi="ar"/>
              </w:rPr>
              <w:t xml:space="preserve">2016 </w:t>
            </w:r>
            <w:r>
              <w:rPr>
                <w:rFonts w:ascii="宋体" w:hAnsi="宋体" w:cs="宋体" w:hint="eastAsia"/>
                <w:color w:val="000000" w:themeColor="text1"/>
                <w:kern w:val="0"/>
                <w:szCs w:val="21"/>
                <w:lang w:bidi="ar"/>
              </w:rPr>
              <w:t>年</w:t>
            </w:r>
            <w:r>
              <w:rPr>
                <w:rFonts w:ascii="宋体" w:hAnsi="宋体"/>
                <w:color w:val="000000" w:themeColor="text1"/>
                <w:kern w:val="0"/>
                <w:szCs w:val="21"/>
                <w:lang w:bidi="ar"/>
              </w:rPr>
              <w:t xml:space="preserve">-2018 </w:t>
            </w:r>
            <w:r>
              <w:rPr>
                <w:rFonts w:ascii="宋体" w:hAnsi="宋体" w:cs="宋体" w:hint="eastAsia"/>
                <w:color w:val="000000" w:themeColor="text1"/>
                <w:kern w:val="0"/>
                <w:szCs w:val="21"/>
                <w:lang w:bidi="ar"/>
              </w:rPr>
              <w:t xml:space="preserve">的财务报表显示，其各年的营业收入分别是 </w:t>
            </w:r>
            <w:r>
              <w:rPr>
                <w:rFonts w:ascii="宋体" w:hAnsi="宋体"/>
                <w:color w:val="000000" w:themeColor="text1"/>
                <w:kern w:val="0"/>
                <w:szCs w:val="21"/>
                <w:lang w:bidi="ar"/>
              </w:rPr>
              <w:t xml:space="preserve">10.54 </w:t>
            </w:r>
            <w:r>
              <w:rPr>
                <w:rFonts w:ascii="宋体" w:hAnsi="宋体" w:cs="宋体" w:hint="eastAsia"/>
                <w:color w:val="000000" w:themeColor="text1"/>
                <w:kern w:val="0"/>
                <w:szCs w:val="21"/>
                <w:lang w:bidi="ar"/>
              </w:rPr>
              <w:t xml:space="preserve">亿元 </w:t>
            </w:r>
            <w:r>
              <w:rPr>
                <w:rFonts w:ascii="宋体" w:hAnsi="宋体"/>
                <w:color w:val="000000" w:themeColor="text1"/>
                <w:kern w:val="0"/>
                <w:szCs w:val="21"/>
                <w:lang w:bidi="ar"/>
              </w:rPr>
              <w:t xml:space="preserve">16.47 </w:t>
            </w:r>
            <w:r>
              <w:rPr>
                <w:rFonts w:ascii="宋体" w:hAnsi="宋体" w:cs="宋体" w:hint="eastAsia"/>
                <w:color w:val="000000" w:themeColor="text1"/>
                <w:kern w:val="0"/>
                <w:szCs w:val="21"/>
                <w:lang w:bidi="ar"/>
              </w:rPr>
              <w:t>亿元、</w:t>
            </w:r>
            <w:r>
              <w:rPr>
                <w:rFonts w:ascii="宋体" w:hAnsi="宋体"/>
                <w:color w:val="000000" w:themeColor="text1"/>
                <w:kern w:val="0"/>
                <w:szCs w:val="21"/>
                <w:lang w:bidi="ar"/>
              </w:rPr>
              <w:t xml:space="preserve">20.41 </w:t>
            </w:r>
            <w:r>
              <w:rPr>
                <w:rFonts w:ascii="宋体" w:hAnsi="宋体" w:cs="宋体" w:hint="eastAsia"/>
                <w:color w:val="000000" w:themeColor="text1"/>
                <w:kern w:val="0"/>
                <w:szCs w:val="21"/>
                <w:lang w:bidi="ar"/>
              </w:rPr>
              <w:t xml:space="preserve">亿元，各年通过网络平台的销售额分别是 </w:t>
            </w:r>
            <w:r>
              <w:rPr>
                <w:rFonts w:ascii="宋体" w:hAnsi="宋体"/>
                <w:color w:val="000000" w:themeColor="text1"/>
                <w:kern w:val="0"/>
                <w:szCs w:val="21"/>
                <w:lang w:bidi="ar"/>
              </w:rPr>
              <w:t xml:space="preserve">9.62 </w:t>
            </w:r>
            <w:r>
              <w:rPr>
                <w:rFonts w:ascii="宋体" w:hAnsi="宋体" w:cs="宋体" w:hint="eastAsia"/>
                <w:color w:val="000000" w:themeColor="text1"/>
                <w:kern w:val="0"/>
                <w:szCs w:val="21"/>
                <w:lang w:bidi="ar"/>
              </w:rPr>
              <w:t>亿元、</w:t>
            </w:r>
            <w:r>
              <w:rPr>
                <w:rFonts w:ascii="宋体" w:hAnsi="宋体"/>
                <w:color w:val="000000" w:themeColor="text1"/>
                <w:kern w:val="0"/>
                <w:szCs w:val="21"/>
                <w:lang w:bidi="ar"/>
              </w:rPr>
              <w:t xml:space="preserve">15.2 </w:t>
            </w:r>
            <w:r>
              <w:rPr>
                <w:rFonts w:ascii="宋体" w:hAnsi="宋体" w:cs="宋体" w:hint="eastAsia"/>
                <w:color w:val="000000" w:themeColor="text1"/>
                <w:kern w:val="0"/>
                <w:szCs w:val="21"/>
                <w:lang w:bidi="ar"/>
              </w:rPr>
              <w:t>亿元、</w:t>
            </w:r>
            <w:r>
              <w:rPr>
                <w:rFonts w:ascii="宋体" w:hAnsi="宋体"/>
                <w:color w:val="000000" w:themeColor="text1"/>
                <w:kern w:val="0"/>
                <w:szCs w:val="21"/>
                <w:lang w:bidi="ar"/>
              </w:rPr>
              <w:t xml:space="preserve">18.4 </w:t>
            </w:r>
            <w:r>
              <w:rPr>
                <w:rFonts w:ascii="宋体" w:hAnsi="宋体" w:cs="宋体" w:hint="eastAsia"/>
                <w:color w:val="000000" w:themeColor="text1"/>
                <w:kern w:val="0"/>
                <w:szCs w:val="21"/>
                <w:lang w:bidi="ar"/>
              </w:rPr>
              <w:t xml:space="preserve">亿元， 销售收入占总营业收入之比分别为 </w:t>
            </w:r>
            <w:r>
              <w:rPr>
                <w:rFonts w:ascii="宋体" w:hAnsi="宋体"/>
                <w:color w:val="000000" w:themeColor="text1"/>
                <w:kern w:val="0"/>
                <w:szCs w:val="21"/>
                <w:lang w:bidi="ar"/>
              </w:rPr>
              <w:t>91.7%</w:t>
            </w:r>
            <w:r>
              <w:rPr>
                <w:rFonts w:ascii="宋体" w:hAnsi="宋体" w:cs="宋体" w:hint="eastAsia"/>
                <w:color w:val="000000" w:themeColor="text1"/>
                <w:kern w:val="0"/>
                <w:szCs w:val="21"/>
                <w:lang w:bidi="ar"/>
              </w:rPr>
              <w:t>、</w:t>
            </w:r>
            <w:r>
              <w:rPr>
                <w:rFonts w:ascii="宋体" w:hAnsi="宋体"/>
                <w:color w:val="000000" w:themeColor="text1"/>
                <w:kern w:val="0"/>
                <w:szCs w:val="21"/>
                <w:lang w:bidi="ar"/>
              </w:rPr>
              <w:t>91.94%</w:t>
            </w:r>
            <w:r>
              <w:rPr>
                <w:rFonts w:ascii="宋体" w:hAnsi="宋体" w:cs="宋体" w:hint="eastAsia"/>
                <w:color w:val="000000" w:themeColor="text1"/>
                <w:kern w:val="0"/>
                <w:szCs w:val="21"/>
                <w:lang w:bidi="ar"/>
              </w:rPr>
              <w:t>、</w:t>
            </w:r>
            <w:r>
              <w:rPr>
                <w:rFonts w:ascii="宋体" w:hAnsi="宋体"/>
                <w:color w:val="000000" w:themeColor="text1"/>
                <w:kern w:val="0"/>
                <w:szCs w:val="21"/>
                <w:lang w:bidi="ar"/>
              </w:rPr>
              <w:t>90.51%</w:t>
            </w:r>
            <w:r>
              <w:rPr>
                <w:rFonts w:ascii="宋体" w:hAnsi="宋体" w:cs="宋体" w:hint="eastAsia"/>
                <w:color w:val="000000" w:themeColor="text1"/>
                <w:kern w:val="0"/>
                <w:szCs w:val="21"/>
                <w:lang w:bidi="ar"/>
              </w:rPr>
              <w:t>。从数据中可以看出，作为 公司快速增长主要原因的线上经销模式使得小熊电器非常依赖线上渠道，同时这一模式 也会带来一系列问题。在公司的前五大客户中，京东商城一直排在第一的位置，</w:t>
            </w:r>
            <w:r>
              <w:rPr>
                <w:rFonts w:ascii="宋体" w:hAnsi="宋体"/>
                <w:color w:val="000000" w:themeColor="text1"/>
                <w:kern w:val="0"/>
                <w:szCs w:val="21"/>
                <w:lang w:bidi="ar"/>
              </w:rPr>
              <w:t xml:space="preserve">2015 </w:t>
            </w:r>
            <w:r>
              <w:rPr>
                <w:rFonts w:ascii="宋体" w:hAnsi="宋体" w:cs="宋体" w:hint="eastAsia"/>
                <w:color w:val="000000" w:themeColor="text1"/>
                <w:kern w:val="0"/>
                <w:szCs w:val="21"/>
                <w:lang w:bidi="ar"/>
              </w:rPr>
              <w:t>年、</w:t>
            </w:r>
            <w:r>
              <w:rPr>
                <w:rFonts w:ascii="宋体" w:hAnsi="宋体"/>
                <w:color w:val="000000" w:themeColor="text1"/>
                <w:kern w:val="0"/>
                <w:szCs w:val="21"/>
                <w:lang w:bidi="ar"/>
              </w:rPr>
              <w:t xml:space="preserve">2016 </w:t>
            </w:r>
            <w:r>
              <w:rPr>
                <w:rFonts w:ascii="宋体" w:hAnsi="宋体" w:cs="宋体" w:hint="eastAsia"/>
                <w:color w:val="000000" w:themeColor="text1"/>
                <w:kern w:val="0"/>
                <w:szCs w:val="21"/>
                <w:lang w:bidi="ar"/>
              </w:rPr>
              <w:t>年、</w:t>
            </w:r>
            <w:r>
              <w:rPr>
                <w:rFonts w:ascii="宋体" w:hAnsi="宋体"/>
                <w:color w:val="000000" w:themeColor="text1"/>
                <w:kern w:val="0"/>
                <w:szCs w:val="21"/>
                <w:lang w:bidi="ar"/>
              </w:rPr>
              <w:t xml:space="preserve">2017 </w:t>
            </w:r>
            <w:r>
              <w:rPr>
                <w:rFonts w:ascii="宋体" w:hAnsi="宋体" w:cs="宋体" w:hint="eastAsia"/>
                <w:color w:val="000000" w:themeColor="text1"/>
                <w:kern w:val="0"/>
                <w:szCs w:val="21"/>
                <w:lang w:bidi="ar"/>
              </w:rPr>
              <w:t>年、</w:t>
            </w:r>
            <w:r>
              <w:rPr>
                <w:rFonts w:ascii="宋体" w:hAnsi="宋体"/>
                <w:color w:val="000000" w:themeColor="text1"/>
                <w:kern w:val="0"/>
                <w:szCs w:val="21"/>
                <w:lang w:bidi="ar"/>
              </w:rPr>
              <w:t xml:space="preserve">2018 </w:t>
            </w:r>
            <w:r>
              <w:rPr>
                <w:rFonts w:ascii="宋体" w:hAnsi="宋体" w:cs="宋体" w:hint="eastAsia"/>
                <w:color w:val="000000" w:themeColor="text1"/>
                <w:kern w:val="0"/>
                <w:szCs w:val="21"/>
                <w:lang w:bidi="ar"/>
              </w:rPr>
              <w:t xml:space="preserve">年小熊电器在京东平台每年的营业额占当期总营业收入都 在 </w:t>
            </w:r>
            <w:r>
              <w:rPr>
                <w:rFonts w:ascii="宋体" w:hAnsi="宋体"/>
                <w:color w:val="000000" w:themeColor="text1"/>
                <w:kern w:val="0"/>
                <w:szCs w:val="21"/>
                <w:lang w:bidi="ar"/>
              </w:rPr>
              <w:t>20%</w:t>
            </w:r>
            <w:r>
              <w:rPr>
                <w:rFonts w:ascii="宋体" w:hAnsi="宋体" w:cs="宋体" w:hint="eastAsia"/>
                <w:color w:val="000000" w:themeColor="text1"/>
                <w:kern w:val="0"/>
                <w:szCs w:val="21"/>
                <w:lang w:bidi="ar"/>
              </w:rPr>
              <w:t>左右。小熊电器对京东单一电商平台依赖过大，这样导致的结果就是不仅会削弱 公司对下游企业的话语权，而且会使企业自身产品的定价和毛利上都会受到影响，不利 于企业未来的发展。同时小熊电器有多个线上经销渠道，比如京东、天猫、苏宁、唯品 会、拼多多等，而这些公司都存在激烈的竞争关系，如果这些线上平台为了打败竞争对 手，扩大自身的利益，让小熊电器只选择一个平台或者在产品促销方面要求提供更大的 折扣，这些都会影响小熊电器的销售额和盈利能力，使企业的经营风险变高。 （</w:t>
            </w:r>
            <w:r>
              <w:rPr>
                <w:rFonts w:ascii="宋体" w:hAnsi="宋体"/>
                <w:color w:val="000000" w:themeColor="text1"/>
                <w:kern w:val="0"/>
                <w:szCs w:val="21"/>
                <w:lang w:bidi="ar"/>
              </w:rPr>
              <w:t>3</w:t>
            </w:r>
            <w:r>
              <w:rPr>
                <w:rFonts w:ascii="宋体" w:hAnsi="宋体" w:cs="宋体" w:hint="eastAsia"/>
                <w:color w:val="000000" w:themeColor="text1"/>
                <w:kern w:val="0"/>
                <w:szCs w:val="21"/>
                <w:lang w:bidi="ar"/>
              </w:rPr>
              <w:t>）较大的存货余额风险 为了能够提高存货管理水平，降低相应的成本，公司采取了</w:t>
            </w:r>
            <w:r>
              <w:rPr>
                <w:rFonts w:ascii="宋体" w:hAnsi="宋体"/>
                <w:color w:val="000000" w:themeColor="text1"/>
                <w:kern w:val="0"/>
                <w:szCs w:val="21"/>
                <w:lang w:bidi="ar"/>
              </w:rPr>
              <w:t>“</w:t>
            </w:r>
            <w:r>
              <w:rPr>
                <w:rFonts w:ascii="宋体" w:hAnsi="宋体" w:cs="宋体" w:hint="eastAsia"/>
                <w:color w:val="000000" w:themeColor="text1"/>
                <w:kern w:val="0"/>
                <w:szCs w:val="21"/>
                <w:lang w:bidi="ar"/>
              </w:rPr>
              <w:t>预测销售量</w:t>
            </w:r>
            <w:r>
              <w:rPr>
                <w:rFonts w:ascii="宋体" w:hAnsi="宋体"/>
                <w:color w:val="000000" w:themeColor="text1"/>
                <w:kern w:val="0"/>
                <w:szCs w:val="21"/>
                <w:lang w:bidi="ar"/>
              </w:rPr>
              <w:t>+</w:t>
            </w:r>
            <w:r>
              <w:rPr>
                <w:rFonts w:ascii="宋体" w:hAnsi="宋体" w:cs="宋体" w:hint="eastAsia"/>
                <w:color w:val="000000" w:themeColor="text1"/>
                <w:kern w:val="0"/>
                <w:szCs w:val="21"/>
                <w:lang w:bidi="ar"/>
              </w:rPr>
              <w:t>安全库存</w:t>
            </w:r>
            <w:r>
              <w:rPr>
                <w:rFonts w:ascii="宋体" w:hAnsi="宋体"/>
                <w:color w:val="000000" w:themeColor="text1"/>
                <w:kern w:val="0"/>
                <w:szCs w:val="21"/>
                <w:lang w:bidi="ar"/>
              </w:rPr>
              <w:t xml:space="preserve">” </w:t>
            </w:r>
            <w:r>
              <w:rPr>
                <w:rFonts w:ascii="宋体" w:hAnsi="宋体" w:cs="宋体" w:hint="eastAsia"/>
                <w:color w:val="000000" w:themeColor="text1"/>
                <w:kern w:val="0"/>
                <w:szCs w:val="21"/>
                <w:lang w:bidi="ar"/>
              </w:rPr>
              <w:t xml:space="preserve">的存货管理模式。同时各大电子商务平台都有自己销售节日，比如京东的 </w:t>
            </w:r>
            <w:r>
              <w:rPr>
                <w:rFonts w:ascii="宋体" w:hAnsi="宋体"/>
                <w:color w:val="000000" w:themeColor="text1"/>
                <w:kern w:val="0"/>
                <w:szCs w:val="21"/>
                <w:lang w:bidi="ar"/>
              </w:rPr>
              <w:t>618</w:t>
            </w:r>
            <w:r>
              <w:rPr>
                <w:rFonts w:ascii="宋体" w:hAnsi="宋体" w:cs="宋体" w:hint="eastAsia"/>
                <w:color w:val="000000" w:themeColor="text1"/>
                <w:kern w:val="0"/>
                <w:szCs w:val="21"/>
                <w:lang w:bidi="ar"/>
              </w:rPr>
              <w:t>，淘宝的 双十一等，在这些节日期间产品的销售量大幅度提升，为了能够满足短时间内大量订单 的需求，小熊</w:t>
            </w:r>
            <w:r>
              <w:rPr>
                <w:rFonts w:ascii="宋体" w:hAnsi="宋体" w:cs="宋体" w:hint="eastAsia"/>
                <w:color w:val="000000" w:themeColor="text1"/>
                <w:kern w:val="0"/>
                <w:szCs w:val="21"/>
                <w:lang w:bidi="ar"/>
              </w:rPr>
              <w:lastRenderedPageBreak/>
              <w:t xml:space="preserve">电子通常会提前一段时间来备货。但是如果企业的销售预测模型不准，或 者遇到一些突发事件，没有准确的预测到产品的需求量，这样导致的一个结果就是可能 供大于求，产品的库存过多，不仅会使企业的存货周转率变低，产品积压贬值，还会使 得存货占用巨额的营运资金，增加企业的财务风险，降低产品的盈利能力，影响公司的 经营业绩，增加了企业的经营风险。 </w:t>
            </w:r>
            <w:r>
              <w:rPr>
                <w:rFonts w:ascii="宋体" w:hAnsi="宋体"/>
                <w:color w:val="000000" w:themeColor="text1"/>
                <w:kern w:val="0"/>
                <w:szCs w:val="21"/>
                <w:lang w:bidi="ar"/>
              </w:rPr>
              <w:t xml:space="preserve">4.3.1.2 </w:t>
            </w:r>
            <w:r>
              <w:rPr>
                <w:rFonts w:ascii="宋体" w:hAnsi="宋体" w:cs="宋体" w:hint="eastAsia"/>
                <w:color w:val="000000" w:themeColor="text1"/>
                <w:kern w:val="0"/>
                <w:szCs w:val="21"/>
                <w:lang w:bidi="ar"/>
              </w:rPr>
              <w:t xml:space="preserve">工作人员综合素质有待提高 因为互联网电子商务涉及到的知识面较多，企业对具有复合背景的人才需求日益增 多，这就要求职工不仅要有丰厚的专业素养，同时还要有扎实的电商知识。如果互联网 电子商务企业缺乏相应的人才，那么会不利于电商企业的高速发展，增加企业的经营风 险，不利于企业建立完善的内部控制。从表 </w:t>
            </w:r>
            <w:r>
              <w:rPr>
                <w:rFonts w:ascii="宋体" w:hAnsi="宋体"/>
                <w:color w:val="000000" w:themeColor="text1"/>
                <w:kern w:val="0"/>
                <w:szCs w:val="21"/>
                <w:lang w:bidi="ar"/>
              </w:rPr>
              <w:t xml:space="preserve">4-1 </w:t>
            </w:r>
            <w:r>
              <w:rPr>
                <w:rFonts w:ascii="宋体" w:hAnsi="宋体" w:cs="宋体" w:hint="eastAsia"/>
                <w:color w:val="000000" w:themeColor="text1"/>
                <w:kern w:val="0"/>
                <w:szCs w:val="21"/>
                <w:lang w:bidi="ar"/>
              </w:rPr>
              <w:t>小熊电器的人员分布（</w:t>
            </w:r>
            <w:r>
              <w:rPr>
                <w:rFonts w:ascii="宋体" w:hAnsi="宋体"/>
                <w:color w:val="000000" w:themeColor="text1"/>
                <w:kern w:val="0"/>
                <w:szCs w:val="21"/>
                <w:lang w:bidi="ar"/>
              </w:rPr>
              <w:t xml:space="preserve">2018 </w:t>
            </w:r>
            <w:r>
              <w:rPr>
                <w:rFonts w:ascii="宋体" w:hAnsi="宋体" w:cs="宋体" w:hint="eastAsia"/>
                <w:color w:val="000000" w:themeColor="text1"/>
                <w:kern w:val="0"/>
                <w:szCs w:val="21"/>
                <w:lang w:bidi="ar"/>
              </w:rPr>
              <w:t xml:space="preserve">年）中可以 看出行政人员占比不高，绝大部分都是专科，所以相关人员的缺乏也是导致内部控制薄弱的一个原因。 </w:t>
            </w:r>
          </w:p>
          <w:p w14:paraId="0302CAB7" w14:textId="77777777" w:rsidR="00B229A7" w:rsidRDefault="00B229A7">
            <w:pPr>
              <w:spacing w:line="276" w:lineRule="auto"/>
              <w:rPr>
                <w:rFonts w:ascii="宋体" w:hAnsi="宋体"/>
                <w:color w:val="000000" w:themeColor="text1"/>
                <w:kern w:val="0"/>
                <w:szCs w:val="21"/>
              </w:rPr>
            </w:pPr>
          </w:p>
        </w:tc>
      </w:tr>
      <w:tr w:rsidR="00B229A7" w14:paraId="1EA4F1D0" w14:textId="77777777">
        <w:tc>
          <w:tcPr>
            <w:tcW w:w="1980" w:type="dxa"/>
          </w:tcPr>
          <w:p w14:paraId="0E97B25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6CA204F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信永中和会计师事务所</w:t>
            </w:r>
          </w:p>
        </w:tc>
      </w:tr>
      <w:tr w:rsidR="00B229A7" w14:paraId="4F7F68CF" w14:textId="77777777">
        <w:tc>
          <w:tcPr>
            <w:tcW w:w="1980" w:type="dxa"/>
          </w:tcPr>
          <w:p w14:paraId="38DD851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2546A21D" w14:textId="77777777" w:rsidR="00B229A7" w:rsidRDefault="00D7072C">
            <w:pPr>
              <w:widowControl/>
              <w:spacing w:line="276" w:lineRule="auto"/>
              <w:jc w:val="left"/>
              <w:rPr>
                <w:rFonts w:ascii="宋体" w:hAnsi="宋体" w:cs="宋体"/>
                <w:color w:val="000000" w:themeColor="text1"/>
                <w:kern w:val="0"/>
                <w:szCs w:val="21"/>
                <w:lang w:bidi="ar"/>
              </w:rPr>
            </w:pPr>
            <w:r>
              <w:rPr>
                <w:rFonts w:ascii="宋体" w:hAnsi="宋体"/>
                <w:color w:val="000000" w:themeColor="text1"/>
                <w:kern w:val="0"/>
                <w:szCs w:val="21"/>
                <w:lang w:bidi="ar"/>
              </w:rPr>
              <w:t xml:space="preserve">5.1 </w:t>
            </w:r>
            <w:r>
              <w:rPr>
                <w:rFonts w:ascii="宋体" w:hAnsi="宋体" w:cs="黑体"/>
                <w:color w:val="000000" w:themeColor="text1"/>
                <w:kern w:val="0"/>
                <w:szCs w:val="21"/>
                <w:lang w:bidi="ar"/>
              </w:rPr>
              <w:t xml:space="preserve">改进审计技术 </w:t>
            </w:r>
            <w:r>
              <w:rPr>
                <w:rFonts w:ascii="宋体" w:hAnsi="宋体" w:cs="宋体" w:hint="eastAsia"/>
                <w:color w:val="000000" w:themeColor="text1"/>
                <w:kern w:val="0"/>
                <w:szCs w:val="21"/>
                <w:lang w:bidi="ar"/>
              </w:rPr>
              <w:t>随着互联网电子商务企业交易模式日益复杂化，注册会计师也应当及时更新自己的 知识储备，了解相关的行业和技术知识，结合实际业务不断改进互联网电子商务审计技 术，比如分别使用不同电子商务系统的整合测试技术，在线监控技术。利用云计算下数 据的共享机制，可以大幅度减少调用被审计单位的内部数据和外部数据。当审计人员在 进行审计活动获取被审计单位的交易信息和相关数据时，可以利用先进的云技术去获取， 同时为了保证数据的安全性和可靠性，还可以建立云计算储存平台，可以通过云平台将 获取到的被审计单位的财务电子数据进行分类和管理。 随着物联网技术的发展和大规模的普及，现在互联网电子商务企业中已经普遍使用 了该技术来对物流和存货数量的动态变化进行实时监控和管理。注册会计师在进行审计 活动时也可以利用物联网技术来提高审计工作的效率，比如当互联网电子商务企业的存 货和资产等贴上了电子标签，审计人员可以通过专业的扫描设备，快速及时的将存货详 细信息，比如生产日期、单价、型号等上传到审计平台，能够在提高审计效率的同时还 可以降低存货盘点的审计风险。在传统的审计方法中，主要依赖于抽样分析，从抽样的 样本特征来推测整体的情况，存在着一定的局限性。但是在大数据技术下可以分析审计 对象的所有证据，使得企业故意舞弊侥幸通过检查的可能性降低，这样不但可以提高审 计效率，还可以降低审计抽样带来的审计风险。审计技术的内容随着技术的发展也有所 增加，比如与网络及信息系统相关的诸如快拍扩展记录技术、系统控制审计文件技术、 连续与间歇模拟技术等多种审计技术。注册会计师要熟练掌握互联</w:t>
            </w:r>
            <w:r>
              <w:rPr>
                <w:rFonts w:ascii="宋体" w:hAnsi="宋体" w:cs="宋体" w:hint="eastAsia"/>
                <w:color w:val="000000" w:themeColor="text1"/>
                <w:kern w:val="0"/>
                <w:szCs w:val="21"/>
                <w:lang w:bidi="ar"/>
              </w:rPr>
              <w:lastRenderedPageBreak/>
              <w:t>网电子商务审计技术， 万方数据河北经贸大学硕士学位论文 这样通过审计程序可以获得可靠的审计证据。</w:t>
            </w:r>
          </w:p>
          <w:p w14:paraId="21C5EA36" w14:textId="77777777" w:rsidR="00B229A7" w:rsidRDefault="00D7072C">
            <w:pPr>
              <w:widowControl/>
              <w:spacing w:line="276" w:lineRule="auto"/>
              <w:jc w:val="left"/>
              <w:rPr>
                <w:rFonts w:ascii="宋体" w:hAnsi="宋体" w:cs="宋体"/>
                <w:color w:val="000000" w:themeColor="text1"/>
                <w:kern w:val="0"/>
                <w:szCs w:val="21"/>
                <w:lang w:bidi="ar"/>
              </w:rPr>
            </w:pPr>
            <w:r>
              <w:rPr>
                <w:rFonts w:ascii="宋体" w:hAnsi="宋体" w:cs="宋体" w:hint="eastAsia"/>
                <w:color w:val="000000" w:themeColor="text1"/>
                <w:kern w:val="0"/>
                <w:szCs w:val="21"/>
                <w:lang w:bidi="ar"/>
              </w:rPr>
              <w:t xml:space="preserve"> </w:t>
            </w:r>
            <w:r>
              <w:rPr>
                <w:rFonts w:ascii="宋体" w:hAnsi="宋体"/>
                <w:color w:val="000000" w:themeColor="text1"/>
                <w:kern w:val="0"/>
                <w:szCs w:val="21"/>
                <w:lang w:bidi="ar"/>
              </w:rPr>
              <w:t xml:space="preserve">5.2 </w:t>
            </w:r>
            <w:r>
              <w:rPr>
                <w:rFonts w:ascii="宋体" w:hAnsi="宋体" w:cs="黑体" w:hint="eastAsia"/>
                <w:color w:val="000000" w:themeColor="text1"/>
                <w:kern w:val="0"/>
                <w:szCs w:val="21"/>
                <w:lang w:bidi="ar"/>
              </w:rPr>
              <w:t xml:space="preserve">开发实用高效的审计软件 </w:t>
            </w:r>
            <w:r>
              <w:rPr>
                <w:rFonts w:ascii="宋体" w:hAnsi="宋体" w:cs="宋体" w:hint="eastAsia"/>
                <w:color w:val="000000" w:themeColor="text1"/>
                <w:kern w:val="0"/>
                <w:szCs w:val="21"/>
                <w:lang w:bidi="ar"/>
              </w:rPr>
              <w:t>在大数据时代，随着互联网电子商务企业的不断增多，需要一个强大的审计软件来 追踪大量的数据和实时变化的交易电子审计证据以及准确迅速对企业的信息系统安全 性和可靠性进行评估。所以要保证会计师事务所审计人员审计活动的正常有效进行，该 软件必须同时具备保密性、适配性、可靠性等特点。 虽然我国现在存在一定数量的辅助审计软件，但是这些软件大多已经不能很好的满 足现在的需要，无论是在性能还是通用性上都存在一些问题，导致在和企业的财务软件 匹配时可能无法完成对接取证的任务，不能完成电子数据的传输从而影响审计的质量。 在互联网电子商务企业中，由于不同公司采用的财务系统不同，对公司进行审计的会计 师事务所也不同，所以行业协会应该牵头引领各个会计师事务所开发一个具有通用性的 审计软件来规范我国的互联网电子商务企业审计。</w:t>
            </w:r>
          </w:p>
          <w:p w14:paraId="40B6CB85" w14:textId="77777777" w:rsidR="00B229A7" w:rsidRDefault="00D7072C">
            <w:pPr>
              <w:widowControl/>
              <w:spacing w:line="276" w:lineRule="auto"/>
              <w:jc w:val="left"/>
              <w:rPr>
                <w:rFonts w:ascii="宋体" w:hAnsi="宋体" w:cs="宋体"/>
                <w:color w:val="000000" w:themeColor="text1"/>
                <w:kern w:val="0"/>
                <w:szCs w:val="21"/>
                <w:lang w:bidi="ar"/>
              </w:rPr>
            </w:pPr>
            <w:r>
              <w:rPr>
                <w:rFonts w:ascii="宋体" w:hAnsi="宋体" w:cs="宋体" w:hint="eastAsia"/>
                <w:color w:val="000000" w:themeColor="text1"/>
                <w:kern w:val="0"/>
                <w:szCs w:val="21"/>
                <w:lang w:bidi="ar"/>
              </w:rPr>
              <w:t xml:space="preserve"> </w:t>
            </w:r>
            <w:r>
              <w:rPr>
                <w:rFonts w:ascii="宋体" w:hAnsi="宋体"/>
                <w:color w:val="000000" w:themeColor="text1"/>
                <w:kern w:val="0"/>
                <w:szCs w:val="21"/>
                <w:lang w:bidi="ar"/>
              </w:rPr>
              <w:t xml:space="preserve">5.3 </w:t>
            </w:r>
            <w:r>
              <w:rPr>
                <w:rFonts w:ascii="宋体" w:hAnsi="宋体" w:cs="黑体" w:hint="eastAsia"/>
                <w:color w:val="000000" w:themeColor="text1"/>
                <w:kern w:val="0"/>
                <w:szCs w:val="21"/>
                <w:lang w:bidi="ar"/>
              </w:rPr>
              <w:t xml:space="preserve">电商审计人才的培养 </w:t>
            </w:r>
            <w:r>
              <w:rPr>
                <w:rFonts w:ascii="宋体" w:hAnsi="宋体" w:cs="宋体" w:hint="eastAsia"/>
                <w:color w:val="000000" w:themeColor="text1"/>
                <w:kern w:val="0"/>
                <w:szCs w:val="21"/>
                <w:lang w:bidi="ar"/>
              </w:rPr>
              <w:t xml:space="preserve">小熊电器审计工作的完成对注册会计师提出了更高的要求，注册会计师在熟练掌握 审计知识同时还应该具有计算机网络以及电子商务的相关知识。互联网电子商务企业审 计和传统审计的一个重要区别就是在审计的过程中电商审计需要同时对财务报表和信 息系统以及网络安全进行审计。要想降低互联网电子商务审计风险，其中一个有效的措 施就是大力培养电子商务审计人才。 在政策制定方面，中注协可以适当增添注册会计师专业考试的内容，根据在电商审 计中遇到的问题，适当在考核的科目中增加有关电子商务热点问题和计算机知识的部分， 引导考生提高对这方面的关注度。学校在会计和审计等人才培养方案的制定上，除了所 学的专业学习外还应该紧密结合时代的发展，同时加入一些计算机和编程知识的学习， 比如数据库和 </w:t>
            </w:r>
            <w:r>
              <w:rPr>
                <w:rFonts w:ascii="宋体" w:hAnsi="宋体"/>
                <w:color w:val="000000" w:themeColor="text1"/>
                <w:kern w:val="0"/>
                <w:szCs w:val="21"/>
                <w:lang w:bidi="ar"/>
              </w:rPr>
              <w:t xml:space="preserve">python </w:t>
            </w:r>
            <w:r>
              <w:rPr>
                <w:rFonts w:ascii="宋体" w:hAnsi="宋体" w:cs="宋体" w:hint="eastAsia"/>
                <w:color w:val="000000" w:themeColor="text1"/>
                <w:kern w:val="0"/>
                <w:szCs w:val="21"/>
                <w:lang w:bidi="ar"/>
              </w:rPr>
              <w:t xml:space="preserve">编程的学习，培养学生的数据思维，拓宽学生的知识面，让学生无 论是在计算机知识还是财务知识都能得到全面的发展。在会计师事务所方面，应该加大 对互联网电子商务审计人才的培养，在员工培训时可以加入一些电商知识，培养专业素 </w:t>
            </w:r>
            <w:r>
              <w:rPr>
                <w:rFonts w:ascii="宋体" w:hAnsi="宋体"/>
                <w:color w:val="000000" w:themeColor="text1"/>
                <w:kern w:val="0"/>
                <w:szCs w:val="21"/>
                <w:lang w:bidi="ar"/>
              </w:rPr>
              <w:t xml:space="preserve">34 </w:t>
            </w:r>
            <w:r>
              <w:rPr>
                <w:rFonts w:ascii="宋体" w:hAnsi="宋体" w:cs="宋体" w:hint="eastAsia"/>
                <w:color w:val="000000" w:themeColor="text1"/>
                <w:kern w:val="0"/>
                <w:szCs w:val="21"/>
                <w:lang w:bidi="ar"/>
              </w:rPr>
              <w:t>万方数据互联网电子商务企业审计风险应对研究</w:t>
            </w:r>
            <w:r>
              <w:rPr>
                <w:rFonts w:ascii="宋体" w:hAnsi="宋体" w:cs="Calibri"/>
                <w:color w:val="000000" w:themeColor="text1"/>
                <w:kern w:val="0"/>
                <w:szCs w:val="21"/>
                <w:lang w:bidi="ar"/>
              </w:rPr>
              <w:t>-</w:t>
            </w:r>
            <w:r>
              <w:rPr>
                <w:rFonts w:ascii="宋体" w:hAnsi="宋体" w:cs="宋体" w:hint="eastAsia"/>
                <w:color w:val="000000" w:themeColor="text1"/>
                <w:kern w:val="0"/>
                <w:szCs w:val="21"/>
                <w:lang w:bidi="ar"/>
              </w:rPr>
              <w:t xml:space="preserve">以小熊电器为例 </w:t>
            </w:r>
            <w:r>
              <w:rPr>
                <w:rFonts w:ascii="宋体" w:hAnsi="宋体"/>
                <w:color w:val="000000" w:themeColor="text1"/>
                <w:kern w:val="0"/>
                <w:szCs w:val="21"/>
                <w:lang w:bidi="ar"/>
              </w:rPr>
              <w:t xml:space="preserve">35 </w:t>
            </w:r>
            <w:r>
              <w:rPr>
                <w:rFonts w:ascii="宋体" w:hAnsi="宋体" w:cs="宋体" w:hint="eastAsia"/>
                <w:color w:val="000000" w:themeColor="text1"/>
                <w:kern w:val="0"/>
                <w:szCs w:val="21"/>
                <w:lang w:bidi="ar"/>
              </w:rPr>
              <w:t>质高但是缺乏电商知识的员工。在招聘人才方面，为了避免注册会计师专业背景单一的 问题，可以引进一些计算机背景的人才。同时会计师事务所在还可以引进或者培训一批 具有电商知识背景的复合型人才，建立一个互联网电子商务企业审计部门，这样通过相 关人才的集中化可以大幅度提高审计效率和质量的同时，还能够降低审计的风险。现在 许多互联网电子商务企业审计案例失败的一个重要原因就是注册会计师在审计活动时 由于</w:t>
            </w:r>
            <w:r>
              <w:rPr>
                <w:rFonts w:ascii="宋体" w:hAnsi="宋体" w:cs="宋体" w:hint="eastAsia"/>
                <w:color w:val="000000" w:themeColor="text1"/>
                <w:kern w:val="0"/>
                <w:szCs w:val="21"/>
                <w:lang w:bidi="ar"/>
              </w:rPr>
              <w:lastRenderedPageBreak/>
              <w:t xml:space="preserve">习惯了传统企业审计的模式，导致在新环境下风险意识薄弱，没有很好的识别出企 业经营活动中的风险点。所以同时还要提高和强化注册会计师的风险意识，让注册会计 师时刻保持警惕，不能为了眼前短期的利益而忽视了审计风险。对被审计单位提供的相 关审计资料和数据要保持一个怀疑的态度进行审查，如果发现疑问一定要找到原因所在， 并且找到得出结论的有关证据，不能被一些表面现象所迷惑。 </w:t>
            </w:r>
            <w:r>
              <w:rPr>
                <w:rFonts w:ascii="宋体" w:hAnsi="宋体"/>
                <w:color w:val="000000" w:themeColor="text1"/>
                <w:kern w:val="0"/>
                <w:szCs w:val="21"/>
                <w:lang w:bidi="ar"/>
              </w:rPr>
              <w:t xml:space="preserve">5.4 </w:t>
            </w:r>
            <w:r>
              <w:rPr>
                <w:rFonts w:ascii="宋体" w:hAnsi="宋体" w:cs="黑体" w:hint="eastAsia"/>
                <w:color w:val="000000" w:themeColor="text1"/>
                <w:kern w:val="0"/>
                <w:szCs w:val="21"/>
                <w:lang w:bidi="ar"/>
              </w:rPr>
              <w:t xml:space="preserve">检查企业信息系统运作的安全性和规范性 </w:t>
            </w:r>
            <w:r>
              <w:rPr>
                <w:rFonts w:ascii="宋体" w:hAnsi="宋体" w:cs="宋体" w:hint="eastAsia"/>
                <w:color w:val="000000" w:themeColor="text1"/>
                <w:kern w:val="0"/>
                <w:szCs w:val="21"/>
                <w:lang w:bidi="ar"/>
              </w:rPr>
              <w:t>互联网电子商务公司是否有一个规范的信息系统对公司在大数据时代的高效运营 和发展非常重要，规范化是指企业在日常交易系统中每个模块之间的集成是否合理以及 是否可以给有效约束过程带来一定的功能支持。规范化是指企业在其交易系统中不同功 能部分之间的整合是否合理、是否能够高效准确的对系统产生的海量数据进行处理。 站在互联网电子商务企业的角度来看，公司的电子商务信息系统不仅需要电子信息 模块之间交易业务的集合并且还要保证各个会计科目的数据信息的口径以及详细的金 额都要完全一致。 从会计师事务所的角度来看，只有被审计公司信息系统具有合理的规范性，才能帮 助会计师事务所的审计软件和企业的会计财务系统进行对接并且能够准确快速充分获 取审计证据，来帮助注册会计师对互联网电子商务企业的风险做出合理的评估，从而降 低审计风险。详细的规范性评估内容主要由以下几个方面组成，首先要查看被审计的互 联网电子商务企业的信息系统在各模块之间信息传递能否准确一致，企业各个部门模块 之间对相关业务处理的在线权限审核是否合理。同时还要关注被审计企业是否存在部门 内越权访问并且进行数据造假的可能性。还要重点关注企业的信息系统能否完整的对交 易记录的产生到结束进行详细的记录，能否对相关的业务进行控制等，以上提及的是互 联网电子商务系统中容易出现风险的地方。如果电子商务系统能够通过会计师事务所审 万方数据河北经贸大学硕士学位论文 计人员的审核评估，那么就可以认为这个信息系统可以很好的完成上述步骤，使审计风 险得到降低。 因为现在互联网电子商务所处于的大环境是计算机系统和互联网技术，由于其自身 的特点，相对于传统的人工记账其存在更多的风险，比如系统受到黑客的攻击以及数据 容易被篡改等风险。会计师事务所可以在对互联网电子系统的安全性和可靠性进行评估 时从硬件和软件这两个方向作为出发点。首先是在硬件方面，审计人员可以检查信息系 统的物理配件，这些可以通过询问被审计单位的相关技术人员并且实地观察检查进行了 解，审计人员应该评估分析网络设备遭受到自然灾害或者电子本身存在的风险等。其次 是关系到各个数据储存和处理的软件系统，比如是否有为了应对黑客攻击或者计算机病 毒的入</w:t>
            </w:r>
            <w:r>
              <w:rPr>
                <w:rFonts w:ascii="宋体" w:hAnsi="宋体" w:cs="宋体" w:hint="eastAsia"/>
                <w:color w:val="000000" w:themeColor="text1"/>
                <w:kern w:val="0"/>
                <w:szCs w:val="21"/>
                <w:lang w:bidi="ar"/>
              </w:rPr>
              <w:lastRenderedPageBreak/>
              <w:t xml:space="preserve">侵而安装的专业杀毒软件，这样可以保证整个系统中线索和证据有效的保存下来， 因为审计线索的安全性对审计证据的可靠性非常的重要，能够影响注册会计师的对相关 业务的判断。 </w:t>
            </w:r>
          </w:p>
          <w:p w14:paraId="3FAA861B" w14:textId="77777777" w:rsidR="00B229A7" w:rsidRDefault="00D7072C">
            <w:pPr>
              <w:widowControl/>
              <w:spacing w:line="276" w:lineRule="auto"/>
              <w:jc w:val="left"/>
              <w:rPr>
                <w:rFonts w:ascii="宋体" w:hAnsi="宋体" w:cs="宋体"/>
                <w:color w:val="000000" w:themeColor="text1"/>
                <w:kern w:val="0"/>
                <w:szCs w:val="21"/>
                <w:lang w:bidi="ar"/>
              </w:rPr>
            </w:pPr>
            <w:r>
              <w:rPr>
                <w:rFonts w:ascii="宋体" w:hAnsi="宋体"/>
                <w:color w:val="000000" w:themeColor="text1"/>
                <w:kern w:val="0"/>
                <w:szCs w:val="21"/>
                <w:lang w:bidi="ar"/>
              </w:rPr>
              <w:t xml:space="preserve">5.5 </w:t>
            </w:r>
            <w:r>
              <w:rPr>
                <w:rFonts w:ascii="宋体" w:hAnsi="宋体" w:cs="黑体" w:hint="eastAsia"/>
                <w:color w:val="000000" w:themeColor="text1"/>
                <w:kern w:val="0"/>
                <w:szCs w:val="21"/>
                <w:lang w:bidi="ar"/>
              </w:rPr>
              <w:t xml:space="preserve">检查交易的完整性和真实性 </w:t>
            </w:r>
            <w:r>
              <w:rPr>
                <w:rFonts w:ascii="宋体" w:hAnsi="宋体" w:cs="宋体" w:hint="eastAsia"/>
                <w:color w:val="000000" w:themeColor="text1"/>
                <w:kern w:val="0"/>
                <w:szCs w:val="21"/>
                <w:lang w:bidi="ar"/>
              </w:rPr>
              <w:t xml:space="preserve">注册会计师对互联网电子商务企业进行审计活动时，要重点关注企业相关交易活动 发生的真实性和完整性。比如对日常销售和采购活动中销售采购票据、凭证资料等进行 审查和核对。因为电子商务企业交易几乎每时每刻都在发生，所以会产生大量的销售和 收款业务，那么注册会计师应对其相关的主营业务和应收账款两个科目保持警惕，重点 审查。因为互联网电子商务的特殊性，其经常存在退货现象，收入的确认时点可能存在 风险，所以在对收入的时间进行截止性测试时，要对会计记录时间的正确与否进行查验， 在对互联网电子商务企业的收入确定时主要查看电子交易的时间。互联网电子商务企业 的业务大多都是在网络平台上开展，相对于传统企业其拥有的固定资产金额较少，为了 提高审计效率，注册会计师可以简化此类资产的审计，重点审核应收账款等科目。 企业为了粉饰报表可能会故意修改交易记录和相关信息数据，所以审计人员在检查 相关数据时要谨慎对待，从多方面综合考虑来判断证据是否可靠。比如审计人员可以通 过检查数据是否存在遗漏，是否为结账后的数据、整个借贷是否平衡、凭证是否有重号、 断号现象等，同时还要检查电子数据是否有无删减、拼凑等现象。 在互联网电子商务企业中内控涉及到的人工较少，如果某个环节出现问题，可能造 </w:t>
            </w:r>
            <w:r>
              <w:rPr>
                <w:rFonts w:ascii="宋体" w:hAnsi="宋体"/>
                <w:color w:val="000000" w:themeColor="text1"/>
                <w:kern w:val="0"/>
                <w:szCs w:val="21"/>
                <w:lang w:bidi="ar"/>
              </w:rPr>
              <w:t xml:space="preserve">36 </w:t>
            </w:r>
            <w:r>
              <w:rPr>
                <w:rFonts w:ascii="宋体" w:hAnsi="宋体" w:cs="宋体" w:hint="eastAsia"/>
                <w:color w:val="000000" w:themeColor="text1"/>
                <w:kern w:val="0"/>
                <w:szCs w:val="21"/>
                <w:lang w:bidi="ar"/>
              </w:rPr>
              <w:t>万方数据互联网电子商务企业审计风险应对研究</w:t>
            </w:r>
            <w:r>
              <w:rPr>
                <w:rFonts w:ascii="宋体" w:hAnsi="宋体" w:cs="Calibri"/>
                <w:color w:val="000000" w:themeColor="text1"/>
                <w:kern w:val="0"/>
                <w:szCs w:val="21"/>
                <w:lang w:bidi="ar"/>
              </w:rPr>
              <w:t>-</w:t>
            </w:r>
            <w:r>
              <w:rPr>
                <w:rFonts w:ascii="宋体" w:hAnsi="宋体" w:cs="宋体" w:hint="eastAsia"/>
                <w:color w:val="000000" w:themeColor="text1"/>
                <w:kern w:val="0"/>
                <w:szCs w:val="21"/>
                <w:lang w:bidi="ar"/>
              </w:rPr>
              <w:t xml:space="preserve">以小熊电器为例 </w:t>
            </w:r>
            <w:r>
              <w:rPr>
                <w:rFonts w:ascii="宋体" w:hAnsi="宋体"/>
                <w:color w:val="000000" w:themeColor="text1"/>
                <w:kern w:val="0"/>
                <w:szCs w:val="21"/>
                <w:lang w:bidi="ar"/>
              </w:rPr>
              <w:t xml:space="preserve">37 </w:t>
            </w:r>
            <w:r>
              <w:rPr>
                <w:rFonts w:ascii="宋体" w:hAnsi="宋体" w:cs="宋体" w:hint="eastAsia"/>
                <w:color w:val="000000" w:themeColor="text1"/>
                <w:kern w:val="0"/>
                <w:szCs w:val="21"/>
                <w:lang w:bidi="ar"/>
              </w:rPr>
              <w:t>成严重的后果。因为注册会计师在进行审计活动时，其获得的审计证据基本上全部来源 于企业的信息系统，并且这些证据属于内部证据，其风险比从外部获得的证据较高。所 以注册会计师在对互联网电子商务企业进行审计时要着重加大对互联网电子商务系统 可靠性的审查力度，检查信息系统控制的有效性来保证交易的完整性和真实性。 现在一些大型互联网电子商务公司比如京东，每天的交易数量和金额十分巨大，每 秒就能形成上万笔交易。此类互联网电子商务公司信息系统和数据库的重要性就非常突 出，它们直接关系到注册会计师获得审计证据的真实性和完整性。同时一些造假者也可 以利用一些内部控制的漏洞来篡改数据，产生虚假交易来粉饰报表。因此检查交易的完 整性和真实性，可以帮助注册会计师正确评估审计风险，获得较高保证的内部审计证据， 提高审计质量和审计效率</w:t>
            </w:r>
          </w:p>
          <w:p w14:paraId="0BE79D04" w14:textId="77777777" w:rsidR="00B229A7" w:rsidRDefault="00B229A7">
            <w:pPr>
              <w:tabs>
                <w:tab w:val="left" w:pos="2160"/>
              </w:tabs>
              <w:spacing w:line="276" w:lineRule="auto"/>
              <w:rPr>
                <w:rStyle w:val="11"/>
                <w:rFonts w:ascii="宋体" w:hAnsi="宋体"/>
                <w:i w:val="0"/>
                <w:iCs w:val="0"/>
                <w:color w:val="000000" w:themeColor="text1"/>
                <w:kern w:val="0"/>
                <w:szCs w:val="21"/>
              </w:rPr>
            </w:pPr>
          </w:p>
        </w:tc>
      </w:tr>
    </w:tbl>
    <w:p w14:paraId="65E4BC8A" w14:textId="77777777" w:rsidR="00B229A7" w:rsidRDefault="00B229A7">
      <w:pPr>
        <w:widowControl/>
        <w:spacing w:line="276" w:lineRule="auto"/>
        <w:jc w:val="left"/>
        <w:rPr>
          <w:rFonts w:ascii="宋体" w:hAnsi="宋体" w:cstheme="majorEastAsia"/>
          <w:color w:val="000000" w:themeColor="text1"/>
          <w:kern w:val="0"/>
          <w:szCs w:val="21"/>
          <w:lang w:bidi="ar"/>
        </w:rPr>
      </w:pPr>
    </w:p>
    <w:p w14:paraId="1321F731" w14:textId="77777777" w:rsidR="00B229A7" w:rsidRDefault="00D7072C">
      <w:pPr>
        <w:pStyle w:val="1"/>
      </w:pPr>
      <w:bookmarkStart w:id="172" w:name="_Toc104812345"/>
      <w:bookmarkStart w:id="173" w:name="_Toc104812526"/>
      <w:bookmarkStart w:id="174" w:name="_Toc104812624"/>
      <w:bookmarkStart w:id="175" w:name="_GoBack"/>
      <w:bookmarkEnd w:id="175"/>
      <w:r>
        <w:rPr>
          <w:rFonts w:hint="eastAsia"/>
        </w:rPr>
        <w:lastRenderedPageBreak/>
        <w:t>4</w:t>
      </w:r>
      <w:r>
        <w:t>7</w:t>
      </w:r>
      <w:r>
        <w:rPr>
          <w:rFonts w:hint="eastAsia"/>
        </w:rPr>
        <w:t>三只松鼠</w:t>
      </w:r>
      <w:bookmarkEnd w:id="172"/>
      <w:bookmarkEnd w:id="173"/>
      <w:bookmarkEnd w:id="174"/>
    </w:p>
    <w:tbl>
      <w:tblPr>
        <w:tblStyle w:val="a4"/>
        <w:tblW w:w="8296" w:type="dxa"/>
        <w:tblLayout w:type="fixed"/>
        <w:tblLook w:val="04A0" w:firstRow="1" w:lastRow="0" w:firstColumn="1" w:lastColumn="0" w:noHBand="0" w:noVBand="1"/>
      </w:tblPr>
      <w:tblGrid>
        <w:gridCol w:w="1980"/>
        <w:gridCol w:w="6316"/>
      </w:tblGrid>
      <w:tr w:rsidR="00B229A7" w14:paraId="13C726C4" w14:textId="77777777">
        <w:tc>
          <w:tcPr>
            <w:tcW w:w="1980" w:type="dxa"/>
          </w:tcPr>
          <w:p w14:paraId="1914CC5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4DF038F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01120</w:t>
            </w:r>
          </w:p>
        </w:tc>
      </w:tr>
      <w:tr w:rsidR="00B229A7" w14:paraId="0AD0D429" w14:textId="77777777">
        <w:tc>
          <w:tcPr>
            <w:tcW w:w="1980" w:type="dxa"/>
          </w:tcPr>
          <w:p w14:paraId="5A26F36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2354E48E"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电子商务</w:t>
            </w:r>
          </w:p>
        </w:tc>
      </w:tr>
      <w:tr w:rsidR="00B229A7" w14:paraId="787B14B3" w14:textId="77777777">
        <w:tc>
          <w:tcPr>
            <w:tcW w:w="1980" w:type="dxa"/>
          </w:tcPr>
          <w:p w14:paraId="0867E1B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144A110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2020</w:t>
            </w:r>
          </w:p>
        </w:tc>
      </w:tr>
      <w:tr w:rsidR="00B229A7" w14:paraId="674A2B2E" w14:textId="77777777">
        <w:tc>
          <w:tcPr>
            <w:tcW w:w="1980" w:type="dxa"/>
          </w:tcPr>
          <w:p w14:paraId="24D5FFD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40C52C8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三只松鼠</w:t>
            </w:r>
          </w:p>
        </w:tc>
      </w:tr>
      <w:tr w:rsidR="00B229A7" w14:paraId="3FB81730" w14:textId="77777777">
        <w:tc>
          <w:tcPr>
            <w:tcW w:w="1980" w:type="dxa"/>
          </w:tcPr>
          <w:p w14:paraId="2367726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529BD7F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坚果、肉脯、果干、膨化等全品类休闲零食</w:t>
            </w:r>
          </w:p>
        </w:tc>
      </w:tr>
      <w:tr w:rsidR="00B229A7" w14:paraId="4117FE89" w14:textId="77777777">
        <w:tc>
          <w:tcPr>
            <w:tcW w:w="1980" w:type="dxa"/>
          </w:tcPr>
          <w:p w14:paraId="145E4FB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01254A6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0EA3C48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三只松鼠股份有限公司成立于2012年2月16日，公司总部在安徽芜湖，是中国第一家定位于纯互联网食品品牌的企业，也是当前中国销售规模前列的食品电商企业，其主营业务覆盖了坚果、肉脯、果干、膨化等全品类休闲零食  。12月3日，三只松鼠宣布，2019年其全年销售额突破百亿，成为零食行业首家迈过百亿门槛的企业</w:t>
            </w:r>
          </w:p>
          <w:p w14:paraId="3BB765F5"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05CF311A"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lang w:bidi="ar"/>
              </w:rPr>
              <w:t>三是松鼠企业主要销售渠道为线上渠道，线下销售渠道在积极开拓中。 线上营销策略 对于线上营销策略，研究发现三只松鼠企业充分利用了互联网搜索 引擎和社会化媒体实现精准营销，并通过设计和塑造令人记忆深刻的松鼠卡通形象实现 品牌营销。通过分析提出三只松鼠企业可将食品质量安全保证作为未 来线上营销方向。线下营销策略 对于线下营销策略，提出了三只松鼠线下体验店定位精准合理、规划 放眼长远、布局抓人眼球、实体体验丰富等优点，达到了线下实体店的完美营销</w:t>
            </w:r>
            <w:r>
              <w:rPr>
                <w:rFonts w:ascii="宋体" w:hAnsi="宋体"/>
                <w:color w:val="000000" w:themeColor="text1"/>
                <w:kern w:val="0"/>
                <w:szCs w:val="21"/>
                <w:lang w:bidi="ar"/>
              </w:rPr>
              <w:t>2020</w:t>
            </w:r>
            <w:r>
              <w:rPr>
                <w:rFonts w:ascii="宋体" w:hAnsi="宋体" w:cs="宋体" w:hint="eastAsia"/>
                <w:color w:val="000000" w:themeColor="text1"/>
                <w:kern w:val="0"/>
                <w:szCs w:val="21"/>
                <w:lang w:bidi="ar"/>
              </w:rPr>
              <w:t>）通过研究三只松鼠企业</w:t>
            </w:r>
            <w:r>
              <w:rPr>
                <w:rFonts w:ascii="宋体" w:hAnsi="宋体"/>
                <w:color w:val="000000" w:themeColor="text1"/>
                <w:kern w:val="0"/>
                <w:szCs w:val="21"/>
                <w:lang w:bidi="ar"/>
              </w:rPr>
              <w:t>“</w:t>
            </w:r>
            <w:r>
              <w:rPr>
                <w:rFonts w:ascii="宋体" w:hAnsi="宋体" w:cs="宋体" w:hint="eastAsia"/>
                <w:color w:val="000000" w:themeColor="text1"/>
                <w:kern w:val="0"/>
                <w:szCs w:val="21"/>
                <w:lang w:bidi="ar"/>
              </w:rPr>
              <w:t>人店合一</w:t>
            </w:r>
            <w:r>
              <w:rPr>
                <w:rFonts w:ascii="宋体" w:hAnsi="宋体"/>
                <w:color w:val="000000" w:themeColor="text1"/>
                <w:kern w:val="0"/>
                <w:szCs w:val="21"/>
                <w:lang w:bidi="ar"/>
              </w:rPr>
              <w:t>”</w:t>
            </w:r>
            <w:r>
              <w:rPr>
                <w:rFonts w:ascii="宋体" w:hAnsi="宋体" w:cs="宋体" w:hint="eastAsia"/>
                <w:color w:val="000000" w:themeColor="text1"/>
                <w:kern w:val="0"/>
                <w:szCs w:val="21"/>
                <w:lang w:bidi="ar"/>
              </w:rPr>
              <w:t xml:space="preserve">实体经营理念，发现三只松鼠线下店充 分发挥了服务体验的作用，并通过情景带入的方式宣传了品牌文化，推动了线上线下双 销售渠道的共同发展。 </w:t>
            </w:r>
            <w:r>
              <w:rPr>
                <w:rFonts w:ascii="宋体" w:hAnsi="宋体"/>
                <w:color w:val="000000" w:themeColor="text1"/>
                <w:kern w:val="0"/>
                <w:szCs w:val="21"/>
                <w:lang w:bidi="ar"/>
              </w:rPr>
              <w:t xml:space="preserve"> </w:t>
            </w:r>
            <w:r>
              <w:rPr>
                <w:rFonts w:ascii="宋体" w:hAnsi="宋体" w:cs="宋体" w:hint="eastAsia"/>
                <w:color w:val="000000" w:themeColor="text1"/>
                <w:kern w:val="0"/>
                <w:szCs w:val="21"/>
                <w:lang w:bidi="ar"/>
              </w:rPr>
              <w:t xml:space="preserve">三只松鼠品牌竞争研究 三只松鼠成为休闲零售类互联网电子商务企业中的佼佼者，与其进行品牌推广参与 品牌竞争存在一定关系，通过研究三只松鼠品牌形象发现企业将三只诙谐 可爱的松鼠作为品牌形象并赋予每只松鼠不同的性格特点，以此达到品牌推广的目的 ,也肯定了上述观点，并通过对三只松鼠企业的内外部环境进行分析， 提出注重品牌延伸的建议重点关注了三只松鼠的故事营销 策略，发现三只松鼠的品牌竞争力通过故事品牌营销有效增强，但是企业应当注重为品 牌注入新的内涵。 通过对三只松鼠企业相关文献进行梳理发现当前研究更多停留在其竞争策略方面， 缺乏关于其审计风险的研究。 </w:t>
            </w:r>
          </w:p>
          <w:p w14:paraId="789B5A01" w14:textId="77777777" w:rsidR="00B229A7" w:rsidRDefault="00B229A7">
            <w:pPr>
              <w:spacing w:line="276" w:lineRule="auto"/>
              <w:rPr>
                <w:rFonts w:ascii="宋体" w:hAnsi="宋体"/>
                <w:color w:val="000000" w:themeColor="text1"/>
                <w:kern w:val="0"/>
                <w:szCs w:val="21"/>
              </w:rPr>
            </w:pPr>
          </w:p>
          <w:p w14:paraId="7AD8D4F7"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6B6F0AA1" w14:textId="77777777" w:rsidR="00B229A7" w:rsidRDefault="00D7072C">
            <w:pPr>
              <w:widowControl/>
              <w:spacing w:line="276" w:lineRule="auto"/>
              <w:jc w:val="left"/>
              <w:rPr>
                <w:rFonts w:ascii="宋体" w:hAnsi="宋体"/>
                <w:color w:val="000000" w:themeColor="text1"/>
                <w:kern w:val="0"/>
                <w:szCs w:val="21"/>
              </w:rPr>
            </w:pPr>
            <w:r>
              <w:rPr>
                <w:rFonts w:ascii="宋体" w:hAnsi="宋体" w:cs="宋体" w:hint="eastAsia"/>
                <w:color w:val="000000" w:themeColor="text1"/>
                <w:kern w:val="0"/>
                <w:szCs w:val="21"/>
                <w:lang w:bidi="ar"/>
              </w:rPr>
              <w:t>（</w:t>
            </w:r>
            <w:r>
              <w:rPr>
                <w:rFonts w:ascii="宋体" w:hAnsi="宋体"/>
                <w:color w:val="000000" w:themeColor="text1"/>
                <w:kern w:val="0"/>
                <w:szCs w:val="21"/>
                <w:lang w:bidi="ar"/>
              </w:rPr>
              <w:t>1</w:t>
            </w:r>
            <w:r>
              <w:rPr>
                <w:rFonts w:ascii="宋体" w:hAnsi="宋体" w:cs="宋体" w:hint="eastAsia"/>
                <w:color w:val="000000" w:themeColor="text1"/>
                <w:kern w:val="0"/>
                <w:szCs w:val="21"/>
                <w:lang w:bidi="ar"/>
              </w:rPr>
              <w:t>）营业收入受季节影响较大 休闲食品行业具有明显的周期性，</w:t>
            </w:r>
            <w:r>
              <w:rPr>
                <w:rFonts w:ascii="宋体" w:hAnsi="宋体" w:cs="宋体" w:hint="eastAsia"/>
                <w:color w:val="000000" w:themeColor="text1"/>
                <w:kern w:val="0"/>
                <w:szCs w:val="21"/>
                <w:lang w:bidi="ar"/>
              </w:rPr>
              <w:lastRenderedPageBreak/>
              <w:t xml:space="preserve">受季节影响尤为严重，三只松鼠企业营业收入主 要集中在第一季度和第四季度，原因在于消费者在农历新年前后将坚果类食品作为年货 储备热情高涨，而农历新年通常处于第一季度，除此之外，各大网络购物平台所青睐的 双十一、双十二处于第四季度，因此这两个季度企业毛利较高，净利润占全年净利润比 重很大，而第二、三季度中，虽然企业努力通过其他营销活动提高销量，例如三只松鼠 店庆和 </w:t>
            </w:r>
            <w:r>
              <w:rPr>
                <w:rFonts w:ascii="宋体" w:hAnsi="宋体"/>
                <w:color w:val="000000" w:themeColor="text1"/>
                <w:kern w:val="0"/>
                <w:szCs w:val="21"/>
                <w:lang w:bidi="ar"/>
              </w:rPr>
              <w:t xml:space="preserve">618 </w:t>
            </w:r>
            <w:r>
              <w:rPr>
                <w:rFonts w:ascii="宋体" w:hAnsi="宋体" w:cs="宋体" w:hint="eastAsia"/>
                <w:color w:val="000000" w:themeColor="text1"/>
                <w:kern w:val="0"/>
                <w:szCs w:val="21"/>
                <w:lang w:bidi="ar"/>
              </w:rPr>
              <w:t>等集中在这两个季度，但是消费者购买热情仍然不够高涨。对于食品零售类 企业来说，在各季度间销量差距较大的情况下，企业必然会做出在销量较高的一、四季 度增加存货的决策，然而市场存在波动性，企业无法做到精准预测，销量一旦与预期不 符则为企业带来各方面的风险，包括资金链断裂的风险，原材料囤积风险，库存商品滞 销风险等，轻则影响企业正常运行，重则使企业面临破产危机，财务报表层次审计风险 增加。 （</w:t>
            </w:r>
            <w:r>
              <w:rPr>
                <w:rFonts w:ascii="宋体" w:hAnsi="宋体"/>
                <w:color w:val="000000" w:themeColor="text1"/>
                <w:kern w:val="0"/>
                <w:szCs w:val="21"/>
                <w:lang w:bidi="ar"/>
              </w:rPr>
              <w:t>2</w:t>
            </w:r>
            <w:r>
              <w:rPr>
                <w:rFonts w:ascii="宋体" w:hAnsi="宋体" w:cs="宋体" w:hint="eastAsia"/>
                <w:color w:val="000000" w:themeColor="text1"/>
                <w:kern w:val="0"/>
                <w:szCs w:val="21"/>
                <w:lang w:bidi="ar"/>
              </w:rPr>
              <w:t xml:space="preserve">）市场竞争激烈 三只松鼠企业的经营范围虽然逐渐扩大，除了包含坚果、肉脯、膨化、果干、茶品 等休闲食品外，还在积极开拓以松鼠为主要动漫元素的玩偶、书籍和衣物等周边商品， 并积极进行跨界合作。但是三只松鼠企业仍然以食品系列吸引大部分消费者，然而企业 的主要产品食品系列均为常见品类，采购方式和加工流程较为简单，可替代性较高，客 户对这些普通零食的忠诚度较低。 在这种情况下三只松鼠企业并未研发出可替代性较高的产品，与同类型食品零售类 企业产品重合度较高，三只松鼠企业客户粘性可能不足。如表 </w:t>
            </w:r>
            <w:r>
              <w:rPr>
                <w:rFonts w:ascii="宋体" w:hAnsi="宋体"/>
                <w:color w:val="000000" w:themeColor="text1"/>
                <w:kern w:val="0"/>
                <w:szCs w:val="21"/>
                <w:lang w:bidi="ar"/>
              </w:rPr>
              <w:t xml:space="preserve">5-1 </w:t>
            </w:r>
            <w:r>
              <w:rPr>
                <w:rFonts w:ascii="宋体" w:hAnsi="宋体" w:cs="宋体" w:hint="eastAsia"/>
                <w:color w:val="000000" w:themeColor="text1"/>
                <w:kern w:val="0"/>
                <w:szCs w:val="21"/>
                <w:lang w:bidi="ar"/>
              </w:rPr>
              <w:t xml:space="preserve">所示，在人员构成上， 研发人员数量较少，并且研发人员所占比例也较低，虽然在 </w:t>
            </w:r>
            <w:r>
              <w:rPr>
                <w:rFonts w:ascii="宋体" w:hAnsi="宋体"/>
                <w:color w:val="000000" w:themeColor="text1"/>
                <w:kern w:val="0"/>
                <w:szCs w:val="21"/>
                <w:lang w:bidi="ar"/>
              </w:rPr>
              <w:t xml:space="preserve">2018 </w:t>
            </w:r>
            <w:r>
              <w:rPr>
                <w:rFonts w:ascii="宋体" w:hAnsi="宋体" w:cs="宋体" w:hint="eastAsia"/>
                <w:color w:val="000000" w:themeColor="text1"/>
                <w:kern w:val="0"/>
                <w:szCs w:val="21"/>
                <w:lang w:bidi="ar"/>
              </w:rPr>
              <w:t xml:space="preserve">年占比有所上升，但 是按照企业总员工人数和比例推算，与 </w:t>
            </w:r>
            <w:r>
              <w:rPr>
                <w:rFonts w:ascii="宋体" w:hAnsi="宋体"/>
                <w:color w:val="000000" w:themeColor="text1"/>
                <w:kern w:val="0"/>
                <w:szCs w:val="21"/>
                <w:lang w:bidi="ar"/>
              </w:rPr>
              <w:t xml:space="preserve">2017 </w:t>
            </w:r>
            <w:r>
              <w:rPr>
                <w:rFonts w:ascii="宋体" w:hAnsi="宋体" w:cs="宋体" w:hint="eastAsia"/>
                <w:color w:val="000000" w:themeColor="text1"/>
                <w:kern w:val="0"/>
                <w:szCs w:val="21"/>
                <w:lang w:bidi="ar"/>
              </w:rPr>
              <w:t>年相比新入职员工中研发人员人数在减少，虽然三只松鼠企业已经成为中国休闲零食零售类领军企业，但是随着互联网电子商 务企业的不断发展，网络购物平台日渐多元化，休闲食品市场需求不断扩大，当前良品 铺子、百草味等新兴食品零售类互联网电子商务企业发展迅猛，难保其将制定比当前平 均市场价格更低的产品价格作为营销策略，三只松鼠企业如果不能通过特色产品巩固客 户忠诚度，精准把握消费者偏好，那么客户流量必然会受到影响，由此导致企业面临一 系列风险。在这种情况下，市场竞争激烈产生了财务后果，导致财务报表层次审计风险 增加。 （</w:t>
            </w:r>
            <w:r>
              <w:rPr>
                <w:rFonts w:ascii="宋体" w:hAnsi="宋体"/>
                <w:color w:val="000000" w:themeColor="text1"/>
                <w:kern w:val="0"/>
                <w:szCs w:val="21"/>
                <w:lang w:bidi="ar"/>
              </w:rPr>
              <w:t>3</w:t>
            </w:r>
            <w:r>
              <w:rPr>
                <w:rFonts w:ascii="宋体" w:hAnsi="宋体" w:cs="宋体" w:hint="eastAsia"/>
                <w:color w:val="000000" w:themeColor="text1"/>
                <w:kern w:val="0"/>
                <w:szCs w:val="21"/>
                <w:lang w:bidi="ar"/>
              </w:rPr>
              <w:t xml:space="preserve">）销售渠道集中化 作为运营模式为 </w:t>
            </w:r>
            <w:r>
              <w:rPr>
                <w:rFonts w:ascii="宋体" w:hAnsi="宋体"/>
                <w:color w:val="000000" w:themeColor="text1"/>
                <w:kern w:val="0"/>
                <w:szCs w:val="21"/>
                <w:lang w:bidi="ar"/>
              </w:rPr>
              <w:t xml:space="preserve">B2C </w:t>
            </w:r>
            <w:r>
              <w:rPr>
                <w:rFonts w:ascii="宋体" w:hAnsi="宋体" w:cs="宋体" w:hint="eastAsia"/>
                <w:color w:val="000000" w:themeColor="text1"/>
                <w:kern w:val="0"/>
                <w:szCs w:val="21"/>
                <w:lang w:bidi="ar"/>
              </w:rPr>
              <w:t xml:space="preserve">的互联网电子商务企业，三只松鼠企业主要依靠几大知名网 购平台进行交易，目前在天猫、京东、当当和苏宁设有官方店铺，除了可以在上述网店 下单外，消费者还可以选择在三只松鼠自营 </w:t>
            </w:r>
            <w:r>
              <w:rPr>
                <w:rFonts w:ascii="宋体" w:hAnsi="宋体"/>
                <w:color w:val="000000" w:themeColor="text1"/>
                <w:kern w:val="0"/>
                <w:szCs w:val="21"/>
                <w:lang w:bidi="ar"/>
              </w:rPr>
              <w:t xml:space="preserve">APP </w:t>
            </w:r>
            <w:r>
              <w:rPr>
                <w:rFonts w:ascii="宋体" w:hAnsi="宋体" w:cs="宋体" w:hint="eastAsia"/>
                <w:color w:val="000000" w:themeColor="text1"/>
                <w:kern w:val="0"/>
                <w:szCs w:val="21"/>
                <w:lang w:bidi="ar"/>
              </w:rPr>
              <w:t>进行购物。虽然三只松鼠企业近年来 致力于开拓线下销售渠道，</w:t>
            </w:r>
            <w:r>
              <w:rPr>
                <w:rFonts w:ascii="宋体" w:hAnsi="宋体"/>
                <w:color w:val="000000" w:themeColor="text1"/>
                <w:kern w:val="0"/>
                <w:szCs w:val="21"/>
                <w:lang w:bidi="ar"/>
              </w:rPr>
              <w:t xml:space="preserve">2019 </w:t>
            </w:r>
            <w:r>
              <w:rPr>
                <w:rFonts w:ascii="宋体" w:hAnsi="宋体" w:cs="宋体" w:hint="eastAsia"/>
                <w:color w:val="000000" w:themeColor="text1"/>
                <w:kern w:val="0"/>
                <w:szCs w:val="21"/>
                <w:lang w:bidi="ar"/>
              </w:rPr>
              <w:t xml:space="preserve">年新开松鼠投食店 </w:t>
            </w:r>
            <w:r>
              <w:rPr>
                <w:rFonts w:ascii="宋体" w:hAnsi="宋体"/>
                <w:color w:val="000000" w:themeColor="text1"/>
                <w:kern w:val="0"/>
                <w:szCs w:val="21"/>
                <w:lang w:bidi="ar"/>
              </w:rPr>
              <w:t xml:space="preserve">58 </w:t>
            </w:r>
            <w:r>
              <w:rPr>
                <w:rFonts w:ascii="宋体" w:hAnsi="宋体" w:cs="宋体" w:hint="eastAsia"/>
                <w:color w:val="000000" w:themeColor="text1"/>
                <w:kern w:val="0"/>
                <w:szCs w:val="21"/>
                <w:lang w:bidi="ar"/>
              </w:rPr>
              <w:t xml:space="preserve">家，累计 </w:t>
            </w:r>
            <w:r>
              <w:rPr>
                <w:rFonts w:ascii="宋体" w:hAnsi="宋体"/>
                <w:color w:val="000000" w:themeColor="text1"/>
                <w:kern w:val="0"/>
                <w:szCs w:val="21"/>
                <w:lang w:bidi="ar"/>
              </w:rPr>
              <w:t xml:space="preserve">108 </w:t>
            </w:r>
            <w:r>
              <w:rPr>
                <w:rFonts w:ascii="宋体" w:hAnsi="宋体" w:cs="宋体" w:hint="eastAsia"/>
                <w:color w:val="000000" w:themeColor="text1"/>
                <w:kern w:val="0"/>
                <w:szCs w:val="21"/>
                <w:lang w:bidi="ar"/>
              </w:rPr>
              <w:t xml:space="preserve">家，新开松鼠小店 </w:t>
            </w:r>
            <w:r>
              <w:rPr>
                <w:rFonts w:ascii="宋体" w:hAnsi="宋体"/>
                <w:color w:val="000000" w:themeColor="text1"/>
                <w:kern w:val="0"/>
                <w:szCs w:val="21"/>
                <w:lang w:bidi="ar"/>
              </w:rPr>
              <w:t xml:space="preserve">268 </w:t>
            </w:r>
            <w:r>
              <w:rPr>
                <w:rFonts w:ascii="宋体" w:hAnsi="宋体" w:cs="宋体" w:hint="eastAsia"/>
                <w:color w:val="000000" w:themeColor="text1"/>
                <w:kern w:val="0"/>
                <w:szCs w:val="21"/>
                <w:lang w:bidi="ar"/>
              </w:rPr>
              <w:t xml:space="preserve">家，累计 </w:t>
            </w:r>
            <w:r>
              <w:rPr>
                <w:rFonts w:ascii="宋体" w:hAnsi="宋体"/>
                <w:color w:val="000000" w:themeColor="text1"/>
                <w:kern w:val="0"/>
                <w:szCs w:val="21"/>
                <w:lang w:bidi="ar"/>
              </w:rPr>
              <w:t xml:space="preserve">278 </w:t>
            </w:r>
            <w:r>
              <w:rPr>
                <w:rFonts w:ascii="宋体" w:hAnsi="宋体" w:cs="宋体" w:hint="eastAsia"/>
                <w:color w:val="000000" w:themeColor="text1"/>
                <w:kern w:val="0"/>
                <w:szCs w:val="21"/>
                <w:lang w:bidi="ar"/>
              </w:rPr>
              <w:t>家。但是企业营业收入大多</w:t>
            </w:r>
            <w:r>
              <w:rPr>
                <w:rFonts w:ascii="宋体" w:hAnsi="宋体" w:cs="宋体" w:hint="eastAsia"/>
                <w:color w:val="000000" w:themeColor="text1"/>
                <w:kern w:val="0"/>
                <w:szCs w:val="21"/>
                <w:lang w:bidi="ar"/>
              </w:rPr>
              <w:lastRenderedPageBreak/>
              <w:t>来自于第三方电商平台，</w:t>
            </w:r>
            <w:r>
              <w:rPr>
                <w:rFonts w:ascii="宋体" w:hAnsi="宋体"/>
                <w:color w:val="000000" w:themeColor="text1"/>
                <w:kern w:val="0"/>
                <w:szCs w:val="21"/>
                <w:lang w:bidi="ar"/>
              </w:rPr>
              <w:t xml:space="preserve">2019 </w:t>
            </w:r>
            <w:r>
              <w:rPr>
                <w:rFonts w:ascii="宋体" w:hAnsi="宋体" w:cs="宋体" w:hint="eastAsia"/>
                <w:color w:val="000000" w:themeColor="text1"/>
                <w:kern w:val="0"/>
                <w:szCs w:val="21"/>
                <w:lang w:bidi="ar"/>
              </w:rPr>
              <w:t xml:space="preserve">年全年在第 三方电商平台的营业收入高达营业收入的 </w:t>
            </w:r>
            <w:r>
              <w:rPr>
                <w:rFonts w:ascii="宋体" w:hAnsi="宋体"/>
                <w:color w:val="000000" w:themeColor="text1"/>
                <w:kern w:val="0"/>
                <w:szCs w:val="21"/>
                <w:lang w:bidi="ar"/>
              </w:rPr>
              <w:t>97%</w:t>
            </w:r>
            <w:r>
              <w:rPr>
                <w:rFonts w:ascii="宋体" w:hAnsi="宋体" w:cs="宋体" w:hint="eastAsia"/>
                <w:color w:val="000000" w:themeColor="text1"/>
                <w:kern w:val="0"/>
                <w:szCs w:val="21"/>
                <w:lang w:bidi="ar"/>
              </w:rPr>
              <w:t>，销售渠道过于集中，</w:t>
            </w:r>
          </w:p>
          <w:p w14:paraId="1DF7A8EB" w14:textId="77777777" w:rsidR="00B229A7" w:rsidRDefault="00B229A7">
            <w:pPr>
              <w:spacing w:line="276" w:lineRule="auto"/>
              <w:rPr>
                <w:rFonts w:ascii="宋体" w:hAnsi="宋体"/>
                <w:color w:val="000000" w:themeColor="text1"/>
                <w:kern w:val="0"/>
                <w:szCs w:val="21"/>
              </w:rPr>
            </w:pPr>
          </w:p>
        </w:tc>
      </w:tr>
      <w:tr w:rsidR="00B229A7" w14:paraId="113A1E6D" w14:textId="77777777">
        <w:tc>
          <w:tcPr>
            <w:tcW w:w="1980" w:type="dxa"/>
          </w:tcPr>
          <w:p w14:paraId="508CAC5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3FBBF532" w14:textId="77777777" w:rsidR="00B229A7" w:rsidRDefault="00D7072C">
            <w:pPr>
              <w:widowControl/>
              <w:spacing w:line="276" w:lineRule="auto"/>
              <w:jc w:val="left"/>
              <w:rPr>
                <w:rFonts w:ascii="宋体" w:hAnsi="宋体"/>
                <w:color w:val="000000" w:themeColor="text1"/>
                <w:kern w:val="0"/>
                <w:szCs w:val="21"/>
              </w:rPr>
            </w:pPr>
            <w:r>
              <w:rPr>
                <w:rFonts w:ascii="宋体" w:hAnsi="宋体"/>
                <w:color w:val="000000" w:themeColor="text1"/>
                <w:kern w:val="0"/>
                <w:szCs w:val="21"/>
                <w:lang w:bidi="ar"/>
              </w:rPr>
              <w:t xml:space="preserve">6.1 </w:t>
            </w:r>
            <w:r>
              <w:rPr>
                <w:rFonts w:ascii="宋体" w:hAnsi="宋体" w:cs="黑体"/>
                <w:color w:val="000000" w:themeColor="text1"/>
                <w:kern w:val="0"/>
                <w:szCs w:val="21"/>
                <w:lang w:bidi="ar"/>
              </w:rPr>
              <w:t xml:space="preserve">重大错报风险应对建议 </w:t>
            </w:r>
            <w:r>
              <w:rPr>
                <w:rFonts w:ascii="宋体" w:hAnsi="宋体"/>
                <w:color w:val="000000" w:themeColor="text1"/>
                <w:kern w:val="0"/>
                <w:szCs w:val="21"/>
                <w:lang w:bidi="ar"/>
              </w:rPr>
              <w:t xml:space="preserve">6.1.1 </w:t>
            </w:r>
            <w:r>
              <w:rPr>
                <w:rFonts w:ascii="宋体" w:hAnsi="宋体" w:cs="黑体" w:hint="eastAsia"/>
                <w:color w:val="000000" w:themeColor="text1"/>
                <w:kern w:val="0"/>
                <w:szCs w:val="21"/>
                <w:lang w:bidi="ar"/>
              </w:rPr>
              <w:t xml:space="preserve">有关部门加强对互联网安全性的监督 </w:t>
            </w:r>
            <w:r>
              <w:rPr>
                <w:rFonts w:ascii="宋体" w:hAnsi="宋体" w:cs="宋体" w:hint="eastAsia"/>
                <w:color w:val="000000" w:themeColor="text1"/>
                <w:kern w:val="0"/>
                <w:szCs w:val="21"/>
                <w:lang w:bidi="ar"/>
              </w:rPr>
              <w:t xml:space="preserve">互联网电子商务企业的交易过程完全依靠互联网完成，企业的各项产品信息展示在 互联网上，客户通过在互联网上购物产生交易信息，客户下单的同时各项隐私信息都上 传至互联网，资金通过互联网进入第三方担保平台，货款也通过互联网进入企业账户， 因此互联网安全性对互联网电子商务企业的平稳运营来说非常重要。除了企业自身应当 加强对网络环境安全性的建设外，有关部门也应当加强对互联网安全性的监督，设立专 门的互联网网络警察，对于破坏互联网安全性者适当予以处罚和监禁。 对互联网安全性进行有效监督除了可以维持互联网电子商务企业交易流程的正常 运行，也保证了资金收入安全抵达至企业，还保护了消费者的隐私信息，在一定程度上 降低了企业运营风险，从而使重大错报风险减少。 </w:t>
            </w:r>
            <w:r>
              <w:rPr>
                <w:rFonts w:ascii="宋体" w:hAnsi="宋体"/>
                <w:color w:val="000000" w:themeColor="text1"/>
                <w:kern w:val="0"/>
                <w:szCs w:val="21"/>
                <w:lang w:bidi="ar"/>
              </w:rPr>
              <w:t xml:space="preserve">6.1.2 </w:t>
            </w:r>
            <w:r>
              <w:rPr>
                <w:rFonts w:ascii="宋体" w:hAnsi="宋体" w:cs="黑体" w:hint="eastAsia"/>
                <w:color w:val="000000" w:themeColor="text1"/>
                <w:kern w:val="0"/>
                <w:szCs w:val="21"/>
                <w:lang w:bidi="ar"/>
              </w:rPr>
              <w:t xml:space="preserve">提高企业信息系统安全性 </w:t>
            </w:r>
            <w:r>
              <w:rPr>
                <w:rFonts w:ascii="宋体" w:hAnsi="宋体" w:cs="宋体" w:hint="eastAsia"/>
                <w:color w:val="000000" w:themeColor="text1"/>
                <w:kern w:val="0"/>
                <w:szCs w:val="21"/>
                <w:lang w:bidi="ar"/>
              </w:rPr>
              <w:t xml:space="preserve">企业在信息系统开发过程中应当贯彻因地制宜的方针，聘请行业专家根据企业自身 特点进行信息系统的建设，建立并完善适合企业自身的信息系统，其稳定性和流畅性更 高，与各业务各部门的兼容性也更高，企业自身经营风险降低，对注册会计师来说，重 大错报风险随之降低。 信息系统作为互联网电子商务企业内部高度依赖的系统，其安全性必须作为首要保 障。企业可以对信息系统防御系统进行定期检测、维护和提升，必要时聘请信息系统安 全维护行业的专家重建企业信息系统防御系统，不断更新病毒库和恶意攻击信息，在最 大程度上抵御黑客攻击和病毒干扰。 </w:t>
            </w:r>
            <w:r>
              <w:rPr>
                <w:rFonts w:ascii="宋体" w:hAnsi="宋体"/>
                <w:color w:val="000000" w:themeColor="text1"/>
                <w:kern w:val="0"/>
                <w:szCs w:val="21"/>
                <w:lang w:bidi="ar"/>
              </w:rPr>
              <w:t xml:space="preserve">6.1.3 </w:t>
            </w:r>
            <w:r>
              <w:rPr>
                <w:rFonts w:ascii="宋体" w:hAnsi="宋体" w:cs="黑体"/>
                <w:color w:val="000000" w:themeColor="text1"/>
                <w:kern w:val="0"/>
                <w:szCs w:val="21"/>
                <w:lang w:bidi="ar"/>
              </w:rPr>
              <w:t xml:space="preserve">加强企业内部控制建设 </w:t>
            </w:r>
            <w:r>
              <w:rPr>
                <w:rFonts w:ascii="宋体" w:hAnsi="宋体" w:cs="宋体" w:hint="eastAsia"/>
                <w:color w:val="000000" w:themeColor="text1"/>
                <w:kern w:val="0"/>
                <w:szCs w:val="21"/>
                <w:lang w:bidi="ar"/>
              </w:rPr>
              <w:t>互联网电子商务企业完善和有效的内部控制体系能够保证企业会计数据的真实性 和完整性，在此基础上，审计效率将大大提高，审计风险随之降低。首先，国家应当通 过出台法律法规对电子商务企业内部控制建设进行规范，企业进行内控建设时更有区别 于传统行业的侧重点，注册会计师在对企业内部控制进行测试时也可以有据可依。 其次，企业应当设立风险管理部门，对风险实施全面把控和管理，强化风险意识， 风险管理部门应当包含电子商务专长审计人才，对互联网电子商务企业特有的审计风险 点敏感度较高，可以通过定期培训的方式加强风险管理部门和管理层的风险敏感度，定 期开展业务活动交流会等活动加强各部门工作人员风险意识。企业信息系统作为互联网 电子商务企业的重要组成部分，其内部控制需要根据企业自身特点进行调整和加强，企 业内部控制的设计应当在企业日常运营中逐步调整内部控制和信息系统的匹配度，以适 应企业信息系统的运行，并提</w:t>
            </w:r>
            <w:r>
              <w:rPr>
                <w:rFonts w:ascii="宋体" w:hAnsi="宋体" w:cs="宋体" w:hint="eastAsia"/>
                <w:color w:val="000000" w:themeColor="text1"/>
                <w:kern w:val="0"/>
                <w:szCs w:val="21"/>
                <w:lang w:bidi="ar"/>
              </w:rPr>
              <w:lastRenderedPageBreak/>
              <w:t xml:space="preserve">高内部控制系统的安全性和稳定性，还可以通过对硬件设 施，软件设备进行定期检测来保证内部控制系统安全性。 最后，互联网电子商务企业应当加强对企业数据库的安全性控制，避免由于网络的 开放性导致信息丢失泄露的情况发生。 </w:t>
            </w:r>
            <w:r>
              <w:rPr>
                <w:rFonts w:ascii="宋体" w:hAnsi="宋体"/>
                <w:color w:val="000000" w:themeColor="text1"/>
                <w:kern w:val="0"/>
                <w:szCs w:val="21"/>
                <w:lang w:bidi="ar"/>
              </w:rPr>
              <w:t xml:space="preserve">6.1.4 </w:t>
            </w:r>
            <w:r>
              <w:rPr>
                <w:rFonts w:ascii="宋体" w:hAnsi="宋体" w:cs="黑体" w:hint="eastAsia"/>
                <w:color w:val="000000" w:themeColor="text1"/>
                <w:kern w:val="0"/>
                <w:szCs w:val="21"/>
                <w:lang w:bidi="ar"/>
              </w:rPr>
              <w:t xml:space="preserve">被审计单位完善员工结构 </w:t>
            </w:r>
            <w:r>
              <w:rPr>
                <w:rFonts w:ascii="宋体" w:hAnsi="宋体" w:cs="宋体" w:hint="eastAsia"/>
                <w:color w:val="000000" w:themeColor="text1"/>
                <w:kern w:val="0"/>
                <w:szCs w:val="21"/>
                <w:lang w:bidi="ar"/>
              </w:rPr>
              <w:t>互联网电子商务企业首先要改变传统思想，注重对电子商务专业高端人才的吸纳， 注重企业互电子商务的发展，对于在职员工，企业可以定期开展员工继续教育和互联网 培训工作。对于人才招纳方面，企业可以与外部互联网大数据培训机构建立联合人才引 进机制，通过定期组织开展相关竞赛活动筛选并引进符合企业要求的电子商务高端人 才。对于高学历人才所占比例较少的情况，企业可以多多参加每年的各大高校秋季和春 季校园招聘会，尤其重视对研究生学历人才的吸纳，改善企业员工构成情况，提升企业 综合竞争力</w:t>
            </w:r>
            <w:r>
              <w:rPr>
                <w:rFonts w:ascii="宋体" w:hAnsi="宋体"/>
                <w:color w:val="000000" w:themeColor="text1"/>
                <w:kern w:val="0"/>
                <w:szCs w:val="21"/>
                <w:lang w:bidi="ar"/>
              </w:rPr>
              <w:t xml:space="preserve">6.2 </w:t>
            </w:r>
            <w:r>
              <w:rPr>
                <w:rFonts w:ascii="宋体" w:hAnsi="宋体" w:cs="黑体"/>
                <w:color w:val="000000" w:themeColor="text1"/>
                <w:kern w:val="0"/>
                <w:szCs w:val="21"/>
                <w:lang w:bidi="ar"/>
              </w:rPr>
              <w:t xml:space="preserve">检查风险应对建议 </w:t>
            </w:r>
            <w:r>
              <w:rPr>
                <w:rFonts w:ascii="宋体" w:hAnsi="宋体"/>
                <w:color w:val="000000" w:themeColor="text1"/>
                <w:kern w:val="0"/>
                <w:szCs w:val="21"/>
                <w:lang w:bidi="ar"/>
              </w:rPr>
              <w:t xml:space="preserve">6.2.1 </w:t>
            </w:r>
            <w:r>
              <w:rPr>
                <w:rFonts w:ascii="宋体" w:hAnsi="宋体" w:cs="黑体" w:hint="eastAsia"/>
                <w:color w:val="000000" w:themeColor="text1"/>
                <w:kern w:val="0"/>
                <w:szCs w:val="21"/>
                <w:lang w:bidi="ar"/>
              </w:rPr>
              <w:t xml:space="preserve">完善相关审计法律法规体系 </w:t>
            </w:r>
            <w:r>
              <w:rPr>
                <w:rFonts w:ascii="宋体" w:hAnsi="宋体" w:cs="宋体" w:hint="eastAsia"/>
                <w:color w:val="000000" w:themeColor="text1"/>
                <w:kern w:val="0"/>
                <w:szCs w:val="21"/>
                <w:lang w:bidi="ar"/>
              </w:rPr>
              <w:t xml:space="preserve">法律法规对于各行业的工作具有很好的规范与指导作用，审计工作需要法规准则的 规范以应对审计风险。然而当前对于互联网电子商务企业审计工作起指导作用的法律法 规政策和准则难以做到与时俱进。为了更好的指导审计人员开展对该类企业的审计工 作，有关部门应当将建立健全审计法律法规体系提上日程，对互联网电子商务企业标准 审计程序和审计流程，审计风险点，审计应对等。除此之外，企业内控指引中应当增加 针对互联网电子商务企业的内部控制建设标准，根据企业特点量身定做，以帮助企业运 行稳定，规避风险，这能够在一定程度上降低企业风险，审计人员在进行审计工作时有 准确的参考依据，重大错报风险和审计风险都会降低。 </w:t>
            </w:r>
            <w:r>
              <w:rPr>
                <w:rFonts w:ascii="宋体" w:hAnsi="宋体"/>
                <w:color w:val="000000" w:themeColor="text1"/>
                <w:kern w:val="0"/>
                <w:szCs w:val="21"/>
                <w:lang w:bidi="ar"/>
              </w:rPr>
              <w:t xml:space="preserve">6.2.2 </w:t>
            </w:r>
            <w:r>
              <w:rPr>
                <w:rFonts w:ascii="宋体" w:hAnsi="宋体" w:cs="黑体" w:hint="eastAsia"/>
                <w:color w:val="000000" w:themeColor="text1"/>
                <w:kern w:val="0"/>
                <w:szCs w:val="21"/>
                <w:lang w:bidi="ar"/>
              </w:rPr>
              <w:t xml:space="preserve">根据审计内容改进审计方法 </w:t>
            </w:r>
            <w:r>
              <w:rPr>
                <w:rFonts w:ascii="宋体" w:hAnsi="宋体" w:cs="宋体" w:hint="eastAsia"/>
                <w:color w:val="000000" w:themeColor="text1"/>
                <w:kern w:val="0"/>
                <w:szCs w:val="21"/>
                <w:lang w:bidi="ar"/>
              </w:rPr>
              <w:t>在对互联网电子商务企业进行审计时，注册会计师应当关注电子商务对审计环境的 影响，在了解被审计企业情况时重点关注被审计企业所属类型的企业业务处理流程特点 和经营模式，重点关注被审计企业组织架构及内部控制情况。 由于互联网电子商务企业高度依赖信息系统安全，在审计过程中可以增加对企业信 息系统安全性和电子数据库稳定性的测试，重点审查被审计企业的信息系统授权审批制 度，网络交易环境的稳定性和安全性，业务自动处理流程是否完善，营业收入的确认是 否恰当等方面，以降低互联网电子商务企业的重大错报审计风险。 注册会计师应当对不同经营范围的互联网电子商务企业设计和实施有针对性的审 计程序。详细了解互联网电子商务企业交易流程，对于传统行业和互联网电子商务企业 运营不同之处增加职业敏感度，例如互联网电子商务企业独有的退换货规则可能会造成 多项审计风险点，进行审计工作时注册会计师应当了解企业退货管理相关内部控制制 度，对退货产品质量检测关键控制环节进行控制测试，计算企业各品类产品</w:t>
            </w:r>
            <w:r>
              <w:rPr>
                <w:rFonts w:ascii="宋体" w:hAnsi="宋体" w:cs="宋体" w:hint="eastAsia"/>
                <w:color w:val="000000" w:themeColor="text1"/>
                <w:kern w:val="0"/>
                <w:szCs w:val="21"/>
                <w:lang w:bidi="ar"/>
              </w:rPr>
              <w:lastRenderedPageBreak/>
              <w:t>退货率，分 层对退货产品抽样检测存货质量是否达标，降低检查风险.</w:t>
            </w:r>
            <w:r>
              <w:rPr>
                <w:rFonts w:ascii="宋体" w:hAnsi="宋体" w:cs="黑体"/>
                <w:color w:val="000000" w:themeColor="text1"/>
                <w:kern w:val="0"/>
                <w:szCs w:val="21"/>
                <w:lang w:bidi="ar"/>
              </w:rPr>
              <w:t xml:space="preserve">加强互联网电子商务审计人才的培养 </w:t>
            </w:r>
            <w:r>
              <w:rPr>
                <w:rFonts w:ascii="宋体" w:hAnsi="宋体" w:cs="宋体" w:hint="eastAsia"/>
                <w:color w:val="000000" w:themeColor="text1"/>
                <w:kern w:val="0"/>
                <w:szCs w:val="21"/>
                <w:lang w:bidi="ar"/>
              </w:rPr>
              <w:t xml:space="preserve">对于会计师事务所来说，应当积极调整审计队伍专业构成比例，多招聘和接纳专业 型和复合型审计人才，还应该对事务所老员工进行互联网电子商务企业审计相关业务知 识培训，培训方式力求做到多样化，除了聘请相关审计经验丰富人才进行演讲教学外， 还可以开展事务所与高校合作活动、互联网电子商务企业与事务所合作活动和政府审计 机关与事务所合作活动，从多方面增加会计师事务所审计人员知识储备。会计师事务所 还可以通过增加继续教育的趣味性提高审计人员学习热情，组织开展互联网电子商务企 业审计实务竞赛活动，设置专项人才激励奖以鼓励审计人员自觉自发学习和补充相关审 计知识，以降低在对互联网电子商务企业的审计过程中的检查风险。 </w:t>
            </w:r>
          </w:p>
          <w:p w14:paraId="28BA6179" w14:textId="77777777" w:rsidR="00B229A7" w:rsidRDefault="00B229A7">
            <w:pPr>
              <w:tabs>
                <w:tab w:val="left" w:pos="2160"/>
              </w:tabs>
              <w:spacing w:line="276" w:lineRule="auto"/>
              <w:rPr>
                <w:rStyle w:val="11"/>
                <w:rFonts w:ascii="宋体" w:hAnsi="宋体"/>
                <w:i w:val="0"/>
                <w:iCs w:val="0"/>
                <w:color w:val="000000" w:themeColor="text1"/>
                <w:kern w:val="0"/>
                <w:szCs w:val="21"/>
              </w:rPr>
            </w:pPr>
          </w:p>
        </w:tc>
      </w:tr>
    </w:tbl>
    <w:p w14:paraId="7DADE94D" w14:textId="77777777" w:rsidR="00B229A7" w:rsidRDefault="00B229A7">
      <w:pPr>
        <w:spacing w:line="276" w:lineRule="auto"/>
        <w:rPr>
          <w:rFonts w:ascii="宋体" w:hAnsi="宋体"/>
          <w:color w:val="000000" w:themeColor="text1"/>
          <w:szCs w:val="21"/>
        </w:rPr>
      </w:pPr>
    </w:p>
    <w:p w14:paraId="13DC2789" w14:textId="77777777" w:rsidR="00B229A7" w:rsidRDefault="00D7072C">
      <w:pPr>
        <w:pStyle w:val="1"/>
      </w:pPr>
      <w:bookmarkStart w:id="176" w:name="_Toc104812625"/>
      <w:bookmarkStart w:id="177" w:name="_Toc104812346"/>
      <w:bookmarkStart w:id="178" w:name="_Toc104812527"/>
      <w:r>
        <w:rPr>
          <w:rFonts w:hint="eastAsia"/>
        </w:rPr>
        <w:t>4</w:t>
      </w:r>
      <w:r>
        <w:t>8</w:t>
      </w:r>
      <w:r>
        <w:rPr>
          <w:rFonts w:hint="eastAsia"/>
        </w:rPr>
        <w:t>立信审计生意宝</w:t>
      </w:r>
      <w:bookmarkEnd w:id="176"/>
      <w:bookmarkEnd w:id="177"/>
      <w:bookmarkEnd w:id="178"/>
    </w:p>
    <w:tbl>
      <w:tblPr>
        <w:tblStyle w:val="a4"/>
        <w:tblW w:w="8296" w:type="dxa"/>
        <w:tblLayout w:type="fixed"/>
        <w:tblLook w:val="04A0" w:firstRow="1" w:lastRow="0" w:firstColumn="1" w:lastColumn="0" w:noHBand="0" w:noVBand="1"/>
      </w:tblPr>
      <w:tblGrid>
        <w:gridCol w:w="1980"/>
        <w:gridCol w:w="6316"/>
      </w:tblGrid>
      <w:tr w:rsidR="00B229A7" w14:paraId="5A4AC4B0" w14:textId="77777777">
        <w:tc>
          <w:tcPr>
            <w:tcW w:w="1980" w:type="dxa"/>
          </w:tcPr>
          <w:p w14:paraId="7FE5704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20117F3B" w14:textId="1BC750EA"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w:t>
            </w:r>
            <w:r>
              <w:rPr>
                <w:rFonts w:ascii="宋体" w:hAnsi="宋体"/>
                <w:color w:val="000000" w:themeColor="text1"/>
                <w:kern w:val="0"/>
                <w:szCs w:val="21"/>
              </w:rPr>
              <w:t>21</w:t>
            </w:r>
          </w:p>
        </w:tc>
      </w:tr>
      <w:tr w:rsidR="00B229A7" w14:paraId="1F2AE6CC" w14:textId="77777777">
        <w:tc>
          <w:tcPr>
            <w:tcW w:w="1980" w:type="dxa"/>
          </w:tcPr>
          <w:p w14:paraId="01686E0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1E50DC9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电子商务</w:t>
            </w:r>
          </w:p>
        </w:tc>
      </w:tr>
      <w:tr w:rsidR="00B229A7" w14:paraId="78550121" w14:textId="77777777">
        <w:tc>
          <w:tcPr>
            <w:tcW w:w="1980" w:type="dxa"/>
          </w:tcPr>
          <w:p w14:paraId="4BE4D49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24BCC16C"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2016</w:t>
            </w:r>
          </w:p>
        </w:tc>
      </w:tr>
      <w:tr w:rsidR="00B229A7" w14:paraId="214B3DF5" w14:textId="77777777">
        <w:tc>
          <w:tcPr>
            <w:tcW w:w="1980" w:type="dxa"/>
          </w:tcPr>
          <w:p w14:paraId="7019585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175E8CC6"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浙江网盛生意宝股份有限公司</w:t>
            </w:r>
          </w:p>
        </w:tc>
      </w:tr>
      <w:tr w:rsidR="00B229A7" w14:paraId="09E94B87" w14:textId="77777777">
        <w:tc>
          <w:tcPr>
            <w:tcW w:w="1980" w:type="dxa"/>
          </w:tcPr>
          <w:p w14:paraId="5E94920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04B409D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互联网信息服务、电子商务和企业应用软件开发</w:t>
            </w:r>
          </w:p>
        </w:tc>
      </w:tr>
      <w:tr w:rsidR="00B229A7" w14:paraId="44C9EE2B" w14:textId="77777777">
        <w:tc>
          <w:tcPr>
            <w:tcW w:w="1980" w:type="dxa"/>
          </w:tcPr>
          <w:p w14:paraId="56034126"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企业单位案情描述</w:t>
            </w:r>
          </w:p>
        </w:tc>
        <w:tc>
          <w:tcPr>
            <w:tcW w:w="6316" w:type="dxa"/>
          </w:tcPr>
          <w:p w14:paraId="55E7371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2239DAA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浙江网盛生意宝股份有限公司（原浙江网盛科技股份有限公司）是一家专业从事互联网信息服务、电子商务和企业应用软件开发的高科技企业，是国内最大的垂直专业网站开发运营商，国内专业B2B电子商务标志性企业。2006年12月15日，网盛科技在深交所正式挂牌上市（股票代码：002095），成为“国内互联网第一股”，并创造了“A股神话”。 上市之后，网盛生意宝积极拓展电子商务新领域，独创了“小门户+联盟”的电子商务新发展模式，成为中国电子商务发展的新航标。</w:t>
            </w:r>
          </w:p>
          <w:p w14:paraId="20861C53"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53F965F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目前 B2B 电商平台主要分为综合 B2B 平台和垂直 B2B 平台，浙江网盛生意宝股 份有限公司（A 股简称：生意宝，代码：002095）以化工、纺织等专业网站起家，逐 步发展成为集信息流、物流、资金流为一体的综合服务商，以该公司为例研究电子商 务企业的审计风险具有重要意义。 在公布的报告期内，2017 年公司实现营业总收</w:t>
            </w:r>
            <w:r>
              <w:rPr>
                <w:rFonts w:ascii="宋体" w:hAnsi="宋体" w:hint="eastAsia"/>
                <w:color w:val="000000" w:themeColor="text1"/>
                <w:kern w:val="0"/>
                <w:szCs w:val="21"/>
              </w:rPr>
              <w:lastRenderedPageBreak/>
              <w:t xml:space="preserve">入 361 134 125.06 元，较 2016 年 度上升 11.63%。公司实现净利润 19 168 958.34 元，较 2016 年度增长 51.90%。公司 主要业务包括网络基础服务、网络信息推广服务、广告发布服务、生意通电子商务服 务、化工贸易、融资担保以及展会服务。其盈利模式如下： （1）在线市场收入 公司旗下的 B2B 交易平台——网盛大宗交易平台为企业传统销售在线化和金融 化提供解决方案。通过向企业提供私有交易网页建设服务，推动企业销售在线化战略， 企业私有交易平台获得了客户和市场的广泛认可，公司的服务费收入也逐年增加， 2017 年为 117 239 172.61 元，较 2016 年增加了 25 015 597.76 元。 （2）网上直销收入 公司创建的“生意宝”网站，从事综合电子商务运营。通过与上下游企业进行合 作形成产业链，通过供需信息的交流，企业能以更低的成本获取生产资料，在商品销 售方面的渠道也更加广阔，2017 年销售本公司化工产品的收入占总收入的 57.97%。 （3）其他收入 公司旗下的网盛融资服务平台协同多家银行陆续推出针对中小企业基于供应链 的在线融资产品，实现了金融产品的增值。公司旗下的数据服务商生意社，对包含能 源、化工、塑料等大宗商品进行追踪分析，并发布宏观指数、各行业指数、商品指数。 </w:t>
            </w:r>
          </w:p>
          <w:p w14:paraId="21C93EA0"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407432B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企业了解被审计单位及其环境主要分为六个方面：了解行业状况和法律及监管环 境、被审计单位的性质、对会计政策的选择和运用、目标战略以及相关经营风险、对 财务业绩的衡量和评价、内部控制。在立信审计生意宝的过程中，笔者认为在外部环 境中较为重要的是法律监管环境、行业状况和企业的经营风险，具体表现为，电子商 务相关的审计法规不完善、与价值链上的企业联系更加密切、对利润的追求更高、面 临较高的信贷风险和信用风险。 3.2.1 电子商务相关法规不完善 随着国家对互联网行业的重视，依托于互联网技术的电子商务行业飞速发展，很 多传统企业转型为 B2B 模式，电子商务行业竞争日益激烈，恶性竞争、信息安全等 问题也大量涌现。电子商务相关法规不完善表现在两个方面，一是目前法律体系中与电子商务企业的业务相关的规定不全面，如涉及电子商务争议的解决、电子商务系统 安全、电子签名的法律效力等问题没有明确的规定，虽然 2016 年颁布了《中华人民 共和国电子商务法（草案）》，但内容比较抽象，对企业实际经营的约束力不大，仍 需继续完善。二是在电子商务企业的审计方面，审计人员可以参考的标准不明确，《中 国注册会计师审计准则第 1633 号——电子商务对财务报表审计的影响》仅要求注册 会计师多加关注企业电子商务业务对审计风险的影响，未对注册会计师审计电子商务 财务数据制定具体的标</w:t>
            </w:r>
            <w:r>
              <w:rPr>
                <w:rFonts w:ascii="宋体" w:hAnsi="宋体" w:hint="eastAsia"/>
                <w:color w:val="000000" w:themeColor="text1"/>
                <w:kern w:val="0"/>
                <w:szCs w:val="21"/>
              </w:rPr>
              <w:lastRenderedPageBreak/>
              <w:t>准和依据，这导致了许多新的困难。 目前电子商务审计法规的缺失一方面在于信息系统审计需要更加具体的指引，对 电子商务企业信息系统的审计是制定进一步的审计计划的基础，电子商务企业业务处 理的自动化程度高，且依赖于信息系统的可靠性，审计人员在审计交易的真实性、验 证会计数据的可靠性、检查信息系统的安全性时，需要具体的规范指引，才能实施更 有针对性的审计程序，获取更多审计证据。明确了审计人员的权责界限，才能降低审 计风险。另一方面在于电子信息法规方面，如对隐私权的保护、电子合同及电子签名 有效性的验证、电子文件传递的及时性等，传统的审计准则对于寻找隐蔽的审计线索 已经不适用，应该结合我国信息技术发展的现实状况加以改进。 3.2.2 企业内外部环境更加复杂 2017 年是中国 B2B 行业稳步发展的一年，越来越多的电商平台向 B2B 3.0 模式 进化，客户粘性①不断加强，交付闭环逐渐形成，盈利模式多元化。互联网继续以不 可逆转的态势深入到各行业，电子商务类企业面临的内外部环境更加复杂。 （1）与产业链上的企业联系紧密 生意宝致力于打造“中小企业信息服务”产业链，将线上网络基础、资讯、数据、 金融、交易，线下会展、贸易等服务有机结合，提升公司服务深度及广度。在扩大规 模和增加服务内容的过程中，生意宝与上下游企业联系更加紧密。如表 3-2 所示，我 国电子商务企业的商业模式众多，生意宝是“小门户+联盟”类 B2B 企业的典型代表。 公司拥有并经营中国化工网、全球化工网、中国纺织网等专业网站，销售化工类 产品，并为众多企业提供交易平台和融资渠道。企业的核心竞争力是提升中小企业间 信息化程度，有效的整合行业资源。客户终身价值带来的利润比其在短时间内进行一 两次大规模交易所贡献的盈利更多。在审计过程中，一方面对生意宝的投资活动、交 易活动合理性的分析要考虑其发展战略，对整合产业链而产生的投入进行合理估计， 另一方面对处于同一价值链上的企业，要考虑其潜在能力，如果它们经营不景气，会 产生许多连锁反应，如货款不能及时收回、欠款不能按时偿付等。 （2）企业利润率波动大 如图 3-1 所示，近五年中国 B2B 电商营收呈上升趋势，2017 年营收规模为 350 亿元，同比增长 34.6%。更多有潜力的年轻企业转型为 B2B 模式，传统 B2B 巨头企 业则不断深化服务以维护自身的地位，电子商务行业竞争激烈。 3.2.3 面临信贷风险和信用风险 生意宝的业务既包括化工产品的销售又包括为中小企业提供交易平台，后来还增 加了供应链金融服务，企业既面临赊销客户带来的信用风险又包括融资的中小企业的 信贷风险。 （1）提供融资服务面临信贷风险 生意宝公司从 2014 年起开始建设互联网融资服务平台——网盛融资，2015 年正 式运营，该平台协同银行、担保公司</w:t>
            </w:r>
            <w:r>
              <w:rPr>
                <w:rFonts w:ascii="宋体" w:hAnsi="宋体" w:hint="eastAsia"/>
                <w:color w:val="000000" w:themeColor="text1"/>
                <w:kern w:val="0"/>
                <w:szCs w:val="21"/>
              </w:rPr>
              <w:lastRenderedPageBreak/>
              <w:t xml:space="preserve">推出了针对中小企业的在线融资产品，虽然对公 司在线交易有推动作用，但也使公司承担了较大的信贷风险。当前商业银行加紧对中 小企业贷款审核，中小企业贷款难度增加，经营压力增加。而生意宝公司致力于发展 成为集信息流、物流、资金流为一体的综合服务商，推出了针对中小企业基于供应链 的在线融资产品。目的是解决行业内中小企业融资难、融资贵、融资慢的问题。如图 3-3 所示，生意宝通过向银行存出保证金提供互联网金融服务，通过审核的中小企业 可以在网盛融资平台上向银行贷款，进行融资采购和融资销售。 </w:t>
            </w:r>
          </w:p>
        </w:tc>
      </w:tr>
      <w:tr w:rsidR="00B229A7" w14:paraId="60AB4CFF" w14:textId="77777777">
        <w:tc>
          <w:tcPr>
            <w:tcW w:w="1980" w:type="dxa"/>
          </w:tcPr>
          <w:p w14:paraId="11C2CC1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791CCB2C"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 xml:space="preserve">首先，审计环境方面的风险有法律法规不完善、企业内外部 经济环境复杂、面临信用风险和信贷风险，事务所应该通过实际工作经验为审计法规 的制定建言献策，对于企业所处的经济环境，可以通过了解行业趋势和监督企业的交 易活动来了解经济环境对企业的影响，分析整体层面的重大错报风险，并结合企业的 经营战略分析融资业务的信贷风险，结合各报表科目评估客户信用风险。其次，审计 对象即企业自身由于业务处理自动化程度高、审计线索更加隐蔽，信息系统的可靠性 对审计风险有较大影响，企业主营业务收入方面的风险也较高，因此审计人员应该实 施更有针对性的审计程序，改进数据搜集方法，关注信息处理流程，测试系统的安全 性和信息处理的可靠性，对于收入风险，要结合外部审计证据评估收入的合理性和真 实性。最后，审计主体方面的风险是审计人员缺乏电子商务知识和信息系统审计能力， 事务所也没有专业化的审计团队，审计软件的功能有待完善，因此，应该加强对审计 人员的培养，提高事务所的独立性和专业胜任能力，开发实用的审计软件。 </w:t>
            </w:r>
          </w:p>
        </w:tc>
      </w:tr>
    </w:tbl>
    <w:p w14:paraId="26B5AFC6" w14:textId="77777777" w:rsidR="00B229A7" w:rsidRDefault="00B229A7">
      <w:pPr>
        <w:spacing w:line="276" w:lineRule="auto"/>
        <w:rPr>
          <w:rFonts w:ascii="宋体" w:hAnsi="宋体"/>
          <w:color w:val="000000" w:themeColor="text1"/>
          <w:szCs w:val="21"/>
        </w:rPr>
      </w:pPr>
    </w:p>
    <w:p w14:paraId="2325104E" w14:textId="77777777" w:rsidR="00B229A7" w:rsidRDefault="00D7072C">
      <w:pPr>
        <w:pStyle w:val="1"/>
      </w:pPr>
      <w:bookmarkStart w:id="179" w:name="_Toc104812626"/>
      <w:bookmarkStart w:id="180" w:name="_Toc104812347"/>
      <w:bookmarkStart w:id="181" w:name="_Toc104812528"/>
      <w:r>
        <w:rPr>
          <w:rFonts w:hint="eastAsia"/>
        </w:rPr>
        <w:t>4</w:t>
      </w:r>
      <w:r>
        <w:t>9</w:t>
      </w:r>
      <w:r>
        <w:rPr>
          <w:rFonts w:hint="eastAsia"/>
        </w:rPr>
        <w:t>傲基电商</w:t>
      </w:r>
      <w:bookmarkEnd w:id="179"/>
      <w:bookmarkEnd w:id="180"/>
      <w:bookmarkEnd w:id="181"/>
    </w:p>
    <w:tbl>
      <w:tblPr>
        <w:tblStyle w:val="a4"/>
        <w:tblW w:w="8296" w:type="dxa"/>
        <w:tblLayout w:type="fixed"/>
        <w:tblLook w:val="04A0" w:firstRow="1" w:lastRow="0" w:firstColumn="1" w:lastColumn="0" w:noHBand="0" w:noVBand="1"/>
      </w:tblPr>
      <w:tblGrid>
        <w:gridCol w:w="1980"/>
        <w:gridCol w:w="6316"/>
      </w:tblGrid>
      <w:tr w:rsidR="00B229A7" w14:paraId="32F03889" w14:textId="77777777">
        <w:tc>
          <w:tcPr>
            <w:tcW w:w="1980" w:type="dxa"/>
          </w:tcPr>
          <w:p w14:paraId="5FEF3DD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7824B2E7" w14:textId="4B61116F"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w:t>
            </w:r>
            <w:r>
              <w:rPr>
                <w:rFonts w:ascii="宋体" w:hAnsi="宋体"/>
                <w:color w:val="000000" w:themeColor="text1"/>
                <w:kern w:val="0"/>
                <w:szCs w:val="21"/>
              </w:rPr>
              <w:t>1122</w:t>
            </w:r>
          </w:p>
        </w:tc>
      </w:tr>
      <w:tr w:rsidR="00B229A7" w14:paraId="33091BEC" w14:textId="77777777">
        <w:tc>
          <w:tcPr>
            <w:tcW w:w="1980" w:type="dxa"/>
          </w:tcPr>
          <w:p w14:paraId="44B5B9E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0AA9E6D4"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11互联网IT类</w:t>
            </w:r>
          </w:p>
        </w:tc>
      </w:tr>
      <w:tr w:rsidR="00B229A7" w14:paraId="53886620" w14:textId="77777777">
        <w:tc>
          <w:tcPr>
            <w:tcW w:w="1980" w:type="dxa"/>
          </w:tcPr>
          <w:p w14:paraId="7F80FC7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1261F889"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2016</w:t>
            </w:r>
          </w:p>
        </w:tc>
      </w:tr>
      <w:tr w:rsidR="00B229A7" w14:paraId="48EC06ED" w14:textId="77777777">
        <w:tc>
          <w:tcPr>
            <w:tcW w:w="1980" w:type="dxa"/>
          </w:tcPr>
          <w:p w14:paraId="32C2C8F8"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75A4A8C8"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傲基科技股份有限公司</w:t>
            </w:r>
          </w:p>
        </w:tc>
      </w:tr>
      <w:tr w:rsidR="00B229A7" w14:paraId="33EE8052" w14:textId="77777777">
        <w:tc>
          <w:tcPr>
            <w:tcW w:w="1980" w:type="dxa"/>
          </w:tcPr>
          <w:p w14:paraId="21D29F1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282F26C1"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经营电子商务（涉及前置性行政许可的，须取得前置性行政许可文件后方可经营）；计算机软硬件、电子产品的技术开发、购销；信息咨询（不含职业介绍及其它限制项目）； 网络技术开发；网页设计；国内贸易（法律、行政法规、国务院决定规定在登记前须经批准的项目除外）；货物及技术进出口（法律、行政法规、国务院决</w:t>
            </w:r>
            <w:r>
              <w:rPr>
                <w:rFonts w:ascii="宋体" w:hAnsi="宋体" w:hint="eastAsia"/>
                <w:color w:val="000000" w:themeColor="text1"/>
                <w:kern w:val="0"/>
                <w:szCs w:val="21"/>
              </w:rPr>
              <w:lastRenderedPageBreak/>
              <w:t>定禁止的项目除外，限制的项目须取得许可后方可经营）</w:t>
            </w:r>
          </w:p>
        </w:tc>
      </w:tr>
      <w:tr w:rsidR="00B229A7" w14:paraId="1CFF1A80" w14:textId="77777777">
        <w:tc>
          <w:tcPr>
            <w:tcW w:w="1980" w:type="dxa"/>
          </w:tcPr>
          <w:p w14:paraId="5FBDAB3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企业单位案情描述</w:t>
            </w:r>
          </w:p>
        </w:tc>
        <w:tc>
          <w:tcPr>
            <w:tcW w:w="6316" w:type="dxa"/>
          </w:tcPr>
          <w:p w14:paraId="0A5D7C1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F6EAA3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公司建立了三个事业部，品牌事业部（自有品牌事业部）、综合品类事业 部及网站事业部（综合品类事业部及网站事业部）。公司自有品牌产品主要采用“自主品牌研发设计”加上“外协加工生产” 模式，根据对各个跨境电子商务销售平台的数据分析，持续挖掘与海外市场需 求匹配的产品。通过产品研发、工业设计、品控等团队，进行自主设计、研发， 实现产品的功能创新和品质优化；通过参股或协议等方式，管理、整合优质供 应商，生产高品质产品；最终由品牌推广团队通过亚马逊平台，向境外个人买 家直接销售自有品牌产品。 公司综合品类事业部致力于结合中国产品制造业的国际竞争优势，运用自 建的 IT 系统，采取“泛供应链，多渠道，多品类，多仓储”的经营方式，将 中国制造通过亚马逊、e-Bay、Wish、速卖通等第三方购物平台渠道，采用国内 跨境包裹发货或海外本地发货的两种方式，将产品直接销售给境外个人买家。 </w:t>
            </w:r>
          </w:p>
          <w:p w14:paraId="1385DA3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1111A46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交易过程中甚至交易完成后发生纠纷的风险，傲基电商为跨境出口零售电 商，以网上零售的方式将产品销售给终端客户，直接面对海外终端消费者。在 线 B2C 交易中，难免会出现由于双方对于商品质量、物流运输、售后服务等方面出现意见不统一而导致争执与纠纷的产生。交易纠纷的产生一方面会给电商 带来额外的成本支出，另一方面还可能直接影响到平台及电商的口碑。若将来 公司出现数量较多或严重的交易纠纷，将可能会对公司的口碑及盈利能力产生 不利影响。 汇率波动的风险。2013 年度，人民币对美元等主要币种汇率整体呈单边上 升的局面，2014 年进入双向波动“新常态”。若人民币持续升值，将影响傲基 电商商品的销售价格，削弱商品在国际市场的竞争力，同时还将产生 2013 年、 2014 年、2015 年 1-3 月傲基电商汇兑损益金额分别为 366.29 万元、473.41 万 元和 170.16 万元。以后如果人民币对美元等主要币种升值趋势加大，则公司将 面临人民币汇率波动产生汇兑损失。 税收身份发生变化后带来税收优惠不确定的风险。傲基电商是税务局认证 的高新技术企业，按我国现行税法规定，高新技术企业可以享受 15%的企业所 得税优惠税率。一旦高新技术企业资质证书到期后，若公司没有通过高新技术 企业资质复审或者国家关于税收优惠法规发生变化，公司可能无法继续享受税 收优惠，将对公司的盈利能力产生不利影响，加重公司的税收成本。马来西亚 正在准备向跨境电子商务征收消费税、俄罗斯也准备对速卖通等跨境电子商务 征 15.25%的增值税。 傲基为了融资与机构投资者签订了对赌协议，关于对赌有太多的企</w:t>
            </w:r>
            <w:r>
              <w:rPr>
                <w:rFonts w:ascii="宋体" w:hAnsi="宋体" w:hint="eastAsia"/>
                <w:color w:val="000000" w:themeColor="text1"/>
                <w:kern w:val="0"/>
                <w:szCs w:val="21"/>
              </w:rPr>
              <w:lastRenderedPageBreak/>
              <w:t>业因为 这个问题而丧失了企业的所有权，一旦 2016 年与 2017 年经审计的净利润之和 低于人民币 3.75 亿元， 2017 年净利润不低于人民币 2.5 亿元或者傲基 2018 年 12 月 31 日前并没有申报首次公开发行股票并上市或者被上市公司收购的话， 就会触动股权回购，这无疑对企业的可以持续经营能力是巨大的挑战。2016 年 度经审计的净利润为 128695770.63 元，若无法达到对赌协议的要求，对持续经 营将会造成很大的风险.</w:t>
            </w:r>
          </w:p>
          <w:p w14:paraId="6CDD129B"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781FA291"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0B1AB394" wp14:editId="1A67DA62">
                  <wp:extent cx="3871595" cy="2623185"/>
                  <wp:effectExtent l="0" t="0" r="1905" b="5715"/>
                  <wp:docPr id="29" name="图片 2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表格&#10;&#10;描述已自动生成"/>
                          <pic:cNvPicPr>
                            <a:picLocks noChangeAspect="1"/>
                          </pic:cNvPicPr>
                        </pic:nvPicPr>
                        <pic:blipFill>
                          <a:blip r:embed="rId44"/>
                          <a:stretch>
                            <a:fillRect/>
                          </a:stretch>
                        </pic:blipFill>
                        <pic:spPr>
                          <a:xfrm>
                            <a:off x="0" y="0"/>
                            <a:ext cx="3871595" cy="2623185"/>
                          </a:xfrm>
                          <a:prstGeom prst="rect">
                            <a:avLst/>
                          </a:prstGeom>
                          <a:noFill/>
                          <a:ln>
                            <a:noFill/>
                          </a:ln>
                        </pic:spPr>
                      </pic:pic>
                    </a:graphicData>
                  </a:graphic>
                </wp:inline>
              </w:drawing>
            </w:r>
          </w:p>
          <w:p w14:paraId="70AC81FE"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1D319C1F" wp14:editId="133F25C9">
                  <wp:extent cx="3869055" cy="1290955"/>
                  <wp:effectExtent l="0" t="0" r="4445" b="4445"/>
                  <wp:docPr id="30" name="图片 30"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表格&#10;&#10;描述已自动生成"/>
                          <pic:cNvPicPr>
                            <a:picLocks noChangeAspect="1"/>
                          </pic:cNvPicPr>
                        </pic:nvPicPr>
                        <pic:blipFill>
                          <a:blip r:embed="rId45"/>
                          <a:stretch>
                            <a:fillRect/>
                          </a:stretch>
                        </pic:blipFill>
                        <pic:spPr>
                          <a:xfrm>
                            <a:off x="0" y="0"/>
                            <a:ext cx="3869055" cy="1290955"/>
                          </a:xfrm>
                          <a:prstGeom prst="rect">
                            <a:avLst/>
                          </a:prstGeom>
                          <a:noFill/>
                          <a:ln>
                            <a:noFill/>
                          </a:ln>
                        </pic:spPr>
                      </pic:pic>
                    </a:graphicData>
                  </a:graphic>
                </wp:inline>
              </w:drawing>
            </w:r>
          </w:p>
          <w:p w14:paraId="2503EE14" w14:textId="77777777" w:rsidR="00B229A7" w:rsidRDefault="00D7072C">
            <w:pPr>
              <w:spacing w:line="276" w:lineRule="auto"/>
              <w:rPr>
                <w:rFonts w:ascii="宋体" w:hAnsi="宋体"/>
                <w:color w:val="000000" w:themeColor="text1"/>
                <w:kern w:val="0"/>
                <w:szCs w:val="21"/>
              </w:rPr>
            </w:pPr>
            <w:r>
              <w:rPr>
                <w:rFonts w:ascii="宋体" w:hAnsi="宋体"/>
                <w:noProof/>
                <w:color w:val="000000" w:themeColor="text1"/>
                <w:kern w:val="0"/>
                <w:szCs w:val="21"/>
              </w:rPr>
              <w:drawing>
                <wp:inline distT="0" distB="0" distL="114300" distR="114300" wp14:anchorId="78993F4C" wp14:editId="2A1E380D">
                  <wp:extent cx="3870325" cy="2051685"/>
                  <wp:effectExtent l="0" t="0" r="3175" b="5715"/>
                  <wp:docPr id="31" name="图片 3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示&#10;&#10;描述已自动生成"/>
                          <pic:cNvPicPr>
                            <a:picLocks noChangeAspect="1"/>
                          </pic:cNvPicPr>
                        </pic:nvPicPr>
                        <pic:blipFill>
                          <a:blip r:embed="rId46"/>
                          <a:stretch>
                            <a:fillRect/>
                          </a:stretch>
                        </pic:blipFill>
                        <pic:spPr>
                          <a:xfrm>
                            <a:off x="0" y="0"/>
                            <a:ext cx="3870325" cy="2051685"/>
                          </a:xfrm>
                          <a:prstGeom prst="rect">
                            <a:avLst/>
                          </a:prstGeom>
                          <a:noFill/>
                          <a:ln>
                            <a:noFill/>
                          </a:ln>
                        </pic:spPr>
                      </pic:pic>
                    </a:graphicData>
                  </a:graphic>
                </wp:inline>
              </w:drawing>
            </w:r>
          </w:p>
          <w:p w14:paraId="22D13209" w14:textId="77777777" w:rsidR="00B229A7" w:rsidRDefault="00B229A7">
            <w:pPr>
              <w:spacing w:line="276" w:lineRule="auto"/>
              <w:rPr>
                <w:rFonts w:ascii="宋体" w:hAnsi="宋体"/>
                <w:color w:val="000000" w:themeColor="text1"/>
                <w:kern w:val="0"/>
                <w:szCs w:val="21"/>
              </w:rPr>
            </w:pPr>
          </w:p>
          <w:p w14:paraId="4E7942A9" w14:textId="77777777" w:rsidR="00B229A7" w:rsidRDefault="00B229A7">
            <w:pPr>
              <w:spacing w:line="276" w:lineRule="auto"/>
              <w:rPr>
                <w:rFonts w:ascii="宋体" w:hAnsi="宋体"/>
                <w:color w:val="000000" w:themeColor="text1"/>
                <w:kern w:val="0"/>
                <w:szCs w:val="21"/>
              </w:rPr>
            </w:pPr>
          </w:p>
        </w:tc>
      </w:tr>
      <w:tr w:rsidR="00B229A7" w14:paraId="33969D4E" w14:textId="77777777">
        <w:tc>
          <w:tcPr>
            <w:tcW w:w="1980" w:type="dxa"/>
          </w:tcPr>
          <w:p w14:paraId="01A8507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31235592"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大华会计师事务所</w:t>
            </w:r>
          </w:p>
        </w:tc>
      </w:tr>
      <w:tr w:rsidR="00B229A7" w14:paraId="663B8110" w14:textId="77777777">
        <w:tc>
          <w:tcPr>
            <w:tcW w:w="1980" w:type="dxa"/>
          </w:tcPr>
          <w:p w14:paraId="341D817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6AFC259A"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Style w:val="11"/>
                <w:rFonts w:ascii="宋体" w:hAnsi="宋体" w:hint="eastAsia"/>
                <w:i w:val="0"/>
                <w:iCs w:val="0"/>
                <w:color w:val="000000" w:themeColor="text1"/>
                <w:kern w:val="0"/>
                <w:szCs w:val="21"/>
              </w:rPr>
              <w:t>从企业的发展阶段来看，目前我国跨境电子商务大多 还处在扩张期，这也意味着这些企业依然还在初级阶段向成熟期的路上探索。 这样的背景下，呼唤一整套标准而严谨的相关法律法规就很有必要。同时这些 领跑外贸发展的新巨头的不断涌现，审计业务的不断增多也不得不逼着审计人 员思考如何规避自身的审计风险，那么一套规范而实用的电商审计风险分析的 标准也是题中之义了。</w:t>
            </w:r>
          </w:p>
        </w:tc>
      </w:tr>
      <w:tr w:rsidR="00B229A7" w14:paraId="0D591122" w14:textId="77777777">
        <w:tc>
          <w:tcPr>
            <w:tcW w:w="1980" w:type="dxa"/>
          </w:tcPr>
          <w:p w14:paraId="13D32BA4"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关联</w:t>
            </w:r>
            <w:r>
              <w:rPr>
                <w:rFonts w:ascii="宋体" w:hAnsi="宋体"/>
                <w:color w:val="000000" w:themeColor="text1"/>
                <w:kern w:val="0"/>
                <w:szCs w:val="21"/>
              </w:rPr>
              <w:t>的审计术语与审计方法</w:t>
            </w:r>
          </w:p>
        </w:tc>
        <w:tc>
          <w:tcPr>
            <w:tcW w:w="6316" w:type="dxa"/>
          </w:tcPr>
          <w:p w14:paraId="273DEA7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1．完善跨境电子商务相关制度 我们之所以自由是因为我们在法律的保护下，一个行业能够没有后顾之忧 的朝前发展必然有健全的法律制度托底，不然相关企业基本上每天要疲于处理 各种纠纷，还谈何效率与进步呢？在社会活动中，法律法规是我们发生各种行 为时所需要时刻提醒自己需要遵守的，它们时维持社会秩序的基石。可能时因 为跨境电子商务目前还是一种比较新的贸易模式，民商法相关拟定人员对这个 贸易主体近年来才给予了特别的关注，通过四象限分析法我们不难得出该行业 是经济发展中的明日之子，正因为它还在逐步的发展，所以配套的法律法规都 还不是很健全，有些纠纷无法进行调节是很有可能就需要法律的公正裁决，但 是通过在北大法宝上查询相关案例后发现，很多案例在引用法律条文时都是知 识产权法较多，却没有说来制定一些专门解决这种线上交易的法律条文。当然 很多法律专家认为，法律不在多，而是在于能够作为解决现实生活中纠纷的依 据，但是因为跨境电商的特殊性，首先它的交易涉及到国家与国家之间，其次 再时消费者与企业之间，就算以前的法律条文能够很好的解决这些现实纠纷， 但是也需要相关的人员来做司法解释，引导法律人员更好的解决问题。在这方 面，我们可借鉴一些电子商务较发达，立法较完善的国家，来确保网络安全、 电子商务交易的安全，规范电子商务交易，保护商家和消费者的共同利益。在 审计方面，可以根据具体审计实务，和审计电子商务企业时遇到的具体问题总 结出具有实务指导性的相关准则。 2．重视信息安全审计和信用评估 跨境电子商务开展业务离不开“云计算、物联网、大数据，互联网+、智能 化”等新技术的应用，这些应用共同点是以大量信息为载体，使人们高效便捷 快速获取信息的同时也会产生新的问题：信息安全问题（例如：内网泄露、黑 客攻击、病毒、非法使用等）。 信息安全关系着社会中的每一个成员，更不用说是依赖信息生存发展的跨 境电子商务企业。这时，一个独立于信息系统管理部门的、来评价信息系统安 全性的机构就显得尤为重要了，傲基没有设置独立的内部审计机构也就意味着 信息安全潜在风险较高，其他中小跨境电子商务风险更甚。于是，注册会计师 在进行审计时尤其需要重视信息安全审计。 系统运行的数据和日志可以</w:t>
            </w:r>
            <w:r>
              <w:rPr>
                <w:rFonts w:ascii="宋体" w:hAnsi="宋体" w:hint="eastAsia"/>
                <w:color w:val="000000" w:themeColor="text1"/>
                <w:kern w:val="0"/>
                <w:szCs w:val="21"/>
              </w:rPr>
              <w:lastRenderedPageBreak/>
              <w:t>会信息安全审计提供重要的依据，从系统运行 异常次数还有不合理访问次数以及恶意攻击的次数可以评估出该数据平台被入 侵的风险高低，通过评估后该维护就进行维护，该打补丁就打补丁，首要的就 是要保证硬件和软件的安全性。信息安全审计实际上是对财务信息审计之前非 常重要的一环，也就相当于是了解被审计单位业务及其环境，通过剖析使用日 志可以帮助该企业管理员尽早发现哪里有漏洞，哪些信息已经可能被泄露，如 何及时进行补救。还可以进行深入的审计追踪，对管理人员授权发现内网是否 存在恶意行为，外网是否存在恶意入侵，并且需要建立相关制度来追究这些人 员的责任。 （二）针对审计对象的风险防范措施 1.对跨境电子商务企业内部控制设计和执行情况关注并测试 虽然跨境电子商务现在的交易信息都是通过 ERP 系统自动生产的，按道理 来讲应该比人力记账要准确的多，因为傲基没有重大的内部控制缺陷，所以其 系统生成的数据也是可以信赖的。但是但内部控制环节薄弱是我国电子商务企 业的大多数都存在的问题，审计人员为了使自己的审计风险可控就需要整个内 部控制的系统来进行一个审计，这样才能对从系统里面提取的数据予以信赖， 否则从审计的源头就出现了问题，那接下来的审计工作将都是徒劳。我们可以 首先对关键部门的权限划分进行重点了解并与实际运行状况进行检验，企业的 信息系统的数据是否具备专门操作人员和部门专管领导的授权等也需要了解， 通过了解信息系统的功能是否完善来判断接下来工作的重心从而减少自身的检 查风险。</w:t>
            </w:r>
          </w:p>
        </w:tc>
      </w:tr>
    </w:tbl>
    <w:p w14:paraId="2CF2EB6B" w14:textId="77777777" w:rsidR="00B229A7" w:rsidRDefault="00B229A7">
      <w:pPr>
        <w:tabs>
          <w:tab w:val="left" w:pos="2129"/>
        </w:tabs>
        <w:spacing w:line="276" w:lineRule="auto"/>
        <w:jc w:val="left"/>
        <w:rPr>
          <w:rFonts w:ascii="宋体" w:hAnsi="宋体"/>
          <w:color w:val="000000" w:themeColor="text1"/>
          <w:szCs w:val="21"/>
        </w:rPr>
      </w:pPr>
    </w:p>
    <w:p w14:paraId="7E3E25D5" w14:textId="77777777" w:rsidR="00B229A7" w:rsidRDefault="00B229A7">
      <w:pPr>
        <w:tabs>
          <w:tab w:val="left" w:pos="2129"/>
        </w:tabs>
        <w:spacing w:line="276" w:lineRule="auto"/>
        <w:jc w:val="left"/>
        <w:rPr>
          <w:rFonts w:ascii="宋体" w:hAnsi="宋体"/>
          <w:color w:val="000000" w:themeColor="text1"/>
          <w:szCs w:val="21"/>
        </w:rPr>
      </w:pPr>
    </w:p>
    <w:p w14:paraId="313E64E6" w14:textId="77777777" w:rsidR="00B229A7" w:rsidRDefault="00B229A7">
      <w:pPr>
        <w:tabs>
          <w:tab w:val="left" w:pos="2129"/>
        </w:tabs>
        <w:spacing w:line="276" w:lineRule="auto"/>
        <w:jc w:val="left"/>
        <w:rPr>
          <w:rFonts w:ascii="宋体" w:hAnsi="宋体"/>
          <w:color w:val="000000" w:themeColor="text1"/>
          <w:szCs w:val="21"/>
        </w:rPr>
      </w:pPr>
    </w:p>
    <w:p w14:paraId="41B1A398" w14:textId="77777777" w:rsidR="00B229A7" w:rsidRDefault="00B229A7">
      <w:pPr>
        <w:tabs>
          <w:tab w:val="left" w:pos="2129"/>
        </w:tabs>
        <w:spacing w:line="276" w:lineRule="auto"/>
        <w:jc w:val="left"/>
        <w:rPr>
          <w:rFonts w:ascii="宋体" w:hAnsi="宋体"/>
          <w:color w:val="000000" w:themeColor="text1"/>
          <w:szCs w:val="21"/>
        </w:rPr>
      </w:pPr>
    </w:p>
    <w:p w14:paraId="56DDE877" w14:textId="77777777" w:rsidR="00B229A7" w:rsidRDefault="00B229A7">
      <w:pPr>
        <w:tabs>
          <w:tab w:val="left" w:pos="2129"/>
        </w:tabs>
        <w:spacing w:line="276" w:lineRule="auto"/>
        <w:jc w:val="left"/>
        <w:rPr>
          <w:rFonts w:ascii="宋体" w:hAnsi="宋体"/>
          <w:color w:val="000000" w:themeColor="text1"/>
          <w:szCs w:val="21"/>
        </w:rPr>
      </w:pPr>
    </w:p>
    <w:p w14:paraId="1A2C0CCD" w14:textId="77777777" w:rsidR="00B229A7" w:rsidRDefault="00D7072C">
      <w:pPr>
        <w:pStyle w:val="1"/>
      </w:pPr>
      <w:bookmarkStart w:id="182" w:name="_Toc104812627"/>
      <w:bookmarkStart w:id="183" w:name="_Toc104812348"/>
      <w:bookmarkStart w:id="184" w:name="_Toc104812529"/>
      <w:r>
        <w:rPr>
          <w:rFonts w:hint="eastAsia"/>
        </w:rPr>
        <w:t>5</w:t>
      </w:r>
      <w:r>
        <w:t>0</w:t>
      </w:r>
      <w:r>
        <w:rPr>
          <w:rFonts w:hint="eastAsia"/>
        </w:rPr>
        <w:t>立信会计师事务所对超华科技审计失败</w:t>
      </w:r>
      <w:bookmarkEnd w:id="182"/>
      <w:bookmarkEnd w:id="183"/>
      <w:bookmarkEnd w:id="184"/>
    </w:p>
    <w:tbl>
      <w:tblPr>
        <w:tblStyle w:val="a4"/>
        <w:tblW w:w="8296" w:type="dxa"/>
        <w:tblLayout w:type="fixed"/>
        <w:tblLook w:val="04A0" w:firstRow="1" w:lastRow="0" w:firstColumn="1" w:lastColumn="0" w:noHBand="0" w:noVBand="1"/>
      </w:tblPr>
      <w:tblGrid>
        <w:gridCol w:w="1980"/>
        <w:gridCol w:w="6316"/>
      </w:tblGrid>
      <w:tr w:rsidR="00B229A7" w14:paraId="6A57F9C0" w14:textId="77777777">
        <w:tc>
          <w:tcPr>
            <w:tcW w:w="1980" w:type="dxa"/>
          </w:tcPr>
          <w:p w14:paraId="26F3D9B5"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案例数据</w:t>
            </w:r>
            <w:r>
              <w:rPr>
                <w:rFonts w:ascii="宋体" w:hAnsi="宋体"/>
                <w:color w:val="000000" w:themeColor="text1"/>
                <w:kern w:val="0"/>
                <w:szCs w:val="21"/>
              </w:rPr>
              <w:t>编号</w:t>
            </w:r>
          </w:p>
        </w:tc>
        <w:tc>
          <w:tcPr>
            <w:tcW w:w="6316" w:type="dxa"/>
          </w:tcPr>
          <w:p w14:paraId="73F3C84C" w14:textId="28FE35BC"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011</w:t>
            </w:r>
            <w:r>
              <w:rPr>
                <w:rFonts w:ascii="宋体" w:hAnsi="宋体"/>
                <w:color w:val="000000" w:themeColor="text1"/>
                <w:kern w:val="0"/>
                <w:szCs w:val="21"/>
              </w:rPr>
              <w:t>23</w:t>
            </w:r>
          </w:p>
        </w:tc>
      </w:tr>
      <w:tr w:rsidR="00B229A7" w14:paraId="71454993" w14:textId="77777777">
        <w:tc>
          <w:tcPr>
            <w:tcW w:w="1980" w:type="dxa"/>
          </w:tcPr>
          <w:p w14:paraId="4C153B8D"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w:t>
            </w:r>
            <w:r>
              <w:rPr>
                <w:rFonts w:ascii="宋体" w:hAnsi="宋体"/>
                <w:color w:val="000000" w:themeColor="text1"/>
                <w:kern w:val="0"/>
                <w:szCs w:val="21"/>
              </w:rPr>
              <w:t>行业类别</w:t>
            </w:r>
          </w:p>
        </w:tc>
        <w:tc>
          <w:tcPr>
            <w:tcW w:w="6316" w:type="dxa"/>
          </w:tcPr>
          <w:p w14:paraId="659A7347"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11互联网IT类</w:t>
            </w:r>
          </w:p>
        </w:tc>
      </w:tr>
      <w:tr w:rsidR="00B229A7" w14:paraId="2D58D026" w14:textId="77777777">
        <w:tc>
          <w:tcPr>
            <w:tcW w:w="1980" w:type="dxa"/>
          </w:tcPr>
          <w:p w14:paraId="0A2483FE"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案例发生时间</w:t>
            </w:r>
          </w:p>
        </w:tc>
        <w:tc>
          <w:tcPr>
            <w:tcW w:w="6316" w:type="dxa"/>
          </w:tcPr>
          <w:p w14:paraId="35E856DB"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2016</w:t>
            </w:r>
          </w:p>
        </w:tc>
      </w:tr>
      <w:tr w:rsidR="00B229A7" w14:paraId="7EDDE642" w14:textId="77777777">
        <w:tc>
          <w:tcPr>
            <w:tcW w:w="1980" w:type="dxa"/>
          </w:tcPr>
          <w:p w14:paraId="43360B4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案例企业名称</w:t>
            </w:r>
          </w:p>
        </w:tc>
        <w:tc>
          <w:tcPr>
            <w:tcW w:w="6316" w:type="dxa"/>
          </w:tcPr>
          <w:p w14:paraId="0B5CB6CF"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广东超华科技股份有限公司</w:t>
            </w:r>
          </w:p>
        </w:tc>
      </w:tr>
      <w:tr w:rsidR="00B229A7" w14:paraId="5AD77EE5" w14:textId="77777777">
        <w:tc>
          <w:tcPr>
            <w:tcW w:w="1980" w:type="dxa"/>
          </w:tcPr>
          <w:p w14:paraId="21D7619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案例企业经营范围</w:t>
            </w:r>
          </w:p>
        </w:tc>
        <w:tc>
          <w:tcPr>
            <w:tcW w:w="6316" w:type="dxa"/>
          </w:tcPr>
          <w:p w14:paraId="5EC8DD1D"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制造、加工、销售：电路板（单、双、多层及柔性电路板），电子产品，电子元器件，铜箔，覆铜板，电子模具，纸制品；货物进出口、技术进出口；投资采矿业；矿产品销售（国家专营专控的除外）；</w:t>
            </w:r>
            <w:r>
              <w:rPr>
                <w:rFonts w:ascii="宋体" w:hAnsi="宋体" w:hint="eastAsia"/>
                <w:color w:val="000000" w:themeColor="text1"/>
                <w:kern w:val="0"/>
                <w:szCs w:val="21"/>
              </w:rPr>
              <w:lastRenderedPageBreak/>
              <w:t>投资与资产管理、企业管理咨询（含信息咨询、企业营销策划等）；动产与不动产、有形与无形资产租赁服务；酒店管理；物业管理；文化和体育产业的策划、开发、经营、管理</w:t>
            </w:r>
          </w:p>
        </w:tc>
      </w:tr>
      <w:tr w:rsidR="00B229A7" w14:paraId="45111CE5" w14:textId="77777777">
        <w:tc>
          <w:tcPr>
            <w:tcW w:w="1980" w:type="dxa"/>
          </w:tcPr>
          <w:p w14:paraId="182BFD79"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企业单位案情描述</w:t>
            </w:r>
          </w:p>
        </w:tc>
        <w:tc>
          <w:tcPr>
            <w:tcW w:w="6316" w:type="dxa"/>
          </w:tcPr>
          <w:p w14:paraId="6AA7BC1C"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【企业背景】</w:t>
            </w:r>
          </w:p>
          <w:p w14:paraId="3FE85E01"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广东超华科技股份有限公司的前身是广东超华企业集团有限公司，是在 2004年整体改制而来的。广东超华科技股份有限公司主要的产品包含单面线路板、自产板材覆铜板等，对于电解铜箔、专用木浆纸也有所涉及，主要从事相关产品的研发、生产以及销售，是整个 PCB 行业当中产业链一体化发展的生产企业。广东超华科技主要产品不仅在内地、港澳台地区较为畅销，在东南亚地区也有着上百家合作企业。按照 2006 年 CPCA 行业的统计数据，广东超华科技在中国印制电路板行业当中位列综合实力百强企业名单。广东超华科技以优质的产品在业界树立了良好的口碑。 </w:t>
            </w:r>
          </w:p>
          <w:p w14:paraId="506B326A"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【案情背景</w:t>
            </w:r>
            <w:r>
              <w:rPr>
                <w:rFonts w:ascii="宋体" w:hAnsi="宋体"/>
                <w:b/>
                <w:color w:val="000000" w:themeColor="text1"/>
                <w:kern w:val="0"/>
                <w:szCs w:val="21"/>
              </w:rPr>
              <w:t>】</w:t>
            </w:r>
          </w:p>
          <w:p w14:paraId="3B79F57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广东证监局于 2016 年 3 月 18 日发现超华科技在 2014 年年报中存在涉嫌虚增废料销售收入的线索，之后开展核查工作。立信所对超华科技 2014 年财务报表发表了标准无保留的意见，超华科技对立信所审计后的报表进行披露。2017 年 2 月17 日，广东证监局约谈签字注册会计师高敏、康跃华，了解相关情况。其后，广东证监局决定调取立信所涉案工作底稿，并于 2017 年 5 月 22 日向立信所发出《监督检查通知书》。2018 年 5 月 28 日，广东证监局向立信所发出《调查通知书》，决定对立信所立案调查。作为超华科技的全资孙公司，惠州合正电子科技有限公司（以下简称惠州合正）由于虚假确认常州市鑫之达电子有限公司（以下简称常州鑫之达）废料销售收入 2，770，505.13 元，致使 2014 年的超华科技年报当中存在净利润虚增以及利润总额虚增等情况，净利润虚增比重达到 23.71%，利润总额虚增比重达到 28.01%。立信会计师事务所是 2014 年超华科技年度财务报告的审计机构，在超华科技年度财务报告审计工作当中没有有效识别超华科技的财务舞弊行为，出具了无保留意见的审计报告，于 2018 年 12 月 7 日被中国证监会处罚，立信所及直接负责主管人员共被广东证监局罚没 156 万元。 </w:t>
            </w:r>
          </w:p>
          <w:p w14:paraId="50CB5BE1" w14:textId="77777777" w:rsidR="00B229A7" w:rsidRDefault="00D7072C">
            <w:pPr>
              <w:spacing w:line="276" w:lineRule="auto"/>
              <w:rPr>
                <w:rFonts w:ascii="宋体" w:hAnsi="宋体"/>
                <w:b/>
                <w:color w:val="000000" w:themeColor="text1"/>
                <w:kern w:val="0"/>
                <w:szCs w:val="21"/>
              </w:rPr>
            </w:pPr>
            <w:r>
              <w:rPr>
                <w:rFonts w:ascii="宋体" w:hAnsi="宋体" w:hint="eastAsia"/>
                <w:b/>
                <w:color w:val="000000" w:themeColor="text1"/>
                <w:kern w:val="0"/>
                <w:szCs w:val="21"/>
              </w:rPr>
              <w:t>【案情描述】</w:t>
            </w:r>
          </w:p>
          <w:p w14:paraId="2490ABA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通过对超华科技 2013 年-2014 年财务报表的分析可以看出，超华科技 2013 年的利润总额为 5549 万元，2014 年的利润总额为 989 万元，同比降低 82.18%；2013年的净利润为 5492 万元，2014 年的净利润为 1101 万元，同比降低 79.95%。超华科技在 2013-2014 年的利润总额和净利润的降低，在很大程度上受到收购惠州合正的</w:t>
            </w:r>
            <w:r>
              <w:rPr>
                <w:rFonts w:ascii="宋体" w:hAnsi="宋体" w:hint="eastAsia"/>
                <w:color w:val="000000" w:themeColor="text1"/>
                <w:kern w:val="0"/>
                <w:szCs w:val="21"/>
              </w:rPr>
              <w:lastRenderedPageBreak/>
              <w:t xml:space="preserve">影响。 虚构出货单和过磅单 在惠州合正废料销售出货单当中，常州鑫之达方面在出货单中的签名仅仅为一个“周”字，不仅不能够确定签收人的具体姓名和身份，也不能确定常州鑫之达同签收人之间的关系。在废料销售过磅单当中，缺失很多详细的客户信息，仅仅填写了废料销售的过磅信息，在客户名称、客户签名、过磅时间等方面都没有详细信息。虽然废料销售过磅单当中的过磅总量同出货单中的出货数量相同，均为 337，634 公斤，但是，过磅单当中有 16 张过磅数量均为 20，000 公斤，存在异常。另一方面，惠州合正同常州鑫之达之间废料出货单的日期早于废料过磅单的日期，这也存在明显的异常。 伪造购销合同 证监会调查发现，惠州合正在与常州鑫之达之间的废料销售业务当中，还存在购销合同、函证等存在差异的情况。从购销合同当中可以得知，惠州合正同常州鑫之达在废料销售业务方面的协议价格为 18 元每公斤，按照出货单当中的出货数量 337，634 公斤进行计算，购销合同当中的金额为 6，077，412 元。然而，在立信会计师事务所的《其他业务收入与合同核对》当中，明确记载了出货数量为331，192 公斤，合同金额为 5，961，456 元，同购销合同中的出货数量、销售金额均存在一些差异。而且，在《往来账项询证函》当中，立信确认的应收账款也是 5，961，456 元，均与购销合同当中的金额不符。虽然数据差异较小，但是仍然表明惠州合正存在伪造购销合同的舞弊行为。 </w:t>
            </w:r>
          </w:p>
          <w:p w14:paraId="5D168C4C" w14:textId="77777777" w:rsidR="00B229A7" w:rsidRDefault="00B229A7">
            <w:pPr>
              <w:spacing w:line="276" w:lineRule="auto"/>
              <w:rPr>
                <w:rFonts w:ascii="宋体" w:hAnsi="宋体"/>
                <w:color w:val="000000" w:themeColor="text1"/>
                <w:kern w:val="0"/>
                <w:szCs w:val="21"/>
              </w:rPr>
            </w:pPr>
          </w:p>
        </w:tc>
      </w:tr>
      <w:tr w:rsidR="00B229A7" w14:paraId="00E3FC2D" w14:textId="77777777">
        <w:tc>
          <w:tcPr>
            <w:tcW w:w="1980" w:type="dxa"/>
          </w:tcPr>
          <w:p w14:paraId="3C8E5C80"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关联审计机构</w:t>
            </w:r>
            <w:r>
              <w:rPr>
                <w:rFonts w:ascii="宋体" w:hAnsi="宋体"/>
                <w:color w:val="000000" w:themeColor="text1"/>
                <w:kern w:val="0"/>
                <w:szCs w:val="21"/>
              </w:rPr>
              <w:t>名称</w:t>
            </w:r>
          </w:p>
        </w:tc>
        <w:tc>
          <w:tcPr>
            <w:tcW w:w="6316" w:type="dxa"/>
          </w:tcPr>
          <w:p w14:paraId="3C7F7623" w14:textId="77777777" w:rsidR="00B229A7" w:rsidRDefault="00D7072C">
            <w:pPr>
              <w:spacing w:line="276" w:lineRule="auto"/>
              <w:jc w:val="center"/>
              <w:rPr>
                <w:rFonts w:ascii="宋体" w:hAnsi="宋体"/>
                <w:color w:val="000000" w:themeColor="text1"/>
                <w:kern w:val="0"/>
                <w:szCs w:val="21"/>
              </w:rPr>
            </w:pPr>
            <w:r>
              <w:rPr>
                <w:rFonts w:ascii="宋体" w:hAnsi="宋体" w:hint="eastAsia"/>
                <w:color w:val="000000" w:themeColor="text1"/>
                <w:kern w:val="0"/>
                <w:szCs w:val="21"/>
              </w:rPr>
              <w:t>立信会计师事务所</w:t>
            </w:r>
          </w:p>
        </w:tc>
      </w:tr>
      <w:tr w:rsidR="00B229A7" w14:paraId="41DFB6DF" w14:textId="77777777">
        <w:tc>
          <w:tcPr>
            <w:tcW w:w="1980" w:type="dxa"/>
          </w:tcPr>
          <w:p w14:paraId="454E0D8F"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审计受罚或责任详情</w:t>
            </w:r>
          </w:p>
        </w:tc>
        <w:tc>
          <w:tcPr>
            <w:tcW w:w="6316" w:type="dxa"/>
          </w:tcPr>
          <w:p w14:paraId="5E6AFE2A"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对签字注册会计师给予行政处罚 根据签字注册会计师在审计违法行为方面的事实情况，证监会按照《证券法》第 223 条规定，给予签字注册会计师高敏、康跃华警告处罚，并各罚款 3 万元。</w:t>
            </w:r>
          </w:p>
          <w:p w14:paraId="49A5870B"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据立信会计师事务所在超华科技审计违法行为方面的情节和性质，证监会按照《证券法》第 223 条规定，给予立信会计师事务所没收业务所得 75 万元、处以 75 万元罚款的处罚，并责令立信会计师事务所改正对超华科技的审计违法行为。 </w:t>
            </w:r>
          </w:p>
          <w:p w14:paraId="6E3A9F83"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t xml:space="preserve">根据当事人违法行为的事实、性质、情节与社会危害程度，依据《证券法》第 193 条第一款的规定，责令超华科技改正，给予警告，并处以 40 万元罚款；对时任董事长、总裁的梁健锋给予警告，并处以 20 万元罚款；对副总裁、财务负责人王旭东给予警告，并处以 10 万元罚款；对董事、董事会秘书、副总裁范卓给予警告，并处以 3 万元罚款。 </w:t>
            </w:r>
          </w:p>
          <w:p w14:paraId="5A0661B8" w14:textId="77777777" w:rsidR="00B229A7" w:rsidRDefault="00B229A7">
            <w:pPr>
              <w:spacing w:line="276" w:lineRule="auto"/>
              <w:rPr>
                <w:rFonts w:ascii="宋体" w:hAnsi="宋体"/>
                <w:color w:val="000000" w:themeColor="text1"/>
                <w:kern w:val="0"/>
                <w:szCs w:val="21"/>
              </w:rPr>
            </w:pPr>
          </w:p>
        </w:tc>
      </w:tr>
      <w:tr w:rsidR="00B229A7" w14:paraId="2FD067B5" w14:textId="77777777">
        <w:tc>
          <w:tcPr>
            <w:tcW w:w="1980" w:type="dxa"/>
          </w:tcPr>
          <w:p w14:paraId="3E77597C" w14:textId="77777777" w:rsidR="00B229A7" w:rsidRDefault="00D7072C">
            <w:pPr>
              <w:spacing w:line="276" w:lineRule="auto"/>
              <w:rPr>
                <w:rFonts w:ascii="宋体" w:hAnsi="宋体"/>
                <w:color w:val="000000" w:themeColor="text1"/>
                <w:kern w:val="0"/>
                <w:szCs w:val="21"/>
              </w:rPr>
            </w:pPr>
            <w:r>
              <w:rPr>
                <w:rFonts w:ascii="宋体" w:hAnsi="宋体" w:hint="eastAsia"/>
                <w:color w:val="000000" w:themeColor="text1"/>
                <w:kern w:val="0"/>
                <w:szCs w:val="21"/>
              </w:rPr>
              <w:lastRenderedPageBreak/>
              <w:t>引发</w:t>
            </w:r>
            <w:r>
              <w:rPr>
                <w:rFonts w:ascii="宋体" w:hAnsi="宋体"/>
                <w:color w:val="000000" w:themeColor="text1"/>
                <w:kern w:val="0"/>
                <w:szCs w:val="21"/>
              </w:rPr>
              <w:t>的审计</w:t>
            </w:r>
            <w:r>
              <w:rPr>
                <w:rFonts w:ascii="宋体" w:hAnsi="宋体" w:hint="eastAsia"/>
                <w:color w:val="000000" w:themeColor="text1"/>
                <w:kern w:val="0"/>
                <w:szCs w:val="21"/>
              </w:rPr>
              <w:t>实施</w:t>
            </w:r>
            <w:r>
              <w:rPr>
                <w:rFonts w:ascii="宋体" w:hAnsi="宋体"/>
                <w:color w:val="000000" w:themeColor="text1"/>
                <w:kern w:val="0"/>
                <w:szCs w:val="21"/>
              </w:rPr>
              <w:t>思考</w:t>
            </w:r>
          </w:p>
        </w:tc>
        <w:tc>
          <w:tcPr>
            <w:tcW w:w="6316" w:type="dxa"/>
          </w:tcPr>
          <w:p w14:paraId="03B0C709" w14:textId="77777777" w:rsidR="00B229A7" w:rsidRDefault="00D7072C">
            <w:pPr>
              <w:tabs>
                <w:tab w:val="left" w:pos="2160"/>
              </w:tabs>
              <w:spacing w:line="276" w:lineRule="auto"/>
              <w:rPr>
                <w:rStyle w:val="11"/>
                <w:rFonts w:ascii="宋体" w:hAnsi="宋体"/>
                <w:i w:val="0"/>
                <w:iCs w:val="0"/>
                <w:color w:val="000000" w:themeColor="text1"/>
                <w:kern w:val="0"/>
                <w:szCs w:val="21"/>
              </w:rPr>
            </w:pPr>
            <w:r>
              <w:rPr>
                <w:rFonts w:ascii="宋体" w:hAnsi="宋体"/>
                <w:noProof/>
                <w:color w:val="000000" w:themeColor="text1"/>
                <w:kern w:val="0"/>
                <w:szCs w:val="21"/>
              </w:rPr>
              <w:drawing>
                <wp:inline distT="0" distB="0" distL="114300" distR="114300" wp14:anchorId="645924DC" wp14:editId="4AE7F977">
                  <wp:extent cx="3657600" cy="1663700"/>
                  <wp:effectExtent l="0" t="0" r="0" b="0"/>
                  <wp:docPr id="32" name="图片 3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文本&#10;&#10;描述已自动生成"/>
                          <pic:cNvPicPr>
                            <a:picLocks noChangeAspect="1"/>
                          </pic:cNvPicPr>
                        </pic:nvPicPr>
                        <pic:blipFill>
                          <a:blip r:embed="rId47"/>
                          <a:stretch>
                            <a:fillRect/>
                          </a:stretch>
                        </pic:blipFill>
                        <pic:spPr>
                          <a:xfrm>
                            <a:off x="0" y="0"/>
                            <a:ext cx="3657600" cy="1663700"/>
                          </a:xfrm>
                          <a:prstGeom prst="rect">
                            <a:avLst/>
                          </a:prstGeom>
                          <a:noFill/>
                          <a:ln>
                            <a:noFill/>
                          </a:ln>
                        </pic:spPr>
                      </pic:pic>
                    </a:graphicData>
                  </a:graphic>
                </wp:inline>
              </w:drawing>
            </w:r>
          </w:p>
        </w:tc>
      </w:tr>
    </w:tbl>
    <w:p w14:paraId="69275083" w14:textId="77777777" w:rsidR="00B229A7" w:rsidRDefault="00B229A7">
      <w:pPr>
        <w:tabs>
          <w:tab w:val="left" w:pos="2129"/>
        </w:tabs>
        <w:spacing w:line="276" w:lineRule="auto"/>
        <w:jc w:val="left"/>
        <w:rPr>
          <w:rFonts w:ascii="宋体" w:hAnsi="宋体"/>
          <w:color w:val="000000" w:themeColor="text1"/>
          <w:szCs w:val="21"/>
        </w:rPr>
      </w:pPr>
    </w:p>
    <w:p w14:paraId="24488F8D" w14:textId="77777777" w:rsidR="00B229A7" w:rsidRDefault="00B229A7">
      <w:pPr>
        <w:spacing w:line="276" w:lineRule="auto"/>
        <w:rPr>
          <w:rFonts w:ascii="宋体" w:hAnsi="宋体"/>
          <w:color w:val="000000" w:themeColor="text1"/>
          <w:szCs w:val="21"/>
        </w:rPr>
      </w:pPr>
    </w:p>
    <w:sectPr w:rsidR="00B229A7">
      <w:footerReference w:type="default" r:id="rId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8CB8D8" w14:textId="77777777" w:rsidR="004A68B2" w:rsidRDefault="004A68B2" w:rsidP="001C169A">
      <w:r>
        <w:separator/>
      </w:r>
    </w:p>
  </w:endnote>
  <w:endnote w:type="continuationSeparator" w:id="0">
    <w:p w14:paraId="7527C402" w14:textId="77777777" w:rsidR="004A68B2" w:rsidRDefault="004A68B2" w:rsidP="001C1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5564486"/>
      <w:docPartObj>
        <w:docPartGallery w:val="Page Numbers (Bottom of Page)"/>
        <w:docPartUnique/>
      </w:docPartObj>
    </w:sdtPr>
    <w:sdtContent>
      <w:p w14:paraId="655F55E6" w14:textId="6BA15CAA" w:rsidR="001C169A" w:rsidRDefault="001C169A">
        <w:pPr>
          <w:pStyle w:val="a9"/>
          <w:jc w:val="center"/>
        </w:pPr>
        <w:r>
          <w:fldChar w:fldCharType="begin"/>
        </w:r>
        <w:r>
          <w:instrText>PAGE   \* MERGEFORMAT</w:instrText>
        </w:r>
        <w:r>
          <w:fldChar w:fldCharType="separate"/>
        </w:r>
        <w:r w:rsidRPr="001C169A">
          <w:rPr>
            <w:noProof/>
            <w:lang w:val="zh-CN"/>
          </w:rPr>
          <w:t>162</w:t>
        </w:r>
        <w:r>
          <w:fldChar w:fldCharType="end"/>
        </w:r>
      </w:p>
    </w:sdtContent>
  </w:sdt>
  <w:p w14:paraId="08B2E01A" w14:textId="77777777" w:rsidR="001C169A" w:rsidRDefault="001C169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8123A5" w14:textId="77777777" w:rsidR="004A68B2" w:rsidRDefault="004A68B2" w:rsidP="001C169A">
      <w:r>
        <w:separator/>
      </w:r>
    </w:p>
  </w:footnote>
  <w:footnote w:type="continuationSeparator" w:id="0">
    <w:p w14:paraId="250C533E" w14:textId="77777777" w:rsidR="004A68B2" w:rsidRDefault="004A68B2" w:rsidP="001C16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7025F6"/>
    <w:multiLevelType w:val="singleLevel"/>
    <w:tmpl w:val="9A7025F6"/>
    <w:lvl w:ilvl="0">
      <w:start w:val="4"/>
      <w:numFmt w:val="chineseCounting"/>
      <w:suff w:val="nothing"/>
      <w:lvlText w:val="（%1）"/>
      <w:lvlJc w:val="left"/>
      <w:rPr>
        <w:rFonts w:hint="eastAsia"/>
      </w:rPr>
    </w:lvl>
  </w:abstractNum>
  <w:abstractNum w:abstractNumId="1">
    <w:nsid w:val="DA3AC04A"/>
    <w:multiLevelType w:val="singleLevel"/>
    <w:tmpl w:val="DA3AC04A"/>
    <w:lvl w:ilvl="0">
      <w:start w:val="2"/>
      <w:numFmt w:val="chineseCounting"/>
      <w:suff w:val="nothing"/>
      <w:lvlText w:val="（%1）"/>
      <w:lvlJc w:val="left"/>
      <w:rPr>
        <w:rFonts w:hint="eastAsia"/>
      </w:rPr>
    </w:lvl>
  </w:abstractNum>
  <w:abstractNum w:abstractNumId="2">
    <w:nsid w:val="00E6A9D6"/>
    <w:multiLevelType w:val="singleLevel"/>
    <w:tmpl w:val="00E6A9D6"/>
    <w:lvl w:ilvl="0">
      <w:start w:val="1"/>
      <w:numFmt w:val="chineseCounting"/>
      <w:suff w:val="nothing"/>
      <w:lvlText w:val="（%1）"/>
      <w:lvlJc w:val="left"/>
      <w:pPr>
        <w:ind w:left="525" w:firstLine="0"/>
      </w:pPr>
      <w:rPr>
        <w:rFonts w:hint="eastAsia"/>
      </w:rPr>
    </w:lvl>
  </w:abstractNum>
  <w:abstractNum w:abstractNumId="3">
    <w:nsid w:val="1254E5B0"/>
    <w:multiLevelType w:val="singleLevel"/>
    <w:tmpl w:val="1254E5B0"/>
    <w:lvl w:ilvl="0">
      <w:start w:val="1"/>
      <w:numFmt w:val="chineseCounting"/>
      <w:suff w:val="nothing"/>
      <w:lvlText w:val="（%1）"/>
      <w:lvlJc w:val="left"/>
      <w:rPr>
        <w:rFonts w:hint="eastAsia"/>
      </w:rPr>
    </w:lvl>
  </w:abstractNum>
  <w:abstractNum w:abstractNumId="4">
    <w:nsid w:val="23F274D4"/>
    <w:multiLevelType w:val="singleLevel"/>
    <w:tmpl w:val="23F274D4"/>
    <w:lvl w:ilvl="0">
      <w:start w:val="2"/>
      <w:numFmt w:val="chineseCounting"/>
      <w:suff w:val="nothing"/>
      <w:lvlText w:val="（%1）"/>
      <w:lvlJc w:val="left"/>
      <w:rPr>
        <w:rFonts w:hint="eastAsia"/>
      </w:rPr>
    </w:lvl>
  </w:abstractNum>
  <w:abstractNum w:abstractNumId="5">
    <w:nsid w:val="2F532FCA"/>
    <w:multiLevelType w:val="singleLevel"/>
    <w:tmpl w:val="2F532FCA"/>
    <w:lvl w:ilvl="0">
      <w:start w:val="1"/>
      <w:numFmt w:val="chineseCounting"/>
      <w:suff w:val="nothing"/>
      <w:lvlText w:val="（%1）"/>
      <w:lvlJc w:val="left"/>
      <w:rPr>
        <w:rFonts w:hint="eastAsia"/>
      </w:rPr>
    </w:lvl>
  </w:abstractNum>
  <w:abstractNum w:abstractNumId="6">
    <w:nsid w:val="4C3011FA"/>
    <w:multiLevelType w:val="multilevel"/>
    <w:tmpl w:val="4C3011F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608B0A8D"/>
    <w:multiLevelType w:val="multilevel"/>
    <w:tmpl w:val="608B0A8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6D54AB8C"/>
    <w:multiLevelType w:val="singleLevel"/>
    <w:tmpl w:val="6D54AB8C"/>
    <w:lvl w:ilvl="0">
      <w:start w:val="1"/>
      <w:numFmt w:val="decimal"/>
      <w:lvlText w:val="%1."/>
      <w:lvlJc w:val="left"/>
      <w:pPr>
        <w:tabs>
          <w:tab w:val="left" w:pos="312"/>
        </w:tabs>
      </w:pPr>
    </w:lvl>
  </w:abstractNum>
  <w:abstractNum w:abstractNumId="9">
    <w:nsid w:val="79C33CE5"/>
    <w:multiLevelType w:val="singleLevel"/>
    <w:tmpl w:val="79C33CE5"/>
    <w:lvl w:ilvl="0">
      <w:start w:val="2"/>
      <w:numFmt w:val="chineseCounting"/>
      <w:lvlText w:val="(%1)"/>
      <w:lvlJc w:val="left"/>
      <w:pPr>
        <w:tabs>
          <w:tab w:val="left" w:pos="312"/>
        </w:tabs>
      </w:pPr>
      <w:rPr>
        <w:rFonts w:hint="eastAsia"/>
      </w:rPr>
    </w:lvl>
  </w:abstractNum>
  <w:num w:numId="1">
    <w:abstractNumId w:val="6"/>
  </w:num>
  <w:num w:numId="2">
    <w:abstractNumId w:val="7"/>
  </w:num>
  <w:num w:numId="3">
    <w:abstractNumId w:val="0"/>
  </w:num>
  <w:num w:numId="4">
    <w:abstractNumId w:val="8"/>
  </w:num>
  <w:num w:numId="5">
    <w:abstractNumId w:val="9"/>
  </w:num>
  <w:num w:numId="6">
    <w:abstractNumId w:val="4"/>
  </w:num>
  <w:num w:numId="7">
    <w:abstractNumId w:val="5"/>
  </w:num>
  <w:num w:numId="8">
    <w:abstractNumId w:val="2"/>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FlZDVkZmI4MzRhNDdiMDI2YTViMTZhYWFmZDExMWEifQ=="/>
  </w:docVars>
  <w:rsids>
    <w:rsidRoot w:val="00C8055F"/>
    <w:rsid w:val="00034DE3"/>
    <w:rsid w:val="000966BF"/>
    <w:rsid w:val="000F27B0"/>
    <w:rsid w:val="000F3D57"/>
    <w:rsid w:val="00125EBE"/>
    <w:rsid w:val="001647A2"/>
    <w:rsid w:val="001C169A"/>
    <w:rsid w:val="001F6084"/>
    <w:rsid w:val="003351C5"/>
    <w:rsid w:val="003D2D54"/>
    <w:rsid w:val="003D349A"/>
    <w:rsid w:val="004306AA"/>
    <w:rsid w:val="004471B7"/>
    <w:rsid w:val="004A68B2"/>
    <w:rsid w:val="004B3E7F"/>
    <w:rsid w:val="004D0FBD"/>
    <w:rsid w:val="004F20F3"/>
    <w:rsid w:val="004F522D"/>
    <w:rsid w:val="00563144"/>
    <w:rsid w:val="00580283"/>
    <w:rsid w:val="0058609F"/>
    <w:rsid w:val="005C1A51"/>
    <w:rsid w:val="00605DAA"/>
    <w:rsid w:val="00607152"/>
    <w:rsid w:val="00664783"/>
    <w:rsid w:val="00675640"/>
    <w:rsid w:val="00701A63"/>
    <w:rsid w:val="00774AD1"/>
    <w:rsid w:val="008A1386"/>
    <w:rsid w:val="008B006C"/>
    <w:rsid w:val="00905952"/>
    <w:rsid w:val="009653F0"/>
    <w:rsid w:val="00974C7A"/>
    <w:rsid w:val="009D5A37"/>
    <w:rsid w:val="00A00A7E"/>
    <w:rsid w:val="00A47AC6"/>
    <w:rsid w:val="00AA0611"/>
    <w:rsid w:val="00AC203D"/>
    <w:rsid w:val="00B01124"/>
    <w:rsid w:val="00B229A7"/>
    <w:rsid w:val="00BA689A"/>
    <w:rsid w:val="00BD08C2"/>
    <w:rsid w:val="00C7760E"/>
    <w:rsid w:val="00C8055F"/>
    <w:rsid w:val="00C83B90"/>
    <w:rsid w:val="00C83BE7"/>
    <w:rsid w:val="00CC0F46"/>
    <w:rsid w:val="00D7072C"/>
    <w:rsid w:val="00DA2E18"/>
    <w:rsid w:val="00DA315A"/>
    <w:rsid w:val="00DB436E"/>
    <w:rsid w:val="00E50560"/>
    <w:rsid w:val="00E90E98"/>
    <w:rsid w:val="00EC48E0"/>
    <w:rsid w:val="00F55D10"/>
    <w:rsid w:val="00F670C6"/>
    <w:rsid w:val="00F67ED8"/>
    <w:rsid w:val="00F70D82"/>
    <w:rsid w:val="2D275115"/>
    <w:rsid w:val="3AB536F5"/>
    <w:rsid w:val="582D4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next w:val="a"/>
    <w:link w:val="1Char"/>
    <w:qFormat/>
    <w:pPr>
      <w:keepNext/>
      <w:keepLines/>
      <w:widowControl w:val="0"/>
      <w:spacing w:before="340" w:after="330" w:line="578" w:lineRule="auto"/>
      <w:jc w:val="both"/>
      <w:outlineLvl w:val="0"/>
    </w:pPr>
    <w:rPr>
      <w:b/>
      <w:kern w:val="44"/>
      <w:sz w:val="44"/>
      <w:szCs w:val="44"/>
    </w:rPr>
  </w:style>
  <w:style w:type="paragraph" w:styleId="2">
    <w:name w:val="heading 2"/>
    <w:basedOn w:val="a"/>
    <w:next w:val="a"/>
    <w:link w:val="2Char"/>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pPr>
      <w:ind w:left="1260"/>
      <w:jc w:val="left"/>
    </w:pPr>
    <w:rPr>
      <w:rFonts w:asciiTheme="minorHAnsi" w:eastAsiaTheme="minorHAnsi"/>
      <w:sz w:val="18"/>
      <w:szCs w:val="18"/>
    </w:rPr>
  </w:style>
  <w:style w:type="paragraph" w:styleId="5">
    <w:name w:val="toc 5"/>
    <w:basedOn w:val="a"/>
    <w:next w:val="a"/>
    <w:uiPriority w:val="39"/>
    <w:unhideWhenUsed/>
    <w:pPr>
      <w:ind w:left="840"/>
      <w:jc w:val="left"/>
    </w:pPr>
    <w:rPr>
      <w:rFonts w:asciiTheme="minorHAnsi" w:eastAsiaTheme="minorHAnsi"/>
      <w:sz w:val="18"/>
      <w:szCs w:val="18"/>
    </w:rPr>
  </w:style>
  <w:style w:type="paragraph" w:styleId="3">
    <w:name w:val="toc 3"/>
    <w:basedOn w:val="a"/>
    <w:next w:val="a"/>
    <w:uiPriority w:val="39"/>
    <w:unhideWhenUsed/>
    <w:pPr>
      <w:ind w:left="420"/>
      <w:jc w:val="left"/>
    </w:pPr>
    <w:rPr>
      <w:rFonts w:asciiTheme="minorHAnsi" w:eastAsiaTheme="minorHAnsi"/>
      <w:i/>
      <w:iCs/>
      <w:sz w:val="20"/>
      <w:szCs w:val="20"/>
    </w:rPr>
  </w:style>
  <w:style w:type="paragraph" w:styleId="8">
    <w:name w:val="toc 8"/>
    <w:basedOn w:val="a"/>
    <w:next w:val="a"/>
    <w:uiPriority w:val="39"/>
    <w:unhideWhenUsed/>
    <w:pPr>
      <w:ind w:left="1470"/>
      <w:jc w:val="left"/>
    </w:pPr>
    <w:rPr>
      <w:rFonts w:asciiTheme="minorHAnsi" w:eastAsiaTheme="minorHAnsi"/>
      <w:sz w:val="18"/>
      <w:szCs w:val="18"/>
    </w:rPr>
  </w:style>
  <w:style w:type="paragraph" w:styleId="10">
    <w:name w:val="toc 1"/>
    <w:basedOn w:val="a"/>
    <w:next w:val="a"/>
    <w:uiPriority w:val="39"/>
    <w:unhideWhenUsed/>
    <w:pPr>
      <w:tabs>
        <w:tab w:val="right" w:leader="dot" w:pos="8296"/>
      </w:tabs>
      <w:spacing w:before="120" w:after="120"/>
      <w:jc w:val="left"/>
    </w:pPr>
    <w:rPr>
      <w:rFonts w:ascii="宋体" w:hAnsi="宋体"/>
      <w:b/>
      <w:bCs/>
      <w:caps/>
      <w:sz w:val="20"/>
      <w:szCs w:val="20"/>
    </w:rPr>
  </w:style>
  <w:style w:type="paragraph" w:styleId="40">
    <w:name w:val="toc 4"/>
    <w:basedOn w:val="a"/>
    <w:next w:val="a"/>
    <w:uiPriority w:val="39"/>
    <w:unhideWhenUsed/>
    <w:pPr>
      <w:ind w:left="630"/>
      <w:jc w:val="left"/>
    </w:pPr>
    <w:rPr>
      <w:rFonts w:asciiTheme="minorHAnsi" w:eastAsiaTheme="minorHAnsi"/>
      <w:sz w:val="18"/>
      <w:szCs w:val="18"/>
    </w:rPr>
  </w:style>
  <w:style w:type="paragraph" w:styleId="6">
    <w:name w:val="toc 6"/>
    <w:basedOn w:val="a"/>
    <w:next w:val="a"/>
    <w:uiPriority w:val="39"/>
    <w:unhideWhenUsed/>
    <w:pPr>
      <w:ind w:left="1050"/>
      <w:jc w:val="left"/>
    </w:pPr>
    <w:rPr>
      <w:rFonts w:asciiTheme="minorHAnsi" w:eastAsiaTheme="minorHAnsi"/>
      <w:sz w:val="18"/>
      <w:szCs w:val="18"/>
    </w:rPr>
  </w:style>
  <w:style w:type="paragraph" w:styleId="20">
    <w:name w:val="toc 2"/>
    <w:basedOn w:val="a"/>
    <w:next w:val="a"/>
    <w:uiPriority w:val="39"/>
    <w:unhideWhenUsed/>
    <w:pPr>
      <w:ind w:left="210"/>
      <w:jc w:val="left"/>
    </w:pPr>
    <w:rPr>
      <w:rFonts w:asciiTheme="minorHAnsi" w:eastAsiaTheme="minorHAnsi"/>
      <w:smallCaps/>
      <w:sz w:val="20"/>
      <w:szCs w:val="20"/>
    </w:rPr>
  </w:style>
  <w:style w:type="paragraph" w:styleId="9">
    <w:name w:val="toc 9"/>
    <w:basedOn w:val="a"/>
    <w:next w:val="a"/>
    <w:uiPriority w:val="39"/>
    <w:unhideWhenUsed/>
    <w:pPr>
      <w:ind w:left="1680"/>
      <w:jc w:val="left"/>
    </w:pPr>
    <w:rPr>
      <w:rFonts w:asciiTheme="minorHAnsi" w:eastAsiaTheme="minorHAnsi"/>
      <w:sz w:val="18"/>
      <w:szCs w:val="18"/>
    </w:rPr>
  </w:style>
  <w:style w:type="paragraph" w:styleId="a3">
    <w:name w:val="Normal (Web)"/>
    <w:basedOn w:val="a"/>
    <w:uiPriority w:val="99"/>
    <w:semiHidden/>
    <w:unhideWhenUsed/>
    <w:rPr>
      <w:sz w:val="24"/>
      <w:szCs w:val="24"/>
    </w:rPr>
  </w:style>
  <w:style w:type="table" w:styleId="a4">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Pr>
      <w:color w:val="0563C1" w:themeColor="hyperlink"/>
      <w:u w:val="single"/>
    </w:rPr>
  </w:style>
  <w:style w:type="character" w:customStyle="1" w:styleId="1Char">
    <w:name w:val="标题 1 Char"/>
    <w:basedOn w:val="a0"/>
    <w:link w:val="1"/>
    <w:qFormat/>
    <w:rPr>
      <w:rFonts w:ascii="Times New Roman" w:eastAsia="宋体" w:hAnsi="Times New Roman" w:cs="Times New Roman"/>
      <w:b/>
      <w:kern w:val="44"/>
      <w:sz w:val="44"/>
      <w:szCs w:val="44"/>
    </w:rPr>
  </w:style>
  <w:style w:type="character" w:customStyle="1" w:styleId="11">
    <w:name w:val="明显强调1"/>
    <w:basedOn w:val="a0"/>
    <w:uiPriority w:val="21"/>
    <w:qFormat/>
    <w:rPr>
      <w:i/>
      <w:iCs/>
      <w:color w:val="5B9BD5"/>
    </w:rPr>
  </w:style>
  <w:style w:type="paragraph" w:styleId="a6">
    <w:name w:val="List Paragraph"/>
    <w:basedOn w:val="a"/>
    <w:uiPriority w:val="34"/>
    <w:qFormat/>
    <w:pPr>
      <w:ind w:firstLineChars="200" w:firstLine="420"/>
    </w:pPr>
  </w:style>
  <w:style w:type="paragraph" w:styleId="a7">
    <w:name w:val="Quote"/>
    <w:basedOn w:val="a"/>
    <w:next w:val="a"/>
    <w:link w:val="Char"/>
    <w:uiPriority w:val="29"/>
    <w:qFormat/>
    <w:pPr>
      <w:spacing w:before="200" w:after="160"/>
      <w:ind w:left="864" w:right="864"/>
      <w:jc w:val="center"/>
    </w:pPr>
    <w:rPr>
      <w:i/>
      <w:iCs/>
      <w:color w:val="404040"/>
    </w:rPr>
  </w:style>
  <w:style w:type="character" w:customStyle="1" w:styleId="Char">
    <w:name w:val="引用 Char"/>
    <w:basedOn w:val="a0"/>
    <w:link w:val="a7"/>
    <w:uiPriority w:val="29"/>
    <w:qFormat/>
    <w:rPr>
      <w:rFonts w:ascii="Times New Roman" w:eastAsia="宋体" w:hAnsi="Times New Roman" w:cs="Times New Roman"/>
      <w:i/>
      <w:iCs/>
      <w:color w:val="404040"/>
      <w:szCs w:val="22"/>
    </w:rPr>
  </w:style>
  <w:style w:type="character" w:customStyle="1" w:styleId="12">
    <w:name w:val="明显参考1"/>
    <w:basedOn w:val="a0"/>
    <w:uiPriority w:val="32"/>
    <w:qFormat/>
    <w:rPr>
      <w:b/>
      <w:bCs/>
      <w:smallCaps/>
      <w:color w:val="5B9BD5"/>
      <w:spacing w:val="5"/>
    </w:rPr>
  </w:style>
  <w:style w:type="character" w:customStyle="1" w:styleId="4Char">
    <w:name w:val="标题 4 Char"/>
    <w:basedOn w:val="a0"/>
    <w:link w:val="4"/>
    <w:uiPriority w:val="9"/>
    <w:semiHidden/>
    <w:rPr>
      <w:rFonts w:asciiTheme="majorHAnsi" w:eastAsiaTheme="majorEastAsia" w:hAnsiTheme="majorHAnsi" w:cstheme="majorBidi"/>
      <w:b/>
      <w:bCs/>
      <w:sz w:val="28"/>
      <w:szCs w:val="28"/>
    </w:rPr>
  </w:style>
  <w:style w:type="character" w:customStyle="1" w:styleId="13">
    <w:name w:val="未处理的提及1"/>
    <w:basedOn w:val="a0"/>
    <w:uiPriority w:val="99"/>
    <w:semiHidden/>
    <w:unhideWhenUsed/>
    <w:rPr>
      <w:color w:val="605E5C"/>
      <w:shd w:val="clear" w:color="auto" w:fill="E1DFDD"/>
    </w:rPr>
  </w:style>
  <w:style w:type="character" w:customStyle="1" w:styleId="2Char">
    <w:name w:val="标题 2 Char"/>
    <w:basedOn w:val="a0"/>
    <w:link w:val="2"/>
    <w:uiPriority w:val="9"/>
    <w:semiHidden/>
    <w:rPr>
      <w:rFonts w:asciiTheme="majorHAnsi" w:eastAsiaTheme="majorEastAsia" w:hAnsiTheme="majorHAnsi" w:cstheme="majorBidi"/>
      <w:b/>
      <w:bCs/>
      <w:sz w:val="32"/>
      <w:szCs w:val="32"/>
    </w:rPr>
  </w:style>
  <w:style w:type="paragraph" w:styleId="a8">
    <w:name w:val="header"/>
    <w:basedOn w:val="a"/>
    <w:link w:val="Char0"/>
    <w:uiPriority w:val="99"/>
    <w:unhideWhenUsed/>
    <w:rsid w:val="001C169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rsid w:val="001C169A"/>
    <w:rPr>
      <w:kern w:val="2"/>
      <w:sz w:val="18"/>
      <w:szCs w:val="18"/>
    </w:rPr>
  </w:style>
  <w:style w:type="paragraph" w:styleId="a9">
    <w:name w:val="footer"/>
    <w:basedOn w:val="a"/>
    <w:link w:val="Char1"/>
    <w:uiPriority w:val="99"/>
    <w:unhideWhenUsed/>
    <w:rsid w:val="001C169A"/>
    <w:pPr>
      <w:tabs>
        <w:tab w:val="center" w:pos="4153"/>
        <w:tab w:val="right" w:pos="8306"/>
      </w:tabs>
      <w:snapToGrid w:val="0"/>
      <w:jc w:val="left"/>
    </w:pPr>
    <w:rPr>
      <w:sz w:val="18"/>
      <w:szCs w:val="18"/>
    </w:rPr>
  </w:style>
  <w:style w:type="character" w:customStyle="1" w:styleId="Char1">
    <w:name w:val="页脚 Char"/>
    <w:basedOn w:val="a0"/>
    <w:link w:val="a9"/>
    <w:uiPriority w:val="99"/>
    <w:rsid w:val="001C169A"/>
    <w:rPr>
      <w:kern w:val="2"/>
      <w:sz w:val="18"/>
      <w:szCs w:val="18"/>
    </w:rPr>
  </w:style>
  <w:style w:type="paragraph" w:styleId="aa">
    <w:name w:val="Balloon Text"/>
    <w:basedOn w:val="a"/>
    <w:link w:val="Char2"/>
    <w:uiPriority w:val="99"/>
    <w:semiHidden/>
    <w:unhideWhenUsed/>
    <w:rsid w:val="001C169A"/>
    <w:rPr>
      <w:sz w:val="18"/>
      <w:szCs w:val="18"/>
    </w:rPr>
  </w:style>
  <w:style w:type="character" w:customStyle="1" w:styleId="Char2">
    <w:name w:val="批注框文本 Char"/>
    <w:basedOn w:val="a0"/>
    <w:link w:val="aa"/>
    <w:uiPriority w:val="99"/>
    <w:semiHidden/>
    <w:rsid w:val="001C169A"/>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next w:val="a"/>
    <w:link w:val="1Char"/>
    <w:qFormat/>
    <w:pPr>
      <w:keepNext/>
      <w:keepLines/>
      <w:widowControl w:val="0"/>
      <w:spacing w:before="340" w:after="330" w:line="578" w:lineRule="auto"/>
      <w:jc w:val="both"/>
      <w:outlineLvl w:val="0"/>
    </w:pPr>
    <w:rPr>
      <w:b/>
      <w:kern w:val="44"/>
      <w:sz w:val="44"/>
      <w:szCs w:val="44"/>
    </w:rPr>
  </w:style>
  <w:style w:type="paragraph" w:styleId="2">
    <w:name w:val="heading 2"/>
    <w:basedOn w:val="a"/>
    <w:next w:val="a"/>
    <w:link w:val="2Char"/>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unhideWhenUsed/>
    <w:pPr>
      <w:ind w:left="1260"/>
      <w:jc w:val="left"/>
    </w:pPr>
    <w:rPr>
      <w:rFonts w:asciiTheme="minorHAnsi" w:eastAsiaTheme="minorHAnsi"/>
      <w:sz w:val="18"/>
      <w:szCs w:val="18"/>
    </w:rPr>
  </w:style>
  <w:style w:type="paragraph" w:styleId="5">
    <w:name w:val="toc 5"/>
    <w:basedOn w:val="a"/>
    <w:next w:val="a"/>
    <w:uiPriority w:val="39"/>
    <w:unhideWhenUsed/>
    <w:pPr>
      <w:ind w:left="840"/>
      <w:jc w:val="left"/>
    </w:pPr>
    <w:rPr>
      <w:rFonts w:asciiTheme="minorHAnsi" w:eastAsiaTheme="minorHAnsi"/>
      <w:sz w:val="18"/>
      <w:szCs w:val="18"/>
    </w:rPr>
  </w:style>
  <w:style w:type="paragraph" w:styleId="3">
    <w:name w:val="toc 3"/>
    <w:basedOn w:val="a"/>
    <w:next w:val="a"/>
    <w:uiPriority w:val="39"/>
    <w:unhideWhenUsed/>
    <w:pPr>
      <w:ind w:left="420"/>
      <w:jc w:val="left"/>
    </w:pPr>
    <w:rPr>
      <w:rFonts w:asciiTheme="minorHAnsi" w:eastAsiaTheme="minorHAnsi"/>
      <w:i/>
      <w:iCs/>
      <w:sz w:val="20"/>
      <w:szCs w:val="20"/>
    </w:rPr>
  </w:style>
  <w:style w:type="paragraph" w:styleId="8">
    <w:name w:val="toc 8"/>
    <w:basedOn w:val="a"/>
    <w:next w:val="a"/>
    <w:uiPriority w:val="39"/>
    <w:unhideWhenUsed/>
    <w:pPr>
      <w:ind w:left="1470"/>
      <w:jc w:val="left"/>
    </w:pPr>
    <w:rPr>
      <w:rFonts w:asciiTheme="minorHAnsi" w:eastAsiaTheme="minorHAnsi"/>
      <w:sz w:val="18"/>
      <w:szCs w:val="18"/>
    </w:rPr>
  </w:style>
  <w:style w:type="paragraph" w:styleId="10">
    <w:name w:val="toc 1"/>
    <w:basedOn w:val="a"/>
    <w:next w:val="a"/>
    <w:uiPriority w:val="39"/>
    <w:unhideWhenUsed/>
    <w:pPr>
      <w:tabs>
        <w:tab w:val="right" w:leader="dot" w:pos="8296"/>
      </w:tabs>
      <w:spacing w:before="120" w:after="120"/>
      <w:jc w:val="left"/>
    </w:pPr>
    <w:rPr>
      <w:rFonts w:ascii="宋体" w:hAnsi="宋体"/>
      <w:b/>
      <w:bCs/>
      <w:caps/>
      <w:sz w:val="20"/>
      <w:szCs w:val="20"/>
    </w:rPr>
  </w:style>
  <w:style w:type="paragraph" w:styleId="40">
    <w:name w:val="toc 4"/>
    <w:basedOn w:val="a"/>
    <w:next w:val="a"/>
    <w:uiPriority w:val="39"/>
    <w:unhideWhenUsed/>
    <w:pPr>
      <w:ind w:left="630"/>
      <w:jc w:val="left"/>
    </w:pPr>
    <w:rPr>
      <w:rFonts w:asciiTheme="minorHAnsi" w:eastAsiaTheme="minorHAnsi"/>
      <w:sz w:val="18"/>
      <w:szCs w:val="18"/>
    </w:rPr>
  </w:style>
  <w:style w:type="paragraph" w:styleId="6">
    <w:name w:val="toc 6"/>
    <w:basedOn w:val="a"/>
    <w:next w:val="a"/>
    <w:uiPriority w:val="39"/>
    <w:unhideWhenUsed/>
    <w:pPr>
      <w:ind w:left="1050"/>
      <w:jc w:val="left"/>
    </w:pPr>
    <w:rPr>
      <w:rFonts w:asciiTheme="minorHAnsi" w:eastAsiaTheme="minorHAnsi"/>
      <w:sz w:val="18"/>
      <w:szCs w:val="18"/>
    </w:rPr>
  </w:style>
  <w:style w:type="paragraph" w:styleId="20">
    <w:name w:val="toc 2"/>
    <w:basedOn w:val="a"/>
    <w:next w:val="a"/>
    <w:uiPriority w:val="39"/>
    <w:unhideWhenUsed/>
    <w:pPr>
      <w:ind w:left="210"/>
      <w:jc w:val="left"/>
    </w:pPr>
    <w:rPr>
      <w:rFonts w:asciiTheme="minorHAnsi" w:eastAsiaTheme="minorHAnsi"/>
      <w:smallCaps/>
      <w:sz w:val="20"/>
      <w:szCs w:val="20"/>
    </w:rPr>
  </w:style>
  <w:style w:type="paragraph" w:styleId="9">
    <w:name w:val="toc 9"/>
    <w:basedOn w:val="a"/>
    <w:next w:val="a"/>
    <w:uiPriority w:val="39"/>
    <w:unhideWhenUsed/>
    <w:pPr>
      <w:ind w:left="1680"/>
      <w:jc w:val="left"/>
    </w:pPr>
    <w:rPr>
      <w:rFonts w:asciiTheme="minorHAnsi" w:eastAsiaTheme="minorHAnsi"/>
      <w:sz w:val="18"/>
      <w:szCs w:val="18"/>
    </w:rPr>
  </w:style>
  <w:style w:type="paragraph" w:styleId="a3">
    <w:name w:val="Normal (Web)"/>
    <w:basedOn w:val="a"/>
    <w:uiPriority w:val="99"/>
    <w:semiHidden/>
    <w:unhideWhenUsed/>
    <w:rPr>
      <w:sz w:val="24"/>
      <w:szCs w:val="24"/>
    </w:rPr>
  </w:style>
  <w:style w:type="table" w:styleId="a4">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Pr>
      <w:color w:val="0563C1" w:themeColor="hyperlink"/>
      <w:u w:val="single"/>
    </w:rPr>
  </w:style>
  <w:style w:type="character" w:customStyle="1" w:styleId="1Char">
    <w:name w:val="标题 1 Char"/>
    <w:basedOn w:val="a0"/>
    <w:link w:val="1"/>
    <w:qFormat/>
    <w:rPr>
      <w:rFonts w:ascii="Times New Roman" w:eastAsia="宋体" w:hAnsi="Times New Roman" w:cs="Times New Roman"/>
      <w:b/>
      <w:kern w:val="44"/>
      <w:sz w:val="44"/>
      <w:szCs w:val="44"/>
    </w:rPr>
  </w:style>
  <w:style w:type="character" w:customStyle="1" w:styleId="11">
    <w:name w:val="明显强调1"/>
    <w:basedOn w:val="a0"/>
    <w:uiPriority w:val="21"/>
    <w:qFormat/>
    <w:rPr>
      <w:i/>
      <w:iCs/>
      <w:color w:val="5B9BD5"/>
    </w:rPr>
  </w:style>
  <w:style w:type="paragraph" w:styleId="a6">
    <w:name w:val="List Paragraph"/>
    <w:basedOn w:val="a"/>
    <w:uiPriority w:val="34"/>
    <w:qFormat/>
    <w:pPr>
      <w:ind w:firstLineChars="200" w:firstLine="420"/>
    </w:pPr>
  </w:style>
  <w:style w:type="paragraph" w:styleId="a7">
    <w:name w:val="Quote"/>
    <w:basedOn w:val="a"/>
    <w:next w:val="a"/>
    <w:link w:val="Char"/>
    <w:uiPriority w:val="29"/>
    <w:qFormat/>
    <w:pPr>
      <w:spacing w:before="200" w:after="160"/>
      <w:ind w:left="864" w:right="864"/>
      <w:jc w:val="center"/>
    </w:pPr>
    <w:rPr>
      <w:i/>
      <w:iCs/>
      <w:color w:val="404040"/>
    </w:rPr>
  </w:style>
  <w:style w:type="character" w:customStyle="1" w:styleId="Char">
    <w:name w:val="引用 Char"/>
    <w:basedOn w:val="a0"/>
    <w:link w:val="a7"/>
    <w:uiPriority w:val="29"/>
    <w:qFormat/>
    <w:rPr>
      <w:rFonts w:ascii="Times New Roman" w:eastAsia="宋体" w:hAnsi="Times New Roman" w:cs="Times New Roman"/>
      <w:i/>
      <w:iCs/>
      <w:color w:val="404040"/>
      <w:szCs w:val="22"/>
    </w:rPr>
  </w:style>
  <w:style w:type="character" w:customStyle="1" w:styleId="12">
    <w:name w:val="明显参考1"/>
    <w:basedOn w:val="a0"/>
    <w:uiPriority w:val="32"/>
    <w:qFormat/>
    <w:rPr>
      <w:b/>
      <w:bCs/>
      <w:smallCaps/>
      <w:color w:val="5B9BD5"/>
      <w:spacing w:val="5"/>
    </w:rPr>
  </w:style>
  <w:style w:type="character" w:customStyle="1" w:styleId="4Char">
    <w:name w:val="标题 4 Char"/>
    <w:basedOn w:val="a0"/>
    <w:link w:val="4"/>
    <w:uiPriority w:val="9"/>
    <w:semiHidden/>
    <w:rPr>
      <w:rFonts w:asciiTheme="majorHAnsi" w:eastAsiaTheme="majorEastAsia" w:hAnsiTheme="majorHAnsi" w:cstheme="majorBidi"/>
      <w:b/>
      <w:bCs/>
      <w:sz w:val="28"/>
      <w:szCs w:val="28"/>
    </w:rPr>
  </w:style>
  <w:style w:type="character" w:customStyle="1" w:styleId="13">
    <w:name w:val="未处理的提及1"/>
    <w:basedOn w:val="a0"/>
    <w:uiPriority w:val="99"/>
    <w:semiHidden/>
    <w:unhideWhenUsed/>
    <w:rPr>
      <w:color w:val="605E5C"/>
      <w:shd w:val="clear" w:color="auto" w:fill="E1DFDD"/>
    </w:rPr>
  </w:style>
  <w:style w:type="character" w:customStyle="1" w:styleId="2Char">
    <w:name w:val="标题 2 Char"/>
    <w:basedOn w:val="a0"/>
    <w:link w:val="2"/>
    <w:uiPriority w:val="9"/>
    <w:semiHidden/>
    <w:rPr>
      <w:rFonts w:asciiTheme="majorHAnsi" w:eastAsiaTheme="majorEastAsia" w:hAnsiTheme="majorHAnsi" w:cstheme="majorBidi"/>
      <w:b/>
      <w:bCs/>
      <w:sz w:val="32"/>
      <w:szCs w:val="32"/>
    </w:rPr>
  </w:style>
  <w:style w:type="paragraph" w:styleId="a8">
    <w:name w:val="header"/>
    <w:basedOn w:val="a"/>
    <w:link w:val="Char0"/>
    <w:uiPriority w:val="99"/>
    <w:unhideWhenUsed/>
    <w:rsid w:val="001C169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8"/>
    <w:uiPriority w:val="99"/>
    <w:rsid w:val="001C169A"/>
    <w:rPr>
      <w:kern w:val="2"/>
      <w:sz w:val="18"/>
      <w:szCs w:val="18"/>
    </w:rPr>
  </w:style>
  <w:style w:type="paragraph" w:styleId="a9">
    <w:name w:val="footer"/>
    <w:basedOn w:val="a"/>
    <w:link w:val="Char1"/>
    <w:uiPriority w:val="99"/>
    <w:unhideWhenUsed/>
    <w:rsid w:val="001C169A"/>
    <w:pPr>
      <w:tabs>
        <w:tab w:val="center" w:pos="4153"/>
        <w:tab w:val="right" w:pos="8306"/>
      </w:tabs>
      <w:snapToGrid w:val="0"/>
      <w:jc w:val="left"/>
    </w:pPr>
    <w:rPr>
      <w:sz w:val="18"/>
      <w:szCs w:val="18"/>
    </w:rPr>
  </w:style>
  <w:style w:type="character" w:customStyle="1" w:styleId="Char1">
    <w:name w:val="页脚 Char"/>
    <w:basedOn w:val="a0"/>
    <w:link w:val="a9"/>
    <w:uiPriority w:val="99"/>
    <w:rsid w:val="001C169A"/>
    <w:rPr>
      <w:kern w:val="2"/>
      <w:sz w:val="18"/>
      <w:szCs w:val="18"/>
    </w:rPr>
  </w:style>
  <w:style w:type="paragraph" w:styleId="aa">
    <w:name w:val="Balloon Text"/>
    <w:basedOn w:val="a"/>
    <w:link w:val="Char2"/>
    <w:uiPriority w:val="99"/>
    <w:semiHidden/>
    <w:unhideWhenUsed/>
    <w:rsid w:val="001C169A"/>
    <w:rPr>
      <w:sz w:val="18"/>
      <w:szCs w:val="18"/>
    </w:rPr>
  </w:style>
  <w:style w:type="character" w:customStyle="1" w:styleId="Char2">
    <w:name w:val="批注框文本 Char"/>
    <w:basedOn w:val="a0"/>
    <w:link w:val="aa"/>
    <w:uiPriority w:val="99"/>
    <w:semiHidden/>
    <w:rsid w:val="001C169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baike.baidu.com/item/%E8%82%A1%E4%BB%BD%E5%88%B6%E5%95%86%E4%B8%9A%E9%93%B6%E8%A1%8C/2131041" TargetMode="External"/><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baike.baidu.com/item/%E4%BC%81%E4%B8%9A%E7%AE%A1%E7%90%86%E5%92%A8%E8%AF%A2/2754871" TargetMode="External"/><Relationship Id="rId38" Type="http://schemas.openxmlformats.org/officeDocument/2006/relationships/image" Target="media/image24.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baike.baidu.com/item/%E6%8A%95%E8%B5%84%E5%92%A8%E8%AF%A2/7802019"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aike.baidu.com/item/%E5%8C%85%E5%A4%B4%E5%B8%82/3408874" TargetMode="External"/><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baike.baidu.com/item/%E4%BC%81%E4%B8%9A%E7%AE%A1%E7%90%86%E5%92%A8%E8%AF%A2/2754871" TargetMode="External"/><Relationship Id="rId44" Type="http://schemas.openxmlformats.org/officeDocument/2006/relationships/image" Target="media/image29.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baike.baidu.com/item/%E6%80%BB%E9%83%A8/5289033" TargetMode="External"/><Relationship Id="rId30" Type="http://schemas.openxmlformats.org/officeDocument/2006/relationships/image" Target="media/image19.png"/><Relationship Id="rId35" Type="http://schemas.openxmlformats.org/officeDocument/2006/relationships/image" Target="media/image21.png"/><Relationship Id="rId43" Type="http://schemas.openxmlformats.org/officeDocument/2006/relationships/hyperlink" Target="https://baike.baidu.com/item/2018%E4%B8%96%E7%95%8C%E5%93%81%E7%89%8C500%E5%BC%BA/23215459" TargetMode="External"/><Relationship Id="rId48"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A9C3B-0B18-4702-BC9A-B4847D1BD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23810</Words>
  <Characters>135722</Characters>
  <Application>Microsoft Office Word</Application>
  <DocSecurity>0</DocSecurity>
  <Lines>1131</Lines>
  <Paragraphs>318</Paragraphs>
  <ScaleCrop>false</ScaleCrop>
  <Company/>
  <LinksUpToDate>false</LinksUpToDate>
  <CharactersWithSpaces>159214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20110</dc:creator>
  <cp:lastModifiedBy>bitliangzi</cp:lastModifiedBy>
  <cp:revision>12</cp:revision>
  <dcterms:created xsi:type="dcterms:W3CDTF">2022-05-28T01:56:00Z</dcterms:created>
  <dcterms:modified xsi:type="dcterms:W3CDTF">2022-06-24T13:28:00Z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CA7340D2AE13460797031EE4D4A743BB</vt:lpwstr>
  </property>
</Properties>
</file>