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040"/>
          <w:tab w:val="left" w:pos="2340"/>
        </w:tabs>
        <w:rPr>
          <w:rFonts w:hint="eastAsia" w:ascii="宋体" w:hAnsi="宋体" w:eastAsia="宋体" w:cs="宋体"/>
          <w:b/>
          <w:sz w:val="56"/>
        </w:rPr>
      </w:pPr>
    </w:p>
    <w:p>
      <w:pPr>
        <w:tabs>
          <w:tab w:val="left" w:pos="2040"/>
          <w:tab w:val="left" w:pos="2340"/>
        </w:tabs>
        <w:jc w:val="center"/>
        <w:rPr>
          <w:rFonts w:hint="eastAsia" w:ascii="宋体" w:hAnsi="宋体" w:eastAsia="宋体" w:cs="宋体"/>
          <w:b/>
          <w:sz w:val="56"/>
        </w:rPr>
      </w:pPr>
      <w:r>
        <w:rPr>
          <w:rFonts w:hint="eastAsia" w:ascii="宋体" w:hAnsi="宋体" w:eastAsia="宋体" w:cs="宋体"/>
          <w:b/>
          <w:sz w:val="56"/>
        </w:rPr>
        <w:t>审计案例数据分析</w:t>
      </w:r>
    </w:p>
    <w:p>
      <w:pPr>
        <w:tabs>
          <w:tab w:val="left" w:pos="2040"/>
          <w:tab w:val="left" w:pos="2340"/>
        </w:tabs>
        <w:jc w:val="center"/>
        <w:rPr>
          <w:rFonts w:hint="eastAsia" w:ascii="宋体" w:hAnsi="宋体" w:eastAsia="宋体" w:cs="宋体"/>
          <w:b/>
          <w:sz w:val="56"/>
        </w:rPr>
      </w:pPr>
    </w:p>
    <w:p>
      <w:pPr>
        <w:jc w:val="center"/>
        <w:rPr>
          <w:rFonts w:hint="eastAsia" w:ascii="宋体" w:hAnsi="宋体" w:eastAsia="宋体" w:cs="宋体"/>
          <w:lang w:eastAsia="zh-CN"/>
        </w:rPr>
      </w:pPr>
      <w:r>
        <w:rPr>
          <w:rFonts w:hint="eastAsia" w:ascii="宋体" w:hAnsi="宋体" w:eastAsia="宋体" w:cs="宋体"/>
        </w:rPr>
        <w:t>小组成员：张</w:t>
      </w:r>
      <w:r>
        <w:rPr>
          <w:rFonts w:hint="eastAsia" w:ascii="宋体" w:hAnsi="宋体" w:eastAsia="宋体" w:cs="宋体"/>
          <w:lang w:val="en-US" w:eastAsia="zh-CN"/>
        </w:rPr>
        <w:t>慧敏</w:t>
      </w:r>
      <w:r>
        <w:rPr>
          <w:rFonts w:hint="eastAsia" w:ascii="宋体" w:hAnsi="宋体" w:eastAsia="宋体" w:cs="宋体"/>
        </w:rPr>
        <w:t>、</w:t>
      </w:r>
      <w:r>
        <w:rPr>
          <w:rFonts w:hint="eastAsia" w:ascii="宋体" w:hAnsi="宋体" w:eastAsia="宋体" w:cs="宋体"/>
          <w:lang w:val="en-US" w:eastAsia="zh-CN"/>
        </w:rPr>
        <w:t>于天孜、张雨欣</w:t>
      </w:r>
      <w:r>
        <w:rPr>
          <w:rFonts w:hint="eastAsia" w:ascii="宋体" w:hAnsi="宋体" w:eastAsia="宋体" w:cs="宋体"/>
        </w:rPr>
        <w:t>、</w:t>
      </w:r>
      <w:r>
        <w:rPr>
          <w:rFonts w:hint="eastAsia" w:ascii="宋体" w:hAnsi="宋体" w:eastAsia="宋体" w:cs="宋体"/>
          <w:lang w:val="en-US" w:eastAsia="zh-CN"/>
        </w:rPr>
        <w:t>朱新宇</w:t>
      </w:r>
    </w:p>
    <w:p>
      <w:pPr>
        <w:widowControl/>
        <w:jc w:val="left"/>
        <w:rPr>
          <w:rFonts w:hint="eastAsia" w:ascii="宋体" w:hAnsi="宋体" w:eastAsia="宋体" w:cs="宋体"/>
        </w:rPr>
      </w:pPr>
      <w:r>
        <w:rPr>
          <w:rFonts w:hint="eastAsia" w:ascii="宋体" w:hAnsi="宋体" w:eastAsia="宋体" w:cs="宋体"/>
        </w:rPr>
        <w:br w:type="page"/>
      </w:r>
      <w:bookmarkStart w:id="0" w:name="_Toc515709069"/>
    </w:p>
    <w:sdt>
      <w:sdtPr>
        <w:rPr>
          <w:rFonts w:ascii="宋体" w:hAnsi="宋体" w:eastAsia="宋体" w:cs="Times New Roman"/>
          <w:kern w:val="2"/>
          <w:sz w:val="21"/>
          <w:szCs w:val="22"/>
          <w:lang w:val="en-US" w:eastAsia="zh-CN" w:bidi="ar-SA"/>
        </w:rPr>
        <w:id w:val="147478797"/>
        <w15:color w:val="DBDBDB"/>
        <w:docPartObj>
          <w:docPartGallery w:val="Table of Contents"/>
          <w:docPartUnique/>
        </w:docPartObj>
      </w:sdtPr>
      <w:sdtEndPr>
        <w:rPr>
          <w:rFonts w:hint="eastAsia" w:ascii="宋体" w:hAnsi="宋体" w:eastAsia="宋体" w:cs="宋体"/>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TOC \o "1-1" \h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_Toc15786 </w:instrText>
          </w:r>
          <w:r>
            <w:rPr>
              <w:rFonts w:hint="eastAsia" w:ascii="宋体" w:hAnsi="宋体" w:eastAsia="宋体" w:cs="宋体"/>
            </w:rPr>
            <w:fldChar w:fldCharType="separate"/>
          </w:r>
          <w:r>
            <w:rPr>
              <w:rFonts w:hint="eastAsia" w:ascii="宋体" w:hAnsi="宋体" w:eastAsia="宋体" w:cs="宋体"/>
            </w:rPr>
            <w:t>01-10 主要分析人：</w:t>
          </w:r>
          <w:r>
            <w:rPr>
              <w:rFonts w:hint="eastAsia" w:ascii="宋体" w:hAnsi="宋体" w:eastAsia="宋体" w:cs="宋体"/>
              <w:lang w:val="en-US" w:eastAsia="zh-CN"/>
            </w:rPr>
            <w:t>张慧敏</w:t>
          </w:r>
          <w:r>
            <w:tab/>
          </w:r>
          <w:r>
            <w:fldChar w:fldCharType="begin"/>
          </w:r>
          <w:r>
            <w:instrText xml:space="preserve"> PAGEREF _Toc15786 </w:instrText>
          </w:r>
          <w:r>
            <w:fldChar w:fldCharType="separate"/>
          </w:r>
          <w:r>
            <w:t>4</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_Toc7689 </w:instrText>
          </w:r>
          <w:r>
            <w:rPr>
              <w:rFonts w:hint="eastAsia" w:ascii="宋体" w:hAnsi="宋体" w:eastAsia="宋体" w:cs="宋体"/>
            </w:rPr>
            <w:fldChar w:fldCharType="separate"/>
          </w:r>
          <w:r>
            <w:rPr>
              <w:rFonts w:hint="eastAsia" w:ascii="宋体" w:hAnsi="宋体" w:eastAsia="宋体" w:cs="宋体"/>
            </w:rPr>
            <w:t>01</w:t>
          </w:r>
          <w:r>
            <w:rPr>
              <w:rFonts w:hint="eastAsia" w:ascii="宋体" w:hAnsi="宋体" w:eastAsia="宋体" w:cs="宋体"/>
              <w:lang w:val="en-US" w:eastAsia="zh-CN"/>
            </w:rPr>
            <w:t xml:space="preserve"> 康美药业</w:t>
          </w:r>
          <w:r>
            <w:rPr>
              <w:rFonts w:hint="eastAsia" w:ascii="宋体" w:hAnsi="宋体" w:eastAsia="宋体" w:cs="宋体"/>
            </w:rPr>
            <w:t>事件</w:t>
          </w:r>
          <w:r>
            <w:tab/>
          </w:r>
          <w:r>
            <w:fldChar w:fldCharType="begin"/>
          </w:r>
          <w:r>
            <w:instrText xml:space="preserve"> PAGEREF _Toc7689 </w:instrText>
          </w:r>
          <w:r>
            <w:fldChar w:fldCharType="separate"/>
          </w:r>
          <w:r>
            <w:t>4</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_Toc21093 </w:instrText>
          </w:r>
          <w:r>
            <w:rPr>
              <w:rFonts w:hint="eastAsia" w:ascii="宋体" w:hAnsi="宋体" w:eastAsia="宋体" w:cs="宋体"/>
            </w:rPr>
            <w:fldChar w:fldCharType="separate"/>
          </w:r>
          <w:r>
            <w:rPr>
              <w:rFonts w:hint="eastAsia" w:ascii="宋体" w:hAnsi="宋体" w:eastAsia="宋体" w:cs="宋体"/>
            </w:rPr>
            <w:t>02</w:t>
          </w:r>
          <w:r>
            <w:rPr>
              <w:rFonts w:hint="eastAsia" w:ascii="宋体" w:hAnsi="宋体" w:eastAsia="宋体" w:cs="宋体"/>
              <w:lang w:val="en-US" w:eastAsia="zh-CN"/>
            </w:rPr>
            <w:t xml:space="preserve"> 辅仁药业事件</w:t>
          </w:r>
          <w:r>
            <w:tab/>
          </w:r>
          <w:r>
            <w:fldChar w:fldCharType="begin"/>
          </w:r>
          <w:r>
            <w:instrText xml:space="preserve"> PAGEREF _Toc21093 </w:instrText>
          </w:r>
          <w:r>
            <w:fldChar w:fldCharType="separate"/>
          </w:r>
          <w:r>
            <w:t>8</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_Toc5337 </w:instrText>
          </w:r>
          <w:r>
            <w:rPr>
              <w:rFonts w:hint="eastAsia" w:ascii="宋体" w:hAnsi="宋体" w:eastAsia="宋体" w:cs="宋体"/>
            </w:rPr>
            <w:fldChar w:fldCharType="separate"/>
          </w:r>
          <w:r>
            <w:rPr>
              <w:rFonts w:hint="eastAsia" w:ascii="宋体" w:hAnsi="宋体" w:eastAsia="宋体" w:cs="宋体"/>
            </w:rPr>
            <w:t>03</w:t>
          </w:r>
          <w:r>
            <w:rPr>
              <w:rFonts w:hint="eastAsia" w:ascii="宋体" w:hAnsi="宋体" w:eastAsia="宋体" w:cs="宋体"/>
              <w:lang w:val="en-US" w:eastAsia="zh-CN"/>
            </w:rPr>
            <w:t xml:space="preserve"> </w:t>
          </w:r>
          <w:r>
            <w:rPr>
              <w:rFonts w:hint="eastAsia" w:ascii="宋体" w:hAnsi="宋体" w:cs="宋体"/>
              <w:lang w:val="en-US" w:eastAsia="zh-CN"/>
            </w:rPr>
            <w:t>康德新事件</w:t>
          </w:r>
          <w:r>
            <w:tab/>
          </w:r>
          <w:r>
            <w:fldChar w:fldCharType="begin"/>
          </w:r>
          <w:r>
            <w:instrText xml:space="preserve"> PAGEREF _Toc5337 </w:instrText>
          </w:r>
          <w:r>
            <w:fldChar w:fldCharType="separate"/>
          </w:r>
          <w:r>
            <w:t>10</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_Toc20239 </w:instrText>
          </w:r>
          <w:r>
            <w:rPr>
              <w:rFonts w:hint="eastAsia" w:ascii="宋体" w:hAnsi="宋体" w:eastAsia="宋体" w:cs="宋体"/>
            </w:rPr>
            <w:fldChar w:fldCharType="separate"/>
          </w:r>
          <w:r>
            <w:rPr>
              <w:rFonts w:hint="eastAsia" w:ascii="宋体" w:hAnsi="宋体" w:eastAsia="宋体" w:cs="宋体"/>
            </w:rPr>
            <w:t>04</w:t>
          </w:r>
          <w:r>
            <w:rPr>
              <w:rFonts w:hint="eastAsia" w:ascii="宋体" w:hAnsi="宋体" w:eastAsia="宋体" w:cs="宋体"/>
              <w:lang w:val="en-US" w:eastAsia="zh-CN"/>
            </w:rPr>
            <w:t xml:space="preserve"> </w:t>
          </w:r>
          <w:r>
            <w:rPr>
              <w:rFonts w:hint="eastAsia" w:ascii="宋体" w:hAnsi="宋体" w:cs="宋体"/>
              <w:lang w:val="en-US" w:eastAsia="zh-CN"/>
            </w:rPr>
            <w:t>新大地事件</w:t>
          </w:r>
          <w:r>
            <w:tab/>
          </w:r>
          <w:r>
            <w:fldChar w:fldCharType="begin"/>
          </w:r>
          <w:r>
            <w:instrText xml:space="preserve"> PAGEREF _Toc20239 </w:instrText>
          </w:r>
          <w:r>
            <w:fldChar w:fldCharType="separate"/>
          </w:r>
          <w:r>
            <w:t>13</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_Toc31529 </w:instrText>
          </w:r>
          <w:r>
            <w:rPr>
              <w:rFonts w:hint="eastAsia" w:ascii="宋体" w:hAnsi="宋体" w:eastAsia="宋体" w:cs="宋体"/>
            </w:rPr>
            <w:fldChar w:fldCharType="separate"/>
          </w:r>
          <w:r>
            <w:rPr>
              <w:rFonts w:hint="eastAsia" w:ascii="宋体" w:hAnsi="宋体" w:eastAsia="宋体" w:cs="宋体"/>
            </w:rPr>
            <w:t xml:space="preserve">05 </w:t>
          </w:r>
          <w:r>
            <w:rPr>
              <w:rFonts w:hint="eastAsia" w:ascii="宋体" w:hAnsi="宋体" w:eastAsia="宋体" w:cs="宋体"/>
              <w:lang w:val="en-US" w:eastAsia="zh-CN"/>
            </w:rPr>
            <w:t xml:space="preserve"> </w:t>
          </w:r>
          <w:r>
            <w:rPr>
              <w:rFonts w:hint="eastAsia" w:ascii="宋体" w:hAnsi="宋体" w:cs="宋体"/>
              <w:lang w:val="en-US" w:eastAsia="zh-CN"/>
            </w:rPr>
            <w:t>千山药机事件</w:t>
          </w:r>
          <w:r>
            <w:tab/>
          </w:r>
          <w:r>
            <w:fldChar w:fldCharType="begin"/>
          </w:r>
          <w:r>
            <w:instrText xml:space="preserve"> PAGEREF _Toc31529 </w:instrText>
          </w:r>
          <w:r>
            <w:fldChar w:fldCharType="separate"/>
          </w:r>
          <w:r>
            <w:t>18</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_Toc2134 </w:instrText>
          </w:r>
          <w:r>
            <w:rPr>
              <w:rFonts w:hint="eastAsia" w:ascii="宋体" w:hAnsi="宋体" w:eastAsia="宋体" w:cs="宋体"/>
            </w:rPr>
            <w:fldChar w:fldCharType="separate"/>
          </w:r>
          <w:r>
            <w:rPr>
              <w:rFonts w:hint="eastAsia" w:ascii="宋体" w:hAnsi="宋体" w:eastAsia="宋体" w:cs="宋体"/>
            </w:rPr>
            <w:t>06</w:t>
          </w:r>
          <w:r>
            <w:rPr>
              <w:rFonts w:hint="eastAsia" w:ascii="宋体" w:hAnsi="宋体" w:eastAsia="宋体" w:cs="宋体"/>
              <w:lang w:val="en-US" w:eastAsia="zh-CN"/>
            </w:rPr>
            <w:t xml:space="preserve"> </w:t>
          </w:r>
          <w:r>
            <w:rPr>
              <w:rFonts w:hint="eastAsia" w:ascii="宋体" w:hAnsi="宋体" w:cs="宋体"/>
              <w:lang w:val="en-US" w:eastAsia="zh-CN"/>
            </w:rPr>
            <w:t>尔康制药事件</w:t>
          </w:r>
          <w:r>
            <w:tab/>
          </w:r>
          <w:r>
            <w:fldChar w:fldCharType="begin"/>
          </w:r>
          <w:r>
            <w:instrText xml:space="preserve"> PAGEREF _Toc2134 </w:instrText>
          </w:r>
          <w:r>
            <w:fldChar w:fldCharType="separate"/>
          </w:r>
          <w:r>
            <w:t>23</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_Toc1874 </w:instrText>
          </w:r>
          <w:r>
            <w:rPr>
              <w:rFonts w:hint="eastAsia" w:ascii="宋体" w:hAnsi="宋体" w:eastAsia="宋体" w:cs="宋体"/>
            </w:rPr>
            <w:fldChar w:fldCharType="separate"/>
          </w:r>
          <w:r>
            <w:rPr>
              <w:rFonts w:hint="eastAsia" w:ascii="宋体" w:hAnsi="宋体" w:eastAsia="宋体" w:cs="宋体"/>
            </w:rPr>
            <w:t>07</w:t>
          </w:r>
          <w:r>
            <w:rPr>
              <w:rFonts w:hint="eastAsia" w:ascii="宋体" w:hAnsi="宋体" w:eastAsia="宋体" w:cs="宋体"/>
              <w:lang w:val="en-US" w:eastAsia="zh-CN"/>
            </w:rPr>
            <w:t xml:space="preserve"> </w:t>
          </w:r>
          <w:r>
            <w:rPr>
              <w:rFonts w:hint="eastAsia" w:ascii="宋体" w:hAnsi="宋体" w:cs="宋体"/>
              <w:lang w:val="en-US" w:eastAsia="zh-CN"/>
            </w:rPr>
            <w:t>皇台酒业事件</w:t>
          </w:r>
          <w:r>
            <w:tab/>
          </w:r>
          <w:r>
            <w:fldChar w:fldCharType="begin"/>
          </w:r>
          <w:r>
            <w:instrText xml:space="preserve"> PAGEREF _Toc1874 </w:instrText>
          </w:r>
          <w:r>
            <w:fldChar w:fldCharType="separate"/>
          </w:r>
          <w:r>
            <w:t>29</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_Toc17928 </w:instrText>
          </w:r>
          <w:r>
            <w:rPr>
              <w:rFonts w:hint="eastAsia" w:ascii="宋体" w:hAnsi="宋体" w:eastAsia="宋体" w:cs="宋体"/>
            </w:rPr>
            <w:fldChar w:fldCharType="separate"/>
          </w:r>
          <w:r>
            <w:rPr>
              <w:rFonts w:hint="eastAsia" w:ascii="宋体" w:hAnsi="宋体" w:eastAsia="宋体" w:cs="宋体"/>
            </w:rPr>
            <w:t>08</w:t>
          </w:r>
          <w:r>
            <w:rPr>
              <w:rFonts w:hint="eastAsia" w:ascii="宋体" w:hAnsi="宋体" w:eastAsia="宋体" w:cs="宋体"/>
              <w:lang w:val="en-US" w:eastAsia="zh-CN"/>
            </w:rPr>
            <w:t xml:space="preserve"> </w:t>
          </w:r>
          <w:r>
            <w:rPr>
              <w:rFonts w:hint="eastAsia" w:ascii="宋体" w:hAnsi="宋体" w:cs="宋体"/>
              <w:lang w:val="en-US" w:eastAsia="zh-CN"/>
            </w:rPr>
            <w:t>风华高科事件</w:t>
          </w:r>
          <w:r>
            <w:tab/>
          </w:r>
          <w:r>
            <w:fldChar w:fldCharType="begin"/>
          </w:r>
          <w:r>
            <w:instrText xml:space="preserve"> PAGEREF _Toc17928 </w:instrText>
          </w:r>
          <w:r>
            <w:fldChar w:fldCharType="separate"/>
          </w:r>
          <w:r>
            <w:t>31</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_Toc2391 </w:instrText>
          </w:r>
          <w:r>
            <w:rPr>
              <w:rFonts w:hint="eastAsia" w:ascii="宋体" w:hAnsi="宋体" w:eastAsia="宋体" w:cs="宋体"/>
            </w:rPr>
            <w:fldChar w:fldCharType="separate"/>
          </w:r>
          <w:r>
            <w:rPr>
              <w:rFonts w:hint="eastAsia" w:ascii="宋体" w:hAnsi="宋体" w:eastAsia="宋体" w:cs="宋体"/>
            </w:rPr>
            <w:t>09</w:t>
          </w:r>
          <w:r>
            <w:rPr>
              <w:rFonts w:hint="eastAsia" w:ascii="宋体" w:hAnsi="宋体" w:eastAsia="宋体" w:cs="宋体"/>
              <w:lang w:val="en-US" w:eastAsia="zh-CN"/>
            </w:rPr>
            <w:t xml:space="preserve"> </w:t>
          </w:r>
          <w:r>
            <w:rPr>
              <w:rFonts w:hint="eastAsia" w:ascii="宋体" w:hAnsi="宋体" w:cs="宋体"/>
              <w:lang w:val="en-US" w:eastAsia="zh-CN"/>
            </w:rPr>
            <w:t>惠而浦事件</w:t>
          </w:r>
          <w:r>
            <w:tab/>
          </w:r>
          <w:r>
            <w:fldChar w:fldCharType="begin"/>
          </w:r>
          <w:r>
            <w:instrText xml:space="preserve"> PAGEREF _Toc2391 </w:instrText>
          </w:r>
          <w:r>
            <w:fldChar w:fldCharType="separate"/>
          </w:r>
          <w:r>
            <w:t>36</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_Toc27075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lang w:val="en-US" w:eastAsia="zh-CN"/>
            </w:rPr>
            <w:t xml:space="preserve"> </w:t>
          </w:r>
          <w:r>
            <w:rPr>
              <w:rFonts w:hint="eastAsia" w:ascii="宋体" w:hAnsi="宋体" w:cs="宋体"/>
              <w:lang w:val="en-US" w:eastAsia="zh-CN"/>
            </w:rPr>
            <w:t>金刚玻璃事件</w:t>
          </w:r>
          <w:r>
            <w:tab/>
          </w:r>
          <w:r>
            <w:fldChar w:fldCharType="begin"/>
          </w:r>
          <w:r>
            <w:instrText xml:space="preserve"> PAGEREF _Toc27075 </w:instrText>
          </w:r>
          <w:r>
            <w:fldChar w:fldCharType="separate"/>
          </w:r>
          <w:r>
            <w:t>38</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_Toc3941 </w:instrText>
          </w:r>
          <w:r>
            <w:rPr>
              <w:rFonts w:hint="eastAsia" w:ascii="宋体" w:hAnsi="宋体" w:eastAsia="宋体" w:cs="宋体"/>
            </w:rPr>
            <w:fldChar w:fldCharType="separate"/>
          </w:r>
          <w:r>
            <w:rPr>
              <w:rFonts w:hint="eastAsia"/>
              <w:lang w:val="en-US" w:eastAsia="zh-CN"/>
            </w:rPr>
            <w:t>1</w:t>
          </w:r>
          <w:r>
            <w:rPr>
              <w:rFonts w:hint="eastAsia"/>
            </w:rPr>
            <w:t>1-</w:t>
          </w:r>
          <w:r>
            <w:rPr>
              <w:rFonts w:hint="eastAsia"/>
              <w:lang w:val="en-US" w:eastAsia="zh-CN"/>
            </w:rPr>
            <w:t>20</w:t>
          </w:r>
          <w:r>
            <w:t xml:space="preserve"> </w:t>
          </w:r>
          <w:r>
            <w:rPr>
              <w:rFonts w:hint="eastAsia"/>
            </w:rPr>
            <w:t>主要分析人：</w:t>
          </w:r>
          <w:r>
            <w:rPr>
              <w:rFonts w:hint="eastAsia"/>
              <w:lang w:val="en-US" w:eastAsia="zh-CN"/>
            </w:rPr>
            <w:t>于天孜</w:t>
          </w:r>
          <w:r>
            <w:tab/>
          </w:r>
          <w:r>
            <w:fldChar w:fldCharType="begin"/>
          </w:r>
          <w:r>
            <w:instrText xml:space="preserve"> PAGEREF _Toc3941 </w:instrText>
          </w:r>
          <w:r>
            <w:fldChar w:fldCharType="separate"/>
          </w:r>
          <w:r>
            <w:t>41</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_Toc14334 </w:instrText>
          </w:r>
          <w:r>
            <w:rPr>
              <w:rFonts w:hint="eastAsia" w:ascii="宋体" w:hAnsi="宋体" w:eastAsia="宋体" w:cs="宋体"/>
            </w:rPr>
            <w:fldChar w:fldCharType="separate"/>
          </w:r>
          <w:r>
            <w:rPr>
              <w:rFonts w:hint="eastAsia"/>
              <w:lang w:val="en-US" w:eastAsia="zh-CN"/>
            </w:rPr>
            <w:t>11 昆明机床财务造假</w:t>
          </w:r>
          <w:r>
            <w:rPr>
              <w:rFonts w:hint="eastAsia"/>
            </w:rPr>
            <w:t>事件</w:t>
          </w:r>
          <w:r>
            <w:tab/>
          </w:r>
          <w:r>
            <w:fldChar w:fldCharType="begin"/>
          </w:r>
          <w:r>
            <w:instrText xml:space="preserve"> PAGEREF _Toc14334 </w:instrText>
          </w:r>
          <w:r>
            <w:fldChar w:fldCharType="separate"/>
          </w:r>
          <w:r>
            <w:t>41</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_Toc26406 </w:instrText>
          </w:r>
          <w:r>
            <w:rPr>
              <w:rFonts w:hint="eastAsia" w:ascii="宋体" w:hAnsi="宋体" w:eastAsia="宋体" w:cs="宋体"/>
            </w:rPr>
            <w:fldChar w:fldCharType="separate"/>
          </w:r>
          <w:r>
            <w:rPr>
              <w:rFonts w:hint="eastAsia"/>
              <w:lang w:val="en-US" w:eastAsia="zh-CN"/>
            </w:rPr>
            <w:t>1</w:t>
          </w:r>
          <w:r>
            <w:rPr>
              <w:rFonts w:hint="eastAsia"/>
            </w:rPr>
            <w:t>2</w:t>
          </w:r>
          <w:r>
            <w:rPr>
              <w:rFonts w:hint="eastAsia"/>
              <w:lang w:val="en-US" w:eastAsia="zh-CN"/>
            </w:rPr>
            <w:t xml:space="preserve"> 万福生科</w:t>
          </w:r>
          <w:r>
            <w:tab/>
          </w:r>
          <w:r>
            <w:fldChar w:fldCharType="begin"/>
          </w:r>
          <w:r>
            <w:instrText xml:space="preserve"> PAGEREF _Toc26406 </w:instrText>
          </w:r>
          <w:r>
            <w:fldChar w:fldCharType="separate"/>
          </w:r>
          <w:r>
            <w:t>44</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_Toc16002 </w:instrText>
          </w:r>
          <w:r>
            <w:rPr>
              <w:rFonts w:hint="eastAsia" w:ascii="宋体" w:hAnsi="宋体" w:eastAsia="宋体" w:cs="宋体"/>
            </w:rPr>
            <w:fldChar w:fldCharType="separate"/>
          </w:r>
          <w:r>
            <w:rPr>
              <w:rFonts w:hint="eastAsia"/>
              <w:lang w:val="en-US" w:eastAsia="zh-CN"/>
            </w:rPr>
            <w:t>1</w:t>
          </w:r>
          <w:r>
            <w:rPr>
              <w:rFonts w:hint="eastAsia"/>
            </w:rPr>
            <w:t>3</w:t>
          </w:r>
          <w:r>
            <w:rPr>
              <w:rFonts w:hint="eastAsia"/>
              <w:lang w:val="en-US" w:eastAsia="zh-CN"/>
            </w:rPr>
            <w:t xml:space="preserve"> 金亚科技</w:t>
          </w:r>
          <w:r>
            <w:tab/>
          </w:r>
          <w:r>
            <w:fldChar w:fldCharType="begin"/>
          </w:r>
          <w:r>
            <w:instrText xml:space="preserve"> PAGEREF _Toc16002 </w:instrText>
          </w:r>
          <w:r>
            <w:fldChar w:fldCharType="separate"/>
          </w:r>
          <w:r>
            <w:t>48</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_Toc10979 </w:instrText>
          </w:r>
          <w:r>
            <w:rPr>
              <w:rFonts w:hint="eastAsia" w:ascii="宋体" w:hAnsi="宋体" w:eastAsia="宋体" w:cs="宋体"/>
            </w:rPr>
            <w:fldChar w:fldCharType="separate"/>
          </w:r>
          <w:r>
            <w:rPr>
              <w:rFonts w:hint="eastAsia"/>
              <w:lang w:val="en-US" w:eastAsia="zh-CN"/>
            </w:rPr>
            <w:t>1</w:t>
          </w:r>
          <w:r>
            <w:rPr>
              <w:rFonts w:hint="eastAsia"/>
            </w:rPr>
            <w:t>4</w:t>
          </w:r>
          <w:r>
            <w:rPr>
              <w:rFonts w:hint="eastAsia"/>
              <w:lang w:val="en-US" w:eastAsia="zh-CN"/>
            </w:rPr>
            <w:t xml:space="preserve"> 圣莱达</w:t>
          </w:r>
          <w:r>
            <w:tab/>
          </w:r>
          <w:r>
            <w:fldChar w:fldCharType="begin"/>
          </w:r>
          <w:r>
            <w:instrText xml:space="preserve"> PAGEREF _Toc10979 </w:instrText>
          </w:r>
          <w:r>
            <w:fldChar w:fldCharType="separate"/>
          </w:r>
          <w:r>
            <w:t>52</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_Toc27535 </w:instrText>
          </w:r>
          <w:r>
            <w:rPr>
              <w:rFonts w:hint="eastAsia" w:ascii="宋体" w:hAnsi="宋体" w:eastAsia="宋体" w:cs="宋体"/>
            </w:rPr>
            <w:fldChar w:fldCharType="separate"/>
          </w:r>
          <w:r>
            <w:rPr>
              <w:rFonts w:hint="eastAsia"/>
              <w:lang w:val="en-US" w:eastAsia="zh-CN"/>
            </w:rPr>
            <w:t>1</w:t>
          </w:r>
          <w:r>
            <w:rPr>
              <w:rFonts w:hint="eastAsia"/>
            </w:rPr>
            <w:t>5</w:t>
          </w:r>
          <w:r>
            <w:t xml:space="preserve"> </w:t>
          </w:r>
          <w:r>
            <w:rPr>
              <w:rFonts w:hint="eastAsia"/>
              <w:lang w:val="en-US" w:eastAsia="zh-CN"/>
            </w:rPr>
            <w:t xml:space="preserve"> 奥瑞德</w:t>
          </w:r>
          <w:r>
            <w:tab/>
          </w:r>
          <w:r>
            <w:fldChar w:fldCharType="begin"/>
          </w:r>
          <w:r>
            <w:instrText xml:space="preserve"> PAGEREF _Toc27535 </w:instrText>
          </w:r>
          <w:r>
            <w:fldChar w:fldCharType="separate"/>
          </w:r>
          <w:r>
            <w:t>56</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_Toc16525 </w:instrText>
          </w:r>
          <w:r>
            <w:rPr>
              <w:rFonts w:hint="eastAsia" w:ascii="宋体" w:hAnsi="宋体" w:eastAsia="宋体" w:cs="宋体"/>
            </w:rPr>
            <w:fldChar w:fldCharType="separate"/>
          </w:r>
          <w:r>
            <w:rPr>
              <w:rFonts w:hint="eastAsia"/>
              <w:lang w:val="en-US" w:eastAsia="zh-CN"/>
            </w:rPr>
            <w:t>1</w:t>
          </w:r>
          <w:r>
            <w:rPr>
              <w:rFonts w:hint="eastAsia"/>
            </w:rPr>
            <w:t>6</w:t>
          </w:r>
          <w:r>
            <w:rPr>
              <w:rFonts w:hint="eastAsia"/>
              <w:lang w:val="en-US" w:eastAsia="zh-CN"/>
            </w:rPr>
            <w:t xml:space="preserve"> 林州重机</w:t>
          </w:r>
          <w:r>
            <w:tab/>
          </w:r>
          <w:r>
            <w:fldChar w:fldCharType="begin"/>
          </w:r>
          <w:r>
            <w:instrText xml:space="preserve"> PAGEREF _Toc16525 </w:instrText>
          </w:r>
          <w:r>
            <w:fldChar w:fldCharType="separate"/>
          </w:r>
          <w:r>
            <w:t>60</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_Toc17215 </w:instrText>
          </w:r>
          <w:r>
            <w:rPr>
              <w:rFonts w:hint="eastAsia" w:ascii="宋体" w:hAnsi="宋体" w:eastAsia="宋体" w:cs="宋体"/>
            </w:rPr>
            <w:fldChar w:fldCharType="separate"/>
          </w:r>
          <w:r>
            <w:rPr>
              <w:rFonts w:hint="eastAsia"/>
              <w:lang w:val="en-US" w:eastAsia="zh-CN"/>
            </w:rPr>
            <w:t>1</w:t>
          </w:r>
          <w:r>
            <w:rPr>
              <w:rFonts w:hint="eastAsia"/>
            </w:rPr>
            <w:t>7</w:t>
          </w:r>
          <w:r>
            <w:rPr>
              <w:rFonts w:hint="eastAsia"/>
              <w:lang w:val="en-US" w:eastAsia="zh-CN"/>
            </w:rPr>
            <w:t xml:space="preserve"> 斯太尔</w:t>
          </w:r>
          <w:r>
            <w:tab/>
          </w:r>
          <w:r>
            <w:fldChar w:fldCharType="begin"/>
          </w:r>
          <w:r>
            <w:instrText xml:space="preserve"> PAGEREF _Toc17215 </w:instrText>
          </w:r>
          <w:r>
            <w:fldChar w:fldCharType="separate"/>
          </w:r>
          <w:r>
            <w:t>62</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_Toc8731 </w:instrText>
          </w:r>
          <w:r>
            <w:rPr>
              <w:rFonts w:hint="eastAsia" w:ascii="宋体" w:hAnsi="宋体" w:eastAsia="宋体" w:cs="宋体"/>
            </w:rPr>
            <w:fldChar w:fldCharType="separate"/>
          </w:r>
          <w:r>
            <w:rPr>
              <w:rFonts w:hint="eastAsia"/>
              <w:lang w:val="en-US" w:eastAsia="zh-CN"/>
            </w:rPr>
            <w:t>1</w:t>
          </w:r>
          <w:r>
            <w:rPr>
              <w:rFonts w:hint="eastAsia"/>
            </w:rPr>
            <w:t>8</w:t>
          </w:r>
          <w:r>
            <w:rPr>
              <w:rFonts w:hint="eastAsia"/>
              <w:lang w:val="en-US" w:eastAsia="zh-CN"/>
            </w:rPr>
            <w:t xml:space="preserve"> 宁波东力</w:t>
          </w:r>
          <w:r>
            <w:tab/>
          </w:r>
          <w:r>
            <w:fldChar w:fldCharType="begin"/>
          </w:r>
          <w:r>
            <w:instrText xml:space="preserve"> PAGEREF _Toc8731 </w:instrText>
          </w:r>
          <w:r>
            <w:fldChar w:fldCharType="separate"/>
          </w:r>
          <w:r>
            <w:t>65</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_Toc19682 </w:instrText>
          </w:r>
          <w:r>
            <w:rPr>
              <w:rFonts w:hint="eastAsia" w:ascii="宋体" w:hAnsi="宋体" w:eastAsia="宋体" w:cs="宋体"/>
            </w:rPr>
            <w:fldChar w:fldCharType="separate"/>
          </w:r>
          <w:r>
            <w:rPr>
              <w:rFonts w:hint="eastAsia"/>
              <w:lang w:val="en-US" w:eastAsia="zh-CN"/>
            </w:rPr>
            <w:t>1</w:t>
          </w:r>
          <w:r>
            <w:rPr>
              <w:rFonts w:hint="eastAsia"/>
            </w:rPr>
            <w:t>9</w:t>
          </w:r>
          <w:r>
            <w:rPr>
              <w:rFonts w:hint="eastAsia"/>
              <w:lang w:val="en-US" w:eastAsia="zh-CN"/>
            </w:rPr>
            <w:t xml:space="preserve"> 延安必康</w:t>
          </w:r>
          <w:r>
            <w:tab/>
          </w:r>
          <w:r>
            <w:fldChar w:fldCharType="begin"/>
          </w:r>
          <w:r>
            <w:instrText xml:space="preserve"> PAGEREF _Toc19682 </w:instrText>
          </w:r>
          <w:r>
            <w:fldChar w:fldCharType="separate"/>
          </w:r>
          <w:r>
            <w:t>68</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_Toc16874 </w:instrText>
          </w:r>
          <w:r>
            <w:rPr>
              <w:rFonts w:hint="eastAsia" w:ascii="宋体" w:hAnsi="宋体" w:eastAsia="宋体" w:cs="宋体"/>
            </w:rPr>
            <w:fldChar w:fldCharType="separate"/>
          </w:r>
          <w:r>
            <w:rPr>
              <w:rFonts w:hint="eastAsia"/>
              <w:lang w:val="en-US" w:eastAsia="zh-CN"/>
            </w:rPr>
            <w:t>2</w:t>
          </w:r>
          <w:r>
            <w:rPr>
              <w:rFonts w:hint="eastAsia"/>
            </w:rPr>
            <w:t>0</w:t>
          </w:r>
          <w:r>
            <w:rPr>
              <w:rFonts w:hint="eastAsia"/>
              <w:lang w:val="en-US" w:eastAsia="zh-CN"/>
            </w:rPr>
            <w:t xml:space="preserve"> 东方金钰——姐告宏宁</w:t>
          </w:r>
          <w:r>
            <w:tab/>
          </w:r>
          <w:r>
            <w:fldChar w:fldCharType="begin"/>
          </w:r>
          <w:r>
            <w:instrText xml:space="preserve"> PAGEREF _Toc16874 </w:instrText>
          </w:r>
          <w:r>
            <w:fldChar w:fldCharType="separate"/>
          </w:r>
          <w:r>
            <w:t>70</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_Toc24686 </w:instrText>
          </w:r>
          <w:r>
            <w:rPr>
              <w:rFonts w:hint="eastAsia" w:ascii="宋体" w:hAnsi="宋体" w:eastAsia="宋体" w:cs="宋体"/>
            </w:rPr>
            <w:fldChar w:fldCharType="separate"/>
          </w:r>
          <w:r>
            <w:rPr>
              <w:rFonts w:hint="eastAsia"/>
              <w:lang w:val="en-US" w:eastAsia="zh-CN"/>
            </w:rPr>
            <w:t>21</w:t>
          </w:r>
          <w:r>
            <w:rPr>
              <w:rFonts w:hint="eastAsia"/>
            </w:rPr>
            <w:t>-</w:t>
          </w:r>
          <w:r>
            <w:rPr>
              <w:rFonts w:hint="eastAsia"/>
              <w:lang w:val="en-US" w:eastAsia="zh-CN"/>
            </w:rPr>
            <w:t>30</w:t>
          </w:r>
          <w:r>
            <w:t xml:space="preserve"> </w:t>
          </w:r>
          <w:r>
            <w:rPr>
              <w:rFonts w:hint="eastAsia"/>
            </w:rPr>
            <w:t>主要分析人：</w:t>
          </w:r>
          <w:r>
            <w:rPr>
              <w:rFonts w:hint="eastAsia"/>
              <w:lang w:val="en-US" w:eastAsia="zh-CN"/>
            </w:rPr>
            <w:t>张雨欣</w:t>
          </w:r>
          <w:r>
            <w:tab/>
          </w:r>
          <w:r>
            <w:fldChar w:fldCharType="begin"/>
          </w:r>
          <w:r>
            <w:instrText xml:space="preserve"> PAGEREF _Toc24686 </w:instrText>
          </w:r>
          <w:r>
            <w:fldChar w:fldCharType="separate"/>
          </w:r>
          <w:r>
            <w:t>73</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_Toc13052 </w:instrText>
          </w:r>
          <w:r>
            <w:rPr>
              <w:rFonts w:hint="eastAsia" w:ascii="宋体" w:hAnsi="宋体" w:eastAsia="宋体" w:cs="宋体"/>
            </w:rPr>
            <w:fldChar w:fldCharType="separate"/>
          </w:r>
          <w:r>
            <w:rPr>
              <w:rFonts w:hint="eastAsia"/>
              <w:lang w:val="en-US" w:eastAsia="zh-CN"/>
            </w:rPr>
            <w:t>21 紫鑫药业</w:t>
          </w:r>
          <w:r>
            <w:rPr>
              <w:rFonts w:hint="eastAsia"/>
            </w:rPr>
            <w:t>事件</w:t>
          </w:r>
          <w:r>
            <w:tab/>
          </w:r>
          <w:r>
            <w:fldChar w:fldCharType="begin"/>
          </w:r>
          <w:r>
            <w:instrText xml:space="preserve"> PAGEREF _Toc13052 </w:instrText>
          </w:r>
          <w:r>
            <w:fldChar w:fldCharType="separate"/>
          </w:r>
          <w:r>
            <w:t>73</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_Toc31799 </w:instrText>
          </w:r>
          <w:r>
            <w:rPr>
              <w:rFonts w:hint="eastAsia" w:ascii="宋体" w:hAnsi="宋体" w:eastAsia="宋体" w:cs="宋体"/>
            </w:rPr>
            <w:fldChar w:fldCharType="separate"/>
          </w:r>
          <w:r>
            <w:rPr>
              <w:rFonts w:hint="eastAsia"/>
              <w:lang w:val="en-US" w:eastAsia="zh-CN"/>
            </w:rPr>
            <w:t>22 ST国药事件</w:t>
          </w:r>
          <w:r>
            <w:tab/>
          </w:r>
          <w:r>
            <w:fldChar w:fldCharType="begin"/>
          </w:r>
          <w:r>
            <w:instrText xml:space="preserve"> PAGEREF _Toc31799 </w:instrText>
          </w:r>
          <w:r>
            <w:fldChar w:fldCharType="separate"/>
          </w:r>
          <w:r>
            <w:t>76</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_Toc15430 </w:instrText>
          </w:r>
          <w:r>
            <w:rPr>
              <w:rFonts w:hint="eastAsia" w:ascii="宋体" w:hAnsi="宋体" w:eastAsia="宋体" w:cs="宋体"/>
            </w:rPr>
            <w:fldChar w:fldCharType="separate"/>
          </w:r>
          <w:r>
            <w:rPr>
              <w:rFonts w:hint="eastAsia"/>
              <w:lang w:val="en-US" w:eastAsia="zh-CN"/>
            </w:rPr>
            <w:t>23 抚顺特钢事件</w:t>
          </w:r>
          <w:r>
            <w:tab/>
          </w:r>
          <w:r>
            <w:fldChar w:fldCharType="begin"/>
          </w:r>
          <w:r>
            <w:instrText xml:space="preserve"> PAGEREF _Toc15430 </w:instrText>
          </w:r>
          <w:r>
            <w:fldChar w:fldCharType="separate"/>
          </w:r>
          <w:r>
            <w:t>79</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_Toc19843 </w:instrText>
          </w:r>
          <w:r>
            <w:rPr>
              <w:rFonts w:hint="eastAsia" w:ascii="宋体" w:hAnsi="宋体" w:eastAsia="宋体" w:cs="宋体"/>
            </w:rPr>
            <w:fldChar w:fldCharType="separate"/>
          </w:r>
          <w:r>
            <w:rPr>
              <w:rFonts w:hint="eastAsia"/>
              <w:lang w:val="en-US" w:eastAsia="zh-CN"/>
            </w:rPr>
            <w:t>24  康尼机电收购龙昕科技事件</w:t>
          </w:r>
          <w:r>
            <w:tab/>
          </w:r>
          <w:r>
            <w:fldChar w:fldCharType="begin"/>
          </w:r>
          <w:r>
            <w:instrText xml:space="preserve"> PAGEREF _Toc19843 </w:instrText>
          </w:r>
          <w:r>
            <w:fldChar w:fldCharType="separate"/>
          </w:r>
          <w:r>
            <w:t>82</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_Toc30585 </w:instrText>
          </w:r>
          <w:r>
            <w:rPr>
              <w:rFonts w:hint="eastAsia" w:ascii="宋体" w:hAnsi="宋体" w:eastAsia="宋体" w:cs="宋体"/>
            </w:rPr>
            <w:fldChar w:fldCharType="separate"/>
          </w:r>
          <w:r>
            <w:rPr>
              <w:rFonts w:hint="eastAsia"/>
              <w:lang w:val="en-US" w:eastAsia="zh-CN"/>
            </w:rPr>
            <w:t>25</w:t>
          </w:r>
          <w:r>
            <w:t xml:space="preserve"> </w:t>
          </w:r>
          <w:r>
            <w:rPr>
              <w:rFonts w:hint="eastAsia"/>
              <w:lang w:val="en-US" w:eastAsia="zh-CN"/>
            </w:rPr>
            <w:t xml:space="preserve"> </w:t>
          </w:r>
          <w:r>
            <w:rPr>
              <w:rFonts w:hint="eastAsia"/>
              <w:shd w:val="clear" w:color="auto" w:fill="FFFFFF"/>
              <w:lang w:val="en-US" w:eastAsia="zh-CN"/>
            </w:rPr>
            <w:t>东旭光电事件</w:t>
          </w:r>
          <w:r>
            <w:tab/>
          </w:r>
          <w:r>
            <w:fldChar w:fldCharType="begin"/>
          </w:r>
          <w:r>
            <w:instrText xml:space="preserve"> PAGEREF _Toc30585 </w:instrText>
          </w:r>
          <w:r>
            <w:fldChar w:fldCharType="separate"/>
          </w:r>
          <w:r>
            <w:t>85</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_Toc10946 </w:instrText>
          </w:r>
          <w:r>
            <w:rPr>
              <w:rFonts w:hint="eastAsia" w:ascii="宋体" w:hAnsi="宋体" w:eastAsia="宋体" w:cs="宋体"/>
            </w:rPr>
            <w:fldChar w:fldCharType="separate"/>
          </w:r>
          <w:r>
            <w:rPr>
              <w:rFonts w:hint="eastAsia"/>
              <w:lang w:val="en-US" w:eastAsia="zh-CN"/>
            </w:rPr>
            <w:t>2</w:t>
          </w:r>
          <w:r>
            <w:rPr>
              <w:rFonts w:hint="eastAsia"/>
            </w:rPr>
            <w:t>6</w:t>
          </w:r>
          <w:r>
            <w:rPr>
              <w:rFonts w:hint="eastAsia"/>
              <w:lang w:val="en-US" w:eastAsia="zh-CN"/>
            </w:rPr>
            <w:t xml:space="preserve">  盈方微事件</w:t>
          </w:r>
          <w:r>
            <w:tab/>
          </w:r>
          <w:r>
            <w:fldChar w:fldCharType="begin"/>
          </w:r>
          <w:r>
            <w:instrText xml:space="preserve"> PAGEREF _Toc10946 </w:instrText>
          </w:r>
          <w:r>
            <w:fldChar w:fldCharType="separate"/>
          </w:r>
          <w:r>
            <w:t>89</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_Toc24283 </w:instrText>
          </w:r>
          <w:r>
            <w:rPr>
              <w:rFonts w:hint="eastAsia" w:ascii="宋体" w:hAnsi="宋体" w:eastAsia="宋体" w:cs="宋体"/>
            </w:rPr>
            <w:fldChar w:fldCharType="separate"/>
          </w:r>
          <w:r>
            <w:rPr>
              <w:rFonts w:hint="eastAsia"/>
              <w:lang w:val="en-US" w:eastAsia="zh-CN"/>
            </w:rPr>
            <w:t xml:space="preserve">27  </w:t>
          </w:r>
          <w:r>
            <w:rPr>
              <w:rFonts w:hint="eastAsia"/>
              <w:shd w:val="clear" w:color="auto" w:fill="FDFDFD"/>
              <w:lang w:val="en-US" w:eastAsia="zh-CN"/>
            </w:rPr>
            <w:t>雅本化学事件</w:t>
          </w:r>
          <w:r>
            <w:tab/>
          </w:r>
          <w:r>
            <w:fldChar w:fldCharType="begin"/>
          </w:r>
          <w:r>
            <w:instrText xml:space="preserve"> PAGEREF _Toc24283 </w:instrText>
          </w:r>
          <w:r>
            <w:fldChar w:fldCharType="separate"/>
          </w:r>
          <w:r>
            <w:t>92</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_Toc29798 </w:instrText>
          </w:r>
          <w:r>
            <w:rPr>
              <w:rFonts w:hint="eastAsia" w:ascii="宋体" w:hAnsi="宋体" w:eastAsia="宋体" w:cs="宋体"/>
            </w:rPr>
            <w:fldChar w:fldCharType="separate"/>
          </w:r>
          <w:r>
            <w:rPr>
              <w:rFonts w:hint="eastAsia"/>
              <w:lang w:val="en-US" w:eastAsia="zh-CN"/>
            </w:rPr>
            <w:t>28  长园集团事件</w:t>
          </w:r>
          <w:r>
            <w:tab/>
          </w:r>
          <w:r>
            <w:fldChar w:fldCharType="begin"/>
          </w:r>
          <w:r>
            <w:instrText xml:space="preserve"> PAGEREF _Toc29798 </w:instrText>
          </w:r>
          <w:r>
            <w:fldChar w:fldCharType="separate"/>
          </w:r>
          <w:r>
            <w:t>94</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_Toc2866 </w:instrText>
          </w:r>
          <w:r>
            <w:rPr>
              <w:rFonts w:hint="eastAsia" w:ascii="宋体" w:hAnsi="宋体" w:eastAsia="宋体" w:cs="宋体"/>
            </w:rPr>
            <w:fldChar w:fldCharType="separate"/>
          </w:r>
          <w:r>
            <w:rPr>
              <w:rFonts w:hint="eastAsia"/>
              <w:lang w:val="en-US" w:eastAsia="zh-CN"/>
            </w:rPr>
            <w:t>29  亚太药业事件</w:t>
          </w:r>
          <w:r>
            <w:tab/>
          </w:r>
          <w:r>
            <w:fldChar w:fldCharType="begin"/>
          </w:r>
          <w:r>
            <w:instrText xml:space="preserve"> PAGEREF _Toc2866 </w:instrText>
          </w:r>
          <w:r>
            <w:fldChar w:fldCharType="separate"/>
          </w:r>
          <w:r>
            <w:t>101</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_Toc14777 </w:instrText>
          </w:r>
          <w:r>
            <w:rPr>
              <w:rFonts w:hint="eastAsia" w:ascii="宋体" w:hAnsi="宋体" w:eastAsia="宋体" w:cs="宋体"/>
            </w:rPr>
            <w:fldChar w:fldCharType="separate"/>
          </w:r>
          <w:r>
            <w:rPr>
              <w:rFonts w:hint="eastAsia"/>
              <w:lang w:val="en-US" w:eastAsia="zh-CN"/>
            </w:rPr>
            <w:t>30 新纶科技事件</w:t>
          </w:r>
          <w:r>
            <w:tab/>
          </w:r>
          <w:r>
            <w:fldChar w:fldCharType="begin"/>
          </w:r>
          <w:r>
            <w:instrText xml:space="preserve"> PAGEREF _Toc14777 </w:instrText>
          </w:r>
          <w:r>
            <w:fldChar w:fldCharType="separate"/>
          </w:r>
          <w:r>
            <w:t>104</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_Toc10707 </w:instrText>
          </w:r>
          <w:r>
            <w:rPr>
              <w:rFonts w:hint="eastAsia" w:ascii="宋体" w:hAnsi="宋体" w:eastAsia="宋体" w:cs="宋体"/>
            </w:rPr>
            <w:fldChar w:fldCharType="separate"/>
          </w:r>
          <w:r>
            <w:rPr>
              <w:rFonts w:hint="eastAsia"/>
              <w:lang w:val="en-US" w:eastAsia="zh-CN"/>
            </w:rPr>
            <w:t>3</w:t>
          </w:r>
          <w:r>
            <w:rPr>
              <w:rFonts w:hint="eastAsia"/>
            </w:rPr>
            <w:t>1-</w:t>
          </w:r>
          <w:r>
            <w:rPr>
              <w:rFonts w:hint="eastAsia"/>
              <w:lang w:val="en-US" w:eastAsia="zh-CN"/>
            </w:rPr>
            <w:t>4</w:t>
          </w:r>
          <w:r>
            <w:t xml:space="preserve">0 </w:t>
          </w:r>
          <w:r>
            <w:rPr>
              <w:rFonts w:hint="eastAsia"/>
            </w:rPr>
            <w:t>主要分析人：</w:t>
          </w:r>
          <w:r>
            <w:rPr>
              <w:rFonts w:hint="eastAsia"/>
              <w:lang w:val="en-US" w:eastAsia="zh-CN"/>
            </w:rPr>
            <w:t>朱新宇</w:t>
          </w:r>
          <w:r>
            <w:tab/>
          </w:r>
          <w:r>
            <w:fldChar w:fldCharType="begin"/>
          </w:r>
          <w:r>
            <w:instrText xml:space="preserve"> PAGEREF _Toc10707 </w:instrText>
          </w:r>
          <w:r>
            <w:fldChar w:fldCharType="separate"/>
          </w:r>
          <w:r>
            <w:t>112</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_Toc10529 </w:instrText>
          </w:r>
          <w:r>
            <w:rPr>
              <w:rFonts w:hint="eastAsia" w:ascii="宋体" w:hAnsi="宋体" w:eastAsia="宋体" w:cs="宋体"/>
            </w:rPr>
            <w:fldChar w:fldCharType="separate"/>
          </w:r>
          <w:r>
            <w:rPr>
              <w:rFonts w:hint="eastAsia"/>
              <w:lang w:val="en-US" w:eastAsia="zh-CN"/>
            </w:rPr>
            <w:t>31 富控互动</w:t>
          </w:r>
          <w:r>
            <w:rPr>
              <w:rFonts w:hint="eastAsia"/>
            </w:rPr>
            <w:t>事件</w:t>
          </w:r>
          <w:r>
            <w:tab/>
          </w:r>
          <w:r>
            <w:fldChar w:fldCharType="begin"/>
          </w:r>
          <w:r>
            <w:instrText xml:space="preserve"> PAGEREF _Toc10529 </w:instrText>
          </w:r>
          <w:r>
            <w:fldChar w:fldCharType="separate"/>
          </w:r>
          <w:r>
            <w:t>112</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_Toc13392 </w:instrText>
          </w:r>
          <w:r>
            <w:rPr>
              <w:rFonts w:hint="eastAsia" w:ascii="宋体" w:hAnsi="宋体" w:eastAsia="宋体" w:cs="宋体"/>
            </w:rPr>
            <w:fldChar w:fldCharType="separate"/>
          </w:r>
          <w:r>
            <w:rPr>
              <w:rFonts w:hint="eastAsia"/>
              <w:lang w:val="en-US" w:eastAsia="zh-CN"/>
            </w:rPr>
            <w:t>3</w:t>
          </w:r>
          <w:r>
            <w:rPr>
              <w:rFonts w:hint="eastAsia"/>
            </w:rPr>
            <w:t>2</w:t>
          </w:r>
          <w:r>
            <w:rPr>
              <w:rFonts w:hint="eastAsia"/>
              <w:lang w:val="en-US" w:eastAsia="zh-CN"/>
            </w:rPr>
            <w:t xml:space="preserve"> 香溢融通</w:t>
          </w:r>
          <w:r>
            <w:tab/>
          </w:r>
          <w:r>
            <w:fldChar w:fldCharType="begin"/>
          </w:r>
          <w:r>
            <w:instrText xml:space="preserve"> PAGEREF _Toc13392 </w:instrText>
          </w:r>
          <w:r>
            <w:fldChar w:fldCharType="separate"/>
          </w:r>
          <w:r>
            <w:t>113</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_Toc20396 </w:instrText>
          </w:r>
          <w:r>
            <w:rPr>
              <w:rFonts w:hint="eastAsia" w:ascii="宋体" w:hAnsi="宋体" w:eastAsia="宋体" w:cs="宋体"/>
            </w:rPr>
            <w:fldChar w:fldCharType="separate"/>
          </w:r>
          <w:r>
            <w:rPr>
              <w:rFonts w:hint="eastAsia"/>
              <w:lang w:val="en-US" w:eastAsia="zh-CN"/>
            </w:rPr>
            <w:t>3</w:t>
          </w:r>
          <w:r>
            <w:rPr>
              <w:rFonts w:hint="eastAsia"/>
            </w:rPr>
            <w:t>3</w:t>
          </w:r>
          <w:r>
            <w:rPr>
              <w:rFonts w:hint="eastAsia"/>
              <w:lang w:val="en-US" w:eastAsia="zh-CN"/>
            </w:rPr>
            <w:t xml:space="preserve"> 凯迪生态</w:t>
          </w:r>
          <w:r>
            <w:tab/>
          </w:r>
          <w:r>
            <w:fldChar w:fldCharType="begin"/>
          </w:r>
          <w:r>
            <w:instrText xml:space="preserve"> PAGEREF _Toc20396 </w:instrText>
          </w:r>
          <w:r>
            <w:fldChar w:fldCharType="separate"/>
          </w:r>
          <w:r>
            <w:t>116</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_Toc32339 </w:instrText>
          </w:r>
          <w:r>
            <w:rPr>
              <w:rFonts w:hint="eastAsia" w:ascii="宋体" w:hAnsi="宋体" w:eastAsia="宋体" w:cs="宋体"/>
            </w:rPr>
            <w:fldChar w:fldCharType="separate"/>
          </w:r>
          <w:r>
            <w:rPr>
              <w:rFonts w:hint="eastAsia"/>
              <w:lang w:val="en-US" w:eastAsia="zh-CN"/>
            </w:rPr>
            <w:t>3</w:t>
          </w:r>
          <w:r>
            <w:rPr>
              <w:rFonts w:hint="eastAsia"/>
            </w:rPr>
            <w:t>4</w:t>
          </w:r>
          <w:r>
            <w:rPr>
              <w:rFonts w:hint="eastAsia"/>
              <w:lang w:val="en-US" w:eastAsia="zh-CN"/>
            </w:rPr>
            <w:t xml:space="preserve"> 仁智股份</w:t>
          </w:r>
          <w:r>
            <w:tab/>
          </w:r>
          <w:r>
            <w:fldChar w:fldCharType="begin"/>
          </w:r>
          <w:r>
            <w:instrText xml:space="preserve"> PAGEREF _Toc32339 </w:instrText>
          </w:r>
          <w:r>
            <w:fldChar w:fldCharType="separate"/>
          </w:r>
          <w:r>
            <w:t>117</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_Toc2524 </w:instrText>
          </w:r>
          <w:r>
            <w:rPr>
              <w:rFonts w:hint="eastAsia" w:ascii="宋体" w:hAnsi="宋体" w:eastAsia="宋体" w:cs="宋体"/>
            </w:rPr>
            <w:fldChar w:fldCharType="separate"/>
          </w:r>
          <w:r>
            <w:rPr>
              <w:rFonts w:hint="eastAsia"/>
              <w:lang w:val="en-US" w:eastAsia="zh-CN"/>
            </w:rPr>
            <w:t>3</w:t>
          </w:r>
          <w:r>
            <w:rPr>
              <w:rFonts w:hint="eastAsia"/>
            </w:rPr>
            <w:t>5</w:t>
          </w:r>
          <w:r>
            <w:t xml:space="preserve"> </w:t>
          </w:r>
          <w:r>
            <w:rPr>
              <w:rFonts w:hint="eastAsia"/>
              <w:lang w:val="en-US" w:eastAsia="zh-CN"/>
            </w:rPr>
            <w:t xml:space="preserve"> 索菱股份</w:t>
          </w:r>
          <w:r>
            <w:tab/>
          </w:r>
          <w:r>
            <w:fldChar w:fldCharType="begin"/>
          </w:r>
          <w:r>
            <w:instrText xml:space="preserve"> PAGEREF _Toc2524 </w:instrText>
          </w:r>
          <w:r>
            <w:fldChar w:fldCharType="separate"/>
          </w:r>
          <w:r>
            <w:t>119</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_Toc5040 </w:instrText>
          </w:r>
          <w:r>
            <w:rPr>
              <w:rFonts w:hint="eastAsia" w:ascii="宋体" w:hAnsi="宋体" w:eastAsia="宋体" w:cs="宋体"/>
            </w:rPr>
            <w:fldChar w:fldCharType="separate"/>
          </w:r>
          <w:r>
            <w:rPr>
              <w:rFonts w:hint="eastAsia"/>
              <w:lang w:val="en-US" w:eastAsia="zh-CN"/>
            </w:rPr>
            <w:t>3</w:t>
          </w:r>
          <w:r>
            <w:rPr>
              <w:rFonts w:hint="eastAsia"/>
            </w:rPr>
            <w:t>6</w:t>
          </w:r>
          <w:r>
            <w:rPr>
              <w:rFonts w:hint="eastAsia"/>
              <w:lang w:val="en-US" w:eastAsia="zh-CN"/>
            </w:rPr>
            <w:t xml:space="preserve"> 恺英网络</w:t>
          </w:r>
          <w:r>
            <w:tab/>
          </w:r>
          <w:r>
            <w:fldChar w:fldCharType="begin"/>
          </w:r>
          <w:r>
            <w:instrText xml:space="preserve"> PAGEREF _Toc5040 </w:instrText>
          </w:r>
          <w:r>
            <w:fldChar w:fldCharType="separate"/>
          </w:r>
          <w:r>
            <w:t>121</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_Toc22549 </w:instrText>
          </w:r>
          <w:r>
            <w:rPr>
              <w:rFonts w:hint="eastAsia" w:ascii="宋体" w:hAnsi="宋体" w:eastAsia="宋体" w:cs="宋体"/>
            </w:rPr>
            <w:fldChar w:fldCharType="separate"/>
          </w:r>
          <w:r>
            <w:rPr>
              <w:rFonts w:hint="eastAsia"/>
              <w:lang w:val="en-US" w:eastAsia="zh-CN"/>
            </w:rPr>
            <w:t>3</w:t>
          </w:r>
          <w:r>
            <w:rPr>
              <w:rFonts w:hint="eastAsia"/>
            </w:rPr>
            <w:t>7</w:t>
          </w:r>
          <w:r>
            <w:rPr>
              <w:rFonts w:hint="eastAsia"/>
              <w:lang w:val="en-US" w:eastAsia="zh-CN"/>
            </w:rPr>
            <w:t xml:space="preserve"> 博腾股份</w:t>
          </w:r>
          <w:r>
            <w:tab/>
          </w:r>
          <w:r>
            <w:fldChar w:fldCharType="begin"/>
          </w:r>
          <w:r>
            <w:instrText xml:space="preserve"> PAGEREF _Toc22549 </w:instrText>
          </w:r>
          <w:r>
            <w:fldChar w:fldCharType="separate"/>
          </w:r>
          <w:r>
            <w:t>122</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_Toc28600 </w:instrText>
          </w:r>
          <w:r>
            <w:rPr>
              <w:rFonts w:hint="eastAsia" w:ascii="宋体" w:hAnsi="宋体" w:eastAsia="宋体" w:cs="宋体"/>
            </w:rPr>
            <w:fldChar w:fldCharType="separate"/>
          </w:r>
          <w:r>
            <w:rPr>
              <w:rFonts w:hint="eastAsia"/>
              <w:lang w:val="en-US" w:eastAsia="zh-CN"/>
            </w:rPr>
            <w:t>3</w:t>
          </w:r>
          <w:r>
            <w:rPr>
              <w:rFonts w:hint="eastAsia"/>
            </w:rPr>
            <w:t>8</w:t>
          </w:r>
          <w:r>
            <w:rPr>
              <w:rFonts w:hint="eastAsia"/>
              <w:lang w:val="en-US" w:eastAsia="zh-CN"/>
            </w:rPr>
            <w:t xml:space="preserve"> 巴士股份</w:t>
          </w:r>
          <w:r>
            <w:tab/>
          </w:r>
          <w:r>
            <w:fldChar w:fldCharType="begin"/>
          </w:r>
          <w:r>
            <w:instrText xml:space="preserve"> PAGEREF _Toc28600 </w:instrText>
          </w:r>
          <w:r>
            <w:fldChar w:fldCharType="separate"/>
          </w:r>
          <w:r>
            <w:t>124</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_Toc6924 </w:instrText>
          </w:r>
          <w:r>
            <w:rPr>
              <w:rFonts w:hint="eastAsia" w:ascii="宋体" w:hAnsi="宋体" w:eastAsia="宋体" w:cs="宋体"/>
            </w:rPr>
            <w:fldChar w:fldCharType="separate"/>
          </w:r>
          <w:r>
            <w:rPr>
              <w:rFonts w:hint="eastAsia"/>
              <w:lang w:val="en-US" w:eastAsia="zh-CN"/>
            </w:rPr>
            <w:t>3</w:t>
          </w:r>
          <w:r>
            <w:rPr>
              <w:rFonts w:hint="eastAsia"/>
            </w:rPr>
            <w:t>9</w:t>
          </w:r>
          <w:r>
            <w:rPr>
              <w:rFonts w:hint="eastAsia"/>
              <w:lang w:val="en-US" w:eastAsia="zh-CN"/>
            </w:rPr>
            <w:t xml:space="preserve"> 科龙电器</w:t>
          </w:r>
          <w:r>
            <w:tab/>
          </w:r>
          <w:r>
            <w:fldChar w:fldCharType="begin"/>
          </w:r>
          <w:r>
            <w:instrText xml:space="preserve"> PAGEREF _Toc6924 </w:instrText>
          </w:r>
          <w:r>
            <w:fldChar w:fldCharType="separate"/>
          </w:r>
          <w:r>
            <w:t>125</w:t>
          </w:r>
          <w:r>
            <w:fldChar w:fldCharType="end"/>
          </w:r>
          <w:r>
            <w:rPr>
              <w:rFonts w:hint="eastAsia" w:ascii="宋体" w:hAnsi="宋体" w:eastAsia="宋体" w:cs="宋体"/>
            </w:rPr>
            <w:fldChar w:fldCharType="end"/>
          </w:r>
        </w:p>
        <w:p>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_Toc8261 </w:instrText>
          </w:r>
          <w:r>
            <w:rPr>
              <w:rFonts w:hint="eastAsia" w:ascii="宋体" w:hAnsi="宋体" w:eastAsia="宋体" w:cs="宋体"/>
            </w:rPr>
            <w:fldChar w:fldCharType="separate"/>
          </w:r>
          <w:r>
            <w:rPr>
              <w:rFonts w:hint="eastAsia"/>
              <w:lang w:val="en-US" w:eastAsia="zh-CN"/>
            </w:rPr>
            <w:t>4</w:t>
          </w:r>
          <w:r>
            <w:rPr>
              <w:rFonts w:hint="eastAsia"/>
            </w:rPr>
            <w:t>0</w:t>
          </w:r>
          <w:r>
            <w:rPr>
              <w:rFonts w:hint="eastAsia"/>
              <w:lang w:val="en-US" w:eastAsia="zh-CN"/>
            </w:rPr>
            <w:t xml:space="preserve"> 科融环境</w:t>
          </w:r>
          <w:r>
            <w:tab/>
          </w:r>
          <w:r>
            <w:fldChar w:fldCharType="begin"/>
          </w:r>
          <w:r>
            <w:instrText xml:space="preserve"> PAGEREF _Toc8261 </w:instrText>
          </w:r>
          <w:r>
            <w:fldChar w:fldCharType="separate"/>
          </w:r>
          <w:r>
            <w:t>127</w:t>
          </w:r>
          <w:r>
            <w:fldChar w:fldCharType="end"/>
          </w:r>
          <w:r>
            <w:rPr>
              <w:rFonts w:hint="eastAsia" w:ascii="宋体" w:hAnsi="宋体" w:eastAsia="宋体" w:cs="宋体"/>
            </w:rPr>
            <w:fldChar w:fldCharType="end"/>
          </w:r>
        </w:p>
        <w:p>
          <w:pPr>
            <w:widowControl/>
            <w:jc w:val="left"/>
            <w:rPr>
              <w:rFonts w:hint="eastAsia" w:ascii="宋体" w:hAnsi="宋体" w:eastAsia="宋体" w:cs="宋体"/>
              <w:kern w:val="2"/>
              <w:sz w:val="21"/>
              <w:szCs w:val="22"/>
              <w:lang w:val="en-US" w:eastAsia="zh-CN" w:bidi="ar-SA"/>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rPr>
            <w:fldChar w:fldCharType="end"/>
          </w:r>
        </w:p>
      </w:sdtContent>
    </w:sdt>
    <w:p>
      <w:pPr>
        <w:pStyle w:val="2"/>
        <w:rPr>
          <w:rFonts w:hint="eastAsia" w:ascii="宋体" w:hAnsi="宋体" w:eastAsia="宋体" w:cs="宋体"/>
          <w:lang w:val="en-US" w:eastAsia="zh-CN"/>
        </w:rPr>
      </w:pPr>
      <w:bookmarkStart w:id="1" w:name="_Toc15786"/>
      <w:r>
        <w:rPr>
          <w:rFonts w:hint="eastAsia" w:ascii="宋体" w:hAnsi="宋体" w:eastAsia="宋体" w:cs="宋体"/>
        </w:rPr>
        <w:t>01-10 主要分析人：</w:t>
      </w:r>
      <w:r>
        <w:rPr>
          <w:rFonts w:hint="eastAsia" w:ascii="宋体" w:hAnsi="宋体" w:eastAsia="宋体" w:cs="宋体"/>
          <w:lang w:val="en-US" w:eastAsia="zh-CN"/>
        </w:rPr>
        <w:t>张慧敏</w:t>
      </w:r>
      <w:bookmarkEnd w:id="1"/>
    </w:p>
    <w:p>
      <w:pPr>
        <w:pStyle w:val="2"/>
        <w:rPr>
          <w:rFonts w:hint="eastAsia" w:ascii="宋体" w:hAnsi="宋体" w:eastAsia="宋体" w:cs="宋体"/>
        </w:rPr>
      </w:pPr>
      <w:bookmarkStart w:id="2" w:name="_Toc7689"/>
      <w:r>
        <w:rPr>
          <w:rFonts w:hint="eastAsia" w:ascii="宋体" w:hAnsi="宋体" w:eastAsia="宋体" w:cs="宋体"/>
        </w:rPr>
        <w:t>01</w:t>
      </w:r>
      <w:r>
        <w:rPr>
          <w:rFonts w:hint="eastAsia" w:ascii="宋体" w:hAnsi="宋体" w:eastAsia="宋体" w:cs="宋体"/>
          <w:lang w:val="en-US" w:eastAsia="zh-CN"/>
        </w:rPr>
        <w:t xml:space="preserve"> 康美药业</w:t>
      </w:r>
      <w:r>
        <w:rPr>
          <w:rFonts w:hint="eastAsia" w:ascii="宋体" w:hAnsi="宋体" w:eastAsia="宋体" w:cs="宋体"/>
        </w:rPr>
        <w:t>事件</w:t>
      </w:r>
      <w:bookmarkEnd w:id="0"/>
      <w:bookmarkEnd w:id="2"/>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1</w:t>
            </w:r>
            <w:r>
              <w:rPr>
                <w:rFonts w:hint="eastAsia" w:ascii="宋体" w:hAnsi="宋体" w:eastAsia="宋体" w:cs="宋体"/>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康美药业股份有限公司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医药制造业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康美药业股份有限公司，简称为“康美药业”(上交所：600518)。1997年，由民营企业家马兴田先生创立，公司位于广东省普宁市，当时是“广东康美药业有限公司”。2000年，开始进行股份化改组。是集药品、中药饮片、中药材和医疗器械等供销一体化的大型医药民营企业之一。公司已通过股权分置改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【案情背景】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2018年10月16日，康美药业在盘中突然跌停，17日再度闪崩跌停，17日之后的4个工作日，康美市值迅速被腰斩。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此后市场上关于康美财务造假的声音越来越响。2018年12月，因涉嫌信息披露违法违规，康美药业被证监会立案调查。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2019年4月29日，康美药业发布更正公告，称其2017年的年报数据存在重大差错。存货少计195亿元，现金多计299亿元。资产负债表、利润表、现金流量表几乎所有数据都需要更正，对2017年财报做出重大调整。4月30日晚间，上交所立刻向康美药业发监管函，称公司在财务管理、信息披露、内部控制等方面可能存在重大疑问，予以高度关注。此外，证监会已对康美药业审计机构正中珠江会计师事务所涉嫌未勤勉尽责立案调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5月17日下午，证监会通报了康美药业调查进展。据证监会称，现已初步查明，康</w:t>
            </w:r>
            <w:bookmarkStart w:id="57" w:name="_GoBack"/>
            <w:bookmarkEnd w:id="57"/>
            <w:r>
              <w:rPr>
                <w:rFonts w:hint="eastAsia" w:ascii="宋体" w:hAnsi="宋体" w:eastAsia="宋体" w:cs="宋体"/>
              </w:rPr>
              <w:t>美药业披露的2016至2018年财务报告存在重大虚假信息，一是使用虚假银行单据虚增存款; 二是通过伪造业务凭证进行收入造假; 三是部分资金转入关联方账户买卖本公司股票。公司涉嫌违反《证券法》第63条等相关规定。</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rPr>
            </w:pPr>
            <w:r>
              <w:rPr>
                <w:rFonts w:hint="eastAsia" w:ascii="宋体" w:hAnsi="宋体" w:eastAsia="宋体" w:cs="宋体"/>
              </w:rPr>
              <w:t>康美药业是曾经的千亿市值白马股、中药行业的龙头，前期已经屡遭质疑，但没有确凿的证据。如今，随着证监会调查进展的通报，财务造假有了实锤。截至2019年12月31日，康美药业市值仅剩186亿元，较上年末458.09亿元缩水六成。</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drawing>
                <wp:inline distT="0" distB="0" distL="114300" distR="114300">
                  <wp:extent cx="3870960" cy="3623310"/>
                  <wp:effectExtent l="0" t="0" r="1524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3870960" cy="36233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r>
              <w:rPr>
                <w:rFonts w:hint="eastAsia" w:ascii="宋体" w:hAnsi="宋体" w:cs="宋体"/>
                <w:lang w:eastAsia="zh-CN"/>
              </w:rPr>
              <w:t>【</w:t>
            </w:r>
            <w:r>
              <w:rPr>
                <w:rFonts w:hint="eastAsia" w:ascii="宋体" w:hAnsi="宋体" w:cs="宋体"/>
                <w:lang w:val="en-US" w:eastAsia="zh-CN"/>
              </w:rPr>
              <w:t>财报分析</w:t>
            </w:r>
            <w:r>
              <w:rPr>
                <w:rFonts w:hint="eastAsia" w:ascii="宋体" w:hAnsi="宋体" w:cs="宋体"/>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r>
              <w:rPr>
                <w:rFonts w:hint="eastAsia" w:ascii="宋体" w:hAnsi="宋体" w:cs="宋体"/>
                <w:lang w:eastAsia="zh-CN"/>
              </w:rPr>
              <w:t>1.1存贷双高。存贷双高问题是康美药业最受公众质疑的地方之一，存贷双高是指一家公司同时拥有高额的银行存款和银行贷款金额，公司一方面需要支付高额的贷款利息，另一方面银行账户上却拥有大量的可用资金。资金利用率低，是对公司资金的巨大浪费，与正常的公司经营逻辑不符。根据康美药业2018年半年报，公司的货币资金余额为399亿元，同时各种有息负债高达347亿元，占公司净资产的比例分别为119%和104%。在利息支出方面，康美药业2018年上半年净利润为25.92亿元，利息支出高达8亿元，占比31%。公司2017年净利润为40.95亿元，利息支出为12.18亿元，占比30%。存贷双高和高额利息支出现象已持续多年，其必要性与合理性让人怀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r>
              <w:rPr>
                <w:rFonts w:hint="eastAsia" w:ascii="宋体" w:hAnsi="宋体" w:cs="宋体"/>
                <w:lang w:eastAsia="zh-CN"/>
              </w:rPr>
              <w:t>1.2经营现金流不足。康美药业另外一个令人诟病的问题就是公司的净现金流量远低于公司的净利润，经营活动产生的现金流不足。净现比是评价经营现金流量的常用指标，净现比=经营现金流量净额÷净利润，反映了企业赚一元钱的利润，会给企业带来多少现金的流入，通常来说，企业的净现比会大于1。反观康美药业财务报表调整前的财务数据，康美药业从2010年至2018年上半年，净利润总额为201.08亿元，而累计产生的经营活动现金流量净额却仅有94.65亿元，净现比为47.1%，即公司每取得1元的净利润，产生的现金流入只有0.47元，远低于正常水平。当然，整个中药行业的经营现金流量普遍较低，但与同行业其他主要的医药企业相比，康美药业的净现比仍处于末端，作为行业领军企业，康美药业经营现金流不足的现象让人难以理解。</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r>
              <w:rPr>
                <w:rFonts w:hint="eastAsia" w:ascii="宋体" w:hAnsi="宋体" w:cs="宋体"/>
                <w:lang w:eastAsia="zh-CN"/>
              </w:rPr>
              <w:t>1.3毛利率异常。在一个竞争充分、开放的市场中，企业能获取的利润率会与行业特征相符。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r>
              <w:rPr>
                <w:rFonts w:hint="eastAsia" w:ascii="宋体" w:hAnsi="宋体" w:cs="宋体"/>
                <w:lang w:eastAsia="zh-CN"/>
              </w:rPr>
              <w:t>无视经济波动，与市场变化关联性不大，持续稳定的毛利率、超额毛利率、较高毛利率或是极低毛利率的出现，需要引起我们的警觉。根据康美药业财务报表未调整前的2018年半年报，公司2018年上半年实现营业收入48.03亿元，毛利率高达26%，虽然整个中药行业毛利率都比较高，但康美药业连续多年毛利率都超过24%，远超常规行业的毛利率水平，让人惊叹的同时，也让人疑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r>
              <w:rPr>
                <w:rFonts w:hint="eastAsia" w:ascii="宋体" w:hAnsi="宋体" w:cs="宋体"/>
                <w:lang w:eastAsia="zh-CN"/>
              </w:rPr>
              <w:t>1.4大股东股权质押比例过高。股权质押是企业融资的方式之一，公司股东将持有的公司股票抵押给金融机构以获得资金。但是如果公司大股东质押股份的比例过高，会形成较大的风险，比如当公司股价低于股票质押价格时，公司可能会遭遇平仓，拉低股价。康美实业作为康美药业的最大股东，其所持有的持有的康美药业91.91%的股权已经质押，股权质押比例如此之高，需引起投资者的注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一、对康美药业股份有限公司责令改正，给予警告，并处以60万元的罚款；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二、对马兴田、许冬瑾给予警告，并分别处以90万元的罚款，其中作为直接负责的主管人员罚款30万元，作为实际控制人罚款60万元；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三、对邱锡伟给予警告，并处以30万元的罚款；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四、对庄义清、温少生、马焕洲给予警告，并分别处以25万元的罚款；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五、对马汉耀、林大浩、李石、江镇平、李定安、罗家谦、林国雄给予警告，并分别处以20万元的罚款；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六、对张弘、郭崇慧、张平、李建华、韩中伟、王敏给予警告，并分别处以15万元的罚款；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七、对唐煦、陈磊给予警告，并分别处以10万元的罚款。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合计罚款：高达595万元巨款。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eastAsia" w:ascii="宋体" w:hAnsi="宋体" w:eastAsia="宋体" w:cs="宋体"/>
              </w:rPr>
            </w:pPr>
            <w:r>
              <w:rPr>
                <w:rFonts w:hint="eastAsia" w:ascii="宋体" w:hAnsi="宋体" w:eastAsia="宋体" w:cs="宋体"/>
              </w:rPr>
              <w:t>正中珠江会计师事务所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rPr>
                <w:rFonts w:hint="eastAsia" w:ascii="宋体" w:hAnsi="宋体" w:eastAsia="宋体" w:cs="宋体"/>
                <w:lang w:val="en-US" w:eastAsia="zh-CN"/>
              </w:rPr>
            </w:pPr>
            <w:r>
              <w:rPr>
                <w:rFonts w:hint="eastAsia" w:ascii="宋体" w:hAnsi="宋体" w:eastAsia="宋体" w:cs="宋体"/>
                <w:lang w:val="en-US" w:eastAsia="zh-CN"/>
              </w:rPr>
              <w:t>审计受罚或责任描述</w:t>
            </w:r>
          </w:p>
        </w:tc>
        <w:tc>
          <w:tcPr>
            <w:tcW w:w="6316" w:type="dxa"/>
          </w:tcPr>
          <w:p>
            <w:pPr>
              <w:rPr>
                <w:rFonts w:hint="eastAsia" w:ascii="宋体" w:hAnsi="宋体" w:eastAsia="宋体" w:cs="宋体"/>
              </w:rPr>
            </w:pPr>
            <w:r>
              <w:rPr>
                <w:rFonts w:hint="eastAsia" w:ascii="宋体" w:hAnsi="宋体" w:eastAsia="宋体" w:cs="宋体"/>
              </w:rPr>
              <w:t>一、对广东正中珠江会计师事务所（特殊普通合伙）责令改正，没收业务收入1,425万元，并处以4,275万元罚款；</w:t>
            </w:r>
          </w:p>
          <w:p>
            <w:pPr>
              <w:rPr>
                <w:rFonts w:hint="eastAsia" w:ascii="宋体" w:hAnsi="宋体" w:eastAsia="宋体" w:cs="宋体"/>
              </w:rPr>
            </w:pPr>
            <w:r>
              <w:rPr>
                <w:rFonts w:hint="eastAsia" w:ascii="宋体" w:hAnsi="宋体" w:eastAsia="宋体" w:cs="宋体"/>
              </w:rPr>
              <w:t>二、对杨文蔚、张静璃、苏创升给予警告，并分别处以10万元罚款；</w:t>
            </w:r>
          </w:p>
          <w:p>
            <w:pPr>
              <w:rPr>
                <w:rFonts w:hint="eastAsia" w:ascii="宋体" w:hAnsi="宋体" w:eastAsia="宋体" w:cs="宋体"/>
              </w:rPr>
            </w:pPr>
            <w:r>
              <w:rPr>
                <w:rFonts w:hint="eastAsia" w:ascii="宋体" w:hAnsi="宋体" w:eastAsia="宋体" w:cs="宋体"/>
              </w:rPr>
              <w:t>三、对刘清给予警告，并处以3万元罚款。</w:t>
            </w:r>
          </w:p>
          <w:p>
            <w:pPr>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keepNext w:val="0"/>
              <w:keepLines w:val="0"/>
              <w:pageBreakBefore w:val="0"/>
              <w:widowControl w:val="0"/>
              <w:tabs>
                <w:tab w:val="left" w:pos="2160"/>
              </w:tabs>
              <w:kinsoku/>
              <w:wordWrap/>
              <w:overflowPunct/>
              <w:topLinePunct w:val="0"/>
              <w:autoSpaceDE/>
              <w:autoSpaceDN/>
              <w:bidi w:val="0"/>
              <w:adjustRightInd/>
              <w:snapToGrid/>
              <w:ind w:firstLine="420" w:firstLineChars="200"/>
              <w:textAlignment w:val="auto"/>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在梳理康美药业的造假过程后，针对案例进行财务造假的原因及后果分析，康美药业造假产生的原因分为内部原因及外部原因，内部原因是从自身利益出发，为了稳定股价，公司治理等；外部原因是审计机构失职，外部监督不力 及违法成本低等。最后，得出两个结论，其一是公司治理的失衡是财务造假的主要原因，其二是审计机构未尽职尽责将会助长财务造假行为的产生。防范财务造假的根本之处，在于做好公司内部治理与监管机制，企业要合理分配企业管理层 权力，建立有效的公司内部治理机制，建立健全内部监督管理制度，并加强企业外部监督，切实发挥第三方审计机构的独立性。</w:t>
            </w:r>
          </w:p>
          <w:p>
            <w:pPr>
              <w:keepNext w:val="0"/>
              <w:keepLines w:val="0"/>
              <w:pageBreakBefore w:val="0"/>
              <w:widowControl w:val="0"/>
              <w:tabs>
                <w:tab w:val="left" w:pos="2160"/>
              </w:tabs>
              <w:kinsoku/>
              <w:wordWrap/>
              <w:overflowPunct/>
              <w:topLinePunct w:val="0"/>
              <w:autoSpaceDE/>
              <w:autoSpaceDN/>
              <w:bidi w:val="0"/>
              <w:adjustRightInd/>
              <w:snapToGrid/>
              <w:ind w:firstLine="422" w:firstLineChars="200"/>
              <w:textAlignment w:val="auto"/>
              <w:rPr>
                <w:rStyle w:val="18"/>
                <w:rFonts w:hint="eastAsia" w:ascii="宋体" w:hAnsi="宋体" w:eastAsia="宋体" w:cs="宋体"/>
                <w:b/>
                <w:bCs/>
                <w:i w:val="0"/>
                <w:iCs w:val="0"/>
                <w:color w:val="auto"/>
              </w:rPr>
            </w:pPr>
            <w:r>
              <w:rPr>
                <w:rStyle w:val="18"/>
                <w:rFonts w:hint="eastAsia" w:ascii="宋体" w:hAnsi="宋体" w:eastAsia="宋体" w:cs="宋体"/>
                <w:b/>
                <w:bCs/>
                <w:i w:val="0"/>
                <w:iCs w:val="0"/>
                <w:color w:val="auto"/>
              </w:rPr>
              <w:t>保证会计师事务所的独立性</w:t>
            </w:r>
          </w:p>
          <w:p>
            <w:pPr>
              <w:keepNext w:val="0"/>
              <w:keepLines w:val="0"/>
              <w:pageBreakBefore w:val="0"/>
              <w:widowControl w:val="0"/>
              <w:tabs>
                <w:tab w:val="left" w:pos="2160"/>
              </w:tabs>
              <w:kinsoku/>
              <w:wordWrap/>
              <w:overflowPunct/>
              <w:topLinePunct w:val="0"/>
              <w:autoSpaceDE/>
              <w:autoSpaceDN/>
              <w:bidi w:val="0"/>
              <w:adjustRightInd/>
              <w:snapToGrid/>
              <w:ind w:firstLine="420" w:firstLineChars="200"/>
              <w:textAlignment w:val="auto"/>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会计师事务所是对上市公司运营情况进行监督的重要一环，会计师事务所作为独立的第三方，对被审计单位的财务报告进行审计并发布审计报告，增财务报表强预期使用者对财务报表的信赖程度，独立性是会计师事务所进行审计工作的基础和灵魂。本案中，广东正中珠江会计师事务所自2000年开始负责康美药业年报的审计工作，至今已为后者连续出具了17份“标准无保留意见”的审计报告，未能发现康美药业的巨额财务造假行为，也未能及时有效地作出预警，会计师事务所工作的独立性和有效性令人怀疑。会计师事务所应全力保证自身的独立性，坚守职业道德底线，监管机构也要强化监督和惩戒机制，保证会计师事务所工作的有序开展。</w:t>
            </w:r>
          </w:p>
          <w:p>
            <w:pPr>
              <w:keepNext w:val="0"/>
              <w:keepLines w:val="0"/>
              <w:pageBreakBefore w:val="0"/>
              <w:widowControl w:val="0"/>
              <w:tabs>
                <w:tab w:val="left" w:pos="2160"/>
              </w:tabs>
              <w:kinsoku/>
              <w:wordWrap/>
              <w:overflowPunct/>
              <w:topLinePunct w:val="0"/>
              <w:autoSpaceDE/>
              <w:autoSpaceDN/>
              <w:bidi w:val="0"/>
              <w:adjustRightInd/>
              <w:snapToGrid/>
              <w:ind w:firstLine="420" w:firstLineChars="200"/>
              <w:textAlignment w:val="auto"/>
              <w:rPr>
                <w:rStyle w:val="18"/>
                <w:rFonts w:hint="eastAsia" w:ascii="宋体" w:hAnsi="宋体" w:eastAsia="宋体" w:cs="宋体"/>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rPr>
                <w:rFonts w:hint="eastAsia" w:ascii="宋体" w:hAnsi="宋体" w:eastAsia="宋体" w:cs="宋体"/>
              </w:rPr>
            </w:pPr>
            <w:r>
              <w:rPr>
                <w:rFonts w:hint="eastAsia" w:ascii="宋体" w:hAnsi="宋体" w:eastAsia="宋体" w:cs="宋体"/>
              </w:rPr>
              <w:t>标准无保留的审计意见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default" w:eastAsia="宋体"/>
                <w:lang w:val="en-US" w:eastAsia="zh-CN"/>
              </w:rPr>
            </w:pPr>
            <w:r>
              <w:rPr>
                <w:rFonts w:hint="eastAsia"/>
                <w:lang w:val="en-US" w:eastAsia="zh-CN"/>
              </w:rPr>
              <w:t>函证、会计差错、关联方交易</w:t>
            </w:r>
          </w:p>
          <w:p/>
          <w:p>
            <w:pPr>
              <w:rPr>
                <w:rFonts w:hint="eastAsia"/>
              </w:rPr>
            </w:pPr>
            <w:r>
              <w:drawing>
                <wp:inline distT="0" distB="0" distL="114300" distR="114300">
                  <wp:extent cx="3870960" cy="3460115"/>
                  <wp:effectExtent l="0" t="0" r="1524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3870960" cy="3460115"/>
                          </a:xfrm>
                          <a:prstGeom prst="rect">
                            <a:avLst/>
                          </a:prstGeom>
                          <a:noFill/>
                          <a:ln>
                            <a:noFill/>
                          </a:ln>
                        </pic:spPr>
                      </pic:pic>
                    </a:graphicData>
                  </a:graphic>
                </wp:inline>
              </w:drawing>
            </w:r>
          </w:p>
        </w:tc>
      </w:tr>
    </w:tbl>
    <w:p>
      <w:pPr>
        <w:pStyle w:val="2"/>
        <w:rPr>
          <w:rFonts w:hint="eastAsia" w:ascii="宋体" w:hAnsi="宋体" w:eastAsia="宋体" w:cs="宋体"/>
          <w:lang w:val="en-US" w:eastAsia="zh-CN"/>
        </w:rPr>
      </w:pPr>
      <w:bookmarkStart w:id="3" w:name="_Toc515709070"/>
      <w:bookmarkStart w:id="4" w:name="_Toc21093"/>
      <w:r>
        <w:rPr>
          <w:rFonts w:hint="eastAsia" w:ascii="宋体" w:hAnsi="宋体" w:eastAsia="宋体" w:cs="宋体"/>
        </w:rPr>
        <w:t>02</w:t>
      </w:r>
      <w:bookmarkEnd w:id="3"/>
      <w:r>
        <w:rPr>
          <w:rFonts w:hint="eastAsia" w:ascii="宋体" w:hAnsi="宋体" w:eastAsia="宋体" w:cs="宋体"/>
          <w:lang w:val="en-US" w:eastAsia="zh-CN"/>
        </w:rPr>
        <w:t xml:space="preserve"> 辅仁药业事件</w:t>
      </w:r>
      <w:bookmarkEnd w:id="4"/>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lang w:val="en-US" w:eastAsia="zh-CN"/>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w:t>
            </w:r>
            <w:r>
              <w:rPr>
                <w:rFonts w:hint="eastAsia" w:ascii="宋体" w:hAnsi="宋体" w:eastAsia="宋体" w:cs="宋体"/>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1</w:t>
            </w:r>
            <w:r>
              <w:rPr>
                <w:rFonts w:hint="eastAsia" w:ascii="宋体" w:hAnsi="宋体" w:eastAsia="宋体" w:cs="宋体"/>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辅仁药业集团有限公司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医药制造业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辅仁药业集团有限公司是一家以药业、酒业为主导产业，集研发、生产、经营、投资、管理于一体的综合性集团公司。旗下拥有辅仁药业集团医药有限公司、河南辅仁堂制药有限公司、开封制药（集团）有限公司、开封豫港制药有限公司、河南辅仁怀庆堂制药有限公司、河南同源制药有限公司、辅仁医药科技开发有限公司、河南省宋河酒业股份有限公司及上市公司上海辅仁实业（集团）有限公司等多家全资、控股子公司。产品涵盖了中、西药制剂，生化制药，生物制药，原料药等多个门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2019年7月16日，辅仁药业发布了股东权益分派公告，简单地说就是要向股东分红，分红方案是A股辅仁药业投资者每股现金分红0.1元（含税），这样辅仁药业需要派发现金红利6271.57万元。上述分配方案已经股东大会审议通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但是3天后，也就是2019年7月19日晚，辅仁药业再发公告称原定的股权登记、现金红利发放日取消，取消的原因是“公司因资金安排原因，未能完成现金分红款项划转，无法按原计划发放现金红利。”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（1）2015年度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辅仁药业未披露辅仁集团、辅仁控股非经营性资金占用的发生额、期末余额6,380万元，以及相关决策程序、占用原因等信息，导致2015年年度报告存在重大遗漏。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上述非经营性资金占用未入账，导致辅仁药业2015年年度报告披露的货币资金期末余额10,315.74万元虚假，虚增货币资金6,380万元占当年年度报告披露的期末净资产的15.17%。</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 2016年度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辅仁药业未披露辅仁集团、辅仁控股非经营性资金占用的期初金额6,380万元、发生额820万元、期末余额7,200万元，以及相关决策程序、占用原因等信息，导致2016年年度报告存在重大遗漏。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上述非经营性资金占用未入账，导致辅仁药业2016年年度报告披露的货币资金期末余额10,512.37万元虚假，虚增货币资金7,200万元占当年年度报告披露的期末净资产的16.63%。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（3） 2017年度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辅仁药业未披露辅仁集团、辅仁控股非经营性资金占用的期初金额57,570万元（含2017年12月26日并表的开药集团，下同）、发生额-10,860万元、期末余额46,710万元，以及相关决策程序、占用原因等信息，导致2017年年度报告存在重大遗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上述非经营性资金占用未入账，导致辅仁药业2017年年度报告披露的货币资金期末余额128,909.47元虚假，虚增货币资金46,710万元占当年年度报告披露的期末净资产的10.02%。</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（4）2018年度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辅仁药业未披露辅仁集团、辅仁控股非经营性资金占用的期初金额46,710万元、发生额86,953.28万元、期末余额133,663.28万元，以及相关决策程序、占用原因等信息，导致2018年年度报告存在重大遗漏。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上述非经营性资金占用未入账，导致辅仁药业2018年年度报告披露的货币资金期末余额165,636.49万元虚假，虚增货币资金133,663.28万元占当年年度报告披露的期末净资产的24.45%。</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rPr>
                <w:rFonts w:hint="eastAsia" w:ascii="宋体" w:hAnsi="宋体" w:eastAsia="宋体" w:cs="宋体"/>
              </w:rPr>
            </w:pPr>
            <w:r>
              <w:rPr>
                <w:rFonts w:hint="eastAsia" w:ascii="宋体" w:hAnsi="宋体" w:eastAsia="宋体" w:cs="宋体"/>
              </w:rPr>
              <w:t>辅仁药业原董事长朱文臣被罚款150万元,禁入市场10年;其余13名高管处以6万-35万元不等的罚款。</w:t>
            </w:r>
          </w:p>
          <w:p>
            <w:pPr>
              <w:rPr>
                <w:rFonts w:hint="eastAsia" w:ascii="宋体" w:hAnsi="宋体" w:eastAsia="宋体" w:cs="宋体"/>
              </w:rPr>
            </w:pPr>
            <w:r>
              <w:rPr>
                <w:rFonts w:hint="eastAsia" w:ascii="宋体" w:hAnsi="宋体" w:eastAsia="宋体" w:cs="宋体"/>
              </w:rPr>
              <w:t>一、对辅仁药业定期报告存在虚假记载、重大遗漏，以及未及时披露关联方担保的行为，责令辅仁药业集团制药股份有限公司改正，给予警告，并处以60万元的罚款；对朱文臣给予警告，并处以90万元罚款，其中作为直接负责的主管人员罚款30万元，作为实际控制人指使从事信息披露违法罚款60万元；对朱成功、朱文亮、苏鸿声给予警告，并分别处以20万元罚款；对朱文玉给予警告，并处以15万元罚款；对张海杰、朱学究、赵文睿、安慧、耿新生、李雯给予警告，并分别处以10万元罚款；对李成、贠海给予警告，并分别处以5万元罚款；对张雁冰给予警告，并处以3万元罚款。</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二、对辅仁药业报送和披露的重大资产重组文件中存在虚假记载的行为，责令辅仁药业集团制药股份有限公司改正，给予警告，并处以60万元的罚款；对朱文臣给予警告，并处以30万元罚款；对朱学究给予警告，并处以20万元罚款；对朱成功、朱文亮、苏鸿声给予警告，并分别处以15万元罚款；对朱文玉、赵文睿给予警告，并分别处以10万元罚款；对安慧、耿新生、李雯给予警告，并分别处以5万元罚款；对张雁冰、张海杰、李成、贠海给予警告，并分别处以3万元罚款。</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三、对辅仁药业集团有限公司提供的信息存在虚假记载的行为，给予警告，并处以60万元的罚款；对朱文臣给予警告，并处以30万元罚款。</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综合上述三项违法事实，合计对辅仁药业集团制药股份有限公司处以120万元罚款；对辅仁药业集团有限公司处以60万元罚款；对朱文臣处以150万元罚款；对朱成功、朱文亮、苏鸿声分别处以35万元罚款；对朱学究处以30万元罚款；对朱文玉处以25万元罚款；对赵文睿处以20万元罚款；对安慧、耿新生、李雯分别处以15万元罚款；对张海杰处以13万元罚款；对李成、贠海分别处以8万元罚款；对张雁冰处以6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eastAsia" w:ascii="宋体" w:hAnsi="宋体" w:eastAsia="宋体" w:cs="宋体"/>
              </w:rPr>
            </w:pPr>
            <w:r>
              <w:rPr>
                <w:rFonts w:hint="eastAsia" w:ascii="宋体" w:hAnsi="宋体" w:eastAsia="宋体" w:cs="宋体"/>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rPr>
                <w:rStyle w:val="18"/>
                <w:rFonts w:hint="eastAsia" w:ascii="宋体" w:hAnsi="宋体" w:cs="宋体"/>
                <w:i w:val="0"/>
                <w:iCs w:val="0"/>
                <w:color w:val="auto"/>
                <w:lang w:eastAsia="zh-CN"/>
              </w:rPr>
            </w:pPr>
            <w:r>
              <w:rPr>
                <w:rStyle w:val="18"/>
                <w:rFonts w:hint="eastAsia" w:ascii="宋体" w:hAnsi="宋体" w:eastAsia="宋体" w:cs="宋体"/>
                <w:i w:val="0"/>
                <w:iCs w:val="0"/>
                <w:color w:val="auto"/>
              </w:rPr>
              <w:t>企业财务管理；成本控制工作；财务管理</w:t>
            </w:r>
            <w:r>
              <w:rPr>
                <w:rStyle w:val="18"/>
                <w:rFonts w:hint="eastAsia" w:ascii="宋体" w:hAnsi="宋体" w:cs="宋体"/>
                <w:i w:val="0"/>
                <w:iCs w:val="0"/>
                <w:color w:val="auto"/>
                <w:lang w:eastAsia="zh-CN"/>
              </w:rPr>
              <w:t>；</w:t>
            </w:r>
          </w:p>
          <w:p>
            <w:pPr>
              <w:tabs>
                <w:tab w:val="left" w:pos="2160"/>
              </w:tabs>
              <w:rPr>
                <w:rStyle w:val="18"/>
                <w:rFonts w:hint="eastAsia" w:ascii="宋体" w:hAnsi="宋体" w:cs="宋体"/>
                <w:i w:val="0"/>
                <w:iCs w:val="0"/>
                <w:color w:val="auto"/>
                <w:lang w:eastAsia="zh-CN"/>
              </w:rPr>
            </w:pPr>
            <w:r>
              <w:rPr>
                <w:rStyle w:val="18"/>
                <w:rFonts w:hint="eastAsia" w:ascii="宋体" w:hAnsi="宋体" w:cs="宋体"/>
                <w:i w:val="0"/>
                <w:iCs w:val="0"/>
                <w:color w:val="auto"/>
                <w:lang w:eastAsia="zh-CN"/>
              </w:rPr>
              <w:t>公司在资金管理、印章管理、关联方往来及对外担保方面内部控制运行</w:t>
            </w:r>
            <w:r>
              <w:rPr>
                <w:rStyle w:val="18"/>
                <w:rFonts w:hint="eastAsia" w:ascii="宋体" w:hAnsi="宋体" w:cs="宋体"/>
                <w:i w:val="0"/>
                <w:iCs w:val="0"/>
                <w:color w:val="auto"/>
                <w:lang w:val="en-US" w:eastAsia="zh-CN"/>
              </w:rPr>
              <w:t>要有效</w:t>
            </w:r>
            <w:r>
              <w:rPr>
                <w:rStyle w:val="18"/>
                <w:rFonts w:hint="eastAsia" w:ascii="宋体" w:hAnsi="宋体" w:cs="宋体"/>
                <w:i w:val="0"/>
                <w:iCs w:val="0"/>
                <w:color w:val="auto"/>
                <w:lang w:eastAsia="zh-CN"/>
              </w:rPr>
              <w:t>，</w:t>
            </w:r>
            <w:r>
              <w:rPr>
                <w:rStyle w:val="18"/>
                <w:rFonts w:hint="eastAsia" w:ascii="宋体" w:hAnsi="宋体" w:cs="宋体"/>
                <w:i w:val="0"/>
                <w:iCs w:val="0"/>
                <w:color w:val="auto"/>
                <w:lang w:val="en-US" w:eastAsia="zh-CN"/>
              </w:rPr>
              <w:t>不要</w:t>
            </w:r>
            <w:r>
              <w:rPr>
                <w:rStyle w:val="18"/>
                <w:rFonts w:hint="eastAsia" w:ascii="宋体" w:hAnsi="宋体" w:cs="宋体"/>
                <w:i w:val="0"/>
                <w:iCs w:val="0"/>
                <w:color w:val="auto"/>
                <w:lang w:eastAsia="zh-CN"/>
              </w:rPr>
              <w:t>存在资金体外循环。</w:t>
            </w:r>
          </w:p>
          <w:p>
            <w:pPr>
              <w:tabs>
                <w:tab w:val="left" w:pos="2160"/>
              </w:tabs>
              <w:rPr>
                <w:rStyle w:val="18"/>
                <w:rFonts w:hint="default" w:ascii="宋体" w:hAnsi="宋体" w:cs="宋体"/>
                <w:i w:val="0"/>
                <w:iCs w:val="0"/>
                <w:color w:val="auto"/>
                <w:lang w:val="en-US" w:eastAsia="zh-CN"/>
              </w:rPr>
            </w:pPr>
            <w:r>
              <w:rPr>
                <w:rStyle w:val="18"/>
                <w:rFonts w:hint="eastAsia" w:ascii="宋体" w:hAnsi="宋体" w:cs="宋体"/>
                <w:i w:val="0"/>
                <w:iCs w:val="0"/>
                <w:color w:val="auto"/>
                <w:lang w:val="en-US" w:eastAsia="zh-CN"/>
              </w:rPr>
              <w:t>完善货币资金内部控制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rPr>
                <w:rFonts w:hint="eastAsia" w:ascii="宋体" w:hAnsi="宋体" w:eastAsia="宋体" w:cs="宋体"/>
              </w:rPr>
            </w:pPr>
            <w:r>
              <w:rPr>
                <w:rFonts w:hint="eastAsia" w:ascii="宋体" w:hAnsi="宋体" w:eastAsia="宋体" w:cs="宋体"/>
              </w:rPr>
              <w:t>标准无保留意见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eastAsia" w:ascii="宋体" w:hAnsi="宋体" w:eastAsia="宋体" w:cs="宋体"/>
              </w:rPr>
            </w:pPr>
            <w:r>
              <w:rPr>
                <w:rFonts w:hint="eastAsia" w:ascii="宋体" w:hAnsi="宋体" w:eastAsia="宋体" w:cs="宋体"/>
              </w:rPr>
              <w:t>重要内部控制流程的控制测试、重要客户等走访及函证、重要原始单据检查</w:t>
            </w:r>
          </w:p>
        </w:tc>
      </w:tr>
    </w:tbl>
    <w:p>
      <w:pPr>
        <w:widowControl/>
        <w:jc w:val="left"/>
        <w:rPr>
          <w:rFonts w:hint="eastAsia" w:ascii="宋体" w:hAnsi="宋体" w:eastAsia="宋体" w:cs="宋体"/>
        </w:rPr>
      </w:pPr>
    </w:p>
    <w:p>
      <w:pPr>
        <w:pStyle w:val="2"/>
        <w:rPr>
          <w:rFonts w:hint="default" w:ascii="宋体" w:hAnsi="宋体" w:eastAsia="宋体" w:cs="宋体"/>
          <w:lang w:val="en-US" w:eastAsia="zh-CN"/>
        </w:rPr>
      </w:pPr>
      <w:bookmarkStart w:id="5" w:name="_Toc515709071"/>
      <w:bookmarkStart w:id="6" w:name="_Toc5337"/>
      <w:r>
        <w:rPr>
          <w:rFonts w:hint="eastAsia" w:ascii="宋体" w:hAnsi="宋体" w:eastAsia="宋体" w:cs="宋体"/>
        </w:rPr>
        <w:t>03</w:t>
      </w:r>
      <w:bookmarkEnd w:id="5"/>
      <w:r>
        <w:rPr>
          <w:rFonts w:hint="eastAsia" w:ascii="宋体" w:hAnsi="宋体" w:eastAsia="宋体" w:cs="宋体"/>
          <w:lang w:val="en-US" w:eastAsia="zh-CN"/>
        </w:rPr>
        <w:t xml:space="preserve"> </w:t>
      </w:r>
      <w:r>
        <w:rPr>
          <w:rFonts w:hint="eastAsia" w:ascii="宋体" w:hAnsi="宋体" w:cs="宋体"/>
          <w:lang w:val="en-US" w:eastAsia="zh-CN"/>
        </w:rPr>
        <w:t>康德新事件</w:t>
      </w:r>
      <w:bookmarkEnd w:id="6"/>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lang w:val="en-US" w:eastAsia="zh-CN"/>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w:t>
            </w:r>
            <w:r>
              <w:rPr>
                <w:rFonts w:hint="eastAsia" w:ascii="宋体" w:hAnsi="宋体" w:eastAsia="宋体" w:cs="宋体"/>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1</w:t>
            </w:r>
            <w:r>
              <w:rPr>
                <w:rFonts w:hint="eastAsia" w:ascii="宋体" w:hAnsi="宋体" w:eastAsia="宋体" w:cs="宋体"/>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康得新复合材料集团股份有限公司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高分子复合材料、功能膜材料、预涂膜、光学膜制造业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康得新复合材料集团股份有限公司于2001年8月21日在江苏省工商行政管理局登记成立，法定代表人钟玉。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2021年3月12日，证监会新闻发言人就康得新退市问题答记者问时表示，根据行政处罚决定，康得新对2015年至2018年的财务报表进行了追溯调整，更正后的报表显示连续四年净利润为负，触及重大违法强制退市情形（即扣除处罚认定的造假金额后，相关财务指标触及终止上市标准） 。4月6日，深圳证券交易所决定对该公司股票实施重大违法强制退市。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2021年4月14日起，*ST康得进入退市整理期。5月30日，康得退发布公告表示，公司股票已被深交所终止上市且退市，于5月31日摘牌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val="0"/>
                <w:bCs/>
              </w:rPr>
            </w:pPr>
            <w:r>
              <w:rPr>
                <w:rFonts w:hint="eastAsia" w:ascii="宋体" w:hAnsi="宋体" w:eastAsia="宋体" w:cs="宋体"/>
                <w:b/>
              </w:rPr>
              <w:t>【案情背景】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康得新的全年营业收入从2007年的1.64亿元攀升到2010年的5.24亿元，4年间涨幅近219.51%，显示出良好的发展态势。2011年上市后，康得新的股价不断攀升，2017年在蓝筹牛市中创下历史新高，涨幅达27倍，一度被誉为“中国的3M”和“千亿白马股”。</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然而，一切终止于2019年1月15日，康得新手握“巨额现金”却无法足额偿付10亿元短期融资券本息，随后，康得新的股票因银行账号被冻结而触发深交所规定中的其他风险警示情形，被纳入“退市风险警示股票”名单，直到中国证监会向康得新下发《中国证券监督管理委员会行政处罚及市场禁入事先告知书》，一场精心策划的百亿元级财务造假大案引起了全社会的广泛关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康得新2015年虚增利润总额23.81亿元，占年报披露利润总额的144.65%。2016年虚增利润总额30.89亿元，占年报披露利润总额的134.19%。2017年虚增利润总额39.74亿元，占年报披露利润总额的136.47%。2018年虚增利润总额23.81亿元，占年报披露利润总额的722.16%。合计四年虚增利润119亿元，成为A股史上最大利润造假案。公司股票自7月8日起，一直处于停牌状态。截至2019年12月31日，康得新市值仅剩125亿元，较上年末270.53亿元市值缩水逾5成。为其提供审计服务的瑞华会计师事务所已经被立案调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康得新利润造假的方法是通过伪造海外客户，炮制虚假业务合同，临摹国外客户签名，粘贴打印，虚构外销业务产业链。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康得新至今仍坚称截至2018年底账上有着150亿元的现金。然而令人惊讶的是，这150亿元现金中存放于北京银行西单支行的122亿元的巨款，瑞华会计师事务所无法确认它们的存在。与此同时，公司有数位董事、监事也均不保证该笔巨款的真实性。实际控制人钟玉先生，因涉嫌犯罪被执行逮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2015年1月至2018年12月，康得新通过虚构销售业务、虚构采购、生产、研发费用、产品运输费用等方式，虚增营业收入、营业成本、研发费用和销售费用，导致2015年至2018年年度报告虚增利润总额分别为2,242,745,642.37元、2,943,420,778.01元、3,908,205,906.90元、2,436,193,525.40元，分别占各年度报告披露利润总额的136.22%、127.85%、134.19%、711.29%，康得新2015年至2018年年度报告中披露的利润总额存在虚假记载。</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根据康得投资集团有限公司(以下简称康得集团)与北京银行股份有限公司（以下简称北京银行）西单支行签订的《现金管理业务合作协议》，康得新及其合并财务报表范围内3家子公司在北京银行西单支行尾号为3796、3863、4181、5278账户（以下简称北京银行账户组）的资金被实时、全额归集到康得集团北京银行西单支行3258账户。康得新北京银行账户组各年末实际余额为0。康得新2015年至2018年年度报告中披露的银行存款余额分别为9,571,053,025.20元（其中北京银行账户组余额为4,599,634,797.29元）、14,689,542,575.86元（其中北京银行账户组余额为6,160,090,359.52元）、17,781,374,628.03元（其中北京银行账户组余额为10,288,447,275.09元）、14,468,363,032.12元（其中北京银行账户组余额为12,209,443,476.52元）。康得新2015年至2018年年度报告中披露的银行存款余额存在虚假记载。</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rPr>
                <w:rFonts w:hint="eastAsia" w:ascii="宋体" w:hAnsi="宋体" w:eastAsia="宋体" w:cs="宋体"/>
              </w:rPr>
            </w:pPr>
            <w:r>
              <w:rPr>
                <w:rFonts w:hint="eastAsia" w:ascii="宋体" w:hAnsi="宋体" w:eastAsia="宋体" w:cs="宋体"/>
              </w:rPr>
              <w:t>康得新及实际控人、时任董事长钟玉分别被处以60万元和90万元顶格罚款，同时被采取证券市场终身禁入措施。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eastAsia" w:ascii="宋体" w:hAnsi="宋体" w:eastAsia="宋体" w:cs="宋体"/>
              </w:rPr>
            </w:pPr>
            <w:r>
              <w:rPr>
                <w:rFonts w:hint="eastAsia" w:ascii="宋体" w:hAnsi="宋体" w:eastAsia="宋体" w:cs="宋体"/>
              </w:rPr>
              <w:t>瑞华会计师事务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审计机构案情描述</w:t>
            </w:r>
          </w:p>
        </w:tc>
        <w:tc>
          <w:tcPr>
            <w:tcW w:w="6316" w:type="dxa"/>
          </w:tcPr>
          <w:p>
            <w:pPr>
              <w:rPr>
                <w:rFonts w:hint="eastAsia" w:ascii="宋体" w:hAnsi="宋体" w:eastAsia="宋体" w:cs="宋体"/>
              </w:rPr>
            </w:pPr>
            <w:r>
              <w:rPr>
                <w:rFonts w:hint="eastAsia" w:ascii="宋体" w:hAnsi="宋体" w:eastAsia="宋体" w:cs="宋体"/>
              </w:rPr>
              <w:t>在康得新审计项目中，本所根据实施的审计程序、获得的审计证据，对康得新2015年-2017年的财务报表发表了相应的审计意见；对2018年的财务报表出具了无法表示意见的审计报告。2019年1月，康得新无法兑付到期债券后，本所主动协助江苏监管局开展调查工作，全面履行了应尽的职责义务。下一步，本所将根据监管部门的结论，及时向社会公众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rPr>
                <w:rStyle w:val="18"/>
                <w:rFonts w:hint="eastAsia" w:ascii="宋体" w:hAnsi="宋体" w:eastAsia="宋体" w:cs="宋体"/>
                <w:b/>
                <w:bCs/>
                <w:i w:val="0"/>
                <w:iCs w:val="0"/>
                <w:color w:val="auto"/>
              </w:rPr>
            </w:pPr>
            <w:r>
              <w:rPr>
                <w:rStyle w:val="18"/>
                <w:rFonts w:hint="eastAsia" w:ascii="宋体" w:hAnsi="宋体" w:eastAsia="宋体" w:cs="宋体"/>
                <w:b/>
                <w:bCs/>
                <w:i w:val="0"/>
                <w:iCs w:val="0"/>
                <w:color w:val="auto"/>
              </w:rPr>
              <w:t>完善公司治理，健全内部控制机制</w:t>
            </w:r>
          </w:p>
          <w:p>
            <w:pPr>
              <w:tabs>
                <w:tab w:val="left" w:pos="2160"/>
              </w:tabs>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强化审计委员会的监督作用，扩大审计委员会的规模，切实增强其话语权；强化委员会的专业能力，委员2/3以上由独立非执行董事担任，并且至少有1/2应具有会计审计背景；改变内部审计的管理体制，内部审计由审计委员会管控，向审计委员会报告；改进外部审计的报告制度，注册会计师可以就会计处理分歧、审计范围受限情况秘密向审计委员会报告。</w:t>
            </w:r>
          </w:p>
          <w:p>
            <w:pPr>
              <w:tabs>
                <w:tab w:val="left" w:pos="2160"/>
              </w:tabs>
              <w:rPr>
                <w:rStyle w:val="18"/>
                <w:rFonts w:hint="eastAsia" w:ascii="宋体" w:hAnsi="宋体" w:eastAsia="宋体" w:cs="宋体"/>
                <w:i w:val="0"/>
                <w:iCs w:val="0"/>
                <w:color w:val="auto"/>
              </w:rPr>
            </w:pPr>
          </w:p>
          <w:p>
            <w:pPr>
              <w:tabs>
                <w:tab w:val="left" w:pos="2160"/>
              </w:tabs>
              <w:rPr>
                <w:rStyle w:val="18"/>
                <w:rFonts w:hint="eastAsia" w:ascii="宋体" w:hAnsi="宋体" w:eastAsia="宋体" w:cs="宋体"/>
                <w:b/>
                <w:bCs/>
                <w:i w:val="0"/>
                <w:iCs w:val="0"/>
                <w:color w:val="auto"/>
              </w:rPr>
            </w:pPr>
            <w:r>
              <w:rPr>
                <w:rStyle w:val="18"/>
                <w:rFonts w:hint="eastAsia" w:ascii="宋体" w:hAnsi="宋体" w:eastAsia="宋体" w:cs="宋体"/>
                <w:b/>
                <w:bCs/>
                <w:i w:val="0"/>
                <w:iCs w:val="0"/>
                <w:color w:val="auto"/>
              </w:rPr>
              <w:t>改革委托制度，强化外部审计监督</w:t>
            </w:r>
          </w:p>
          <w:p>
            <w:pPr>
              <w:tabs>
                <w:tab w:val="left" w:pos="2160"/>
              </w:tabs>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改变管理层控制审计委托过程的现状，由审计委员会负责会计师事务所的选择和聘请工作，其提出的审计委托方案提交股东大会表决时，代表实际控制人利益的大股东的表决权应该受到一定限制，或者请第三方独立承接选聘和委托工作，以防外部审计受到实际管理人员的控制。</w:t>
            </w:r>
          </w:p>
          <w:p>
            <w:pPr>
              <w:tabs>
                <w:tab w:val="left" w:pos="2160"/>
              </w:tabs>
              <w:rPr>
                <w:rStyle w:val="18"/>
                <w:rFonts w:hint="eastAsia" w:ascii="宋体" w:hAnsi="宋体" w:eastAsia="宋体" w:cs="宋体"/>
                <w:i w:val="0"/>
                <w:iCs w:val="0"/>
                <w:color w:val="auto"/>
              </w:rPr>
            </w:pPr>
          </w:p>
          <w:p>
            <w:pPr>
              <w:tabs>
                <w:tab w:val="left" w:pos="2160"/>
              </w:tabs>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监管部门正是由于拥有了几乎不受限制的审计范围延伸权，才能够发现一些严重违法案件。立法和监管部门应尽量扩大注册会计师的审计权限，协助其审计范围的延伸。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rPr>
                <w:rFonts w:hint="eastAsia" w:ascii="宋体" w:hAnsi="宋体" w:eastAsia="宋体" w:cs="宋体"/>
              </w:rPr>
            </w:pPr>
            <w:r>
              <w:rPr>
                <w:rFonts w:hint="eastAsia" w:ascii="宋体" w:hAnsi="宋体" w:eastAsia="宋体" w:cs="宋体"/>
              </w:rPr>
              <w:t>无法表示意见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default" w:ascii="宋体" w:hAnsi="宋体" w:eastAsia="宋体" w:cs="宋体"/>
                <w:lang w:val="en-US" w:eastAsia="zh-CN"/>
              </w:rPr>
            </w:pPr>
            <w:r>
              <w:rPr>
                <w:rFonts w:hint="eastAsia" w:ascii="宋体" w:hAnsi="宋体" w:cs="宋体"/>
                <w:lang w:val="en-US" w:eastAsia="zh-CN"/>
              </w:rPr>
              <w:t>监盘，真实性检查，审计抽样，分析性程序，截止性测试</w:t>
            </w:r>
          </w:p>
        </w:tc>
      </w:tr>
    </w:tbl>
    <w:p>
      <w:pPr>
        <w:rPr>
          <w:rFonts w:hint="eastAsia" w:ascii="宋体" w:hAnsi="宋体" w:eastAsia="宋体" w:cs="宋体"/>
        </w:rPr>
      </w:pPr>
    </w:p>
    <w:p>
      <w:pPr>
        <w:pStyle w:val="2"/>
        <w:rPr>
          <w:rFonts w:hint="default" w:ascii="宋体" w:hAnsi="宋体" w:eastAsia="宋体" w:cs="宋体"/>
          <w:lang w:val="en-US" w:eastAsia="zh-CN"/>
        </w:rPr>
      </w:pPr>
      <w:bookmarkStart w:id="7" w:name="_Toc515709072"/>
      <w:bookmarkStart w:id="8" w:name="_Toc20239"/>
      <w:r>
        <w:rPr>
          <w:rFonts w:hint="eastAsia" w:ascii="宋体" w:hAnsi="宋体" w:eastAsia="宋体" w:cs="宋体"/>
        </w:rPr>
        <w:t>04</w:t>
      </w:r>
      <w:bookmarkEnd w:id="7"/>
      <w:r>
        <w:rPr>
          <w:rFonts w:hint="eastAsia" w:ascii="宋体" w:hAnsi="宋体" w:eastAsia="宋体" w:cs="宋体"/>
          <w:lang w:val="en-US" w:eastAsia="zh-CN"/>
        </w:rPr>
        <w:t xml:space="preserve"> </w:t>
      </w:r>
      <w:r>
        <w:rPr>
          <w:rFonts w:hint="eastAsia" w:ascii="宋体" w:hAnsi="宋体" w:cs="宋体"/>
          <w:lang w:val="en-US" w:eastAsia="zh-CN"/>
        </w:rPr>
        <w:t>新大地事件</w:t>
      </w:r>
      <w:bookmarkEnd w:id="8"/>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lang w:val="en-US" w:eastAsia="zh-CN"/>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w:t>
            </w:r>
            <w:r>
              <w:rPr>
                <w:rFonts w:hint="eastAsia" w:ascii="宋体" w:hAnsi="宋体" w:eastAsia="宋体" w:cs="宋体"/>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12</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广东新大地生物科技股份有限公司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酒、饮料和精制茶制造业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rPr>
            </w:pPr>
            <w:r>
              <w:rPr>
                <w:rFonts w:hint="eastAsia" w:ascii="宋体" w:hAnsi="宋体" w:eastAsia="宋体" w:cs="宋体"/>
              </w:rPr>
              <w:t>广东新大地生物科技股份有限公司位于广东省平远县长田镇油茶工业园，公司前身为广东新大地生物科技有限公司，始建于2004年，于2008年变更为广东新大地生物科技股份有限公司，是国家级高新技术企业。公司主营业务是油茶及其深加工产品的研发、生产、和销售，公司的主导产品是精炼山茶油、茶皂素天然洗涤用品。产品获得QS认证、绿色食品认证、质量管理体系认证、HACCP认证、有机产品认证。</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广东新大地生物科技股份有限公司成立于2004年6月11日，主营如下：茶皂素系列产品研发及山茶油加工、油茶苗培植及油茶基地开发；洗发护发、沐浴液化妆品及生物有机肥生产、销售；货物进出口。</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公司2010年启动创业板IPO，保荐机构为南京证券，2012年4月24日，公司上市通过证监会发行审核委员会审核，正式发布招股说明书，登陆创业板。2012年5月18日成功过会（创业板发审委2012年第36次会议），成为“茶油第一股”。</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2012年6月28日，有关媒体报道了新大地涉嫌欺诈上市，7月3日，新大地及其保荐机构南京证券向中国证监会提交终止发行上市申请。10月9日，证监会向社会公开通报了对新大地立案稽查的有关情况。2013年5月31日，证监会通报对新大地查处结果，拟对其进行行政处罚（已进入行政处罚事先告知阶段。下一步，证监会将依照法定程序，作出正式处罚决定）。新大地也成为创业板首例过会后，因媒体质疑财务造假而终止IPO的公司。</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cs="宋体"/>
                <w:b/>
                <w:bCs/>
                <w:lang w:eastAsia="zh-CN"/>
              </w:rPr>
            </w:pPr>
            <w:r>
              <w:rPr>
                <w:rFonts w:hint="eastAsia" w:ascii="宋体" w:hAnsi="宋体" w:cs="宋体"/>
                <w:b/>
                <w:bCs/>
                <w:lang w:eastAsia="zh-CN"/>
              </w:rPr>
              <w:t>【违规事实——招股书财务数据造假】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新大地通过资金循环、虚构销售业务、虚构固定资产等手段，在2009-2011年年度报告中虚假记载。虚增2011年利润总额2042.36万元，占当年利润总额的48.52%；虚增2010年利润总额305.82万元，占当年利润总额的11.52%；虚增2009年利润总额280万元，占当年利润总额的16.53%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1、虚增收入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新大地在2009、2010、2011连续三个年度中，虚增营业收入分别为：3542195.03元、7314799.87元、6150129.86元，三年共计虚增营业收入3949，773.13元。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另外，在2011年11月，五华县财政局应拨付给新大地政府补贴款100万元，新大地通过其控制的梅州维运新农业发展有限公司(原名新大地油茶发展有限公司)的账户向九州贸易转款45万元，收款的当日，九州贸易将这笔资金转至新大地的账户，新大地将该笔资金确认为其销售收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新大地在2009，2010，2011连续三年虚增的利润分别是:2，319，084. 10元、2，891， 506.12元、15210，789. 31元，分别占当年利润总额的14.87%，10.89%，36.13%。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2、虚减成本</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虚新大地在2009，2010，2011三年里，虚减的成本分别为:1223110. 93元、4256610.71元、3811340. 55元。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3、虚增资产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新大地在2009-2011年间，向平远县二轻建筑公司以支付工程款的名义付款，形成在建工程，并最后列入固定资产项目中，但平远县二轻建筑公司并没有实施建造工程，基于此行为，新大地2009年、2010年、2011年连续三年虚增的固定资产金额分别为227.68万元、648.73万元，264.5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4、隐瞒关联方交易</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新大地在2009、2010、2011年三个年度中，排名前十的大客户总共涉及到22家，与近十家客户关存在联交易问题。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梅州市曼陀神露山茶油专卖店，连续3年为新大地的最大的茶油客户，2010年曾被新大地的控制人黄运江的侄女黄双燕所持有，是新大地的关联方。新大地与曼陀神露专卖店的关联交易金额2009、2010、2011三年里，分别是19.89万元、122.13万元和104.31万元。但是，该关联方关系及其交易在新大地的招股说明书申报稿以及其上会稿中，并没有被披露出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鸿达装饰是新大地的关联方，新大地与鸿达装饰的关联交易金额在2009年为23.41万元。该关联方关系及其交易在招股说明书申报稿以及上会稿中，也未被披露。</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梅州绿康为新大地的关联方，在2009年、2010年两年中，新大地与梅州绿康交易金额分别为38.86万元和23.88万元。该关联方关系及其交易在新大地的招股说明书申报稿以及上会稿中，均未被披露。</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cs="宋体"/>
                <w:b w:val="0"/>
                <w:bCs w:val="0"/>
                <w:lang w:eastAsia="zh-CN"/>
              </w:rPr>
            </w:pPr>
            <w:r>
              <w:rPr>
                <w:rFonts w:hint="eastAsia" w:ascii="宋体" w:hAnsi="宋体" w:cs="宋体"/>
                <w:b w:val="0"/>
                <w:bCs w:val="0"/>
                <w:lang w:eastAsia="zh-CN"/>
              </w:rPr>
              <w:t>2010年和2011年，北京和风大地商贸有限责任公司（以下简称和风大地）、四川蜀酿酒业有限公司北京分公司，相继成为新大地公司排名前十的大客户，但他们与新大地均有关联。2011年5月11日和风大地注册成立，两天后，和风大地与新大地公司签订了为期两年的华北地区《总经销合同》。合同签订七个月后，即2011年末，和风大地销售茶油和洗涤品的收入达到405.24万元，并一跃成为新大地当年的第三大客户。但是，工商信息显示，和风大地的注册地址，与新大地的董事会秘书赵罡直接控制的北京福众金源环保科技有限公司的登记注册地址相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bCs/>
              </w:rPr>
            </w:pPr>
            <w:r>
              <w:rPr>
                <w:rFonts w:hint="eastAsia" w:ascii="宋体" w:hAnsi="宋体" w:cs="宋体"/>
                <w:b w:val="0"/>
                <w:bCs w:val="0"/>
                <w:lang w:eastAsia="zh-CN"/>
              </w:rPr>
              <w:t>此外，一家名为四川蜀酿酒业有限公司北京分公司的客户其注册地址与新大地的第三大股东赵合宇控制的中兴新世纪的注册地址相同。招股说明书中披露，该公司2010年的茶油销售额为247.16万元，位列当年的第三大客户，但是，新大地的2011年前十大客户的名单中已不见该公司。</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新大地玩财务</w:t>
            </w:r>
            <w:r>
              <w:rPr>
                <w:rFonts w:hint="eastAsia" w:ascii="宋体" w:hAnsi="宋体" w:cs="宋体"/>
                <w:b w:val="0"/>
                <w:bCs w:val="0"/>
                <w:lang w:val="en-US" w:eastAsia="zh-CN"/>
              </w:rPr>
              <w:t>造假</w:t>
            </w:r>
            <w:r>
              <w:rPr>
                <w:rFonts w:hint="eastAsia" w:ascii="宋体" w:hAnsi="宋体" w:eastAsia="宋体" w:cs="宋体"/>
                <w:b w:val="0"/>
                <w:bCs w:val="0"/>
              </w:rPr>
              <w:t>，那得追溯到2009年至2011年了。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2009年-2011年，新大地的营业收入为4,797.01万、8,773.80万、12,356.05万，年复合增速高达60%。归母净利润分别为1435万、2258万、3583万。</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rPr>
            </w:pPr>
            <w:r>
              <w:rPr>
                <w:b w:val="0"/>
                <w:bCs w:val="0"/>
              </w:rPr>
              <w:drawing>
                <wp:inline distT="0" distB="0" distL="114300" distR="114300">
                  <wp:extent cx="3870960" cy="1633220"/>
                  <wp:effectExtent l="0" t="0" r="152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870960" cy="16332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他凭借这样一份“优异”的财务数据，通过了IPO审核。</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后经媒体质疑，才一步步揭开了新大地的资金循环之谜。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这个谜题的核心逻辑在于：把不是销售收入性质的资金（A），通过体外循环，伪造成销售收入回款（B）。</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例如，以采购货物、支付劳务费、备用金等名义，将资金A流转到体外，通过外部关联控制账户（或员工个人账户）进行一次或多次周转，最终以客户账户打款的方式，流转回到新大地。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rPr>
            </w:pPr>
            <w:r>
              <w:rPr>
                <w:b w:val="0"/>
                <w:bCs w:val="0"/>
              </w:rPr>
              <w:drawing>
                <wp:inline distT="0" distB="0" distL="114300" distR="114300">
                  <wp:extent cx="3870960" cy="1566545"/>
                  <wp:effectExtent l="0" t="0" r="1524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870960" cy="15665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然而，这个“伪资金循环”是人为虚构出来的，并没有实现资金价值的增值，只是改变了某些资金性质的分类。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2011年11月，新大地将100万政府补贴款，经过维运新农业（新大地控制的账户）转款45万至九州贸易（客户），九州贸易再同日转至新大地。（即：政府补助→销售收入）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2010年6月，新大地关联方凌某平和鸿达装饰，分6次转款至曼陀神露（客户），曼陀神露随即转入新大地。新大地将以上收到的资金确认为销售回款。（其他款项→销售收入）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新大地搞资金循环的最终目的，原来是为了虚增收入啊。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另外，特别强调一点，在整个资金循环体系中，除了空壳公司或关联公司（曼陀神露、梅州绿康等），还有真实的客户（康之基等）。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rPr>
            </w:pPr>
            <w:r>
              <w:rPr>
                <w:b w:val="0"/>
                <w:bCs w:val="0"/>
              </w:rPr>
              <w:drawing>
                <wp:inline distT="0" distB="0" distL="114300" distR="114300">
                  <wp:extent cx="3872230" cy="3129280"/>
                  <wp:effectExtent l="0" t="0" r="1397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872230" cy="31292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总之，凭借着这个，新大地在2009-2011年，分别虚增了251.90万、289.15万和1,521.07万，分别占当期利润总额的14.87%、10.89%、36.13%。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rPr>
            </w:pPr>
            <w:r>
              <w:rPr>
                <w:b w:val="0"/>
                <w:bCs w:val="0"/>
              </w:rPr>
              <w:drawing>
                <wp:inline distT="0" distB="0" distL="114300" distR="114300">
                  <wp:extent cx="3869690" cy="1506220"/>
                  <wp:effectExtent l="0" t="0" r="16510" b="177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869690" cy="15062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除了虚构资金循环外，新大地还直接虚增销售收入、虚增固定资产、隐瞒关联交易、隐瞒股份转让。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以往，财务</w:t>
            </w:r>
            <w:r>
              <w:rPr>
                <w:rFonts w:hint="eastAsia" w:ascii="宋体" w:hAnsi="宋体" w:cs="宋体"/>
                <w:b w:val="0"/>
                <w:bCs w:val="0"/>
                <w:lang w:val="en-US" w:eastAsia="zh-CN"/>
              </w:rPr>
              <w:t>造假</w:t>
            </w:r>
            <w:r>
              <w:rPr>
                <w:rFonts w:hint="eastAsia" w:ascii="宋体" w:hAnsi="宋体" w:eastAsia="宋体" w:cs="宋体"/>
                <w:b w:val="0"/>
                <w:bCs w:val="0"/>
              </w:rPr>
              <w:t>，都是从虚增收入，虚减成本费用上下手的。例如伪造合同确认收入、提前确认收入，或者通过坏账准备计提等来调节利润在不同报告期间的分配等等。但是，新大地就不一样了，他主要玩的是对现金流量表的操纵，难度较大，很难模仿。能和他“相提并论”的，也就是万福生科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原因在于，新大地和万福生科的客户类型类似，多为分散的、小额的个体户。</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在监管层披露的细节当中，我们发现，新大地的资金体外循环，都是以“客户”的名义划款，最终被认定为“销售收入”性质，回流到新大地中。</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其中，存在大量个体户。这些终端个体户，分布散，数量多，交易金额小，很难核查。</w:t>
            </w:r>
          </w:p>
          <w:p>
            <w:pPr>
              <w:keepNext w:val="0"/>
              <w:keepLines w:val="0"/>
              <w:pageBreakBefore w:val="0"/>
              <w:widowControl w:val="0"/>
              <w:kinsoku/>
              <w:wordWrap/>
              <w:overflowPunct/>
              <w:topLinePunct w:val="0"/>
              <w:autoSpaceDE/>
              <w:autoSpaceDN/>
              <w:bidi w:val="0"/>
              <w:adjustRightInd/>
              <w:snapToGrid/>
              <w:textAlignment w:val="auto"/>
              <w:rPr>
                <w:b w:val="0"/>
                <w:bCs w:val="0"/>
              </w:rPr>
            </w:pPr>
            <w:r>
              <w:rPr>
                <w:b w:val="0"/>
                <w:bCs w:val="0"/>
              </w:rPr>
              <w:drawing>
                <wp:inline distT="0" distB="0" distL="114300" distR="114300">
                  <wp:extent cx="3870960" cy="356870"/>
                  <wp:effectExtent l="0" t="0" r="152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870960" cy="3568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rPr>
            </w:pPr>
            <w:r>
              <w:rPr>
                <w:rFonts w:hint="eastAsia"/>
                <w:b w:val="0"/>
                <w:bCs w:val="0"/>
              </w:rPr>
              <w:t>以上图为例，新大地先从实控人及关联人的个人银行账户取现，然后再把这些现金以163个个体客户的销售回款名义，转存到新大地名下。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rPr>
            </w:pPr>
            <w:r>
              <w:rPr>
                <w:rFonts w:hint="eastAsia"/>
                <w:b w:val="0"/>
                <w:bCs w:val="0"/>
              </w:rPr>
              <w:t>“取出现金--现金交易--转存现金”，交易金额高达255.79万！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b w:val="0"/>
                <w:bCs w:val="0"/>
              </w:rPr>
              <w:t>如此大手笔的现金交易，也只能在中国发生，外国人对于农业公司的大量现金交易，管控</w:t>
            </w:r>
            <w:r>
              <w:rPr>
                <w:rFonts w:hint="eastAsia"/>
              </w:rPr>
              <w:t>十分严格，交易超过一定限制，是需要通过银行进行的。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所以，这也为新大地的造假，提供了机会。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而且，新大地的手法之所以高级，不仅仅在于终端个体户的独特特质，还在于他的魔术手法，针对的是：现金流量结构的变化，是相对结构的变化，而不是绝对数值的增减。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因此，新大地“聪明”的地方就在于此。他并没有改变现金的总量，也就是银行存款的结果没有造假。但是，现金流量的结构却偷偷发生了改变：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经营性现金净流入（销售收入）被虚增；投资性现金净流入被虚减；筹资性现金净流入被虚减。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根据《证券法》第193条、第233条[2]和《证券市场禁入规定》第3条、第5条[3]的规定，的相关规定，证监会拟处罚如下：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①对新大地给予警告，并处以60万元的罚款；（顶格处罚）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②对黄运江、凌梅兰[为夫妻关系，控股股东、实际控制人，分别担任董事长/总经理、副董事长]给予警告，并处以30万元的罚款，采取终身证券市场禁入措施；（顶格处罚）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③对监事及财务总监凌洪给予警告，并处以20万元罚款，采取10年证券市场禁入措施；（法定罚上限：30万元，终身市场禁入）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④对董事黄鲜露、董事及董事会秘书赵罡给予警告，并分别处以20万元罚款；（法定罚上限：30万元，终身市场禁入）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⑤对董事樊和平、邱礼鸿、支晓强、何日胜、奚如春、监事马建华、陈增湘、林明华、副总经理李明、何敏给予警告，并分别处以15万元罚款；（法定罚上限：30万元，终身市场禁入）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eastAsia" w:ascii="宋体" w:hAnsi="宋体" w:eastAsia="宋体" w:cs="宋体"/>
              </w:rPr>
            </w:pPr>
            <w:r>
              <w:rPr>
                <w:rFonts w:hint="eastAsia" w:ascii="宋体" w:hAnsi="宋体" w:eastAsia="宋体" w:cs="宋体"/>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审计机构案情描述</w:t>
            </w:r>
          </w:p>
        </w:tc>
        <w:tc>
          <w:tcPr>
            <w:tcW w:w="6316" w:type="dxa"/>
          </w:tcPr>
          <w:p>
            <w:pPr>
              <w:rPr>
                <w:rFonts w:hint="eastAsia" w:ascii="宋体" w:hAnsi="宋体" w:eastAsia="宋体" w:cs="宋体"/>
              </w:rPr>
            </w:pPr>
            <w:r>
              <w:rPr>
                <w:rFonts w:hint="eastAsia" w:ascii="宋体" w:hAnsi="宋体" w:eastAsia="宋体" w:cs="宋体"/>
              </w:rPr>
              <w:t>其一，新大地2009年、2011年月份综合毛利率出现较大波动系由于其生产和销售季节性特点较强的原因，年度之间并未出现重大异常，会计师在报告期内对于现金销售、毛利率波动等风险一直充分关注并实施了审计程序，新大地的会计责任不能扩大为会计师的审计责任；</w:t>
            </w:r>
          </w:p>
          <w:p>
            <w:pPr>
              <w:rPr>
                <w:rFonts w:hint="eastAsia" w:ascii="宋体" w:hAnsi="宋体" w:eastAsia="宋体" w:cs="宋体"/>
              </w:rPr>
            </w:pPr>
            <w:r>
              <w:rPr>
                <w:rFonts w:hint="eastAsia" w:ascii="宋体" w:hAnsi="宋体" w:eastAsia="宋体" w:cs="宋体"/>
              </w:rPr>
              <w:t>其二，对梅州绿康虚假访谈事项不构成大华所正常履行的复核流程瑕疵，2010年新大地向梅州绿康虚假销售34.48万元，仅占当年主营业务收入的0.39%，并不构成重大影响；</w:t>
            </w:r>
          </w:p>
          <w:p>
            <w:pPr>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审计受罚或责任描述</w:t>
            </w:r>
          </w:p>
        </w:tc>
        <w:tc>
          <w:tcPr>
            <w:tcW w:w="6316" w:type="dxa"/>
          </w:tcPr>
          <w:p>
            <w:pPr>
              <w:rPr>
                <w:rFonts w:hint="eastAsia" w:ascii="宋体" w:hAnsi="宋体" w:eastAsia="宋体" w:cs="宋体"/>
              </w:rPr>
            </w:pPr>
            <w:r>
              <w:rPr>
                <w:rFonts w:hint="eastAsia" w:ascii="宋体" w:hAnsi="宋体" w:eastAsia="宋体" w:cs="宋体"/>
              </w:rPr>
              <w:t>①大华所在新大地IPO项目审计过程中，未保持适当的职业审慎，未勤勉尽责，实施必要的审计程序，未取得充分适当的审计证据，其所出具的审计报告、专项说明、核查意见等文件存在虚假记载，构成《证券法》第223条[5]、233条所述情形。</w:t>
            </w:r>
          </w:p>
          <w:p>
            <w:pPr>
              <w:rPr>
                <w:rFonts w:hint="eastAsia" w:ascii="宋体" w:hAnsi="宋体" w:eastAsia="宋体" w:cs="宋体"/>
              </w:rPr>
            </w:pPr>
            <w:r>
              <w:rPr>
                <w:rFonts w:hint="eastAsia" w:ascii="宋体" w:hAnsi="宋体" w:eastAsia="宋体" w:cs="宋体"/>
              </w:rPr>
              <w:t>②没一罚二：没收大华所业务收入110万元，并罚款220万元；（法定罚上限：没一罚五）</w:t>
            </w:r>
          </w:p>
          <w:p>
            <w:pPr>
              <w:rPr>
                <w:rFonts w:hint="eastAsia" w:ascii="宋体" w:hAnsi="宋体" w:eastAsia="宋体" w:cs="宋体"/>
              </w:rPr>
            </w:pPr>
            <w:r>
              <w:rPr>
                <w:rFonts w:hint="eastAsia" w:ascii="宋体" w:hAnsi="宋体" w:eastAsia="宋体" w:cs="宋体"/>
              </w:rPr>
              <w:t>③责令改正：对大华所责令改正。（法定罚上限：撤销证券服务资格）</w:t>
            </w:r>
          </w:p>
          <w:p>
            <w:pPr>
              <w:rPr>
                <w:rFonts w:hint="eastAsia" w:ascii="宋体" w:hAnsi="宋体" w:eastAsia="宋体" w:cs="宋体"/>
              </w:rPr>
            </w:pPr>
            <w:r>
              <w:rPr>
                <w:rFonts w:hint="eastAsia" w:ascii="宋体" w:hAnsi="宋体" w:eastAsia="宋体" w:cs="宋体"/>
              </w:rPr>
              <w:t>④签字会计师处罚：对签字会计师王海滨和刘春奎给予警告，分别处以10万元、5万元罚款，并分别采取终身证券市场禁入措施（法定罚上限：10万罚款，终身禁入）</w:t>
            </w:r>
          </w:p>
          <w:p>
            <w:pPr>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rPr>
                <w:rStyle w:val="18"/>
                <w:rFonts w:hint="default" w:ascii="宋体" w:hAnsi="宋体" w:cs="宋体"/>
                <w:i w:val="0"/>
                <w:iCs w:val="0"/>
                <w:color w:val="auto"/>
                <w:lang w:val="en-US" w:eastAsia="zh-CN"/>
              </w:rPr>
            </w:pPr>
            <w:r>
              <w:rPr>
                <w:rStyle w:val="18"/>
                <w:rFonts w:hint="eastAsia" w:ascii="宋体" w:hAnsi="宋体" w:cs="宋体"/>
                <w:i w:val="0"/>
                <w:iCs w:val="0"/>
                <w:color w:val="auto"/>
                <w:lang w:eastAsia="zh-CN"/>
              </w:rPr>
              <w:t>在公司内部监督上，应当完善公司的治理机构，健全内部控制机制，提升审计委员会的地位，加强内部的监控；在外部审计上，改革审计委托制度，扩大审计权限，加强社会监督。只有从根本上斩断上市公司财务造假的可能性，才能够保证其业绩的真实性和社会经济秩序的稳定性</w:t>
            </w:r>
            <w:r>
              <w:rPr>
                <w:rStyle w:val="18"/>
                <w:rFonts w:hint="eastAsia" w:ascii="宋体" w:hAnsi="宋体" w:cs="宋体"/>
                <w:i w:val="0"/>
                <w:iCs w:val="0"/>
                <w:color w:val="auto"/>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rPr>
                <w:rFonts w:hint="default" w:ascii="宋体" w:hAnsi="宋体" w:eastAsia="宋体" w:cs="宋体"/>
                <w:lang w:val="en-US" w:eastAsia="zh-CN"/>
              </w:rPr>
            </w:pPr>
            <w:r>
              <w:rPr>
                <w:rFonts w:hint="eastAsia" w:ascii="宋体" w:hAnsi="宋体" w:cs="宋体"/>
                <w:lang w:val="en-US" w:eastAsia="zh-CN"/>
              </w:rPr>
              <w:t>标准无保留意见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eastAsia" w:ascii="宋体" w:hAnsi="宋体" w:eastAsia="宋体" w:cs="宋体"/>
                <w:lang w:eastAsia="zh-CN"/>
              </w:rPr>
            </w:pPr>
            <w:r>
              <w:rPr>
                <w:rFonts w:hint="eastAsia" w:ascii="宋体" w:hAnsi="宋体" w:cs="宋体"/>
                <w:lang w:val="en-US" w:eastAsia="zh-CN"/>
              </w:rPr>
              <w:t>IPO审计，</w:t>
            </w:r>
            <w:r>
              <w:rPr>
                <w:rFonts w:hint="eastAsia" w:ascii="宋体" w:hAnsi="宋体" w:eastAsia="宋体" w:cs="宋体"/>
              </w:rPr>
              <w:t>虚构资金循环</w:t>
            </w:r>
            <w:r>
              <w:rPr>
                <w:rFonts w:hint="eastAsia" w:ascii="宋体" w:hAnsi="宋体" w:cs="宋体"/>
                <w:lang w:eastAsia="zh-CN"/>
              </w:rPr>
              <w:t>、</w:t>
            </w:r>
            <w:r>
              <w:rPr>
                <w:rFonts w:hint="eastAsia" w:ascii="宋体" w:hAnsi="宋体" w:eastAsia="宋体" w:cs="宋体"/>
              </w:rPr>
              <w:t>虚增销售收入、虚构资金循环、虚增固定资产、隐瞒关联交易、隐瞒股份转让</w:t>
            </w:r>
            <w:r>
              <w:rPr>
                <w:rFonts w:hint="eastAsia" w:ascii="宋体" w:hAnsi="宋体" w:cs="宋体"/>
                <w:lang w:eastAsia="zh-CN"/>
              </w:rPr>
              <w:t>、</w:t>
            </w:r>
            <w:r>
              <w:rPr>
                <w:rFonts w:hint="eastAsia" w:ascii="宋体" w:hAnsi="宋体" w:eastAsia="宋体" w:cs="宋体"/>
                <w:lang w:eastAsia="zh-CN"/>
              </w:rPr>
              <w:t>重大错报风险、分析程序、关联方交易、特别风险、如何应对未被识别的关联方、管理层的责任、注册会计师的责任、独立性。</w:t>
            </w:r>
          </w:p>
        </w:tc>
      </w:tr>
    </w:tbl>
    <w:p>
      <w:pPr>
        <w:rPr>
          <w:rFonts w:hint="eastAsia" w:ascii="宋体" w:hAnsi="宋体" w:eastAsia="宋体" w:cs="宋体"/>
        </w:rPr>
      </w:pPr>
    </w:p>
    <w:p>
      <w:pPr>
        <w:rPr>
          <w:rFonts w:hint="eastAsia" w:ascii="宋体" w:hAnsi="宋体" w:eastAsia="宋体" w:cs="宋体"/>
        </w:rPr>
      </w:pPr>
    </w:p>
    <w:p>
      <w:pPr>
        <w:pStyle w:val="2"/>
        <w:rPr>
          <w:rFonts w:hint="default" w:ascii="宋体" w:hAnsi="宋体" w:eastAsia="宋体" w:cs="宋体"/>
          <w:shd w:val="clear" w:color="auto" w:fill="FFFFFF"/>
          <w:lang w:val="en-US" w:eastAsia="zh-CN"/>
        </w:rPr>
      </w:pPr>
      <w:bookmarkStart w:id="9" w:name="_Toc515709073"/>
      <w:bookmarkStart w:id="10" w:name="_Toc31529"/>
      <w:r>
        <w:rPr>
          <w:rFonts w:hint="eastAsia" w:ascii="宋体" w:hAnsi="宋体" w:eastAsia="宋体" w:cs="宋体"/>
        </w:rPr>
        <w:t xml:space="preserve">05 </w:t>
      </w:r>
      <w:bookmarkEnd w:id="9"/>
      <w:r>
        <w:rPr>
          <w:rFonts w:hint="eastAsia" w:ascii="宋体" w:hAnsi="宋体" w:eastAsia="宋体" w:cs="宋体"/>
          <w:lang w:val="en-US" w:eastAsia="zh-CN"/>
        </w:rPr>
        <w:t xml:space="preserve"> </w:t>
      </w:r>
      <w:r>
        <w:rPr>
          <w:rFonts w:hint="eastAsia" w:ascii="宋体" w:hAnsi="宋体" w:cs="宋体"/>
          <w:lang w:val="en-US" w:eastAsia="zh-CN"/>
        </w:rPr>
        <w:t>千山药机事件</w:t>
      </w:r>
      <w:bookmarkEnd w:id="10"/>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lang w:val="en-US" w:eastAsia="zh-CN"/>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w:t>
            </w:r>
            <w:r>
              <w:rPr>
                <w:rFonts w:hint="eastAsia" w:ascii="宋体" w:hAnsi="宋体" w:cs="宋体"/>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19</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湖南千山制药机械股份有限公司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医药制造业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湖南千山制药机械股份有限公司位于长沙经济技术开发区，是主要从事制药机械、包装机械等系列产品研制、销售及进出口业务的国家级高新技术企业，2002年10月经湖南省工商局核准注册。经过近十年的发展，公司凭借自主创新能力及丰硕的科研成果，千山品牌已插上了腾飞的翅膀，一跃成为中国制药装备行业龙头企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2020年7月14日，千山药机收到深交所《关于湖南千山制药机械股份有限公司股票终止上市的决定》。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【案情背景】</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ab/>
            </w:r>
            <w:r>
              <w:rPr>
                <w:rFonts w:hint="eastAsia" w:ascii="宋体" w:hAnsi="宋体" w:eastAsia="宋体" w:cs="宋体"/>
                <w:b w:val="0"/>
                <w:bCs/>
              </w:rPr>
              <w:t>12月2日晚间，千山药机公告，收到证监会《行政处罚及市场禁入事先告知书》；同时，深交所就千山药机可能触及重大违法强制退市情形答记者问。</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rPr>
            </w:pPr>
            <w:r>
              <w:drawing>
                <wp:inline distT="0" distB="0" distL="114300" distR="114300">
                  <wp:extent cx="3870960" cy="2300605"/>
                  <wp:effectExtent l="0" t="0" r="15240" b="444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1"/>
                          <a:stretch>
                            <a:fillRect/>
                          </a:stretch>
                        </pic:blipFill>
                        <pic:spPr>
                          <a:xfrm>
                            <a:off x="0" y="0"/>
                            <a:ext cx="3870960" cy="23006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（1） 违规确认与浏阳市华冠出口花炮有限公司(以下简称华冠花炮,2018年3月19日更名为浏阳市华冠出口花炮集团有限公司)的设备销售收入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2014年12月9日，千山药机与华冠花炮签订了烟花生产线合同，销售数量10条，销售金额10,500万元。千山药机2015年年报及相关账务记录显示：2015年，完成10条烟花生产线的生产交付和调试安装，收到销售回款7,883.10万元，确认了销售收入8,974.36万元、利润5,769.37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经查，华冠花炮2015年至我会现场调查截止时未取得安全监管部门核准的生产许可证，也未完成相关烟花生产线的安装和厂房建设。截至2017年12月31日，千山药机实际仅向华冠花炮交付1条烟花生产线，作为华冠花炮试验和展示使用。立案调查后千山药机才于2018年2月6日至10日向华冠花炮交付剩下的生产线。被调查时，上述生产线未拆除包装予以安装、未达到预定可使用状态，无法确认其实际交付的真实数量。华冠花炮2014年至2016年没有向千山药机转入任何资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（2）虚构客户销售回款、虚减坏账准备、虚增利润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经查，2015年，千山药机虚构九江清源实业集团有限公司、江西康胜医疗设备有限公司、广西裕源药业有限公司、淮安润德机械设备有限公司、山东康和医药包装材料科技有限公司、上诲中成融资租赁有限公司等6家客户的销售回款。千山药机账目及相关网上银行电子回单等原始凭证显示，上述6家客户向千山药机的工商银行1901XXXX1166账户等银行账户转入销售回款，但银行对账单显示大量的回款没有相应的资金流水记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2015年，千山药机通过虚构销售回款，虚减了应收账款13,246.90万元。根据公司会计政策及相关应收账款账龄测算，公司当年少计提2015年坏账准备2,181.16万元，虚增利润2,181.16万元。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（3）未如实对解除与太平洋证券股份有限公司(以下简称太平洋证券)的应收账款保理业务进行会计处理，虚减应收账款、坏账准备、虚增利润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经查,2013年11月28日，千山药机与中国民族证券有限责任公司(以下简称民族证券)签订《应收账款受益权转让合同》约定转让16,574.17万元的应收账款，无回购条款。2015年11月末，千山药机应收账款保理方由民族证券变更为太平洋证券，千山药机与太平洋证券签订新的《应收账款受益权转让合同》。2015年12月1日，千山药机华夏银行长沙分行1345XXXX3894账户收到太平洋证券支付的应收账款保理资金16,574.17万元，同日千山药机将收到的16,574.17万元资金支付给民族证券。2014年至2016年期间，上述被保理应收账款的债务人陆续向千山药机支付了4,918.07万元。截至2016年底，相关未收回的被保理应收账款余额为11,656.10万元。2016年11月，千山药机与太平洋证券解除应收账款保理协议。2016年11月30日，千山药机自华夏银行长沙分行1345XXXX9535账户向太平洋证券华夏银行长沙分行1345XXXX8292账户支付16,577.40万元。但是，千山药机会计账上未记录减少银行存款16,577.40万元，未记录应增加的应收账款11,656.10万元，并且未对上述应收账款计提坏账准备，而是将支付给太平洋证券的资金作为千山药机华夏银行长沙分行1345XXXX9535账户与千山药机中国工商银行1901XXXX1166账户彼此间银行转款进行处理。千山药机在被立案调查后,2017年年度报告审计中对上述问题进行了会计差错调整，调增了应收账款，并全额计提了坏账准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千山药机未如实对解除与太平洋证券的应收账款保理业务进行会计处理，导致2016年度虚减应收账款11656.10万元，虚减应收账款坏账准备11,656.10万元，虚增利润11,656.10万元。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（4）违规确认与华冠花炮的烟花生产线销售收入，虚增销售收入、虚增利润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2016年3月9日和8月8日，千山药机再次与华冠花炮签订了两份烟花生产线合同，销售数量分别为20条和5条，合同金额分别为21,000万元和5,250万元。千山药机2016年年报及相关账务记录显示,2016年，完成25条烟花生产线的生产交付和调试安装，并确认了销售收入22,435.90万元、利润13,733.16万元，收到销售回款5,160.15万元(其中银行承兑汇票2,796.05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经查，千山药机直至立案调查后才向华冠花炮交付烟花生产线，调查时实际未完成烟花生产线的安装调试。销售过程中，华冠花炮没有安全监管部门核准的生产许可证，千山药机也没有向华冠花炮开具烟花生产线的销售发票。千山药机虚构了上述烟花生产线的销售回款,2014年至2016年华冠花炮未向千山药机转入资金；2017年向千山药机转入的6,500万元，实为长沙经济技术开发区经沣财务咨询有限公司向千山药机提供的借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千山药机确认的华冠花炮烟花生产线销售收入不符合《企业会计准则第14号-收入》(财会([2006]3号)以及公司对外披露的收入确认会计政策。上述行为导致公司2016年虚增收入22,435.90万元，虚增利润13,733.16万元。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（5）虚增在建工程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2016年8月，千山药机子公司湖南千山慢病健康管理有限公司(以下简称千山慢病)与长沙春华建筑有限公司(以下简称春华建筑)签订慢病精准管理与服务平台《建设工程施工合同》，合同全额为1.8亿元。千山药机2016年年报及相关账务记录显示千山药机2016年代千山慢病支付给春华建筑工程款9,166.23万元，其中以银行存款代付工程款5,861.29万元、以银行承兑汇票背书方式代付工程款3,304.95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经查明,2016年，千山药机将实际支付给刘祥华、刘华山所控制的陈某华账户2,834.85万元、湖南新中制药机械股份有限公司账户3,000万元及虚列的银行存款支出26.44万元，合计5,861.29 万元记入在建工程；将自华冠花炮获得的银行承兑汇票2,130.96 万元、自广东南国药业有限公司获取的银行承兑汇票1,173.99万元，合计3,304.95万元，虚列背书支付给春华建筑，并记入在建工程。千山药机2016年年度报告以上述方式虚增在建工程9,166.23万元。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（6）虚减坏账准备、虚增利润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经查,2015年千山药机虚构了九江清源实业集团有限公司、江西康胜医疗设备有限公司、广西裕源药业有限公司、淮安润德机械设备有限公司、山东康和医药包装材料科技有限公司、上海中成融资租赁有限公司等6家客户的销售回款，虚减了应收账款13,246.90万元。按照公司应收账款会计政策及相关应收账款账龄测算，千山药机2016年少计提坏账准备2,327.18万元，虚增利润2,327.18万元。</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（一）对千山药机责令改正，给予警告，并处以 60 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（二）对刘祥华给予警告，并处以 90 万元罚款，其中作为直接负责的主管人员罚款 30 万元，作为实际控制人罚款 60 万元；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（三）对刘华山给予警告，并处以 30 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（四）对周大连、姜纯给予警告，并分别处以 20 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（五）对钟波等人给予警告，并分别处以 5 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同时，证监会拟决定：对刘祥华、 刘华山采取终身证券市场禁入措施。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jc w:val="cente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eastAsia" w:ascii="宋体" w:hAnsi="宋体" w:eastAsia="宋体" w:cs="宋体"/>
                <w:lang w:eastAsia="zh-CN"/>
              </w:rPr>
            </w:pPr>
            <w:r>
              <w:rPr>
                <w:rFonts w:hint="eastAsia" w:ascii="宋体" w:hAnsi="宋体" w:eastAsia="宋体" w:cs="宋体"/>
              </w:rPr>
              <w:t>大信会计师事务所</w:t>
            </w:r>
            <w:r>
              <w:rPr>
                <w:rFonts w:hint="eastAsia" w:ascii="宋体" w:hAnsi="宋体" w:cs="宋体"/>
                <w:lang w:eastAsia="zh-CN"/>
              </w:rPr>
              <w:t>，利安达会计师事务所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审计机构案情描述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1）股票可能被暂停上市的风险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公司因涉嫌信息披露违法违规，目前正在被中国证监会立案调查。如公司所涉及的立案调查事项最终未被中国证监会认定存在重大违法行为，公司股票将不会因此存在可能被暂停上市的风险。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2）债务未偿还导致的诉讼、资产冻结风险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湖南千山制药机械股份有限公</w:t>
            </w:r>
            <w:r>
              <w:rPr>
                <w:rFonts w:hint="eastAsia" w:ascii="宋体" w:hAnsi="宋体" w:cs="宋体"/>
                <w:lang w:val="en-US" w:eastAsia="zh-CN"/>
              </w:rPr>
              <w:t>司</w:t>
            </w:r>
            <w:r>
              <w:rPr>
                <w:rFonts w:hint="eastAsia" w:ascii="宋体" w:hAnsi="宋体" w:eastAsia="宋体" w:cs="宋体"/>
              </w:rPr>
              <w:t>2017 年年度报告由于公司及子公司逾期债务未清偿，且公司受到证监会的立案调查，导致公司被部分债权人起诉，并被冻结了公司部分银行帐户及公司资产，公司债务逾期事项，可能会面临需支付相关违约金、滞纳金和罚息，增加公司的财务费用，从而影响公司的生产经营和业务开展，还可能会对其他债权人对公司的信心造成影响，公司存在融资能力减弱的风险，公司将会面临资金急剧紧张局势。公司及子公司目前能够通过其他未被冻结的一般户进行经营结算，公司正在全力筹措偿债资金，妥善处理债务危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3）核心技术人员流失的风险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公司所处的制药装备、医疗器械和包装材料行业技术发展日新月异，公司需不断提升创新能力，才能保持竞争优势。核心技术人员是公司进行技术研发、保持持续竞争优势的重要基础。但若核心技术人员离职，仍将会对公司的技术研发、创新能力造成一定的影响。公司将不断完善人才激励机制和绩效考核体系，通过合理的薪酬方案和激励措施，多层次管理，尤其向核心技术人员倾斜，充分调动员工的工作积极性和主动性，保持公司核心人员的稳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4）经营管理风险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公司经营规模大，涉及业务范围广，组织结构复杂，经营环境的不断变化对公司管理提出了更高的要求和更新的挑战，公司将面临内部各业务协同、配合、绩效考核、激励等多维度管理难题。如果公司不能及时调整和完善组织模式和管理制度，实现管理升级，将可能影响公司市场竞争力。公司将根据外部环境的变化和公司内部发展及管理的需要，进一步理顺和完善管理体制和经营机制，优化管理流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5）新的商业模式风险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公司积极利用互联网技术整合公司资源并协同产业化，探索精准医疗行业发展新模式。该项目具有良好的市场前景，将会给公司带来良好的发展机遇，与此同时，健康产业领域内该商业模式属创新，没有现成的模式可参考，需要公司不断探索，需要摸索更多的经验，花费更多的时间。因此，该项目的实施过程中可能存在一些不确定因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建议上市公司提高内控执行力，把风险管控融入日常生产经营中。</w:t>
            </w:r>
          </w:p>
          <w:p>
            <w:pPr>
              <w:tabs>
                <w:tab w:val="left" w:pos="2160"/>
              </w:tabs>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实施更为严厉的监管措施与责任承担机制</w:t>
            </w:r>
          </w:p>
          <w:p>
            <w:pPr>
              <w:tabs>
                <w:tab w:val="left" w:pos="2160"/>
              </w:tabs>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提高企业内控制度的执行力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jc w:val="center"/>
              <w:rPr>
                <w:rFonts w:hint="eastAsia" w:ascii="宋体" w:hAnsi="宋体" w:eastAsia="宋体" w:cs="宋体"/>
              </w:rPr>
            </w:pPr>
            <w:r>
              <w:rPr>
                <w:rFonts w:hint="eastAsia" w:ascii="宋体" w:hAnsi="宋体" w:eastAsia="宋体" w:cs="宋体"/>
              </w:rPr>
              <w:t>无法表示意见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default" w:ascii="宋体" w:hAnsi="宋体" w:eastAsia="宋体" w:cs="宋体"/>
                <w:lang w:val="en-US" w:eastAsia="zh-CN"/>
              </w:rPr>
            </w:pPr>
            <w:r>
              <w:rPr>
                <w:rFonts w:hint="eastAsia" w:ascii="宋体" w:hAnsi="宋体" w:cs="宋体"/>
                <w:lang w:val="en-US" w:eastAsia="zh-CN"/>
              </w:rPr>
              <w:t>信息披露，内部控制，关联方非经营性占用公司资金，履行临时报告义务</w:t>
            </w:r>
          </w:p>
        </w:tc>
      </w:tr>
    </w:tbl>
    <w:p>
      <w:pPr>
        <w:rPr>
          <w:rFonts w:hint="eastAsia" w:ascii="宋体" w:hAnsi="宋体" w:eastAsia="宋体" w:cs="宋体"/>
        </w:rPr>
      </w:pPr>
    </w:p>
    <w:p>
      <w:pPr>
        <w:pStyle w:val="2"/>
        <w:rPr>
          <w:rFonts w:hint="default" w:ascii="宋体" w:hAnsi="宋体" w:eastAsia="宋体" w:cs="宋体"/>
          <w:lang w:val="en-US" w:eastAsia="zh-CN"/>
        </w:rPr>
      </w:pPr>
      <w:bookmarkStart w:id="11" w:name="_Toc515709074"/>
      <w:bookmarkStart w:id="12" w:name="_Toc2134"/>
      <w:r>
        <w:rPr>
          <w:rFonts w:hint="eastAsia" w:ascii="宋体" w:hAnsi="宋体" w:eastAsia="宋体" w:cs="宋体"/>
        </w:rPr>
        <w:t>06</w:t>
      </w:r>
      <w:bookmarkEnd w:id="11"/>
      <w:r>
        <w:rPr>
          <w:rFonts w:hint="eastAsia" w:ascii="宋体" w:hAnsi="宋体" w:eastAsia="宋体" w:cs="宋体"/>
          <w:lang w:val="en-US" w:eastAsia="zh-CN"/>
        </w:rPr>
        <w:t xml:space="preserve"> </w:t>
      </w:r>
      <w:r>
        <w:rPr>
          <w:rFonts w:hint="eastAsia" w:ascii="宋体" w:hAnsi="宋体" w:cs="宋体"/>
          <w:lang w:val="en-US" w:eastAsia="zh-CN"/>
        </w:rPr>
        <w:t>尔康制药事件</w:t>
      </w:r>
      <w:bookmarkEnd w:id="12"/>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lang w:val="en-US" w:eastAsia="zh-CN"/>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w:t>
            </w:r>
            <w:r>
              <w:rPr>
                <w:rFonts w:hint="eastAsia" w:ascii="宋体" w:hAnsi="宋体" w:cs="宋体"/>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w:t>
            </w:r>
            <w:r>
              <w:rPr>
                <w:rFonts w:hint="eastAsia" w:ascii="宋体" w:hAnsi="宋体" w:cs="宋体"/>
                <w:lang w:val="en-US" w:eastAsia="zh-CN"/>
              </w:rPr>
              <w:t>020</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湖南尔康制药股份有限公司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医药制造业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湖南尔康制药股份有限公司成立于2003年10月，于2011年9月27日在深交所挂牌上市，公司坐落在风景秀丽的国家级浏阳经济技术开发区内。2017年，尔康制药研究完成的项目《植物淀粉胶囊研制开发及产业化》荣获湖南省科技进步奖一等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尔康制药，中国辅料行业标准制定的参与者，新华社民族品牌工程入选企业，“国家药用辅料工程技术研究中心”建设依托单位，湖南省国家企业技术中心。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停牌超过半年的尔康制药（300267.SZ）11月22日晚间发布自查报告，对公司涉嫌虚增利润事宜进行说明，并向投资者致歉。据公司披露，本次自查发现的问题将使尔康制药2016年度财务报告出现重大业绩差错，预计将调减净利润2.32亿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根据尔康制药年报数据，该公司2016年度实现净利润10.26亿元。以此计算，年报净利润调减幅度约为20%，相当于去年业绩打了个八折。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尔康制药股票于5月10日起停牌，自查报告公布后股票将于11月23日复牌交易。公告同时提醒，“目前证监会正对公司进行立案稽查，最终调查结果以证监会出具的结论为准，请广大投资者注意投资风险。”</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一、2015年，尔康制药全资子公司湖南尔康(香港)有限公司(以下简称尔康香港)将从另一全资子公司湖南尔康(柬埔寨)投资有限公司(以下简称尔康柬埔寨)购入的200吨改性淀粉通过广州某食品公司、上海某实业公司等中间商间接销往尔康制药，为此尔康香港确认营业收入18,058,880.00元，确认净利润15,859,735.04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二、2016年，尔康香港将从尔康柬埔寨购入的1878吨改性淀粉通过广州某食品公司、上海某实业公司等中间商间接销往尔康制药，为此尔康香港确认营业收入229,315,853.50元，确认净利润208,981,130.18元。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尔康制药从全资子公司全额现款购入原料不具有商业合理性，商品所有权上的主要风险和报酬没有发生转移，相关经济利益没有实际流入，商品的实际控制权没有发生转移。尔康香港的会计处理不符合现行《企业会计准则第14号――收入》的规定，上述经济业务不应确认为销售收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三、尔康制药全资子公司尔康柬埔寨存在216吨改性淀粉销售退回未确认，虚增营业收入25,759,338.34元，虚增净利润23,273,318.62元。2016年，尔康柬埔寨销售给加拿大S公司改性淀粉一批，发货不久，客户提出产品存在均一度指标不达标，要求退货，在得到同意补偿损失的口头承诺后，2016年12月，加方将其中216吨低价处理，尔康制药对销售退回未做账务处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企业已经确认销售商品收入的售出商品发生销售退回的，应当在发生时冲减当期销售商品收入。尔康制药的会计处理不符合《企业会计准则第14号-收入》第九条的规定。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综上，尔康制药2015年年度财务报表虚增营业收入18,058,880.00元，虚增净利润15,859,735.04元，占当期合并报表披露营业收入1,755,998,915.76元的1.03%，披露净利润604,578,672.02元的2.62%。2016年年度财务报表虚增营业收入255,075,191.84元，虚增净利润232,254,448.80元，占当期合并报表披露营业收入2,960,896,815.03元的8.61%，披露净利润1,026,434,494.30元的22.63%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尔康制药于2016年4月、2017年4月分别公告了2015年年度报告、2016年年度报告，存在虚假记载。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lang w:eastAsia="zh-CN"/>
              </w:rPr>
            </w:pPr>
            <w:r>
              <w:rPr>
                <w:rFonts w:hint="eastAsia" w:ascii="宋体" w:hAnsi="宋体" w:cs="宋体"/>
                <w:b/>
                <w:bCs/>
                <w:lang w:eastAsia="zh-CN"/>
              </w:rPr>
              <w:t>【</w:t>
            </w:r>
            <w:r>
              <w:rPr>
                <w:rFonts w:hint="eastAsia" w:ascii="宋体" w:hAnsi="宋体" w:cs="宋体"/>
                <w:b/>
                <w:bCs/>
                <w:lang w:val="en-US" w:eastAsia="zh-CN"/>
              </w:rPr>
              <w:t>财报分析</w:t>
            </w:r>
            <w:r>
              <w:rPr>
                <w:rFonts w:hint="eastAsia" w:ascii="宋体" w:hAnsi="宋体" w:cs="宋体"/>
                <w:b/>
                <w:bCs/>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净利调减：政策抢跑与销售退货是主因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按照公司自查公告预计，尔康制药年报虚增利润总计2.32亿元，主要分为两部分，一部分是柬埔寨尔康虚增主营业务收入2.29亿元，预计虚增净利润2.09亿元；另外一部分是公司在北美地区的代理商SYN公司产生销售退回，未能及时进行会计处理，导致虚增主营业务收入0.26亿元，虚增净利润0.23亿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尔康制药上市以来一直保持高速增长，主因之一是能够准确预判且紧跟政策风向，快速完成产业布局。但对政策风向进行预判难免形成误判风险，根据公司公告，此次虚增利润中的2.09亿元，很大原因就是“抢跑”造成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按照公告表述，2015年，各省市陆续出台了药品集中采购的改革文件和相关规定，经销商向公司反馈的信息显示，尔康制药生产的淀粉胶囊制剂产品进入河南、云南等省份的单列分组招标计划。为此，公司启动了原材料采购备货工作，并通过第三方供应商向柬埔寨尔康采购空心胶囊用改性淀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计划赶不上变化。此后，各省份药品集中采购政策发生重大变化，所有单列分组招标的药品采购政策均未能实施。重大政策变动造成的后果是，公司备货的空心胶囊用改性淀粉未能全部对外形成销售。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按照企业会计准则的要求，应将上述内部采购未实现销售部分收入在合并报表中进行合并抵消。公告称，在2016年财务报告准备期间，公司业务部门和柬埔寨尔康未就上述内部采购事项及时与财务部门进行信息传递和沟通，最终导致公司年报虚增主营业务收入2.29亿元，预计虚增净利润2.09亿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在此前的媒体报道中，外界对于尔康制药的北美代理商SYN公司质疑颇多，认为该公司与尔康制药存在关联关系，二者发生的销售有虚构之嫌。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对此，自查报告详细披露了SYN公司的工商资料，并承认尔康制药与该公司100%股份持有人黄祖云曾有过技术交流，但双方并不存在关联关系。公告显示，2015年2月，尔康制药与SYN公司签订《经销合作意向书》，2016年5月签订正式《销售合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2016年，尔康制药与SYN公司共发生总计销售金额6145万元，其中向SYN公司销售软胶囊用改性淀粉5564万元、淀粉胶囊581万元。2016年12月至2017年4月，在改性淀粉产品销售过程中，因终端客户使用过程中出现均一度（注：均一度是指产品生产过程中同一批次或相近批次产品的质量达到的一致性程度）要求不达标的问题，部分改性淀粉产品出现终端客户退货情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按照尔康制药与SYN公司达成的协议，上述部分产品不做退货处理，由SYN公司自行处理。尔康制药对所支付货款全额返还并按未结清金额的10%计算资金占用费。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但上述退货并未反映在报表中，所产生的销售收入最终仍被计入尔康制药年报。公司解释称，截至4月21日年报发布时，尔康制药与SYN仍就退货事宜进行磋商，“公司负责国际销售的部门未将销售退回及其后续处理情况告知公司总部，导致财务部未按企业会计准则中对于销售退货的原则进行处理”。上述工作失误造成尔康制药年报虚增主营业务收入0.26亿元、虚增净利润0.23亿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海关数据：高毛利率源自改性淀粉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除了虚增利润，外界还对柬埔寨尔康的“18万吨药用木薯淀粉生产项目”的高毛利率与海关数据疑惑颇多，公司在自查报告中也对此进行了详细说明。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公告显示，“18万吨药用木薯淀粉生产项目”系尔康制药于2013年11月使用部分超募资金及自有资金共计2亿元在柬埔寨投资建设，于2014年3月正式投产。2014-2016年期间，公司在各定期报告中列示了该项目的收益情况，数据显示该项目的投资利润率连年增长。按照此次自查报告调整后的数据，该项目2016年净利润仍可达4亿元左右，是可研报告预计净利润的7倍左右。</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在自查公告中，公司将高利润率归结为技术进步。“2014年12月，公司改性淀粉系列产品生产工艺日趋成熟，公司通过技术改造，使该项目生产线同时具备普通淀粉和改性淀粉的生产能力。随着该项目高附加值产品改性淀粉产业化程度的不断提高，该项目所产生的收益超过了立项时预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在公司同日发布的回复交易所问询的另一份公告中，详细回答了普通淀粉与改性淀粉毛利率差异较大的原因。根据披露，2016年尔康制药普通淀粉毛利率为2.17%，改性淀粉毛利率为90.16%，二者相差巨大主要有四大原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（1）普通淀粉与改性淀粉分属两种不同产品，成本和售价存在较大差异，由此造成毛利率差异。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（2）普通淀粉主要应用于市场竞争激烈的食品领域，准入门槛较低；改性淀粉主要应用于附加值较高的药品、保健品、部分高端食品领域，准入门槛相对较高，公司产品竞争优势明显。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3）公司改性淀粉与普通淀粉相比，加工环节更长，工艺更复杂，并可根据客户应用领域的不同对配方进行调整，根据不同的改性步骤，生产出不同类型的产品满足下游客户的要求，使得相关产品市场竞争力进一步提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4）公司生产的普通淀粉主要应用于食品领域，主要根据大宗商品市场行情定价，市场价格公开透明。改性淀粉的销售价格主要根据竞品明胶、卡拉胶、普鲁兰多糖原料的价格进行定价，采用高于明胶低于其他植物胶囊原材料的定价策略。目前明胶、卡拉胶和普鲁兰多糖原料的销售价格分别为约30-80元/千克、130-315元/千克和200-260元/千克，公司改性淀粉系列产品定价区间在46-133元/千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实际上，高毛利率是医药行业的整体特征。根据今年上半年的一份统计， 2016年年报销售毛利率在70%以上的医药类上市公司超过50家，其中贝达药业、我武生物、舒泰神、智飞生物和康弘药业五家公司销售毛利率均在90%以上，贝达药业甚至高达96.83%。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在这场财务数据风波中，关于木薯淀粉的海关数据也一直是外界关注的焦点。尔康制药在公告中解释，普通木薯淀粉对应的中国海关编码为11081400，改性淀粉对应的中国海关编码为35051000，二者分属两类不同产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自查报告披露的数据显示，2016年，中国海关从柬埔寨进口木薯淀粉30936.5吨，其中柬埔寨尔康销往中国的普通木薯淀粉10940吨；从柬埔寨进口改性淀粉2861.2吨，其中柬埔寨尔康销往中国（含香港）改性淀粉系列产品2807.2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依据上述披露，柬埔寨尔康的高额利润主要来自2807.2吨改性淀粉系列产品。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此外，自查公告还对外界质疑的公司固定资产、在建工程及房产税情况进行了说明。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复牌走向：利空袭击PK估值水平</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对尔康制药的投资人来说，最关心的仍然是公司股票复牌之后的走势。自5月10日停牌算起，至11月23日复牌，尔康制药停牌已超过半年时间。其间中小创个股走势普遍低迷，在公告虚增利润的消息影响下，公司股票复牌后股价压力不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按照自查公告的预计，尔康制药2016年年报净利将调减2.32亿元，由10.26亿元变为7.94亿元，相当于在原有基础上打了个八折。今年前三季度，尔康制药实现营业收入22.69亿元，同比增加19.76%，净利润5.54亿元，同比减少23.21%。</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(一)对尔康制药责令改正，给予警告，并处以60万元罚款;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(二)对直接负责的主管人员帅放文、刘爱军给予警告，并分别处以30万元罚款;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(三)对其他责任人员王向峰、杨海明、帅友文、帅瑞文、高振亚、张曲曲给予警告，并分别处以10万元罚款;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(四)对其他责任人员王健、许中缘、左田芳，罗琅、周伏军、陈文献、李义国给予警告，并分别处以3万元罚款。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eastAsia" w:ascii="宋体" w:hAnsi="宋体" w:eastAsia="宋体" w:cs="宋体"/>
              </w:rPr>
            </w:pPr>
            <w:r>
              <w:rPr>
                <w:rFonts w:hint="eastAsia" w:ascii="宋体" w:hAnsi="宋体" w:eastAsia="宋体" w:cs="宋体"/>
              </w:rPr>
              <w:t>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r>
              <w:rPr>
                <w:rFonts w:hint="default" w:ascii="宋体" w:hAnsi="宋体" w:eastAsia="宋体" w:cs="宋体"/>
                <w:lang w:val="en-US" w:eastAsia="zh-CN"/>
              </w:rPr>
              <w:t>因2015年-2016年连续两年财务造假，尔康制药曾被湖南证监局处以60万元罚款，并责令其改正，给予警告。包括实控人、董事长帅放文在内的15名高管被给予警告，并处以罚款。11月7日，尔康制药发布的公告显示，创业板公司管理部对尔康制药的财务报告审计机构签字会计师——天健会计师事务所（特殊普通合伙）的胡萍发出监管函，要求其重视问题、及时整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r>
              <w:rPr>
                <w:rFonts w:hint="default" w:ascii="宋体" w:hAnsi="宋体" w:eastAsia="宋体" w:cs="宋体"/>
                <w:lang w:val="en-US" w:eastAsia="zh-CN"/>
              </w:rPr>
              <w:t>尔康制药财务“造假门”事件曾引起一片哗然。2017年11月22日晚，尔康制药发公告承认，公司2016年年报出现重大会计差错，净利润预计将减少2.31亿元。2017年11月23日，停牌半年的尔康制药复牌后一字跌停。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r>
              <w:rPr>
                <w:rFonts w:hint="default" w:ascii="宋体" w:hAnsi="宋体" w:eastAsia="宋体" w:cs="宋体"/>
                <w:lang w:val="en-US" w:eastAsia="zh-CN"/>
              </w:rPr>
              <w:t>据尔康制药2018年 4 月 25 日发布的公告显示，公司2015-2016 年度通过虚构改性淀粉收入、未确认产品销售退货等方式虚增相应年度营业收入及净利润，其中 2015 年虚增营业收入1805.89 万元，虚增净利润1585.97 万元； 2016 年虚增营业收入25507.52 万元，虚增净利润 23225.44 万元，尔康制药此后就上述事项对 2015 年度、 2016 年度财务报表进行更正。</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r>
              <w:rPr>
                <w:rFonts w:hint="default" w:ascii="宋体" w:hAnsi="宋体" w:eastAsia="宋体" w:cs="宋体"/>
                <w:lang w:val="en-US" w:eastAsia="zh-CN"/>
              </w:rPr>
              <w:t>针对尔康制药发生的违法行为，深交所也对尔康制药公司及董事长帅放文等三名高管给予了公开谴责处分，其他涉案高管给予通报批评处分。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r>
              <w:rPr>
                <w:rFonts w:hint="default" w:ascii="宋体" w:hAnsi="宋体" w:eastAsia="宋体" w:cs="宋体"/>
                <w:lang w:val="en-US" w:eastAsia="zh-CN"/>
              </w:rPr>
              <w:t>而11月7日尔康制药披露的监管函显示，创业板公司管理部认为，作为尔康制药财务报告审计机构签字会计师，胡萍在 2016 年 4 月5 日出具的《审计报告》中称，“尔康制药财务报表在所有重大方面按照企业会计准则的规定编制，公允反映了尔康制药 2015 年 12 月 31 日的合并及母公司财务状况，以及 2015 年度的合并及母公司经营成果和现金流量 ”。此举未能勤勉尽责，出具的审计报告存在虚假记载，违反了相关规定。监管部门要求胡萍充分重视上述问题，吸取教训，及时整改，杜绝上述问题的再次发生。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eastAsia="宋体" w:cs="宋体"/>
                <w:lang w:val="en-US" w:eastAsia="zh-CN"/>
              </w:rPr>
            </w:pPr>
            <w:r>
              <w:rPr>
                <w:rFonts w:hint="default" w:ascii="宋体" w:hAnsi="宋体" w:eastAsia="宋体" w:cs="宋体"/>
                <w:lang w:val="en-US" w:eastAsia="zh-CN"/>
              </w:rPr>
              <w:t>11月8日，尔康制药将在全景网通过网络远程的方式公开致歉，公司董事长帅放文先生、董事兼总经理刘爱军、独立董事左田芳、副总经理兼董事会秘书施湘燕、财务总监赵寻将出席致歉会。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rPr>
                <w:rStyle w:val="18"/>
                <w:rFonts w:hint="eastAsia" w:ascii="宋体" w:hAnsi="宋体" w:eastAsia="宋体" w:cs="宋体"/>
                <w:i w:val="0"/>
                <w:iCs w:val="0"/>
                <w:color w:val="auto"/>
                <w:lang w:eastAsia="zh-CN"/>
              </w:rPr>
            </w:pPr>
            <w:r>
              <w:rPr>
                <w:rStyle w:val="18"/>
                <w:rFonts w:hint="eastAsia" w:ascii="宋体" w:hAnsi="宋体" w:eastAsia="宋体" w:cs="宋体"/>
                <w:i w:val="0"/>
                <w:iCs w:val="0"/>
                <w:color w:val="auto"/>
              </w:rPr>
              <w:t>为了减少压力,公司要实事求是制定长远发展战略,避免盲目扩张;政府要树立正确的政绩观,相关部门加大对财务造假的惩罚力度可以减少造假的机会;提升管理者的职业道德素养可以从根本上杜绝造假的借口。完善控制环境要从建立诚信的企业文化入手;不但如此,还要加强内部监督,提高对内部审计的关注度;外部监督也必不可少,必须完善赔偿机制,建立一个多层次的监管体系。建立舞弊指数可以有效的进行财务造假预警</w:t>
            </w:r>
            <w:r>
              <w:rPr>
                <w:rStyle w:val="18"/>
                <w:rFonts w:hint="eastAsia" w:ascii="宋体" w:hAnsi="宋体" w:cs="宋体"/>
                <w:i w:val="0"/>
                <w:iCs w:val="0"/>
                <w:color w:val="auto"/>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jc w:val="center"/>
              <w:rPr>
                <w:rFonts w:hint="eastAsia" w:ascii="宋体" w:hAnsi="宋体" w:eastAsia="宋体" w:cs="宋体"/>
              </w:rPr>
            </w:pPr>
            <w:r>
              <w:rPr>
                <w:rFonts w:hint="eastAsia" w:ascii="宋体" w:hAnsi="宋体" w:cs="宋体"/>
                <w:lang w:val="en-US" w:eastAsia="zh-CN"/>
              </w:rPr>
              <w:t>标准无保留意见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default" w:ascii="宋体" w:hAnsi="宋体" w:eastAsia="宋体" w:cs="宋体"/>
                <w:lang w:val="en-US" w:eastAsia="zh-CN"/>
              </w:rPr>
            </w:pPr>
            <w:r>
              <w:rPr>
                <w:rFonts w:hint="eastAsia" w:ascii="宋体" w:hAnsi="宋体" w:cs="宋体"/>
                <w:lang w:val="en-US" w:eastAsia="zh-CN"/>
              </w:rPr>
              <w:t>诉讼仲裁案件、虚增营业收入、虚增净利润、变革调整、质押</w:t>
            </w:r>
          </w:p>
        </w:tc>
      </w:tr>
    </w:tbl>
    <w:p>
      <w:pPr>
        <w:rPr>
          <w:rFonts w:hint="eastAsia" w:ascii="宋体" w:hAnsi="宋体" w:eastAsia="宋体" w:cs="宋体"/>
        </w:rPr>
      </w:pPr>
    </w:p>
    <w:p>
      <w:pPr>
        <w:pStyle w:val="2"/>
        <w:rPr>
          <w:rFonts w:hint="default" w:ascii="宋体" w:hAnsi="宋体" w:eastAsia="宋体" w:cs="宋体"/>
          <w:shd w:val="clear" w:color="auto" w:fill="FDFDFD"/>
          <w:lang w:val="en-US" w:eastAsia="zh-CN"/>
        </w:rPr>
      </w:pPr>
      <w:bookmarkStart w:id="13" w:name="_Toc515709075"/>
      <w:bookmarkStart w:id="14" w:name="_Toc1874"/>
      <w:r>
        <w:rPr>
          <w:rFonts w:hint="eastAsia" w:ascii="宋体" w:hAnsi="宋体" w:eastAsia="宋体" w:cs="宋体"/>
        </w:rPr>
        <w:t>07</w:t>
      </w:r>
      <w:bookmarkEnd w:id="13"/>
      <w:r>
        <w:rPr>
          <w:rFonts w:hint="eastAsia" w:ascii="宋体" w:hAnsi="宋体" w:eastAsia="宋体" w:cs="宋体"/>
          <w:lang w:val="en-US" w:eastAsia="zh-CN"/>
        </w:rPr>
        <w:t xml:space="preserve"> </w:t>
      </w:r>
      <w:r>
        <w:rPr>
          <w:rFonts w:hint="eastAsia" w:ascii="宋体" w:hAnsi="宋体" w:cs="宋体"/>
          <w:lang w:val="en-US" w:eastAsia="zh-CN"/>
        </w:rPr>
        <w:t>皇台酒业事件</w:t>
      </w:r>
      <w:bookmarkEnd w:id="14"/>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lang w:val="en-US" w:eastAsia="zh-CN"/>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w:t>
            </w:r>
            <w:r>
              <w:rPr>
                <w:rFonts w:hint="eastAsia" w:ascii="宋体" w:hAnsi="宋体" w:cs="宋体"/>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18</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甘肃皇台酒业股份有限公司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cs="宋体"/>
                <w:lang w:val="en-US" w:eastAsia="zh-CN"/>
              </w:rPr>
              <w:t>酒</w:t>
            </w:r>
            <w:r>
              <w:rPr>
                <w:rFonts w:hint="eastAsia" w:ascii="宋体" w:hAnsi="宋体" w:eastAsia="宋体" w:cs="宋体"/>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皇台酒业是甘肃皇台酒业股份有限公司简称。皇台酒业是一家集白酒、红酒酿造于一身的甘肃酒企。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2015年4月，皇台酒业的第一大股东上海厚丰投资有限公司（下称：上海厚丰）100%股权，被新疆润信通股权投资有限公司（以下简称新疆润信）以1亿元收购，后者成为皇台酒业间接控股股东。吉文娟接替卢鸿毅成为新任实际控制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彼时媒体挖掘的人事关联，指向新疆润信背后可能是德隆系旧部沈巍等人。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但是，实际控制人换了，管理层却并没有换。在近两年的时间里，卢鸿毅仍然是董事长。</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公司此前承认，自2015年4月相关各方签署股权转让协议之日，至2016年10月31日期间，公司董事会成员及高管仍然为原公司实际控制人卢鸿毅班底。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直到2017年1月，卢鸿毅方才卸任了董事长一职，接任者为有着德隆系金新信托投资部工作履历的胡振平，才有了2018年1月盘亏一幕。</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甘肃皇台酒业股份有限公司2016年年度报告》（以下简称2016年年报）披露的期末库存商品账面余额131,348,696.56元，其中母公司库存商品账面余额130,848,257.63元，现有证据证明母公司库存商品2016年年末实际结存金额为44,549,474.33元，2016年年报虚假记载库存商品账面余额86,298,783.30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公司原董事长卢鸿毅的职务侵占犯罪行为造成了公司库存成品酒的亏空；同时查实，2013年至2016年期间卢鸿毅投资或控制的单位尚有因卢鸿毅的职务侵占行为导致公司被欠款3024.66万元。公司2016年末亏空的成品酒价值6918.88万元，扣除可以确定的责任人赔偿款3024.66万元后，因无法估计剩余损失3894.22万元的赔偿金额，全额计提减值准备计入2016年度当期损益。为此，公司更正了2016年-2019年的年度报告。</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依据2005年《证券法》第一百九十三条第一款之规定，决定对皇台酒业给予警告，并处以30万元罚款；对胡振平、付耶成、何维角给予警告，并处以5万元罚款；对辛秀山、刘静、李生禄给予警告,并处以4万元罚款；对于凇琳、常红军、闻萌、刘锐、高明星、闫立强、张文彬、谢维宏给予警告，并处以3万元罚款。</w:t>
            </w:r>
          </w:p>
          <w:p>
            <w:pPr>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eastAsia" w:ascii="宋体" w:hAnsi="宋体" w:eastAsia="宋体" w:cs="宋体"/>
              </w:rPr>
            </w:pPr>
            <w:r>
              <w:rPr>
                <w:rFonts w:hint="eastAsia" w:ascii="宋体" w:hAnsi="宋体" w:eastAsia="宋体" w:cs="宋体"/>
              </w:rPr>
              <w:t>希格玛会计师事务所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加强企业内部的财务监管</w:t>
            </w:r>
          </w:p>
          <w:p>
            <w:pPr>
              <w:tabs>
                <w:tab w:val="left" w:pos="2160"/>
              </w:tabs>
              <w:rPr>
                <w:rStyle w:val="18"/>
                <w:rFonts w:hint="eastAsia" w:ascii="宋体" w:hAnsi="宋体" w:eastAsia="宋体" w:cs="宋体"/>
                <w:i w:val="0"/>
                <w:iCs w:val="0"/>
                <w:color w:val="auto"/>
              </w:rPr>
            </w:pPr>
            <w:r>
              <w:rPr>
                <w:rStyle w:val="18"/>
                <w:rFonts w:hint="eastAsia" w:ascii="宋体" w:hAnsi="宋体" w:eastAsia="宋体" w:cs="宋体"/>
                <w:i w:val="0"/>
                <w:iCs w:val="0"/>
                <w:color w:val="auto"/>
              </w:rPr>
              <w:t>加强内部控制制度，提高企业内部管理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否定意见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重大缺陷是内部控制中存在的、可能导致不能及时防止或发现并纠正财务报表出重大错报的一项控制缺陷或多项控制缺陷的组合。</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贵公司财务报告内部控制存在以下重大缺陷：</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贵公司存货管理制度规定存货应每月盘点一次和每半年至少全面盘点一次，但公司并没有完全执行该规定。贵公司在货物调拨时依据经相关负责人签字批准的调拨单或书面申请由仓储部门发货，而货物发出后财务部门并未对货物发出情况及时进行核算和反映。上述内部控制重大缺陷未能及时有效发现公司成品酒亏空，从而对财务报表造成的重大影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有效的内部控制能够为财务报告及相关信息的真实完整提供合理保证，而上述重大缺陷使贵公司内部控制失去了这一功能。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贵公司管理层已识别出上述重大缺陷，并将其包含在企业内部控制评价报告中。在贵公司2017年财务报表审计中，我们已经考虑了上述重大缺陷对审计程序的性质、时间安排和范围的影响。本报告并未对我们在2018年4月24日对贵公司2017年财务报表出具的审计报告产生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eastAsia" w:ascii="宋体" w:hAnsi="宋体" w:eastAsia="宋体" w:cs="宋体"/>
                <w:lang w:val="en-US" w:eastAsia="zh-CN"/>
              </w:rPr>
            </w:pPr>
            <w:r>
              <w:rPr>
                <w:rFonts w:hint="eastAsia" w:ascii="宋体" w:hAnsi="宋体" w:cs="宋体"/>
                <w:lang w:val="en-US" w:eastAsia="zh-CN"/>
              </w:rPr>
              <w:t xml:space="preserve">监盘，涉诉，造假，内讧，库亏 </w:t>
            </w:r>
          </w:p>
        </w:tc>
      </w:tr>
    </w:tbl>
    <w:p>
      <w:pPr>
        <w:rPr>
          <w:rFonts w:hint="eastAsia" w:ascii="宋体" w:hAnsi="宋体" w:eastAsia="宋体" w:cs="宋体"/>
        </w:rPr>
      </w:pPr>
    </w:p>
    <w:p>
      <w:pPr>
        <w:pStyle w:val="2"/>
        <w:tabs>
          <w:tab w:val="left" w:pos="2429"/>
        </w:tabs>
        <w:rPr>
          <w:rFonts w:hint="default" w:ascii="宋体" w:hAnsi="宋体" w:eastAsia="宋体" w:cs="宋体"/>
          <w:lang w:val="en-US" w:eastAsia="zh-CN"/>
        </w:rPr>
      </w:pPr>
      <w:bookmarkStart w:id="15" w:name="_Toc515709076"/>
      <w:bookmarkStart w:id="16" w:name="_Toc17928"/>
      <w:r>
        <w:rPr>
          <w:rFonts w:hint="eastAsia" w:ascii="宋体" w:hAnsi="宋体" w:eastAsia="宋体" w:cs="宋体"/>
        </w:rPr>
        <w:t>08</w:t>
      </w:r>
      <w:bookmarkEnd w:id="15"/>
      <w:r>
        <w:rPr>
          <w:rFonts w:hint="eastAsia" w:ascii="宋体" w:hAnsi="宋体" w:eastAsia="宋体" w:cs="宋体"/>
          <w:lang w:val="en-US" w:eastAsia="zh-CN"/>
        </w:rPr>
        <w:t xml:space="preserve"> </w:t>
      </w:r>
      <w:r>
        <w:rPr>
          <w:rFonts w:hint="eastAsia" w:ascii="宋体" w:hAnsi="宋体" w:cs="宋体"/>
          <w:lang w:val="en-US" w:eastAsia="zh-CN"/>
        </w:rPr>
        <w:t>风华高科事件</w:t>
      </w:r>
      <w:bookmarkEnd w:id="16"/>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lang w:val="en-US" w:eastAsia="zh-CN"/>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w:t>
            </w:r>
            <w:r>
              <w:rPr>
                <w:rFonts w:hint="eastAsia" w:ascii="宋体" w:hAnsi="宋体" w:cs="宋体"/>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20</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广东风华高新科技股份有限公司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计算机、通信和其他电子设备制造业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广东风华高新科技股份有限公司（以下简称“风华高科”）于1996年在深圳证券交易所挂牌上市证券简称风华高科，证券代码000636），是一家专业从事新型元器件、电子材料、电子专用设备等电子信息基础产品的高科技上市公司。公司自1985年进入电子元器件行业以来，实现了跨越式的发展，现已成为国内最大的新型元器件及电子信息基础产品科研、生产和出口基地，拥有自主知识产权及核心技术的国际知名新型电子元器件行业大公司。</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2018年10月11日，入选“全国中小学生研学实践教育基地”名单。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公司原定3月27日发布2017年年报，但在3月26日晚间发布公告，将年报发布时间推迟到4月10日，但4月10日继续推迟，直到4月28日才发布第一稿，到了6月29日，又对年报内容进行了修订。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4月28日发布年报的同时，还发布了一份“前期差错更正的专项说明”。原来，公司的2016年甚至2015年的财务数据出现了差错，需要进行调整，所以导致2017年的年报姗姗来迟。</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花式玩弄“应收账款”的方式来虚增利润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2019年8月，风华高科收到广东监管局下发的《行政处罚事先告知书》，公司信息披露存在虚假记载，以及存在未及时披露董事会监事会决议两项违法事实。</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公司应收账款对应债权转让存在问题，并在2015年年度报告、2016年半年度报告、2016年年度报告均存在虚假记载。公司在开展贸易业务时，形成约6319万元的应收账款，且对应债权并没有抵押物等担保，且几次向债务人催款未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为了解决应收账款账目挂账问题、延长应收账款计提坏账准备时间，风华高科竟玩起了花招。它通过两种方式来处置应收账款：一是通过粤盛资产和宁夏顺亿资产配合操作，由风华高科于2016年3月出资5500万元，购买粤盛资产的一项理财产品，粤盛资产收到该笔资金后，全部转至宁夏顺亿，宁夏顺亿以2015年12月31日为基准日，原价受让风华高科的约5470万元应收账款，并以支付受让款的名义，将收到的上述款项全部转回风华高科。二是通过案外人刘某华实际控制的深圳市全聚能实业有限公司(以下简称深圳全聚能)配合操作，由该公司以2015年12月31日为基准日，以八折(680.3万元)的价格受让风华高科应收850万元应收账款，其所支付的受让款，来源于风华高科向刘某华实际控制的另一家公司支付的预付款约250万元以及对该公司的应收账款约430万元。风华高科在分别与宁夏顺亿、深圳全聚能签署债权转让合同时，另行分别签署补充协议，均明确约定：自合同生效之日起，风华高科仍负有追收对应应收账款的权利和义务。若款项未足额收回，损失由风华高科承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经核实，本案所涉应收账款对应债权并未实质发生转让、其转让时已预计难以按时收回。也就是说，风华高科本该计提坏账准备，但他却通过这种眼花缭乱的方式来延期计提坏账，使得利润表相对好看，也就是变相地虚增了利润。风华高科《2016年半年度报告》和年度报告均虚增利润超过6000万，分别占当期利润总额的60.21%和33.05%。</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此次风华高科财务“做手脚”的入手之处</w:t>
            </w:r>
            <w:r>
              <w:rPr>
                <w:rFonts w:hint="eastAsia" w:ascii="宋体" w:hAnsi="宋体" w:cs="宋体"/>
                <w:b w:val="0"/>
                <w:bCs w:val="0"/>
                <w:lang w:eastAsia="zh-CN"/>
              </w:rPr>
              <w:t>——</w:t>
            </w:r>
            <w:r>
              <w:rPr>
                <w:rFonts w:hint="eastAsia" w:ascii="宋体" w:hAnsi="宋体" w:eastAsia="宋体" w:cs="宋体"/>
                <w:b w:val="0"/>
                <w:bCs w:val="0"/>
              </w:rPr>
              <w:t>应收账款，具体手法是花式逃避坏账计提，甚至倒手就把坏账当成利润来算，金额高达6000万之多。对此，证监会对公司处以40万元罚款，并对涉案的26名公司人员加以处罚。而这26人名单中，三任董事长就赫然在列。包括公司的前前任、前任和现任董事长。这三人都是这起信披违法事件的始作俑者，被处罚金额都是20万元，也是涉案人员中被处罚力度最大的。</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bCs/>
              </w:rPr>
            </w:pP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rPr>
                <w:rFonts w:hint="eastAsia" w:ascii="宋体" w:hAnsi="宋体" w:eastAsia="宋体" w:cs="宋体"/>
              </w:rPr>
            </w:pPr>
            <w:r>
              <w:rPr>
                <w:rFonts w:hint="eastAsia" w:ascii="宋体" w:hAnsi="宋体" w:eastAsia="宋体" w:cs="宋体"/>
              </w:rPr>
              <w:t>对于公司层次，风华高科被责令改正+警告，并处以40万元罚款，相关人员李泽中、廖永忠、幸建超、赖旭给予警告，并分别处以20万元罚款，另有十余人被警告和罚款。</w:t>
            </w:r>
          </w:p>
          <w:p>
            <w:pPr>
              <w:rPr>
                <w:rFonts w:hint="eastAsia" w:ascii="宋体" w:hAnsi="宋体" w:eastAsia="宋体" w:cs="宋体"/>
              </w:rPr>
            </w:pPr>
            <w:r>
              <w:rPr>
                <w:rFonts w:hint="eastAsia" w:ascii="宋体" w:hAnsi="宋体" w:eastAsia="宋体" w:cs="宋体"/>
              </w:rPr>
              <w:t>风华高科及26名涉事的高管、前高管均受到了行政处罚，罚款总额高达187万元。</w:t>
            </w:r>
          </w:p>
          <w:p>
            <w:pPr>
              <w:rPr>
                <w:rFonts w:hint="eastAsia" w:ascii="宋体" w:hAnsi="宋体" w:eastAsia="宋体" w:cs="宋体"/>
              </w:rPr>
            </w:pPr>
            <w:r>
              <w:drawing>
                <wp:inline distT="0" distB="0" distL="114300" distR="114300">
                  <wp:extent cx="3870960" cy="2143125"/>
                  <wp:effectExtent l="0" t="0" r="15240" b="952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3870960" cy="2143125"/>
                          </a:xfrm>
                          <a:prstGeom prst="rect">
                            <a:avLst/>
                          </a:prstGeom>
                          <a:noFill/>
                          <a:ln>
                            <a:noFill/>
                          </a:ln>
                        </pic:spPr>
                      </pic:pic>
                    </a:graphicData>
                  </a:graphic>
                </wp:inline>
              </w:drawing>
            </w:r>
          </w:p>
          <w:p>
            <w:pPr>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default" w:ascii="宋体" w:hAnsi="宋体" w:eastAsia="宋体" w:cs="宋体"/>
                <w:lang w:val="en-US" w:eastAsia="zh-CN"/>
              </w:rPr>
            </w:pPr>
            <w:r>
              <w:rPr>
                <w:rFonts w:hint="eastAsia" w:ascii="宋体" w:hAnsi="宋体" w:cs="宋体"/>
                <w:lang w:val="en-US" w:eastAsia="zh-CN"/>
              </w:rPr>
              <w:t>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审计机构案情描述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当事人立信所、宣宜辰、陈雷及其代理人一致提出以下陈述申辩意见，请求减免行政处罚：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一，立信所执行2016年度风险评估审计工作时，已充分考虑相关的资产减值损失、银行存款的风险，并实施复核验算、检查、函证等程序未发现明显异常，未调整该等科目风险评估结论的文字描述本身并不影响相关实施执行的审计工作及其对相关审计结论的支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二，立信所在对风华高科2016年审计过程中未知悉及获取任何证明案涉应收账款和理财产品及投资顾问费之间存在关联的审计证据：1．理财产品的购买时间、金额与应收账款转让时间、金额并非高度一致；2．风华高科的应收账款、理财产品和投资顾问费分属不同业务环节，没有对应关系；3．粤盛资产的财务顾问费包含于风华高科2016年管理费用当中，占当期管理费用总额4亿余元的比例不足1%，在执行审计工作时未抽查到粤盛资产相关投顾协议；4．购买理财产品的收益并不固定，投资顾问费金额高于理财产品收益金额的事项本身不足以得出上市公司“购买理财产品的交易行为存在重大异常”。</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三，立信所已对应收账款转让事项获取充分、适当的审计证据。一是2016年3月实施审计程序所获取的审计证据，不属于“以前”年度获取的审计证据，而属于“本期”获取的审计证据，且立信所已实施了必要和有针对性的进一步审计程序，不存在直接信赖以前审计中实施实质性程序获取的审计证据的情况。二是立信所已对应收账款转让交易的商业合理性和真实性获取了充分的审计证据。1．执行了审核应收账款转让协议、查验应收账款转让交易各方的背景、访谈风华高科管理层等程序；2．立信所已经就应收账款对宁夏顺亿实施了函证程序；3．走访不属于不可替代的审计程序；4．对兰州房地产项目，立信所执行了访谈风华高科管理层、获取风华高科考察兰州地产项目的资料、网络查询调查房地产项目真实性等程序，没有必要对兰州项目进行现场走访。</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四，立信所已对理财产品及投资顾问费事项获取充分、适当的审计证据。1．针对案涉理财产品，立信所已经实施检查、函证等必要的审计程序，未发现异常，没有必要在对该等已经全额收回理财产品的投资去向实施审计程序。2．应收账款、理财产品和投资顾问费分属不同业务循环，案涉理财产品只是风华高科众多理财交易中的一笔，当期“咨询费（含顾问费）”（还包含其他费用）仅占风华高科管理费用总额的4.44%。</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第五，风华高科应收账款科目财务造假行为，系由风华高科管理层和相关外部公司及其相关人员串通合谋实施，并对审计机构予以隐瞒，当事人不存在故意或重大过失。</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经复核，广东证监局认为当事人的陈述、申辩意见部分不能成立、部分予以采纳。具体如下：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一，资产减值损失、银行存款等科目与应收账款、理财产品等事项密切相关，在对应收账款、理财产品的相关认定评价存在重大错报风险时，立信所未按照《中国注册会计师审计准则第1211号——通过了解被审计单位及其环境识别和评估重大错报风险》第二十九条的要求，评价其是否更广泛地与财务报表整体相关，进而潜在地影响多项认定。立信所在风险应对程序中实施实质性程序，不影响关于其风险识别和评估程序存在缺陷的认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二，风华高科购买粤盛资产委托宏信证券发行理财产品的交易行为存在明显异常：1．应收账款转让款收入时间与宏信证券理财产品投资款支付时间均为2016年3月24日，两笔交易金额高度相近；2．除了银行理财产品之外，风华高科2016年购买的委托投资理财产品只有宏信证券与银华财富资本管理（北京）有限公司（以下简称银华资本）先后发行的定向投资理财产品，且该类投资系近三年新增业务；3．与宏信证券约定的委托投资理财期限为2年，却于2016年12月15日申请提前赎回，且当天即与银华资本签订《定向资产管理合同》，委托理财产品金额及操作方式与上述向宏信证券购买理财产品相同；4．向粤盛资产支付的投资顾问费用明显高于投资收益。对上述异常情形，立信所未考虑是否存在特别风险。此外，不同的业务循环并不是各自完全独立，需要考虑各业务循环以及不同循环会计科目之间的关联关系，立信所未将理财产品相关认定与银行存款、应收账款转让相关认定作为关联事项进行必要关注，立信所的风险识别和评估程序存在缺陷。</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三，针对应收账款事项。一是2016年3月针对应收账款转让事项执行的审计程序和获取的审计证据，是基于2015年度财务报表期后事项审计目的进行，立信所基于2016年度财务报表审计目的仅追加执行了访谈风华高科管理层程序，立信所未区分2015年度财务报表期后事项审计与2016年度财务报表审计的注意义务和应当执行的审计程序。二是兰州房地产项目投资收益作为宁夏顺亿原价受让应收账款债权的商业理由，立信所仅通过询问风华高科管理层访谈、获取风华高科管理层提供的资料以及网上自行查询资料等程序进行确认，既未实施走访应收账款债务人实际控制人、兰州项目现场等其他补充审计程序，也未在风华高科拒绝安排走访宁夏顺亿时保持合理的职业怀疑，还未就该交易的商业理由对宁夏顺亿进行函证，立信所针对该项超出正常经营过程的重大交易未能获取充分、适当的审计证据以评价其商业理由是否合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第四，针对委托投资理财产品事项。特定类别交易的重要性，不仅需考虑金额的大小，还需要考虑性质的影响，或是否同时受到两者的影响。正如前述，风华高科购买粤盛资产委托宏信证券发行理财产品的交易行为存在明显异常，且立信所也将理财产品认定具有重大错报风险。在当期仅有两个定向投资理财产品的情况下，未将涉案理财产品考虑是否作为属于重大类别的交易并单独实施实质性程序，而是将委托投资理财产品的投资顾问费用与银行理财产品的财务顾问费用一起并入“管理费用”执行抽查，也未从风华高科或宏信证券处获取投资指令函、还款指令等证据，或对理财产品的投资去向实施其他替代程序，立信所针对委托投资理财产品事项未能获取充分、适当的审计证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当事人提出走访不属于不可替代的审计程序，以及不具有故意或重大过失的陈述申辩意见，广东证监局予以采纳。</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一、责令立信会计师事务所（特殊普通合伙）改正，没收业务收入75万元，并处以75万元罚款。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 xml:space="preserve">二、对宣宜辰和陈雷给予警告，并分别处以3万元罚款。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rPr>
                <w:rStyle w:val="18"/>
                <w:rFonts w:hint="eastAsia" w:ascii="宋体" w:hAnsi="宋体" w:eastAsia="宋体" w:cs="宋体"/>
                <w:i w:val="0"/>
                <w:iCs w:val="0"/>
                <w:color w:val="auto"/>
              </w:rPr>
            </w:pPr>
            <w:r>
              <w:rPr>
                <w:rStyle w:val="18"/>
                <w:rFonts w:hint="eastAsia" w:ascii="宋体" w:hAnsi="宋体" w:cs="宋体"/>
                <w:i w:val="0"/>
                <w:iCs w:val="0"/>
                <w:color w:val="auto"/>
                <w:lang w:val="en-US" w:eastAsia="zh-CN"/>
              </w:rPr>
              <w:t>审计机构完善</w:t>
            </w:r>
            <w:r>
              <w:rPr>
                <w:rStyle w:val="18"/>
                <w:rFonts w:hint="eastAsia" w:ascii="宋体" w:hAnsi="宋体" w:eastAsia="宋体" w:cs="宋体"/>
                <w:i w:val="0"/>
                <w:iCs w:val="0"/>
                <w:color w:val="auto"/>
              </w:rPr>
              <w:t>风险应对程序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rPr>
                <w:rFonts w:hint="default" w:ascii="宋体" w:hAnsi="宋体" w:eastAsia="宋体" w:cs="宋体"/>
                <w:lang w:val="en-US" w:eastAsia="zh-CN"/>
              </w:rPr>
            </w:pPr>
            <w:r>
              <w:rPr>
                <w:rFonts w:hint="eastAsia" w:ascii="宋体" w:hAnsi="宋体" w:cs="宋体"/>
                <w:lang w:val="en-US" w:eastAsia="zh-CN"/>
              </w:rPr>
              <w:t>标准无保留意见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eastAsia" w:ascii="宋体" w:hAnsi="宋体" w:eastAsia="宋体" w:cs="宋体"/>
              </w:rPr>
            </w:pPr>
            <w:r>
              <w:rPr>
                <w:rFonts w:hint="eastAsia" w:ascii="宋体" w:hAnsi="宋体" w:eastAsia="宋体" w:cs="宋体"/>
              </w:rPr>
              <w:t>以购买理财产品的方式转移债券</w:t>
            </w:r>
          </w:p>
          <w:p>
            <w:pPr>
              <w:rPr>
                <w:rFonts w:hint="eastAsia" w:ascii="宋体" w:hAnsi="宋体" w:eastAsia="宋体" w:cs="宋体"/>
              </w:rPr>
            </w:pPr>
            <w:r>
              <w:rPr>
                <w:rFonts w:hint="eastAsia" w:ascii="宋体" w:hAnsi="宋体" w:eastAsia="宋体" w:cs="宋体"/>
              </w:rPr>
              <w:t>交换债权</w:t>
            </w:r>
          </w:p>
        </w:tc>
      </w:tr>
    </w:tbl>
    <w:p>
      <w:pPr>
        <w:tabs>
          <w:tab w:val="left" w:pos="1305"/>
        </w:tabs>
        <w:rPr>
          <w:rFonts w:hint="eastAsia" w:ascii="宋体" w:hAnsi="宋体" w:eastAsia="宋体" w:cs="宋体"/>
        </w:rPr>
      </w:pPr>
      <w:r>
        <w:rPr>
          <w:rFonts w:hint="eastAsia" w:ascii="宋体" w:hAnsi="宋体" w:eastAsia="宋体" w:cs="宋体"/>
        </w:rPr>
        <w:tab/>
      </w:r>
    </w:p>
    <w:p>
      <w:pPr>
        <w:pStyle w:val="2"/>
        <w:rPr>
          <w:rFonts w:hint="default" w:ascii="宋体" w:hAnsi="宋体" w:eastAsia="宋体" w:cs="宋体"/>
          <w:lang w:val="en-US" w:eastAsia="zh-CN"/>
        </w:rPr>
      </w:pPr>
      <w:bookmarkStart w:id="17" w:name="_Toc515709077"/>
      <w:bookmarkStart w:id="18" w:name="_Toc2391"/>
      <w:r>
        <w:rPr>
          <w:rFonts w:hint="eastAsia" w:ascii="宋体" w:hAnsi="宋体" w:eastAsia="宋体" w:cs="宋体"/>
        </w:rPr>
        <w:t>09</w:t>
      </w:r>
      <w:bookmarkEnd w:id="17"/>
      <w:r>
        <w:rPr>
          <w:rFonts w:hint="eastAsia" w:ascii="宋体" w:hAnsi="宋体" w:eastAsia="宋体" w:cs="宋体"/>
          <w:lang w:val="en-US" w:eastAsia="zh-CN"/>
        </w:rPr>
        <w:t xml:space="preserve"> </w:t>
      </w:r>
      <w:r>
        <w:rPr>
          <w:rFonts w:hint="eastAsia" w:ascii="宋体" w:hAnsi="宋体" w:cs="宋体"/>
          <w:lang w:val="en-US" w:eastAsia="zh-CN"/>
        </w:rPr>
        <w:t>惠而浦事件</w:t>
      </w:r>
      <w:bookmarkEnd w:id="18"/>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eastAsia="宋体" w:cs="宋体"/>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20</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lang w:eastAsia="zh-CN"/>
              </w:rPr>
            </w:pPr>
            <w:r>
              <w:rPr>
                <w:rFonts w:hint="eastAsia" w:ascii="宋体" w:hAnsi="宋体" w:eastAsia="宋体" w:cs="宋体"/>
                <w:lang w:val="en-US" w:eastAsia="zh-CN"/>
              </w:rPr>
              <w:t>惠而浦公司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cs="宋体"/>
                <w:lang w:val="en-US" w:eastAsia="zh-CN"/>
              </w:rPr>
              <w:t>电器</w:t>
            </w:r>
            <w:r>
              <w:rPr>
                <w:rFonts w:hint="eastAsia" w:ascii="宋体" w:hAnsi="宋体" w:eastAsia="宋体" w:cs="宋体"/>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“惠而浦”是惠而浦公司（Whirlpool Corporation）的旗下品牌，创立于1911年，总部位于美国密歇根州的本顿港，是世界上最大的大型家用电器制造商之一。其白色家电产品已连续11年保持全球市场占有率领先。</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惠而浦旗下拥有Whirlpool, Maytag, KitchenAid, Jenn-Air, Amana, Brastemp和Bauknecht等众多知名国际品牌，业务遍及全球170多个国家和地区，在全球拥有47个生产基地，26个研发中心和4个设计中心。百年来，美国惠而浦集团始终致力于为全球消费者提供品质卓越的家电产品，其产品涉及洗衣机/干衣机、微波炉、冰箱、空调、热水器、灶具抽油烟机、洗碗机、油热汀及家庭厨房垃圾处理机等9大系列。美国惠而浦公司是世界大型家用电器制造商，创立于1911年，总部位于美国密歇根州的奔腾港。公司致力于为全球消费者提供品质卓越的家电产品，业务遍及全球170多个国家和地区，在全球拥有73,000名员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r>
              <w:rPr>
                <w:rFonts w:hint="eastAsia" w:ascii="宋体" w:hAnsi="宋体" w:eastAsia="宋体" w:cs="宋体"/>
                <w:b/>
              </w:rPr>
              <w:t>【案情背景】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2017年7月27日，惠而浦发布《关于重大会计差错更正及复牌的提示性公告》，公告称，经自查，公司发现主要在销售折扣计提方面在2015及2016年度存在会计差错，公司管理层初步估计该等差错金额约为人民币2.5-3亿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2018年5月4日，惠而浦公告称其收到《中国证券监督管理委员会调查通知书》(皖证调查字2018014号)。因公司披露的2015年年度报告、2016年年度报告涉嫌虚假记载，根据《中华人民共和国证券法》的有关规定，证监会决定对公司实施立案调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r>
              <w:rPr>
                <w:rFonts w:hint="eastAsia" w:ascii="宋体" w:hAnsi="宋体" w:eastAsia="宋体" w:cs="宋体"/>
                <w:b w:val="0"/>
                <w:bCs/>
              </w:rPr>
              <w:t>2020年7月18日，惠而浦发布公告称其收到安徽证监局下发的《行政处罚事先告知书》(处罚字〔2020〕60号)。</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宋体" w:hAnsi="宋体" w:eastAsia="宋体" w:cs="宋体"/>
                <w:b w:val="0"/>
                <w:bCs w:val="0"/>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eastAsia="zh-CN"/>
              </w:rPr>
            </w:pPr>
            <w:r>
              <w:rPr>
                <w:rFonts w:hint="eastAsia" w:ascii="宋体" w:hAnsi="宋体" w:eastAsia="宋体" w:cs="宋体"/>
                <w:b w:val="0"/>
                <w:bCs w:val="0"/>
              </w:rPr>
              <w:t>（1）编制虚假的销售订单并确认收入以及提前确认未发货的订单收入，虚增2016年度营业收入和利润</w:t>
            </w:r>
            <w:r>
              <w:rPr>
                <w:rFonts w:hint="eastAsia" w:ascii="宋体" w:hAnsi="宋体" w:cs="宋体"/>
                <w:b w:val="0"/>
                <w:bCs w:val="0"/>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2016年12月，惠而浦销售、营销财务和物流部门部分员工违反规定，编制虚假的销售订单并在物流管理系统中将该订单标注为已发货且客户已签收，再由财务部门据此确认收入，同时，提前确认未发货的订单收入，导致惠而浦2016年年度报告营业收入虚增72,080,696.00元，利润虚增16,383,955.66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eastAsia="zh-CN"/>
              </w:rPr>
            </w:pPr>
            <w:r>
              <w:rPr>
                <w:rFonts w:hint="eastAsia" w:ascii="宋体" w:hAnsi="宋体" w:eastAsia="宋体" w:cs="宋体"/>
                <w:b w:val="0"/>
                <w:bCs w:val="0"/>
              </w:rPr>
              <w:t>（2）少记销售折扣，虚增2015年度和2016年度营业收入和利润</w:t>
            </w:r>
            <w:r>
              <w:rPr>
                <w:rFonts w:hint="eastAsia" w:ascii="宋体" w:hAnsi="宋体" w:cs="宋体"/>
                <w:b w:val="0"/>
                <w:bCs w:val="0"/>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惠而浦在产品销售中会提供给客户不同形式的销售折扣，销售折扣为营业收入的抵减项。销售折扣一般由双方协商一致确认，如有未协商一致的销售折扣，根据《企业会计准则》的相关规定，惠而浦应在年底时进行预提。2015年度和2016年度，惠而浦未确认也未预提相应费用的销售折扣金额分别为124,371,688.12元、43,980,407.72元，导致其2015年度虚增营业收入和利润124,371,688.12元、2016年度虚增营业收入和利润43,980,407.72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eastAsia="zh-CN"/>
              </w:rPr>
            </w:pPr>
            <w:r>
              <w:rPr>
                <w:rFonts w:hint="eastAsia" w:ascii="宋体" w:hAnsi="宋体" w:eastAsia="宋体" w:cs="宋体"/>
                <w:b w:val="0"/>
                <w:bCs w:val="0"/>
              </w:rPr>
              <w:t>（3）延迟确认销售费用，虚增2015年度和2016年度利润</w:t>
            </w:r>
            <w:r>
              <w:rPr>
                <w:rFonts w:hint="eastAsia" w:ascii="宋体" w:hAnsi="宋体" w:cs="宋体"/>
                <w:b w:val="0"/>
                <w:bCs w:val="0"/>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惠而浦通过淘宝平台销售产品时产生的应付淘宝费用未及时确认，由此导致该部分销售费用确认滞后。2015年度惠而浦少记应付淘宝平台销售费用7,144,145.36元，虚增利润7,144,145.36元；2016年度少记应付淘宝平台销售费用18,021,590.83元，虚增利润18,021,590.83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（4）收入跨期确认，导致少记2015年度营业收入和利润，多记2016年度营业收入和利润</w:t>
            </w:r>
            <w:r>
              <w:rPr>
                <w:rFonts w:hint="eastAsia" w:ascii="宋体" w:hAnsi="宋体" w:cs="宋体"/>
                <w:b w:val="0"/>
                <w:bCs w:val="0"/>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惠而浦在2015年度将部分客户已签收的产品销售收入延迟在2016年度确认，并在2016年度将部分客户尚未签收的产品销售提前在2016年度确认收入，导致2015年度营业收入少记36,080,240.18元，利润少记13,575,199.93元；2016年度营业收入虚增40,996,941.80元，利润虚增6,000,808.62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lang w:eastAsia="zh-CN"/>
              </w:rPr>
            </w:pPr>
            <w:r>
              <w:rPr>
                <w:rFonts w:hint="eastAsia" w:ascii="宋体" w:hAnsi="宋体" w:eastAsia="宋体" w:cs="宋体"/>
                <w:b w:val="0"/>
                <w:bCs w:val="0"/>
              </w:rPr>
              <w:t>（5）少记营业成本，虚增2016年度利润</w:t>
            </w:r>
            <w:r>
              <w:rPr>
                <w:rFonts w:hint="eastAsia" w:ascii="宋体" w:hAnsi="宋体" w:cs="宋体"/>
                <w:b w:val="0"/>
                <w:bCs w:val="0"/>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2016年一季度，惠而浦IT部门排查发现财务系统故障导致营业成本多结转20,342,500.00元，财务部门根据IT部门提供的数据将营业成本相应调减20,342,500.00元，后期IT部门在解决系统问题后，原因财务系统故障导致的多结转的营业成本已恢复，而财务部门未将前期调减的营业成本及时冲销，导致其2016年度营业成本少记20,342,500.00元，利润虚增20,342,500.00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r>
              <w:rPr>
                <w:rFonts w:hint="eastAsia" w:ascii="宋体" w:hAnsi="宋体" w:eastAsia="宋体" w:cs="宋体"/>
                <w:b w:val="0"/>
                <w:bCs w:val="0"/>
              </w:rPr>
              <w:t>惠而浦通过编制虚假的销售订单并确认收入、提前确认未发货的订单收入、少记销售折扣、延迟确认销售费用、收入跨期确认、少记营业成本等方式，累计虚增2015年度、2016年度营业收入分别为88,291,447.94元、157,058,045.52元，占当年披露营业收入比例分别为1.3%、2.27%，累计虚增2015年度、2016年度利润分别为117,940,633.55元、104,729,262.83元，占当年披露利润总额的比例分别为21.44%、23.23%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val="0"/>
                <w:bCs w:val="0"/>
              </w:rPr>
            </w:pPr>
          </w:p>
          <w:p>
            <w:pPr>
              <w:rPr>
                <w:rFonts w:hint="eastAsia" w:ascii="宋体" w:hAnsi="宋体" w:eastAsia="宋体" w:cs="宋体"/>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2020年7月31日，HEP收到安徽证监局《行政处罚决定书》（处罚字[2020]6号）：</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（1）对HEP给予警告，并处以40万元罚款；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（2）对直接负责的主管人员金某华给予警告，并处以20万元罚款；</w:t>
            </w:r>
          </w:p>
          <w:p>
            <w:pPr>
              <w:keepNext w:val="0"/>
              <w:keepLines w:val="0"/>
              <w:pageBreakBefore w:val="0"/>
              <w:widowControl w:val="0"/>
              <w:numPr>
                <w:ilvl w:val="0"/>
                <w:numId w:val="2"/>
              </w:numPr>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对其它责任人员给予警告并处罚款。</w:t>
            </w:r>
          </w:p>
          <w:p>
            <w:pPr>
              <w:numPr>
                <w:ilvl w:val="0"/>
                <w:numId w:val="0"/>
              </w:numPr>
              <w:rPr>
                <w:rFonts w:hint="eastAsia" w:ascii="宋体" w:hAnsi="宋体" w:eastAsia="宋体" w:cs="宋体"/>
              </w:rPr>
            </w:pPr>
            <w:r>
              <w:rPr>
                <w:rFonts w:ascii="宋体" w:hAnsi="宋体" w:eastAsia="宋体" w:cs="宋体"/>
                <w:sz w:val="24"/>
                <w:szCs w:val="24"/>
              </w:rPr>
              <w:drawing>
                <wp:inline distT="0" distB="0" distL="114300" distR="114300">
                  <wp:extent cx="3686175" cy="1985010"/>
                  <wp:effectExtent l="0" t="0" r="9525" b="152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3686175" cy="198501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关联审计机构名称</w:t>
            </w:r>
          </w:p>
        </w:tc>
        <w:tc>
          <w:tcPr>
            <w:tcW w:w="6316" w:type="dxa"/>
          </w:tcPr>
          <w:p>
            <w:pPr>
              <w:jc w:val="center"/>
              <w:rPr>
                <w:rFonts w:hint="eastAsia" w:ascii="宋体" w:hAnsi="宋体" w:eastAsia="宋体" w:cs="宋体"/>
                <w:lang w:val="en-US" w:eastAsia="zh-CN"/>
              </w:rPr>
            </w:pPr>
            <w:r>
              <w:rPr>
                <w:rFonts w:hint="eastAsia" w:ascii="宋体" w:hAnsi="宋体" w:cs="宋体"/>
                <w:lang w:val="en-US" w:eastAsia="zh-CN"/>
              </w:rPr>
              <w:t>安永华明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rPr>
                <w:rStyle w:val="18"/>
                <w:rFonts w:hint="eastAsia" w:ascii="宋体" w:hAnsi="宋体" w:cs="宋体"/>
                <w:i w:val="0"/>
                <w:iCs w:val="0"/>
                <w:color w:val="auto"/>
                <w:lang w:val="en-US" w:eastAsia="zh-CN"/>
              </w:rPr>
            </w:pPr>
            <w:r>
              <w:rPr>
                <w:rStyle w:val="18"/>
                <w:rFonts w:hint="eastAsia" w:ascii="宋体" w:hAnsi="宋体" w:cs="宋体"/>
                <w:i w:val="0"/>
                <w:iCs w:val="0"/>
                <w:color w:val="auto"/>
                <w:lang w:val="en-US" w:eastAsia="zh-CN"/>
              </w:rPr>
              <w:t>内部控制</w:t>
            </w:r>
          </w:p>
          <w:p>
            <w:pPr>
              <w:tabs>
                <w:tab w:val="left" w:pos="2160"/>
              </w:tabs>
              <w:rPr>
                <w:rStyle w:val="18"/>
                <w:rFonts w:hint="eastAsia" w:ascii="宋体" w:hAnsi="宋体" w:cs="宋体"/>
                <w:i w:val="0"/>
                <w:iCs w:val="0"/>
                <w:color w:val="auto"/>
                <w:lang w:val="en-US" w:eastAsia="zh-CN"/>
              </w:rPr>
            </w:pPr>
            <w:r>
              <w:rPr>
                <w:rStyle w:val="18"/>
                <w:rFonts w:hint="eastAsia" w:ascii="宋体" w:hAnsi="宋体" w:cs="宋体"/>
                <w:i w:val="0"/>
                <w:iCs w:val="0"/>
                <w:color w:val="auto"/>
                <w:lang w:val="en-US" w:eastAsia="zh-CN"/>
              </w:rPr>
              <w:t>加强内部控制制度，提高企业内部管理</w:t>
            </w:r>
          </w:p>
          <w:p>
            <w:pPr>
              <w:tabs>
                <w:tab w:val="left" w:pos="2160"/>
              </w:tabs>
              <w:rPr>
                <w:rStyle w:val="18"/>
                <w:rFonts w:hint="eastAsia" w:ascii="宋体" w:hAnsi="宋体" w:cs="宋体"/>
                <w:i w:val="0"/>
                <w:iCs w:val="0"/>
                <w:color w:val="auto"/>
                <w:lang w:val="en-US" w:eastAsia="zh-CN"/>
              </w:rPr>
            </w:pPr>
            <w:r>
              <w:rPr>
                <w:rStyle w:val="18"/>
                <w:rFonts w:hint="eastAsia" w:ascii="宋体" w:hAnsi="宋体" w:cs="宋体"/>
                <w:i w:val="0"/>
                <w:iCs w:val="0"/>
                <w:color w:val="auto"/>
                <w:lang w:val="en-US" w:eastAsia="zh-CN"/>
              </w:rPr>
              <w:t>完善外部监管、处罚机制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rPr>
                <w:rFonts w:hint="eastAsia" w:ascii="宋体" w:hAnsi="宋体" w:eastAsia="宋体" w:cs="宋体"/>
              </w:rPr>
            </w:pPr>
            <w:r>
              <w:rPr>
                <w:rFonts w:hint="eastAsia" w:ascii="宋体" w:hAnsi="宋体" w:eastAsia="宋体" w:cs="宋体"/>
              </w:rPr>
              <w:t>标准无保留意见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rPr>
                <w:rFonts w:hint="eastAsia" w:ascii="宋体" w:hAnsi="宋体" w:eastAsia="宋体" w:cs="宋体"/>
              </w:rPr>
            </w:pPr>
            <w:r>
              <w:rPr>
                <w:rFonts w:hint="eastAsia" w:ascii="宋体" w:hAnsi="宋体" w:eastAsia="宋体" w:cs="宋体"/>
              </w:rPr>
              <w:t>虚减成本，延迟确认费用</w:t>
            </w:r>
          </w:p>
        </w:tc>
      </w:tr>
    </w:tbl>
    <w:p>
      <w:pPr>
        <w:rPr>
          <w:rFonts w:hint="eastAsia" w:ascii="宋体" w:hAnsi="宋体" w:eastAsia="宋体" w:cs="宋体"/>
        </w:rPr>
      </w:pPr>
    </w:p>
    <w:p>
      <w:pPr>
        <w:pStyle w:val="2"/>
        <w:rPr>
          <w:rFonts w:hint="default" w:ascii="宋体" w:hAnsi="宋体" w:eastAsia="宋体" w:cs="宋体"/>
          <w:lang w:val="en-US" w:eastAsia="zh-CN"/>
        </w:rPr>
      </w:pPr>
      <w:bookmarkStart w:id="19" w:name="_Toc515709078"/>
      <w:bookmarkStart w:id="20" w:name="_Toc27075"/>
      <w:r>
        <w:rPr>
          <w:rFonts w:hint="eastAsia" w:ascii="宋体" w:hAnsi="宋体" w:eastAsia="宋体" w:cs="宋体"/>
        </w:rPr>
        <w:t>10</w:t>
      </w:r>
      <w:bookmarkEnd w:id="19"/>
      <w:r>
        <w:rPr>
          <w:rFonts w:hint="eastAsia" w:ascii="宋体" w:hAnsi="宋体" w:eastAsia="宋体" w:cs="宋体"/>
          <w:lang w:val="en-US" w:eastAsia="zh-CN"/>
        </w:rPr>
        <w:t xml:space="preserve"> </w:t>
      </w:r>
      <w:r>
        <w:rPr>
          <w:rFonts w:hint="eastAsia" w:ascii="宋体" w:hAnsi="宋体" w:cs="宋体"/>
          <w:lang w:val="en-US" w:eastAsia="zh-CN"/>
        </w:rPr>
        <w:t>金刚玻璃事件</w:t>
      </w:r>
      <w:bookmarkEnd w:id="20"/>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案例数据编号</w:t>
            </w:r>
          </w:p>
        </w:tc>
        <w:tc>
          <w:tcPr>
            <w:tcW w:w="6316" w:type="dxa"/>
          </w:tcPr>
          <w:p>
            <w:pPr>
              <w:jc w:val="center"/>
              <w:rPr>
                <w:rFonts w:hint="default" w:ascii="宋体" w:hAnsi="宋体" w:eastAsia="宋体" w:cs="宋体"/>
                <w:lang w:val="en-US"/>
              </w:rPr>
            </w:pPr>
            <w:r>
              <w:rPr>
                <w:rFonts w:hint="eastAsia" w:ascii="宋体" w:hAnsi="宋体" w:eastAsia="宋体" w:cs="宋体"/>
              </w:rPr>
              <w:t>0</w:t>
            </w:r>
            <w:r>
              <w:rPr>
                <w:rFonts w:hint="eastAsia" w:ascii="宋体" w:hAnsi="宋体" w:eastAsia="宋体" w:cs="宋体"/>
                <w:lang w:val="en-US" w:eastAsia="zh-CN"/>
              </w:rPr>
              <w:t>7</w:t>
            </w:r>
            <w:r>
              <w:rPr>
                <w:rFonts w:hint="eastAsia" w:ascii="宋体" w:hAnsi="宋体" w:cs="宋体"/>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案例行业类别</w:t>
            </w:r>
          </w:p>
        </w:tc>
        <w:tc>
          <w:tcPr>
            <w:tcW w:w="6316" w:type="dxa"/>
          </w:tcPr>
          <w:p>
            <w:pPr>
              <w:jc w:val="center"/>
              <w:rPr>
                <w:rFonts w:hint="eastAsia" w:ascii="宋体" w:hAnsi="宋体" w:eastAsia="宋体" w:cs="宋体"/>
              </w:rPr>
            </w:pPr>
            <w:r>
              <w:rPr>
                <w:rFonts w:hint="eastAsia" w:ascii="宋体" w:hAnsi="宋体" w:eastAsia="宋体" w:cs="宋体"/>
              </w:rPr>
              <w:t>0</w:t>
            </w:r>
            <w:r>
              <w:rPr>
                <w:rFonts w:hint="eastAsia" w:ascii="宋体" w:hAnsi="宋体" w:eastAsia="宋体" w:cs="宋体"/>
                <w:lang w:val="en-US" w:eastAsia="zh-CN"/>
              </w:rPr>
              <w:t>7制造</w:t>
            </w:r>
            <w:r>
              <w:rPr>
                <w:rFonts w:hint="eastAsia" w:ascii="宋体" w:hAnsi="宋体" w:eastAsia="宋体" w:cs="宋体"/>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案例发生时间</w:t>
            </w:r>
          </w:p>
        </w:tc>
        <w:tc>
          <w:tcPr>
            <w:tcW w:w="6316" w:type="dxa"/>
          </w:tcPr>
          <w:p>
            <w:pPr>
              <w:jc w:val="center"/>
              <w:rPr>
                <w:rFonts w:hint="eastAsia" w:ascii="宋体" w:hAnsi="宋体" w:eastAsia="宋体" w:cs="宋体"/>
              </w:rPr>
            </w:pPr>
            <w:r>
              <w:rPr>
                <w:rFonts w:hint="eastAsia" w:ascii="宋体" w:hAnsi="宋体" w:eastAsia="宋体" w:cs="宋体"/>
              </w:rPr>
              <w:t>20</w:t>
            </w:r>
            <w:r>
              <w:rPr>
                <w:rFonts w:hint="eastAsia" w:ascii="宋体" w:hAnsi="宋体" w:cs="宋体"/>
                <w:lang w:val="en-US" w:eastAsia="zh-CN"/>
              </w:rPr>
              <w:t>18</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案例企业名称</w:t>
            </w:r>
          </w:p>
        </w:tc>
        <w:tc>
          <w:tcPr>
            <w:tcW w:w="6316" w:type="dxa"/>
          </w:tcPr>
          <w:p>
            <w:pPr>
              <w:jc w:val="center"/>
              <w:rPr>
                <w:rFonts w:hint="eastAsia" w:ascii="宋体" w:hAnsi="宋体" w:eastAsia="宋体" w:cs="宋体"/>
              </w:rPr>
            </w:pPr>
            <w:r>
              <w:rPr>
                <w:rFonts w:hint="eastAsia" w:ascii="宋体" w:hAnsi="宋体" w:eastAsia="宋体" w:cs="宋体"/>
                <w:lang w:val="en-US" w:eastAsia="zh-CN"/>
              </w:rPr>
              <w:t>广东金刚玻璃科技股份有限公司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案例企业经营范围</w:t>
            </w:r>
          </w:p>
        </w:tc>
        <w:tc>
          <w:tcPr>
            <w:tcW w:w="6316" w:type="dxa"/>
          </w:tcPr>
          <w:p>
            <w:pPr>
              <w:jc w:val="center"/>
              <w:rPr>
                <w:rFonts w:hint="eastAsia" w:ascii="宋体" w:hAnsi="宋体" w:eastAsia="宋体" w:cs="宋体"/>
              </w:rPr>
            </w:pPr>
            <w:r>
              <w:rPr>
                <w:rFonts w:hint="eastAsia" w:ascii="宋体" w:hAnsi="宋体" w:eastAsia="宋体" w:cs="宋体"/>
              </w:rPr>
              <w:t>玻璃及玻璃制品业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9" w:hRule="atLeast"/>
        </w:trPr>
        <w:tc>
          <w:tcPr>
            <w:tcW w:w="1980" w:type="dxa"/>
          </w:tcPr>
          <w:p>
            <w:pPr>
              <w:jc w:val="center"/>
              <w:rPr>
                <w:rFonts w:hint="eastAsia" w:ascii="宋体" w:hAnsi="宋体" w:eastAsia="宋体" w:cs="宋体"/>
              </w:rPr>
            </w:pPr>
            <w:r>
              <w:rPr>
                <w:rFonts w:hint="eastAsia" w:ascii="宋体" w:hAnsi="宋体" w:eastAsia="宋体" w:cs="宋体"/>
              </w:rPr>
              <w:t>企业</w:t>
            </w:r>
            <w:r>
              <w:rPr>
                <w:rFonts w:hint="eastAsia" w:ascii="宋体" w:hAnsi="宋体" w:eastAsia="宋体" w:cs="宋体"/>
                <w:lang w:val="en-US" w:eastAsia="zh-CN"/>
              </w:rPr>
              <w:t>企业</w:t>
            </w:r>
            <w:r>
              <w:rPr>
                <w:rFonts w:hint="eastAsia" w:ascii="宋体" w:hAnsi="宋体" w:eastAsia="宋体" w:cs="宋体"/>
              </w:rPr>
              <w:t>案情描述</w:t>
            </w:r>
          </w:p>
        </w:tc>
        <w:tc>
          <w:tcPr>
            <w:tcW w:w="6316" w:type="dxa"/>
          </w:tcPr>
          <w:p>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eastAsia" w:ascii="宋体" w:hAnsi="宋体" w:eastAsia="宋体" w:cs="宋体"/>
                <w:b/>
              </w:rPr>
            </w:pPr>
            <w:r>
              <w:rPr>
                <w:rFonts w:hint="eastAsia" w:ascii="宋体" w:hAnsi="宋体" w:eastAsia="宋体" w:cs="宋体"/>
                <w:b/>
              </w:rPr>
              <w:t>【企业背景】</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r>
              <w:rPr>
                <w:rFonts w:hint="eastAsia" w:ascii="宋体" w:hAnsi="宋体" w:eastAsia="宋体" w:cs="宋体"/>
              </w:rPr>
              <w:t>广东金刚玻璃科技股份有限公司是创业板上市公司，集研发设计、生产销售、工程安装：特种安防玻璃产品、太阳能光伏建筑一体化（BIPV）双玻组件和普通组件（EVA）、精密冷弯防火钢型材、年产50MW晶硅太阳能电池片，其技术水平居国内领先地位。</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eastAsia" w:ascii="宋体" w:hAnsi="宋体" w:eastAsia="宋体" w:cs="宋体"/>
                <w:b/>
              </w:rPr>
            </w:pPr>
            <w:r>
              <w:rPr>
                <w:rFonts w:hint="eastAsia" w:ascii="宋体" w:hAnsi="宋体" w:eastAsia="宋体" w:cs="宋体"/>
                <w:b/>
              </w:rPr>
              <w:t>【案情背景】</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b w:val="0"/>
                <w:bCs/>
              </w:rPr>
            </w:pPr>
            <w:r>
              <w:rPr>
                <w:rFonts w:hint="eastAsia" w:ascii="宋体" w:hAnsi="宋体" w:eastAsia="宋体" w:cs="宋体"/>
                <w:b w:val="0"/>
                <w:bCs/>
              </w:rPr>
              <w:t>5月24日，金刚玻璃收到深交所创业板公司管理部发出的年报问询函，要求公司说明主要业务收入大幅下滑的原因，公司不同产品毛利率大幅波动的原因，公司营业收入大幅下降情况下应收账款余额增长的原因，以及报告期末存在大额发出商品的原因及合理性等共计十四个问题。深交所要求公司于5月31日前将有关说明材料报送深圳证券交易所创业板公司管理部并对外披露，同时抄送广东证监局上市公司监管处。</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b w:val="0"/>
                <w:bCs/>
              </w:rPr>
            </w:pPr>
            <w:r>
              <w:rPr>
                <w:rFonts w:hint="eastAsia" w:ascii="宋体" w:hAnsi="宋体" w:eastAsia="宋体" w:cs="宋体"/>
                <w:b w:val="0"/>
                <w:bCs/>
              </w:rPr>
              <w:t>5月31日，金刚玻璃发布关于延期回复深圳证券交易所问询函的公告，公司称：预计不晚于下月4日完成问询函的回复工作。</w:t>
            </w:r>
          </w:p>
          <w:p>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eastAsia" w:ascii="宋体" w:hAnsi="宋体" w:eastAsia="宋体" w:cs="宋体"/>
                <w:b/>
              </w:rPr>
            </w:pPr>
          </w:p>
          <w:p>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eastAsia" w:ascii="宋体" w:hAnsi="宋体" w:eastAsia="宋体" w:cs="宋体"/>
                <w:b w:val="0"/>
                <w:bCs w:val="0"/>
              </w:rPr>
            </w:pPr>
            <w:r>
              <w:rPr>
                <w:rFonts w:hint="eastAsia" w:ascii="宋体" w:hAnsi="宋体" w:eastAsia="宋体" w:cs="宋体"/>
                <w:b/>
              </w:rPr>
              <w:t>【案情描述】</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b w:val="0"/>
                <w:bCs w:val="0"/>
              </w:rPr>
            </w:pPr>
            <w:r>
              <w:rPr>
                <w:rFonts w:hint="eastAsia" w:ascii="宋体" w:hAnsi="宋体" w:eastAsia="宋体" w:cs="宋体"/>
                <w:b w:val="0"/>
                <w:bCs w:val="0"/>
              </w:rPr>
              <w:t>一、金刚玻璃在 2015 年至 2017 年期间虚增营业收入、利息收入及营业利润。2015 年 1 月至 2017 年 12 月，金刚玻璃通过伪造定期存款合同和虚构利息收款方式虚增利息收入，通过虚构销售业务方式虚增销售收入及回款，并通过虚增产量分配真实成本的方式虚增营业成本。通过上述方式，金刚玻璃《2015 年半年度报告》虚增利润 4461.35 万元，占当期披露利润总额的 512.67%。《2015 年年度报告》虚增利润 6205.34 万元，占当期披露利润总额的 1072.90%。《2016 年半年度报告》虚增利润 1482.54 万元，占当期披露利润总额的 678.57%。《2016 年年度报告》虚增利润 4987.67 万元，占当期披露利润总额的 622.26%。《2017年半年度报告》虚增利润 408.74 万元，占当期披露利润总额的 35.43%。《2017 年年度报告》虚增利润610.71 万元，占当期披露利润总额的 28.04%。</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b w:val="0"/>
                <w:bCs w:val="0"/>
              </w:rPr>
            </w:pP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b w:val="0"/>
                <w:bCs w:val="0"/>
              </w:rPr>
            </w:pPr>
            <w:r>
              <w:rPr>
                <w:rFonts w:hint="eastAsia" w:ascii="宋体" w:hAnsi="宋体" w:eastAsia="宋体" w:cs="宋体"/>
                <w:b w:val="0"/>
                <w:bCs w:val="0"/>
              </w:rPr>
              <w:t>二、金刚玻璃在 2015 年至 2016 年期间虚增货币资金，2015 年年报、2016年年报存在虚假记载。2015年1月至2016年12月，金刚玻璃通过财务不记账、虚假记账，伪造定期存款合同，配合营业收入造假虚构销售回款等方式，虚增货币资金。通过上述方式，金刚玻璃《2015年年度报告》虚增货币资金45,088.1万元，占当期披露总资产的27.75%和净资产的51.62%;《2016年年度报告》虚增货币资金32,497.22万元，占当期披露总资产的25.41%和净资产的37.22%。</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b w:val="0"/>
                <w:bCs w:val="0"/>
              </w:rPr>
            </w:pPr>
          </w:p>
          <w:p>
            <w:pPr>
              <w:keepNext w:val="0"/>
              <w:keepLines w:val="0"/>
              <w:pageBreakBefore w:val="0"/>
              <w:widowControl w:val="0"/>
              <w:numPr>
                <w:ilvl w:val="0"/>
                <w:numId w:val="3"/>
              </w:numPr>
              <w:kinsoku/>
              <w:wordWrap/>
              <w:overflowPunct/>
              <w:topLinePunct w:val="0"/>
              <w:autoSpaceDE/>
              <w:autoSpaceDN/>
              <w:bidi w:val="0"/>
              <w:adjustRightInd/>
              <w:snapToGrid/>
              <w:ind w:firstLine="420" w:firstLineChars="200"/>
              <w:jc w:val="both"/>
              <w:textAlignment w:val="auto"/>
              <w:rPr>
                <w:rFonts w:hint="eastAsia" w:ascii="宋体" w:hAnsi="宋体" w:eastAsia="宋体" w:cs="宋体"/>
                <w:b w:val="0"/>
                <w:bCs w:val="0"/>
              </w:rPr>
            </w:pPr>
            <w:r>
              <w:rPr>
                <w:rFonts w:hint="eastAsia" w:ascii="宋体" w:hAnsi="宋体" w:eastAsia="宋体" w:cs="宋体"/>
                <w:b w:val="0"/>
                <w:bCs w:val="0"/>
              </w:rPr>
              <w:t>金刚玻璃在 2016 年至 2018 年期间未按规定披露关联方非经营性占用资金的关联交易情况。2016 年至 2018 年，金刚玻璃在未经过决策审批或者授权程序的情况下，累计向关联方拉萨金刚提供非经营性资金 302198989 元用于支付股票解质押及质押利息、相关单位和个人资金往来、借款利息等用途。</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cs="宋体"/>
                <w:b w:val="0"/>
                <w:bCs w:val="0"/>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cs="宋体"/>
                <w:b w:val="0"/>
                <w:bCs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企业受罚或责任描述</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r>
              <w:rPr>
                <w:rFonts w:hint="eastAsia" w:ascii="宋体" w:hAnsi="宋体" w:eastAsia="宋体" w:cs="宋体"/>
              </w:rPr>
              <w:t>一、对广东金刚玻璃科技股份有限公司责令改正，给予警告，并处以60万元罚款；</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r>
              <w:rPr>
                <w:rFonts w:hint="eastAsia" w:ascii="宋体" w:hAnsi="宋体" w:eastAsia="宋体" w:cs="宋体"/>
              </w:rPr>
              <w:t>二、对庄大建给予警告，并处以30万元罚款；</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r>
              <w:rPr>
                <w:rFonts w:hint="eastAsia" w:ascii="宋体" w:hAnsi="宋体" w:eastAsia="宋体" w:cs="宋体"/>
              </w:rPr>
              <w:t>三、对林仰先给予警告，并处以20万元罚款；</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r>
              <w:rPr>
                <w:rFonts w:hint="eastAsia" w:ascii="宋体" w:hAnsi="宋体" w:eastAsia="宋体" w:cs="宋体"/>
              </w:rPr>
              <w:t>四、对林文卿、林臻给予警告，并分别处以10万元罚款；</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r>
              <w:rPr>
                <w:rFonts w:hint="eastAsia" w:ascii="宋体" w:hAnsi="宋体" w:eastAsia="宋体" w:cs="宋体"/>
              </w:rPr>
              <w:t>五、对罗伟广、苏佩玉、范波、罗嘉贤、杨时青、蔡祥、卢侠巍、陈小卫、郑鸿生、张坚华、安吉申、何清、肖华、林顺福给予警告，并分别处以5万元罚款；</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宋体" w:hAnsi="宋体" w:eastAsia="宋体" w:cs="宋体"/>
              </w:rPr>
            </w:pPr>
            <w:r>
              <w:rPr>
                <w:rFonts w:hint="eastAsia" w:ascii="宋体" w:hAnsi="宋体" w:eastAsia="宋体" w:cs="宋体"/>
              </w:rPr>
              <w:t>六、对林伟锋、支毅、庄毓新、梁艳媚、肖蔚红、陈伟英给予警告，并分别处以3万元罚款。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审计受罚或责任描述</w:t>
            </w:r>
          </w:p>
        </w:tc>
        <w:tc>
          <w:tcPr>
            <w:tcW w:w="6316" w:type="dxa"/>
          </w:tcPr>
          <w:p>
            <w:pPr>
              <w:jc w:val="both"/>
              <w:rPr>
                <w:rFonts w:hint="eastAsia" w:ascii="宋体" w:hAnsi="宋体" w:eastAsia="宋体" w:cs="宋体"/>
              </w:rPr>
            </w:pPr>
            <w:r>
              <w:rPr>
                <w:rFonts w:hint="eastAsia" w:ascii="宋体" w:hAnsi="宋体" w:eastAsia="宋体" w:cs="宋体"/>
              </w:rPr>
              <w:t>1、金刚玻璃于 2019 年 1 月 24 日收到中国证券监督管理委员会（以下简称</w:t>
            </w:r>
          </w:p>
          <w:p>
            <w:pPr>
              <w:jc w:val="both"/>
              <w:rPr>
                <w:rFonts w:hint="eastAsia" w:ascii="宋体" w:hAnsi="宋体" w:eastAsia="宋体" w:cs="宋体"/>
              </w:rPr>
            </w:pPr>
            <w:r>
              <w:rPr>
                <w:rFonts w:hint="eastAsia" w:ascii="宋体" w:hAnsi="宋体" w:eastAsia="宋体" w:cs="宋体"/>
              </w:rPr>
              <w:t>“中国证监会”）《调查通知书》（编号：粤证调查通字 190031 号）。因公司涉嫌信息披露违规，根据《中华人民共和国证券法》的有关规定，中国证监会决定对</w:t>
            </w:r>
          </w:p>
          <w:p>
            <w:pPr>
              <w:jc w:val="both"/>
              <w:rPr>
                <w:rFonts w:hint="eastAsia" w:ascii="宋体" w:hAnsi="宋体" w:eastAsia="宋体" w:cs="宋体"/>
              </w:rPr>
            </w:pPr>
            <w:r>
              <w:rPr>
                <w:rFonts w:hint="eastAsia" w:ascii="宋体" w:hAnsi="宋体" w:eastAsia="宋体" w:cs="宋体"/>
              </w:rPr>
              <w:t>金刚玻璃立案调查。截至本报告批准报出日止，由于立案调查尚未有最终结论，我们无法判断立案调查结果对金刚玻璃财务报表的影响程度。</w:t>
            </w:r>
          </w:p>
          <w:p>
            <w:pPr>
              <w:jc w:val="both"/>
              <w:rPr>
                <w:rFonts w:hint="eastAsia" w:ascii="宋体" w:hAnsi="宋体" w:eastAsia="宋体" w:cs="宋体"/>
              </w:rPr>
            </w:pPr>
            <w:r>
              <w:rPr>
                <w:rFonts w:hint="eastAsia" w:ascii="宋体" w:hAnsi="宋体" w:eastAsia="宋体" w:cs="宋体"/>
              </w:rPr>
              <w:t>2、金刚玻璃存在关联方占用大额资金及大额非交易性资金往来的情况，在审计中我们无法实施满意的审计程序，获取充分适当的审计证据以确认交易的真实性，无法判断金刚玻璃关联方和关联交易披露的完整性和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引发的</w:t>
            </w:r>
            <w:r>
              <w:rPr>
                <w:rFonts w:hint="eastAsia" w:ascii="宋体" w:hAnsi="宋体" w:eastAsia="宋体" w:cs="宋体"/>
                <w:lang w:val="en-US" w:eastAsia="zh-CN"/>
              </w:rPr>
              <w:t>企业经营及内控思考</w:t>
            </w:r>
          </w:p>
        </w:tc>
        <w:tc>
          <w:tcPr>
            <w:tcW w:w="6316" w:type="dxa"/>
          </w:tcPr>
          <w:p>
            <w:pPr>
              <w:tabs>
                <w:tab w:val="left" w:pos="2160"/>
              </w:tabs>
              <w:jc w:val="both"/>
              <w:rPr>
                <w:rStyle w:val="18"/>
                <w:rFonts w:hint="eastAsia" w:ascii="宋体" w:hAnsi="宋体" w:eastAsia="宋体" w:cs="宋体"/>
                <w:i w:val="0"/>
                <w:iCs w:val="0"/>
                <w:color w:val="auto"/>
                <w:lang w:eastAsia="zh-CN"/>
              </w:rPr>
            </w:pPr>
            <w:r>
              <w:rPr>
                <w:rStyle w:val="18"/>
                <w:rFonts w:hint="eastAsia" w:ascii="宋体" w:hAnsi="宋体" w:eastAsia="宋体" w:cs="宋体"/>
                <w:i w:val="0"/>
                <w:iCs w:val="0"/>
                <w:color w:val="auto"/>
              </w:rPr>
              <w:t>重要股东方</w:t>
            </w:r>
            <w:r>
              <w:rPr>
                <w:rStyle w:val="18"/>
                <w:rFonts w:hint="eastAsia" w:ascii="宋体" w:hAnsi="宋体" w:cs="宋体"/>
                <w:i w:val="0"/>
                <w:iCs w:val="0"/>
                <w:color w:val="auto"/>
                <w:lang w:eastAsia="zh-CN"/>
              </w:rPr>
              <w:t>，信披违规。加强企业内部的财务监管。加强内部控制制度，提高企业内部管理。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lang w:val="en-US" w:eastAsia="zh-CN"/>
              </w:rPr>
            </w:pPr>
            <w:r>
              <w:rPr>
                <w:rFonts w:hint="eastAsia" w:ascii="宋体" w:hAnsi="宋体" w:eastAsia="宋体" w:cs="宋体"/>
                <w:lang w:val="en-US" w:eastAsia="zh-CN"/>
              </w:rPr>
              <w:t>审计报告及审计意见披露</w:t>
            </w:r>
          </w:p>
        </w:tc>
        <w:tc>
          <w:tcPr>
            <w:tcW w:w="6316" w:type="dxa"/>
          </w:tcPr>
          <w:p>
            <w:pPr>
              <w:jc w:val="center"/>
              <w:rPr>
                <w:rFonts w:hint="eastAsia" w:ascii="宋体" w:hAnsi="宋体" w:eastAsia="宋体" w:cs="宋体"/>
              </w:rPr>
            </w:pPr>
            <w:r>
              <w:rPr>
                <w:rFonts w:hint="eastAsia" w:ascii="宋体" w:hAnsi="宋体" w:eastAsia="宋体" w:cs="宋体"/>
              </w:rPr>
              <w:t>无法表示意见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center"/>
              <w:rPr>
                <w:rFonts w:hint="eastAsia" w:ascii="宋体" w:hAnsi="宋体" w:eastAsia="宋体" w:cs="宋体"/>
              </w:rPr>
            </w:pPr>
            <w:r>
              <w:rPr>
                <w:rFonts w:hint="eastAsia" w:ascii="宋体" w:hAnsi="宋体" w:eastAsia="宋体" w:cs="宋体"/>
              </w:rPr>
              <w:t>关联的审计术语与审计方法</w:t>
            </w:r>
          </w:p>
        </w:tc>
        <w:tc>
          <w:tcPr>
            <w:tcW w:w="6316" w:type="dxa"/>
          </w:tcPr>
          <w:p>
            <w:pPr>
              <w:jc w:val="both"/>
              <w:rPr>
                <w:rFonts w:hint="default" w:ascii="宋体" w:hAnsi="宋体" w:eastAsia="宋体" w:cs="宋体"/>
                <w:lang w:val="en-US" w:eastAsia="zh-CN"/>
              </w:rPr>
            </w:pPr>
            <w:r>
              <w:rPr>
                <w:rFonts w:hint="eastAsia" w:ascii="宋体" w:hAnsi="宋体" w:cs="宋体"/>
                <w:lang w:val="en-US" w:eastAsia="zh-CN"/>
              </w:rPr>
              <w:t>伪造合同，虚构销售业务，造假虚构销售回款，信息披露</w:t>
            </w:r>
          </w:p>
        </w:tc>
      </w:tr>
    </w:tbl>
    <w:p>
      <w:pPr>
        <w:rPr>
          <w:rFonts w:hint="eastAsia" w:ascii="宋体" w:hAnsi="宋体" w:eastAsia="宋体" w:cs="宋体"/>
        </w:rPr>
      </w:pPr>
    </w:p>
    <w:p>
      <w:pPr>
        <w:rPr>
          <w:rFonts w:hint="eastAsia" w:ascii="宋体" w:hAnsi="宋体" w:eastAsia="宋体" w:cs="宋体"/>
        </w:rPr>
        <w:sectPr>
          <w:pgSz w:w="11906" w:h="16838"/>
          <w:pgMar w:top="1440" w:right="1800" w:bottom="1440" w:left="1800" w:header="851" w:footer="992" w:gutter="0"/>
          <w:cols w:space="425" w:num="1"/>
          <w:docGrid w:type="lines" w:linePitch="312" w:charSpace="0"/>
        </w:sectPr>
      </w:pPr>
    </w:p>
    <w:p>
      <w:pPr>
        <w:pStyle w:val="2"/>
        <w:rPr>
          <w:rFonts w:hint="default"/>
          <w:lang w:val="en-US" w:eastAsia="zh-CN"/>
        </w:rPr>
      </w:pPr>
      <w:bookmarkStart w:id="21" w:name="_Toc3941"/>
      <w:r>
        <w:rPr>
          <w:rFonts w:hint="eastAsia"/>
          <w:lang w:val="en-US" w:eastAsia="zh-CN"/>
        </w:rPr>
        <w:t>1</w:t>
      </w:r>
      <w:r>
        <w:rPr>
          <w:rFonts w:hint="eastAsia"/>
        </w:rPr>
        <w:t>1-</w:t>
      </w:r>
      <w:r>
        <w:rPr>
          <w:rFonts w:hint="eastAsia"/>
          <w:lang w:val="en-US" w:eastAsia="zh-CN"/>
        </w:rPr>
        <w:t>20</w:t>
      </w:r>
      <w:r>
        <w:t xml:space="preserve"> </w:t>
      </w:r>
      <w:r>
        <w:rPr>
          <w:rFonts w:hint="eastAsia"/>
        </w:rPr>
        <w:t>主要分析人：</w:t>
      </w:r>
      <w:r>
        <w:rPr>
          <w:rFonts w:hint="eastAsia"/>
          <w:lang w:val="en-US" w:eastAsia="zh-CN"/>
        </w:rPr>
        <w:t>于天孜</w:t>
      </w:r>
      <w:bookmarkEnd w:id="21"/>
    </w:p>
    <w:p>
      <w:pPr>
        <w:pStyle w:val="2"/>
      </w:pPr>
      <w:bookmarkStart w:id="22" w:name="_Toc14334"/>
      <w:r>
        <w:rPr>
          <w:rFonts w:hint="eastAsia"/>
          <w:lang w:val="en-US" w:eastAsia="zh-CN"/>
        </w:rPr>
        <w:t>11 昆明机床财务造假</w:t>
      </w:r>
      <w:r>
        <w:rPr>
          <w:rFonts w:hint="eastAsia"/>
        </w:rPr>
        <w:t>事件</w:t>
      </w:r>
      <w:bookmarkEnd w:id="22"/>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980" w:type="dxa"/>
          </w:tcPr>
          <w:p>
            <w:r>
              <w:rPr>
                <w:rFonts w:hint="eastAsia"/>
              </w:rPr>
              <w:t>案例数据</w:t>
            </w:r>
            <w:r>
              <w:t>编号</w:t>
            </w:r>
          </w:p>
        </w:tc>
        <w:tc>
          <w:tcPr>
            <w:tcW w:w="6316" w:type="dxa"/>
          </w:tcPr>
          <w:p>
            <w:pPr>
              <w:jc w:val="center"/>
            </w:pPr>
            <w:r>
              <w:rPr>
                <w:rFonts w:hint="eastAsia"/>
              </w:rPr>
              <w:t>0</w:t>
            </w:r>
            <w:r>
              <w:rPr>
                <w:rFonts w:hint="eastAsia" w:ascii="Times New Roman" w:eastAsia="宋体"/>
                <w:lang w:val="en-US" w:eastAsia="zh-CN"/>
              </w:rPr>
              <w:t>71</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ascii="Times New Roman" w:eastAsia="宋体"/>
                <w:lang w:val="en-US" w:eastAsia="zh-CN"/>
              </w:rPr>
              <w:t>2013年至2015年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eastAsia" w:eastAsia="宋体"/>
                <w:lang w:val="en-US" w:eastAsia="zh-CN"/>
              </w:rPr>
            </w:pPr>
            <w:r>
              <w:rPr>
                <w:rFonts w:hint="eastAsia" w:ascii="Times New Roman" w:eastAsia="宋体"/>
                <w:lang w:val="en-US" w:eastAsia="zh-CN"/>
              </w:rPr>
              <w:t>沈机集团昆明机床股份有限公司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val="en-US" w:eastAsia="zh-CN"/>
              </w:rPr>
            </w:pPr>
            <w:r>
              <w:rPr>
                <w:rFonts w:hint="eastAsia" w:ascii="Times New Roman" w:eastAsia="宋体"/>
                <w:lang w:val="en-US" w:eastAsia="zh-CN"/>
              </w:rPr>
              <w:t>机床制造企业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rPr>
                <w:rFonts w:hint="default" w:ascii="Arial" w:hAnsi="Arial" w:eastAsia="宋体" w:cs="Arial"/>
                <w:i w:val="0"/>
                <w:iCs w:val="0"/>
                <w:caps w:val="0"/>
                <w:color w:val="333333"/>
                <w:spacing w:val="0"/>
                <w:sz w:val="21"/>
                <w:szCs w:val="21"/>
                <w:shd w:val="clear" w:fill="FFFFFF"/>
              </w:rPr>
            </w:pPr>
            <w:r>
              <w:tab/>
            </w:r>
            <w:r>
              <w:rPr>
                <w:rFonts w:hint="eastAsia" w:ascii="Arial" w:hAnsi="Arial" w:eastAsia="宋体" w:cs="Arial"/>
                <w:i w:val="0"/>
                <w:iCs w:val="0"/>
                <w:caps w:val="0"/>
                <w:color w:val="333333"/>
                <w:spacing w:val="0"/>
                <w:sz w:val="21"/>
                <w:szCs w:val="21"/>
                <w:shd w:val="clear" w:fill="FFFFFF"/>
              </w:rPr>
              <w:t>沈机集团昆明机床股份有限公司（以下简称“昆明机床”，股份代码：600806）是中国制造大型精密机床的骨干企业，曾先后研发出140多个“中国第一台”。公司前身是筹建于1936年的中央机器厂，1953年更名为昆明机床厂，1993年10月19日正式注册成立昆明机床股份有限公司，成为我国首批九家到香港上市的股份制规范化试点企业，成为云南省和国内装备行业唯一在境内、外上市的A+H股上市公司。2000年与</w:t>
            </w:r>
            <w:r>
              <w:rPr>
                <w:rFonts w:hint="default" w:ascii="Arial" w:hAnsi="Arial" w:eastAsia="宋体" w:cs="Arial"/>
                <w:i w:val="0"/>
                <w:iCs w:val="0"/>
                <w:caps w:val="0"/>
                <w:color w:val="000000" w:themeColor="text1"/>
                <w:spacing w:val="0"/>
                <w:sz w:val="21"/>
                <w:szCs w:val="21"/>
                <w:u w:val="none"/>
                <w:shd w:val="clear" w:fill="FFFFFF"/>
                <w14:textFill>
                  <w14:solidFill>
                    <w14:schemeClr w14:val="tx1"/>
                  </w14:solidFill>
                </w14:textFill>
              </w:rPr>
              <w:fldChar w:fldCharType="begin"/>
            </w:r>
            <w:r>
              <w:rPr>
                <w:rFonts w:hint="default" w:ascii="Arial" w:hAnsi="Arial" w:eastAsia="宋体" w:cs="Arial"/>
                <w:i w:val="0"/>
                <w:iCs w:val="0"/>
                <w:caps w:val="0"/>
                <w:color w:val="000000" w:themeColor="text1"/>
                <w:spacing w:val="0"/>
                <w:sz w:val="21"/>
                <w:szCs w:val="21"/>
                <w:u w:val="none"/>
                <w:shd w:val="clear" w:fill="FFFFFF"/>
                <w14:textFill>
                  <w14:solidFill>
                    <w14:schemeClr w14:val="tx1"/>
                  </w14:solidFill>
                </w14:textFill>
              </w:rPr>
              <w:instrText xml:space="preserve"> HYPERLINK "https://baike.baidu.com/item/%E8%A5%BF%E5%AE%89%E4%BA%A4%E9%80%9A%E5%A4%A7%E5%AD%A6/165226" \t "https://baike.baidu.com/item/%E6%B2%88%E6%9C%BA%E9%9B%86%E5%9B%A2%E6%98%86%E6%98%8E%E6%9C%BA%E5%BA%8A%E8%82%A1%E4%BB%BD%E6%9C%89%E9%99%90%E5%85%AC%E5%8F%B8/_blank" </w:instrText>
            </w:r>
            <w:r>
              <w:rPr>
                <w:rFonts w:hint="default" w:ascii="Arial" w:hAnsi="Arial" w:eastAsia="宋体" w:cs="Arial"/>
                <w:i w:val="0"/>
                <w:iCs w:val="0"/>
                <w:caps w:val="0"/>
                <w:color w:val="000000" w:themeColor="text1"/>
                <w:spacing w:val="0"/>
                <w:sz w:val="21"/>
                <w:szCs w:val="21"/>
                <w:u w:val="none"/>
                <w:shd w:val="clear" w:fill="FFFFFF"/>
                <w14:textFill>
                  <w14:solidFill>
                    <w14:schemeClr w14:val="tx1"/>
                  </w14:solidFill>
                </w14:textFill>
              </w:rPr>
              <w:fldChar w:fldCharType="separate"/>
            </w:r>
            <w:r>
              <w:rPr>
                <w:rStyle w:val="17"/>
                <w:rFonts w:hint="default" w:ascii="Arial" w:hAnsi="Arial" w:eastAsia="宋体" w:cs="Arial"/>
                <w:i w:val="0"/>
                <w:iCs w:val="0"/>
                <w:caps w:val="0"/>
                <w:color w:val="000000" w:themeColor="text1"/>
                <w:spacing w:val="0"/>
                <w:sz w:val="21"/>
                <w:szCs w:val="21"/>
                <w:u w:val="none"/>
                <w:shd w:val="clear" w:fill="FFFFFF"/>
                <w14:textFill>
                  <w14:solidFill>
                    <w14:schemeClr w14:val="tx1"/>
                  </w14:solidFill>
                </w14:textFill>
              </w:rPr>
              <w:t>西安交通大学</w:t>
            </w:r>
            <w:r>
              <w:rPr>
                <w:rFonts w:hint="default" w:ascii="Arial" w:hAnsi="Arial" w:eastAsia="宋体" w:cs="Arial"/>
                <w:i w:val="0"/>
                <w:iCs w:val="0"/>
                <w:caps w:val="0"/>
                <w:color w:val="000000" w:themeColor="text1"/>
                <w:spacing w:val="0"/>
                <w:sz w:val="21"/>
                <w:szCs w:val="21"/>
                <w:u w:val="none"/>
                <w:shd w:val="clear" w:fill="FFFFFF"/>
                <w14:textFill>
                  <w14:solidFill>
                    <w14:schemeClr w14:val="tx1"/>
                  </w14:solidFill>
                </w14:textFill>
              </w:rPr>
              <w:fldChar w:fldCharType="end"/>
            </w:r>
            <w:r>
              <w:rPr>
                <w:rFonts w:hint="default" w:ascii="Arial" w:hAnsi="Arial" w:eastAsia="宋体" w:cs="Arial"/>
                <w:i w:val="0"/>
                <w:iCs w:val="0"/>
                <w:caps w:val="0"/>
                <w:color w:val="333333"/>
                <w:spacing w:val="0"/>
                <w:sz w:val="21"/>
                <w:szCs w:val="21"/>
                <w:shd w:val="clear" w:fill="FFFFFF"/>
              </w:rPr>
              <w:t>产业（集团）总公司实施战略性资产重组 ，2002年3月29日更名为交大昆机科技股份有限公司。</w:t>
            </w:r>
          </w:p>
          <w:p>
            <w:pPr>
              <w:rPr>
                <w:rFonts w:hint="default" w:ascii="Arial" w:hAnsi="Arial" w:eastAsia="宋体" w:cs="Arial"/>
                <w:i w:val="0"/>
                <w:iCs w:val="0"/>
                <w:caps w:val="0"/>
                <w:color w:val="333333"/>
                <w:spacing w:val="0"/>
                <w:sz w:val="21"/>
                <w:szCs w:val="21"/>
                <w:shd w:val="clear" w:fill="FFFFFF"/>
              </w:rPr>
            </w:pPr>
          </w:p>
          <w:p>
            <w:pPr>
              <w:rPr>
                <w:b/>
              </w:rPr>
            </w:pPr>
            <w:r>
              <w:rPr>
                <w:rFonts w:hint="eastAsia"/>
                <w:b/>
              </w:rPr>
              <w:t>【案情背景</w:t>
            </w:r>
            <w:r>
              <w:rPr>
                <w:b/>
              </w:rPr>
              <w:t>】</w:t>
            </w:r>
          </w:p>
          <w:p>
            <w:pPr>
              <w:rPr>
                <w:rFonts w:hint="eastAsia" w:ascii="Arial" w:hAnsi="Arial" w:eastAsia="宋体" w:cs="Arial"/>
                <w:i w:val="0"/>
                <w:iCs w:val="0"/>
                <w:caps w:val="0"/>
                <w:color w:val="333333"/>
                <w:spacing w:val="0"/>
                <w:sz w:val="21"/>
                <w:szCs w:val="21"/>
                <w:shd w:val="clear" w:fill="FFFFFF"/>
              </w:rPr>
            </w:pPr>
            <w:r>
              <w:rPr>
                <w:b/>
              </w:rPr>
              <w:tab/>
            </w:r>
            <w:r>
              <w:rPr>
                <w:rFonts w:hint="eastAsia" w:ascii="Arial" w:hAnsi="Arial" w:eastAsia="宋体" w:cs="Arial"/>
                <w:i w:val="0"/>
                <w:iCs w:val="0"/>
                <w:caps w:val="0"/>
                <w:color w:val="333333"/>
                <w:spacing w:val="0"/>
                <w:sz w:val="21"/>
                <w:szCs w:val="21"/>
                <w:shd w:val="clear" w:fill="FFFFFF"/>
              </w:rPr>
              <w:t>昆明机床为了盈利，避免ST，然而最后因为造假，只能被退市。</w:t>
            </w:r>
          </w:p>
          <w:p>
            <w:pPr>
              <w:rPr>
                <w:rFonts w:hint="eastAsia" w:ascii="Arial" w:hAnsi="Arial" w:eastAsia="宋体" w:cs="Arial"/>
                <w:i w:val="0"/>
                <w:iCs w:val="0"/>
                <w:caps w:val="0"/>
                <w:color w:val="333333"/>
                <w:spacing w:val="0"/>
                <w:sz w:val="21"/>
                <w:szCs w:val="21"/>
                <w:shd w:val="clear" w:fill="FFFFFF"/>
              </w:rPr>
            </w:pPr>
          </w:p>
          <w:p>
            <w:pPr>
              <w:rPr>
                <w:rFonts w:hint="eastAsia"/>
                <w:b/>
              </w:rPr>
            </w:pPr>
            <w:r>
              <w:rPr>
                <w:rFonts w:hint="eastAsia"/>
                <w:b/>
              </w:rPr>
              <w:t>【案情描述】</w:t>
            </w:r>
          </w:p>
          <w:p>
            <w:pPr>
              <w:numPr>
                <w:ilvl w:val="0"/>
                <w:numId w:val="4"/>
              </w:numPr>
              <w:ind w:left="420" w:leftChars="0" w:firstLine="0" w:firstLineChars="0"/>
              <w:rPr>
                <w:rFonts w:hint="eastAsia"/>
                <w:b/>
                <w:bCs/>
                <w:lang w:val="en-US" w:eastAsia="zh-CN"/>
              </w:rPr>
            </w:pPr>
            <w:r>
              <w:rPr>
                <w:rFonts w:hint="eastAsia" w:ascii="Times New Roman" w:eastAsia="宋体"/>
                <w:b/>
                <w:bCs/>
                <w:lang w:val="en-US" w:eastAsia="zh-CN"/>
              </w:rPr>
              <w:t>跨期确认收入</w:t>
            </w:r>
          </w:p>
          <w:p>
            <w:pPr>
              <w:widowControl w:val="0"/>
              <w:numPr>
                <w:ilvl w:val="0"/>
                <w:numId w:val="0"/>
              </w:numPr>
              <w:ind w:firstLine="420"/>
              <w:jc w:val="both"/>
              <w:rPr>
                <w:rFonts w:hint="default" w:ascii="Arial" w:hAnsi="Arial" w:eastAsia="宋体" w:cs="Arial"/>
                <w:i w:val="0"/>
                <w:iCs w:val="0"/>
                <w:caps w:val="0"/>
                <w:color w:val="333333"/>
                <w:spacing w:val="0"/>
                <w:sz w:val="21"/>
                <w:szCs w:val="21"/>
                <w:shd w:val="clear" w:fill="FFFFFF"/>
                <w:lang w:val="en-US" w:eastAsia="zh-CN"/>
              </w:rPr>
            </w:pPr>
            <w:r>
              <w:rPr>
                <w:rFonts w:hint="eastAsia" w:ascii="Arial" w:hAnsi="Arial" w:eastAsia="宋体" w:cs="Arial"/>
                <w:i w:val="0"/>
                <w:iCs w:val="0"/>
                <w:caps w:val="0"/>
                <w:color w:val="333333"/>
                <w:spacing w:val="0"/>
                <w:sz w:val="21"/>
                <w:szCs w:val="21"/>
                <w:shd w:val="clear" w:fill="FFFFFF"/>
                <w:lang w:val="en-US" w:eastAsia="zh-CN"/>
              </w:rPr>
              <w:t>2013年至2015年，昆明机床与相关经销商或者客户签订真实的销售合同，在其支付部分货款后，未发货便提前确认收入，另将当年未实际销售机床的收入跨期确认至该年度，以达到虚增当年利润的目的。</w:t>
            </w:r>
            <w:r>
              <w:rPr>
                <w:rFonts w:hint="eastAsia" w:ascii="Arial" w:hAnsi="Arial" w:cs="Arial"/>
                <w:i w:val="0"/>
                <w:iCs w:val="0"/>
                <w:caps w:val="0"/>
                <w:color w:val="333333"/>
                <w:spacing w:val="0"/>
                <w:sz w:val="21"/>
                <w:szCs w:val="21"/>
                <w:shd w:val="clear" w:fill="FFFFFF"/>
                <w:lang w:val="en-US" w:eastAsia="zh-CN"/>
              </w:rPr>
              <w:t>下图是昆明机床2013年至2015年跨期确认收入情况。</w:t>
            </w:r>
          </w:p>
          <w:p>
            <w:pPr>
              <w:widowControl w:val="0"/>
              <w:numPr>
                <w:ilvl w:val="0"/>
                <w:numId w:val="0"/>
              </w:numPr>
              <w:jc w:val="both"/>
              <w:rPr>
                <w:rFonts w:hint="eastAsia" w:ascii="Arial" w:hAnsi="Arial" w:eastAsia="宋体" w:cs="Arial"/>
                <w:i w:val="0"/>
                <w:iCs w:val="0"/>
                <w:caps w:val="0"/>
                <w:color w:val="333333"/>
                <w:spacing w:val="0"/>
                <w:sz w:val="21"/>
                <w:szCs w:val="21"/>
                <w:shd w:val="clear" w:fill="FFFFFF"/>
                <w:lang w:val="en-US" w:eastAsia="zh-CN"/>
              </w:rPr>
            </w:pPr>
            <w:r>
              <w:drawing>
                <wp:inline distT="0" distB="0" distL="114300" distR="114300">
                  <wp:extent cx="3869690" cy="534035"/>
                  <wp:effectExtent l="0" t="0" r="16510" b="184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4"/>
                          <a:stretch>
                            <a:fillRect/>
                          </a:stretch>
                        </pic:blipFill>
                        <pic:spPr>
                          <a:xfrm>
                            <a:off x="0" y="0"/>
                            <a:ext cx="3869690" cy="534035"/>
                          </a:xfrm>
                          <a:prstGeom prst="rect">
                            <a:avLst/>
                          </a:prstGeom>
                          <a:noFill/>
                          <a:ln>
                            <a:noFill/>
                          </a:ln>
                        </pic:spPr>
                      </pic:pic>
                    </a:graphicData>
                  </a:graphic>
                </wp:inline>
              </w:drawing>
            </w:r>
          </w:p>
          <w:p>
            <w:pPr>
              <w:widowControl w:val="0"/>
              <w:numPr>
                <w:ilvl w:val="0"/>
                <w:numId w:val="0"/>
              </w:numPr>
              <w:ind w:firstLine="420"/>
              <w:jc w:val="both"/>
              <w:rPr>
                <w:rFonts w:hint="eastAsia" w:ascii="Arial" w:hAnsi="Arial" w:eastAsia="宋体" w:cs="Arial"/>
                <w:i w:val="0"/>
                <w:iCs w:val="0"/>
                <w:caps w:val="0"/>
                <w:color w:val="333333"/>
                <w:spacing w:val="0"/>
                <w:sz w:val="21"/>
                <w:szCs w:val="21"/>
                <w:shd w:val="clear" w:fill="FFFFFF"/>
                <w:lang w:val="en-US" w:eastAsia="zh-CN"/>
              </w:rPr>
            </w:pPr>
            <w:r>
              <w:rPr>
                <w:rFonts w:hint="eastAsia" w:ascii="Arial" w:hAnsi="Arial" w:eastAsia="宋体" w:cs="Arial"/>
                <w:i w:val="0"/>
                <w:iCs w:val="0"/>
                <w:caps w:val="0"/>
                <w:color w:val="333333"/>
                <w:spacing w:val="0"/>
                <w:sz w:val="21"/>
                <w:szCs w:val="21"/>
                <w:shd w:val="clear" w:fill="FFFFFF"/>
                <w:lang w:val="en-US" w:eastAsia="zh-CN"/>
              </w:rPr>
              <w:t>昆明机床虚增2013年度、2014年度、2015年度营业收入金额分别占公开披露的当期营业收入的7.41%、4.75%、5.31%。</w:t>
            </w:r>
          </w:p>
          <w:p>
            <w:pPr>
              <w:widowControl w:val="0"/>
              <w:numPr>
                <w:ilvl w:val="0"/>
                <w:numId w:val="0"/>
              </w:numPr>
              <w:ind w:firstLine="420"/>
              <w:jc w:val="both"/>
              <w:rPr>
                <w:rFonts w:hint="default" w:ascii="Arial" w:hAnsi="Arial" w:eastAsia="宋体" w:cs="Arial"/>
                <w:i w:val="0"/>
                <w:iCs w:val="0"/>
                <w:caps w:val="0"/>
                <w:color w:val="333333"/>
                <w:spacing w:val="0"/>
                <w:sz w:val="21"/>
                <w:szCs w:val="21"/>
                <w:shd w:val="clear" w:fill="FFFFFF"/>
                <w:lang w:val="en-US" w:eastAsia="zh-CN"/>
              </w:rPr>
            </w:pPr>
          </w:p>
          <w:p>
            <w:pPr>
              <w:ind w:firstLine="422" w:firstLineChars="200"/>
              <w:rPr>
                <w:rFonts w:hint="default" w:eastAsia="宋体"/>
                <w:b/>
                <w:bCs/>
                <w:lang w:val="en-US" w:eastAsia="zh-CN"/>
              </w:rPr>
            </w:pPr>
            <w:r>
              <w:rPr>
                <w:rFonts w:hint="eastAsia" w:ascii="Times New Roman" w:eastAsia="宋体"/>
                <w:b/>
                <w:bCs/>
                <w:lang w:val="en-US" w:eastAsia="zh-CN"/>
              </w:rPr>
              <w:t>二、虚增销售收入</w:t>
            </w:r>
          </w:p>
          <w:p>
            <w:pPr>
              <w:ind w:firstLine="420" w:firstLineChars="200"/>
              <w:rPr>
                <w:rFonts w:hint="default" w:ascii="Arial" w:hAnsi="Arial" w:eastAsia="宋体" w:cs="Arial"/>
                <w:i w:val="0"/>
                <w:iCs w:val="0"/>
                <w:caps w:val="0"/>
                <w:color w:val="333333"/>
                <w:spacing w:val="0"/>
                <w:sz w:val="21"/>
                <w:szCs w:val="21"/>
                <w:shd w:val="clear" w:fill="FFFFFF"/>
                <w:lang w:val="en-US" w:eastAsia="zh-CN"/>
              </w:rPr>
            </w:pPr>
            <w:r>
              <w:rPr>
                <w:rFonts w:hint="eastAsia" w:ascii="Arial" w:hAnsi="Arial" w:eastAsia="宋体" w:cs="Arial"/>
                <w:i w:val="0"/>
                <w:iCs w:val="0"/>
                <w:caps w:val="0"/>
                <w:color w:val="333333"/>
                <w:spacing w:val="0"/>
                <w:sz w:val="21"/>
                <w:szCs w:val="21"/>
                <w:shd w:val="clear" w:fill="FFFFFF"/>
                <w:lang w:val="en-US" w:eastAsia="zh-CN"/>
              </w:rPr>
              <w:t>2013年至2015年，昆明机床与部分经销商或客户签订合同，经销商或客户虚假采购昆明机床产品并预付定金，但最终并不提货，后期将定金退回客户，或者直接按照客户退货进行处理，完成虚假销售。在此过程中，昆明机床虚构合同、发货单、运输协议等单据，通过虚构交易的方式来虚计收入，以达到虚增当年利润的目的。为避免虚计收入被审计人员发现，昆明机床采用在账外设立库房的方式，将存货以正常销售的方式出库，但存货并未实际发往客户，而是移送至账外库房。之后，昆明机床通过“二次”销售，虚构销售退回，或将产成品拆解为零配件从第三方虚构采购购回等方式处理账外存货，但原来虚计的应收账款无法冲减。为避免设立账外库房的事宜被审计人员察觉，昆明机床还要求出租外库的出租人将租金业务发票开具为运输费用发票。</w:t>
            </w:r>
            <w:r>
              <w:rPr>
                <w:rFonts w:hint="eastAsia" w:ascii="Arial" w:hAnsi="Arial" w:cs="Arial"/>
                <w:i w:val="0"/>
                <w:iCs w:val="0"/>
                <w:caps w:val="0"/>
                <w:color w:val="333333"/>
                <w:spacing w:val="0"/>
                <w:sz w:val="21"/>
                <w:szCs w:val="21"/>
                <w:shd w:val="clear" w:fill="FFFFFF"/>
                <w:lang w:val="en-US" w:eastAsia="zh-CN"/>
              </w:rPr>
              <w:t>下图是昆明机床2013年至2015年虚增收入情况。</w:t>
            </w:r>
          </w:p>
          <w:p>
            <w:pPr>
              <w:rPr>
                <w:b/>
                <w:bCs/>
              </w:rPr>
            </w:pPr>
            <w:r>
              <w:drawing>
                <wp:inline distT="0" distB="0" distL="114300" distR="114300">
                  <wp:extent cx="3872230" cy="569595"/>
                  <wp:effectExtent l="0" t="0" r="1397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5"/>
                          <a:stretch>
                            <a:fillRect/>
                          </a:stretch>
                        </pic:blipFill>
                        <pic:spPr>
                          <a:xfrm>
                            <a:off x="0" y="0"/>
                            <a:ext cx="3872230" cy="569595"/>
                          </a:xfrm>
                          <a:prstGeom prst="rect">
                            <a:avLst/>
                          </a:prstGeom>
                          <a:noFill/>
                          <a:ln>
                            <a:noFill/>
                          </a:ln>
                        </pic:spPr>
                      </pic:pic>
                    </a:graphicData>
                  </a:graphic>
                </wp:inline>
              </w:drawing>
            </w:r>
          </w:p>
          <w:p>
            <w:pPr>
              <w:rPr>
                <w:rFonts w:hint="eastAsia" w:ascii="Arial" w:hAnsi="Arial" w:cs="Arial"/>
                <w:i w:val="0"/>
                <w:iCs w:val="0"/>
                <w:caps w:val="0"/>
                <w:color w:val="333333"/>
                <w:spacing w:val="0"/>
                <w:sz w:val="21"/>
                <w:szCs w:val="21"/>
                <w:shd w:val="clear" w:fill="FFFFFF"/>
                <w:lang w:val="en-US" w:eastAsia="zh-CN"/>
              </w:rPr>
            </w:pPr>
            <w:r>
              <w:rPr>
                <w:rFonts w:hint="eastAsia" w:ascii="Arial" w:hAnsi="Arial" w:cs="Arial"/>
                <w:i w:val="0"/>
                <w:iCs w:val="0"/>
                <w:caps w:val="0"/>
                <w:color w:val="333333"/>
                <w:spacing w:val="0"/>
                <w:sz w:val="21"/>
                <w:szCs w:val="21"/>
                <w:shd w:val="clear" w:fill="FFFFFF"/>
                <w:lang w:val="en-US" w:eastAsia="zh-CN"/>
              </w:rPr>
              <w:t>昆明机床虚增2013年度、2014年度、2015年度营业收入金额分别占公开披露的当期营业收入的11.89%、9.16%、2.60%。</w:t>
            </w:r>
          </w:p>
          <w:p>
            <w:pPr>
              <w:rPr>
                <w:rFonts w:hint="eastAsia" w:ascii="Arial" w:hAnsi="Arial" w:cs="Arial"/>
                <w:i w:val="0"/>
                <w:iCs w:val="0"/>
                <w:caps w:val="0"/>
                <w:color w:val="333333"/>
                <w:spacing w:val="0"/>
                <w:sz w:val="21"/>
                <w:szCs w:val="21"/>
                <w:shd w:val="clear" w:fill="FFFFFF"/>
                <w:lang w:val="en-US" w:eastAsia="zh-CN"/>
              </w:rPr>
            </w:pPr>
          </w:p>
          <w:p>
            <w:pPr>
              <w:ind w:firstLine="422" w:firstLineChars="200"/>
              <w:rPr>
                <w:rFonts w:hint="default" w:ascii="Arial" w:hAnsi="Arial" w:cs="Arial"/>
                <w:b/>
                <w:bCs/>
                <w:i w:val="0"/>
                <w:iCs w:val="0"/>
                <w:caps w:val="0"/>
                <w:color w:val="333333"/>
                <w:spacing w:val="0"/>
                <w:sz w:val="21"/>
                <w:szCs w:val="21"/>
                <w:shd w:val="clear" w:fill="FFFFFF"/>
                <w:lang w:val="en-US" w:eastAsia="zh-CN"/>
              </w:rPr>
            </w:pPr>
            <w:r>
              <w:rPr>
                <w:rFonts w:hint="eastAsia" w:ascii="Arial" w:hAnsi="Arial" w:cs="Arial"/>
                <w:b/>
                <w:bCs/>
                <w:i w:val="0"/>
                <w:iCs w:val="0"/>
                <w:caps w:val="0"/>
                <w:color w:val="333333"/>
                <w:spacing w:val="0"/>
                <w:sz w:val="21"/>
                <w:szCs w:val="21"/>
                <w:shd w:val="clear" w:fill="FFFFFF"/>
                <w:lang w:val="en-US" w:eastAsia="zh-CN"/>
              </w:rPr>
              <w:t>三、虚增合同价格</w:t>
            </w:r>
          </w:p>
          <w:p>
            <w:pPr>
              <w:ind w:firstLine="420" w:firstLineChars="200"/>
              <w:rPr>
                <w:rFonts w:hint="default" w:ascii="Arial" w:hAnsi="Arial" w:cs="Arial"/>
                <w:i w:val="0"/>
                <w:iCs w:val="0"/>
                <w:caps w:val="0"/>
                <w:color w:val="333333"/>
                <w:spacing w:val="0"/>
                <w:sz w:val="21"/>
                <w:szCs w:val="21"/>
                <w:shd w:val="clear" w:fill="FFFFFF"/>
                <w:lang w:val="en-US" w:eastAsia="zh-CN"/>
              </w:rPr>
            </w:pPr>
            <w:r>
              <w:rPr>
                <w:rFonts w:hint="default" w:ascii="Arial" w:hAnsi="Arial" w:cs="Arial"/>
                <w:i w:val="0"/>
                <w:iCs w:val="0"/>
                <w:caps w:val="0"/>
                <w:color w:val="333333"/>
                <w:spacing w:val="0"/>
                <w:sz w:val="21"/>
                <w:szCs w:val="21"/>
                <w:shd w:val="clear" w:fill="FFFFFF"/>
                <w:lang w:val="en-US" w:eastAsia="zh-CN"/>
              </w:rPr>
              <w:t>2013年至2014年，昆明机床通过虚增合同价格的方式虚增收入2,105,786.33元。昆明机床在与部分客户签订合同后，单向虚增合同价格，2013年昆明机床虚增合同价格1,485,581.20元，涉及客户14户，机床44台；2014年虚增合同价格620,205.13元，涉及客户10户，机床22台。昆明机床虚增2013年度、2014年度的收入分别占公开披露的当期营业收入的0.14%、0.07%。</w:t>
            </w:r>
          </w:p>
          <w:p>
            <w:pPr>
              <w:ind w:firstLine="420" w:firstLineChars="200"/>
              <w:rPr>
                <w:rFonts w:hint="default" w:ascii="Arial" w:hAnsi="Arial" w:cs="Arial"/>
                <w:i w:val="0"/>
                <w:iCs w:val="0"/>
                <w:caps w:val="0"/>
                <w:color w:val="333333"/>
                <w:spacing w:val="0"/>
                <w:sz w:val="21"/>
                <w:szCs w:val="21"/>
                <w:shd w:val="clear" w:fill="FFFFFF"/>
                <w:lang w:val="en-US" w:eastAsia="zh-CN"/>
              </w:rPr>
            </w:pPr>
          </w:p>
          <w:p>
            <w:pPr>
              <w:numPr>
                <w:ilvl w:val="0"/>
                <w:numId w:val="5"/>
              </w:numPr>
              <w:ind w:firstLine="422" w:firstLineChars="200"/>
              <w:rPr>
                <w:rFonts w:hint="eastAsia" w:ascii="Arial" w:hAnsi="Arial" w:cs="Arial"/>
                <w:b/>
                <w:bCs/>
                <w:i w:val="0"/>
                <w:iCs w:val="0"/>
                <w:caps w:val="0"/>
                <w:color w:val="333333"/>
                <w:spacing w:val="0"/>
                <w:sz w:val="21"/>
                <w:szCs w:val="21"/>
                <w:shd w:val="clear" w:fill="FFFFFF"/>
                <w:lang w:val="en-US" w:eastAsia="zh-CN"/>
              </w:rPr>
            </w:pPr>
            <w:r>
              <w:rPr>
                <w:rFonts w:hint="eastAsia" w:ascii="Arial" w:hAnsi="Arial" w:cs="Arial"/>
                <w:b/>
                <w:bCs/>
                <w:i w:val="0"/>
                <w:iCs w:val="0"/>
                <w:caps w:val="0"/>
                <w:color w:val="333333"/>
                <w:spacing w:val="0"/>
                <w:sz w:val="21"/>
                <w:szCs w:val="21"/>
                <w:shd w:val="clear" w:fill="FFFFFF"/>
                <w:lang w:val="en-US" w:eastAsia="zh-CN"/>
              </w:rPr>
              <w:t>少计提辞退福利和高管薪酬</w:t>
            </w:r>
          </w:p>
          <w:p>
            <w:pPr>
              <w:widowControl w:val="0"/>
              <w:numPr>
                <w:ilvl w:val="0"/>
                <w:numId w:val="0"/>
              </w:numPr>
              <w:ind w:firstLine="420" w:firstLineChars="200"/>
              <w:jc w:val="both"/>
              <w:rPr>
                <w:rFonts w:hint="default" w:ascii="Arial" w:hAnsi="Arial" w:cs="Arial"/>
                <w:i w:val="0"/>
                <w:iCs w:val="0"/>
                <w:caps w:val="0"/>
                <w:color w:val="333333"/>
                <w:spacing w:val="0"/>
                <w:sz w:val="21"/>
                <w:szCs w:val="21"/>
                <w:shd w:val="clear" w:fill="FFFFFF"/>
                <w:lang w:val="en-US" w:eastAsia="zh-CN"/>
              </w:rPr>
            </w:pPr>
            <w:r>
              <w:rPr>
                <w:rFonts w:hint="default" w:ascii="Arial" w:hAnsi="Arial" w:cs="Arial"/>
                <w:i w:val="0"/>
                <w:iCs w:val="0"/>
                <w:caps w:val="0"/>
                <w:color w:val="333333"/>
                <w:spacing w:val="0"/>
                <w:sz w:val="21"/>
                <w:szCs w:val="21"/>
                <w:shd w:val="clear" w:fill="FFFFFF"/>
                <w:lang w:val="en-US" w:eastAsia="zh-CN"/>
              </w:rPr>
              <w:t>2013年至2015年，昆明机床本应按照内退员工人数、内退福利补偿标准和应付的内退福利年限，测算相关应付福利的现值，确认当期费用和负债。但2013年至2015年，昆明机床通过调减内退人数、不予全部计提内退员工福利和少计高管薪酬等方式，少计管理费用。</w:t>
            </w:r>
          </w:p>
          <w:p>
            <w:pPr>
              <w:widowControl w:val="0"/>
              <w:numPr>
                <w:ilvl w:val="0"/>
                <w:numId w:val="0"/>
              </w:numPr>
              <w:ind w:firstLine="420" w:firstLineChars="200"/>
              <w:jc w:val="both"/>
              <w:rPr>
                <w:rFonts w:hint="default" w:ascii="Arial" w:hAnsi="Arial" w:cs="Arial"/>
                <w:i w:val="0"/>
                <w:iCs w:val="0"/>
                <w:caps w:val="0"/>
                <w:color w:val="333333"/>
                <w:spacing w:val="0"/>
                <w:sz w:val="21"/>
                <w:szCs w:val="21"/>
                <w:shd w:val="clear" w:fill="FFFFFF"/>
                <w:lang w:val="en-US" w:eastAsia="zh-CN"/>
              </w:rPr>
            </w:pPr>
            <w:r>
              <w:rPr>
                <w:rFonts w:hint="default" w:ascii="Arial" w:hAnsi="Arial" w:cs="Arial"/>
                <w:i w:val="0"/>
                <w:iCs w:val="0"/>
                <w:caps w:val="0"/>
                <w:color w:val="333333"/>
                <w:spacing w:val="0"/>
                <w:sz w:val="21"/>
                <w:szCs w:val="21"/>
                <w:shd w:val="clear" w:fill="FFFFFF"/>
                <w:lang w:val="en-US" w:eastAsia="zh-CN"/>
              </w:rPr>
              <w:t>辞退福利方面，2013年昆明机床实际有内退人员143人，应当计管理费用6,553,232.16元，但财务记录内退人员131人，计入管理费用5,373,902.10元，少计12人，少计管理费用1,179,330.06元；2014年昆明机床实际有内退人员225人，应当计管理费用19,264,460.57元，但财务记录内退人员123人，计入管理费用8,185,458.83元，少计102人，少计管理费用11,079,001.74元；2015年昆明机床实际有内退人员289人，应当计管理费用21,337,006.61元，但财务记录内退人员120人，计入管理费用7,109,273.09元，少计169人，少计管理费用14,227,733.52元。</w:t>
            </w:r>
          </w:p>
          <w:p>
            <w:pPr>
              <w:widowControl w:val="0"/>
              <w:numPr>
                <w:ilvl w:val="0"/>
                <w:numId w:val="0"/>
              </w:numPr>
              <w:ind w:firstLine="420" w:firstLineChars="200"/>
              <w:jc w:val="both"/>
              <w:rPr>
                <w:rFonts w:hint="default" w:ascii="Arial" w:hAnsi="Arial" w:cs="Arial"/>
                <w:i w:val="0"/>
                <w:iCs w:val="0"/>
                <w:caps w:val="0"/>
                <w:color w:val="333333"/>
                <w:spacing w:val="0"/>
                <w:sz w:val="21"/>
                <w:szCs w:val="21"/>
                <w:shd w:val="clear" w:fill="FFFFFF"/>
                <w:lang w:val="en-US" w:eastAsia="zh-CN"/>
              </w:rPr>
            </w:pPr>
            <w:r>
              <w:rPr>
                <w:rFonts w:hint="default" w:ascii="Arial" w:hAnsi="Arial" w:cs="Arial"/>
                <w:i w:val="0"/>
                <w:iCs w:val="0"/>
                <w:caps w:val="0"/>
                <w:color w:val="333333"/>
                <w:spacing w:val="0"/>
                <w:sz w:val="21"/>
                <w:szCs w:val="21"/>
                <w:shd w:val="clear" w:fill="FFFFFF"/>
                <w:lang w:val="en-US" w:eastAsia="zh-CN"/>
              </w:rPr>
              <w:t>高管薪酬方面，昆明机床董事会2015年3月29日通过了公司高管人员2014年度薪酬考评方案，2016年3月30日通过了公司高管人员2015年度薪酬考评方案，昆明机床应当按照考评方案计提当年高管薪酬，但财务未予全部计提，2014年少计专项奖励1,000,000元，相应少计管理费用1,000,000元；2015年少计基本年薪及专项奖励共2,122,550.71元，相应少计管理费用2,122,550.71元。</w:t>
            </w:r>
          </w:p>
          <w:p>
            <w:pPr>
              <w:ind w:firstLine="420" w:firstLineChars="200"/>
              <w:rPr>
                <w:rFonts w:hint="eastAsia" w:ascii="Arial" w:hAnsi="Arial" w:eastAsia="宋体" w:cs="Arial"/>
                <w:i w:val="0"/>
                <w:iCs w:val="0"/>
                <w:caps w:val="0"/>
                <w:color w:val="333333"/>
                <w:spacing w:val="0"/>
                <w:sz w:val="21"/>
                <w:szCs w:val="21"/>
                <w:shd w:val="clear" w:fill="FFFFFF"/>
                <w:lang w:val="en-US" w:eastAsia="zh-CN"/>
              </w:rPr>
            </w:pPr>
            <w:r>
              <w:rPr>
                <w:rFonts w:hint="eastAsia" w:ascii="Arial" w:hAnsi="Arial" w:eastAsia="宋体" w:cs="Arial"/>
                <w:i w:val="0"/>
                <w:iCs w:val="0"/>
                <w:caps w:val="0"/>
                <w:color w:val="333333"/>
                <w:spacing w:val="0"/>
                <w:sz w:val="21"/>
                <w:szCs w:val="21"/>
                <w:shd w:val="clear" w:fill="FFFFFF"/>
                <w:lang w:val="en-US" w:eastAsia="zh-CN"/>
              </w:rPr>
              <w:t>综上，2013年至2015年，昆明机床通过少计提辞退福利和高管薪酬的方式少计管理费用29,608,616.03元，虚增利润29,608,616.03元。其中，2013年少计辞退福利1,179,330.06元，导致管理费用少计1,179,330.06元，虚增利润1,179,330.06元；2014年少计辞退福利11,079,001.74元，少计高管薪酬1,000,000元，导致管理费用少计12,079,001.74元，虚增利润12,079,001.74元；2015年少计辞退福利14,227,733.52元，少计高管薪酬2,122,550.71元，导致管理费用少计16,350,284.23元，虚增利润16,350,284.23元。</w:t>
            </w:r>
          </w:p>
          <w:p>
            <w:pPr>
              <w:widowControl w:val="0"/>
              <w:numPr>
                <w:ilvl w:val="0"/>
                <w:numId w:val="0"/>
              </w:numPr>
              <w:ind w:firstLine="422" w:firstLineChars="200"/>
              <w:jc w:val="both"/>
              <w:rPr>
                <w:rFonts w:hint="default" w:ascii="Arial" w:hAnsi="Arial" w:cs="Arial"/>
                <w:b/>
                <w:bCs/>
                <w:i w:val="0"/>
                <w:iCs w:val="0"/>
                <w:caps w:val="0"/>
                <w:color w:val="333333"/>
                <w:spacing w:val="0"/>
                <w:sz w:val="21"/>
                <w:szCs w:val="21"/>
                <w:shd w:val="clear" w:fill="FFFFFF"/>
                <w:lang w:val="en-US" w:eastAsia="zh-CN"/>
              </w:rPr>
            </w:pPr>
            <w:r>
              <w:rPr>
                <w:rFonts w:hint="eastAsia" w:ascii="Arial" w:hAnsi="Arial" w:cs="Arial"/>
                <w:b/>
                <w:bCs/>
                <w:i w:val="0"/>
                <w:iCs w:val="0"/>
                <w:caps w:val="0"/>
                <w:color w:val="333333"/>
                <w:spacing w:val="0"/>
                <w:sz w:val="21"/>
                <w:szCs w:val="21"/>
                <w:shd w:val="clear" w:fill="FFFFFF"/>
                <w:lang w:val="en-US" w:eastAsia="zh-CN"/>
              </w:rPr>
              <w:t>五、虚构存货</w:t>
            </w:r>
          </w:p>
          <w:p>
            <w:pPr>
              <w:ind w:firstLine="420" w:firstLineChars="200"/>
              <w:rPr>
                <w:rFonts w:hint="eastAsia" w:ascii="Arial" w:hAnsi="Arial" w:eastAsia="宋体" w:cs="Arial"/>
                <w:i w:val="0"/>
                <w:iCs w:val="0"/>
                <w:caps w:val="0"/>
                <w:color w:val="333333"/>
                <w:spacing w:val="0"/>
                <w:sz w:val="21"/>
                <w:szCs w:val="21"/>
                <w:shd w:val="clear" w:fill="FFFFFF"/>
                <w:lang w:val="en-US" w:eastAsia="zh-CN"/>
              </w:rPr>
            </w:pPr>
            <w:r>
              <w:rPr>
                <w:rFonts w:hint="eastAsia" w:ascii="Arial" w:hAnsi="Arial" w:eastAsia="宋体" w:cs="Arial"/>
                <w:i w:val="0"/>
                <w:iCs w:val="0"/>
                <w:caps w:val="0"/>
                <w:color w:val="333333"/>
                <w:spacing w:val="0"/>
                <w:sz w:val="21"/>
                <w:szCs w:val="21"/>
                <w:shd w:val="clear" w:fill="FFFFFF"/>
                <w:lang w:val="en-US" w:eastAsia="zh-CN"/>
              </w:rPr>
              <w:t>2013年至2015年，昆明机床通过设置账外产成品库房、虚构生产业务、虚假降低实际产品制造成本等方式，多计各期营业成本，少计各年度期末存货。三年间累计多计成本235,272,252.56元，其中2013年多计成本120,871,685.64元，2014年多计成本69,014,625.10元，2015年多计成本45,385,341.82元；三年累计少计存货505,985,325.86元，其中2013年少计存货120,871,685.64元，2014年少计存货184,926,310.72元，2015年少计存货200,187,329.50元。昆明机床2013年至2015年披露的年度报告中有关存货的数据与实际不符。</w:t>
            </w:r>
          </w:p>
          <w:p>
            <w:pPr>
              <w:rPr>
                <w:rFonts w:hint="eastAsia" w:ascii="Arial" w:hAnsi="Arial" w:cs="Arial"/>
                <w:i w:val="0"/>
                <w:iCs w:val="0"/>
                <w:caps w:val="0"/>
                <w:color w:val="333333"/>
                <w:spacing w:val="0"/>
                <w:sz w:val="21"/>
                <w:szCs w:val="21"/>
                <w:shd w:val="clear" w:fill="FFFFFF"/>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r>
              <w:rPr>
                <w:rFonts w:hint="eastAsia" w:ascii="Arial" w:hAnsi="Arial" w:eastAsia="宋体" w:cs="Arial"/>
                <w:i w:val="0"/>
                <w:iCs w:val="0"/>
                <w:caps w:val="0"/>
                <w:color w:val="333333"/>
                <w:spacing w:val="0"/>
                <w:sz w:val="21"/>
                <w:szCs w:val="21"/>
                <w:shd w:val="clear" w:fill="FFFFFF"/>
                <w:lang w:val="en-US" w:eastAsia="zh-CN"/>
              </w:rPr>
              <w:t>针对昆明机床虚增收入4.8亿的重大违规行为，2018年2月9日，中国证监会正式公布处罚决定和市场禁入决定，对昆明机床高层23名责任人员给予顶格处罚，合计罚款250万元，并对原董事长王兴采取终身证券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Arial" w:hAnsi="Arial" w:eastAsia="宋体" w:cs="Arial"/>
                <w:i w:val="0"/>
                <w:iCs w:val="0"/>
                <w:caps w:val="0"/>
                <w:color w:val="333333"/>
                <w:spacing w:val="0"/>
                <w:sz w:val="21"/>
                <w:szCs w:val="21"/>
                <w:shd w:val="clear" w:fill="FFFFFF"/>
                <w:lang w:val="en-US" w:eastAsia="zh-CN"/>
              </w:rPr>
              <w:t>毕马威（2013年、2014年）、瑞华（2015年）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rPr>
                <w:rFonts w:hint="default"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rPr>
                <w:rFonts w:hint="default"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rPr>
                <w:rStyle w:val="18"/>
                <w:rFonts w:hint="eastAsia"/>
                <w:i w:val="0"/>
                <w:iCs w:val="0"/>
                <w:color w:val="auto"/>
              </w:rPr>
            </w:pPr>
            <w:r>
              <w:rPr>
                <w:rStyle w:val="18"/>
                <w:rFonts w:hint="eastAsia"/>
                <w:i w:val="0"/>
                <w:iCs w:val="0"/>
                <w:color w:val="auto"/>
              </w:rPr>
              <w:t>由昆明机床造假案例中我们可以得出启示。</w:t>
            </w:r>
          </w:p>
          <w:p>
            <w:pPr>
              <w:tabs>
                <w:tab w:val="left" w:pos="2160"/>
              </w:tabs>
              <w:rPr>
                <w:rStyle w:val="18"/>
                <w:rFonts w:hint="eastAsia"/>
                <w:i w:val="0"/>
                <w:iCs w:val="0"/>
                <w:color w:val="auto"/>
              </w:rPr>
            </w:pPr>
            <w:r>
              <w:rPr>
                <w:rStyle w:val="18"/>
                <w:rFonts w:hint="eastAsia"/>
                <w:i w:val="0"/>
                <w:iCs w:val="0"/>
                <w:color w:val="auto"/>
              </w:rPr>
              <w:t>第一点、公司应该完善相关的内部控制制度，对公司的管理人员要加强控制，聘请有专业素养的人员进行管理，定期对相关人员进行培训，加强专业素养和职业道德。</w:t>
            </w:r>
          </w:p>
          <w:p>
            <w:pPr>
              <w:tabs>
                <w:tab w:val="left" w:pos="2160"/>
              </w:tabs>
              <w:rPr>
                <w:rStyle w:val="18"/>
                <w:rFonts w:hint="default" w:eastAsia="宋体"/>
                <w:i w:val="0"/>
                <w:iCs w:val="0"/>
                <w:color w:val="auto"/>
                <w:lang w:val="en-US" w:eastAsia="zh-CN"/>
              </w:rPr>
            </w:pPr>
            <w:r>
              <w:rPr>
                <w:rStyle w:val="18"/>
                <w:rFonts w:hint="eastAsia"/>
                <w:i w:val="0"/>
                <w:iCs w:val="0"/>
                <w:color w:val="auto"/>
              </w:rPr>
              <w:t>第二点、会计师事务所要提升自己的能力，在对公司进行审计时要有针对性。要确保自己的能力足以去对一家公司进行审计业务，而不能单单只看在酬劳多就接下业务。</w:t>
            </w:r>
            <w:r>
              <w:rPr>
                <w:rStyle w:val="18"/>
                <w:rFonts w:hint="eastAsia"/>
                <w:i w:val="0"/>
                <w:iCs w:val="0"/>
                <w:color w:val="auto"/>
                <w:lang w:val="en-US" w:eastAsia="zh-CN"/>
              </w:rPr>
              <w:t>并且事务所应保持独立性，拒绝与被审计单位进行审计合谋。</w:t>
            </w:r>
          </w:p>
          <w:p>
            <w:pPr>
              <w:tabs>
                <w:tab w:val="left" w:pos="2160"/>
              </w:tabs>
              <w:rPr>
                <w:rStyle w:val="18"/>
                <w:i w:val="0"/>
                <w:iCs w:val="0"/>
                <w:color w:val="auto"/>
              </w:rPr>
            </w:pPr>
            <w:r>
              <w:rPr>
                <w:rStyle w:val="18"/>
                <w:rFonts w:hint="eastAsia"/>
                <w:i w:val="0"/>
                <w:iCs w:val="0"/>
                <w:color w:val="auto"/>
              </w:rPr>
              <w:t>第三点、国家应该健全相关的法律法规，对财务舞弊财务造假行为要做到早发现早制止，提高对违法企业的处罚力度，真正体现法律的震慑作用，让企图造假的企业望而却步。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rPr>
            </w:pPr>
            <w:r>
              <w:rPr>
                <w:rFonts w:hint="eastAsia" w:ascii="Times New Roman" w:eastAsia="宋体"/>
                <w:lang w:val="en-US" w:eastAsia="zh-CN"/>
              </w:rPr>
              <w:t>两家事务所在2013年至2015年出具的都是无保留意见的审计意见书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val="en-US" w:eastAsia="zh-CN"/>
              </w:rPr>
            </w:pPr>
            <w:r>
              <w:rPr>
                <w:rFonts w:hint="eastAsia" w:ascii="Times New Roman" w:eastAsia="宋体"/>
                <w:lang w:val="en-US" w:eastAsia="zh-CN"/>
              </w:rPr>
              <w:t>无</w:t>
            </w:r>
          </w:p>
        </w:tc>
      </w:tr>
    </w:tbl>
    <w:p>
      <w:pPr>
        <w:pStyle w:val="2"/>
        <w:rPr>
          <w:rFonts w:hint="default" w:eastAsia="宋体"/>
          <w:lang w:val="en-US" w:eastAsia="zh-CN"/>
        </w:rPr>
      </w:pPr>
      <w:bookmarkStart w:id="23" w:name="_Toc26406"/>
      <w:r>
        <w:rPr>
          <w:rFonts w:hint="eastAsia"/>
          <w:lang w:val="en-US" w:eastAsia="zh-CN"/>
        </w:rPr>
        <w:t>1</w:t>
      </w:r>
      <w:r>
        <w:rPr>
          <w:rFonts w:hint="eastAsia"/>
        </w:rPr>
        <w:t>2</w:t>
      </w:r>
      <w:r>
        <w:rPr>
          <w:rFonts w:hint="eastAsia"/>
          <w:lang w:val="en-US" w:eastAsia="zh-CN"/>
        </w:rPr>
        <w:t xml:space="preserve"> 万福生科</w:t>
      </w:r>
      <w:bookmarkEnd w:id="23"/>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2009年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宋体" w:hAnsi="宋体" w:cs="宋体"/>
                <w:i w:val="0"/>
                <w:caps w:val="0"/>
                <w:color w:val="222222"/>
                <w:spacing w:val="0"/>
                <w:sz w:val="24"/>
                <w:szCs w:val="24"/>
                <w:shd w:val="clear" w:fill="FFFFFF"/>
                <w:lang w:val="en-US" w:eastAsia="zh-CN"/>
              </w:rPr>
              <w:t>万福生科股份有限公司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val="en-US" w:eastAsia="zh-CN"/>
              </w:rPr>
            </w:pPr>
            <w:r>
              <w:rPr>
                <w:rFonts w:hint="eastAsia" w:ascii="Times New Roman" w:eastAsia="宋体"/>
                <w:lang w:val="en-US" w:eastAsia="zh-CN"/>
              </w:rPr>
              <w:t>以水稻为原料，生产大米淀粉糖、大米蛋白粉、米糠油和食用米等系列产品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78" w:afterAutospacing="0" w:line="360" w:lineRule="atLeast"/>
              <w:ind w:left="0" w:right="0" w:firstLine="420"/>
            </w:pPr>
            <w:r>
              <w:tab/>
            </w:r>
            <w:r>
              <w:rPr>
                <w:rFonts w:hint="default" w:ascii="Arial" w:hAnsi="Arial" w:cs="Arial"/>
                <w:sz w:val="21"/>
                <w:szCs w:val="21"/>
              </w:rPr>
              <w:t>万福生科股份有限公司（简称：万福生科）坐落于</w:t>
            </w:r>
            <w:r>
              <w:rPr>
                <w:rFonts w:hint="default" w:ascii="Arial" w:hAnsi="Arial" w:cs="Arial"/>
                <w:color w:val="3366CC"/>
                <w:sz w:val="21"/>
                <w:szCs w:val="21"/>
                <w:u w:val="none"/>
              </w:rPr>
              <w:fldChar w:fldCharType="begin"/>
            </w:r>
            <w:r>
              <w:rPr>
                <w:rFonts w:hint="default" w:ascii="Arial" w:hAnsi="Arial" w:cs="Arial"/>
                <w:color w:val="3366CC"/>
                <w:sz w:val="21"/>
                <w:szCs w:val="21"/>
                <w:u w:val="none"/>
              </w:rPr>
              <w:instrText xml:space="preserve"> HYPERLINK "https://baike.sogou.com/lemma/ShowInnerLink.htm?lemmaId=78333&amp;ss_c=ssc.citiao.link" \t "https://baike.sogou.com/_blank" </w:instrText>
            </w:r>
            <w:r>
              <w:rPr>
                <w:rFonts w:hint="default" w:ascii="Arial" w:hAnsi="Arial" w:cs="Arial"/>
                <w:color w:val="3366CC"/>
                <w:sz w:val="21"/>
                <w:szCs w:val="21"/>
                <w:u w:val="none"/>
              </w:rPr>
              <w:fldChar w:fldCharType="separate"/>
            </w:r>
            <w:r>
              <w:rPr>
                <w:rStyle w:val="17"/>
                <w:rFonts w:hint="default" w:ascii="Arial" w:hAnsi="Arial" w:cs="Arial"/>
                <w:color w:val="3366CC"/>
                <w:sz w:val="21"/>
                <w:szCs w:val="21"/>
                <w:u w:val="none"/>
              </w:rPr>
              <w:t>湖南省常德市</w:t>
            </w:r>
            <w:r>
              <w:rPr>
                <w:rFonts w:hint="default" w:ascii="Arial" w:hAnsi="Arial" w:cs="Arial"/>
                <w:color w:val="3366CC"/>
                <w:sz w:val="21"/>
                <w:szCs w:val="21"/>
                <w:u w:val="none"/>
              </w:rPr>
              <w:fldChar w:fldCharType="end"/>
            </w:r>
            <w:r>
              <w:rPr>
                <w:rFonts w:hint="default" w:ascii="Arial" w:hAnsi="Arial" w:cs="Arial"/>
                <w:sz w:val="21"/>
                <w:szCs w:val="21"/>
              </w:rPr>
              <w:t>，万福生科前身为成立于2003年的湖南省桃源县湘鲁万福有限责任公司。</w:t>
            </w:r>
            <w:r>
              <w:rPr>
                <w:rFonts w:hint="eastAsia" w:ascii="Arial" w:hAnsi="Arial" w:eastAsia="宋体" w:cs="Arial"/>
                <w:kern w:val="0"/>
                <w:sz w:val="21"/>
                <w:szCs w:val="21"/>
                <w:lang w:val="en-US" w:eastAsia="zh-CN" w:bidi="ar-SA"/>
              </w:rPr>
              <w:t>万福生科主要产品的原料是稻谷，主要产品有淀粉糖系列产品、优质稻米油、饲料等，旗下品牌“陬福”被认定为“中国驰名商标”</w:t>
            </w:r>
            <w:r>
              <w:rPr>
                <w:rFonts w:hint="eastAsia" w:ascii="Arial" w:hAnsi="Arial" w:cs="Arial"/>
                <w:kern w:val="0"/>
                <w:sz w:val="21"/>
                <w:szCs w:val="21"/>
                <w:lang w:val="en-US" w:eastAsia="zh-CN" w:bidi="ar-SA"/>
              </w:rPr>
              <w:t>。</w:t>
            </w:r>
            <w:r>
              <w:rPr>
                <w:rFonts w:hint="default" w:ascii="Arial" w:hAnsi="Arial" w:cs="Arial"/>
                <w:sz w:val="21"/>
                <w:szCs w:val="21"/>
              </w:rPr>
              <w:t>2006年3月，公司更名为湖南湘鲁万福农业开发有限公司。2009年10月7日，经</w:t>
            </w:r>
            <w:r>
              <w:rPr>
                <w:rFonts w:hint="default" w:ascii="Arial" w:hAnsi="Arial" w:cs="Arial"/>
                <w:color w:val="3366CC"/>
                <w:sz w:val="21"/>
                <w:szCs w:val="21"/>
                <w:u w:val="none"/>
              </w:rPr>
              <w:fldChar w:fldCharType="begin"/>
            </w:r>
            <w:r>
              <w:rPr>
                <w:rFonts w:hint="default" w:ascii="Arial" w:hAnsi="Arial" w:cs="Arial"/>
                <w:color w:val="3366CC"/>
                <w:sz w:val="21"/>
                <w:szCs w:val="21"/>
                <w:u w:val="none"/>
              </w:rPr>
              <w:instrText xml:space="preserve"> HYPERLINK "https://baike.sogou.com/lemma/ShowInnerLink.htm?lemmaId=5662599&amp;ss_c=ssc.citiao.link" \t "https://baike.sogou.com/_blank" </w:instrText>
            </w:r>
            <w:r>
              <w:rPr>
                <w:rFonts w:hint="default" w:ascii="Arial" w:hAnsi="Arial" w:cs="Arial"/>
                <w:color w:val="3366CC"/>
                <w:sz w:val="21"/>
                <w:szCs w:val="21"/>
                <w:u w:val="none"/>
              </w:rPr>
              <w:fldChar w:fldCharType="separate"/>
            </w:r>
            <w:r>
              <w:rPr>
                <w:rStyle w:val="17"/>
                <w:rFonts w:hint="default" w:ascii="Arial" w:hAnsi="Arial" w:cs="Arial"/>
                <w:color w:val="3366CC"/>
                <w:sz w:val="21"/>
                <w:szCs w:val="21"/>
                <w:u w:val="none"/>
              </w:rPr>
              <w:t>股东会</w:t>
            </w:r>
            <w:r>
              <w:rPr>
                <w:rFonts w:hint="default" w:ascii="Arial" w:hAnsi="Arial" w:cs="Arial"/>
                <w:color w:val="3366CC"/>
                <w:sz w:val="21"/>
                <w:szCs w:val="21"/>
                <w:u w:val="none"/>
              </w:rPr>
              <w:fldChar w:fldCharType="end"/>
            </w:r>
            <w:r>
              <w:rPr>
                <w:rFonts w:hint="default" w:ascii="Arial" w:hAnsi="Arial" w:cs="Arial"/>
                <w:sz w:val="21"/>
                <w:szCs w:val="21"/>
              </w:rPr>
              <w:t>审议通过，整体变更设立万福生科湖南农业开发股份有限公司，并于2009年10月28日在湖南省常德市工商行政管理局登记注册。截至目前，万福生科注册资本为5,000万元。</w:t>
            </w:r>
          </w:p>
          <w:p>
            <w:pPr>
              <w:rPr>
                <w:b/>
              </w:rPr>
            </w:pPr>
            <w:r>
              <w:rPr>
                <w:rFonts w:hint="eastAsia"/>
                <w:b/>
              </w:rPr>
              <w:t>【案情背景</w:t>
            </w:r>
            <w:r>
              <w:rPr>
                <w:b/>
              </w:rPr>
              <w:t>】</w:t>
            </w:r>
          </w:p>
          <w:p>
            <w:pPr>
              <w:rPr>
                <w:rFonts w:hint="default" w:ascii="Arial" w:hAnsi="Arial" w:eastAsia="宋体" w:cs="Arial"/>
                <w:kern w:val="0"/>
                <w:sz w:val="21"/>
                <w:szCs w:val="21"/>
                <w:lang w:val="en-US" w:eastAsia="zh-CN" w:bidi="ar-SA"/>
              </w:rPr>
            </w:pPr>
            <w:r>
              <w:rPr>
                <w:b/>
              </w:rPr>
              <w:tab/>
            </w:r>
            <w:r>
              <w:rPr>
                <w:rFonts w:hint="eastAsia" w:ascii="Arial" w:hAnsi="Arial" w:eastAsia="宋体" w:cs="Arial"/>
                <w:kern w:val="0"/>
                <w:sz w:val="21"/>
                <w:szCs w:val="21"/>
                <w:lang w:val="en-US" w:eastAsia="zh-CN" w:bidi="ar-SA"/>
              </w:rPr>
              <w:t>2012 年 9 月初，湖南省证监局对万福生科进行例行检查发现三本不同的账本，数天后证监会对万福生科进行立案调查。2012 年 10 月 26 日，万福生科发布更正公告，承认在 2012 年半年报中虚增营业收入、营业成本及净利润。 2013 年 3 月 2 日，万福生科发布自查公告，承认在 2008-2011 年累计虚增收入约 7.4 亿元， 虚增营业利润约 1.8 亿元， 虚增净利润 1.6 亿元左右。</w:t>
            </w:r>
          </w:p>
          <w:p>
            <w:pPr>
              <w:rPr>
                <w:rFonts w:hint="eastAsia" w:ascii="Arial" w:hAnsi="Arial" w:eastAsia="宋体" w:cs="Arial"/>
                <w:kern w:val="0"/>
                <w:sz w:val="21"/>
                <w:szCs w:val="21"/>
                <w:lang w:val="en-US" w:eastAsia="zh-CN" w:bidi="ar-SA"/>
              </w:rPr>
            </w:pPr>
            <w:r>
              <w:rPr>
                <w:rFonts w:hint="eastAsia" w:ascii="Arial" w:hAnsi="Arial" w:eastAsia="宋体" w:cs="Arial"/>
                <w:kern w:val="0"/>
                <w:sz w:val="21"/>
                <w:szCs w:val="21"/>
                <w:lang w:val="en-US" w:eastAsia="zh-CN" w:bidi="ar-SA"/>
              </w:rPr>
              <w:t>　　</w:t>
            </w:r>
          </w:p>
          <w:p>
            <w:pPr>
              <w:rPr>
                <w:rFonts w:hint="default" w:ascii="Arial" w:hAnsi="Arial" w:eastAsia="宋体" w:cs="Arial"/>
                <w:kern w:val="0"/>
                <w:sz w:val="21"/>
                <w:szCs w:val="21"/>
                <w:lang w:val="en-US" w:eastAsia="zh-CN" w:bidi="ar-SA"/>
              </w:rPr>
            </w:pPr>
          </w:p>
          <w:p>
            <w:pPr>
              <w:rPr>
                <w:b/>
              </w:rPr>
            </w:pPr>
          </w:p>
          <w:p>
            <w:pPr>
              <w:rPr>
                <w:b/>
              </w:rPr>
            </w:pPr>
          </w:p>
          <w:p>
            <w:pPr>
              <w:rPr>
                <w:b/>
              </w:rPr>
            </w:pPr>
            <w:r>
              <w:rPr>
                <w:rFonts w:hint="eastAsia"/>
                <w:b/>
              </w:rPr>
              <w:t>【案情描述】</w:t>
            </w:r>
          </w:p>
          <w:p>
            <w:pPr>
              <w:widowControl w:val="0"/>
              <w:numPr>
                <w:ilvl w:val="0"/>
                <w:numId w:val="0"/>
              </w:numPr>
              <w:ind w:firstLine="422" w:firstLineChars="200"/>
              <w:jc w:val="both"/>
              <w:rPr>
                <w:rFonts w:hint="default" w:ascii="Arial" w:hAnsi="Arial" w:cs="Arial"/>
                <w:b/>
                <w:bCs/>
                <w:i w:val="0"/>
                <w:iCs w:val="0"/>
                <w:caps w:val="0"/>
                <w:color w:val="333333"/>
                <w:spacing w:val="0"/>
                <w:sz w:val="21"/>
                <w:szCs w:val="21"/>
                <w:shd w:val="clear" w:fill="FFFFFF"/>
                <w:lang w:val="en-US" w:eastAsia="zh-CN"/>
              </w:rPr>
            </w:pPr>
            <w:r>
              <w:rPr>
                <w:rFonts w:hint="eastAsia" w:ascii="Arial" w:hAnsi="Arial" w:cs="Arial"/>
                <w:b/>
                <w:bCs/>
                <w:i w:val="0"/>
                <w:iCs w:val="0"/>
                <w:caps w:val="0"/>
                <w:color w:val="333333"/>
                <w:spacing w:val="0"/>
                <w:sz w:val="21"/>
                <w:szCs w:val="21"/>
                <w:shd w:val="clear" w:fill="FFFFFF"/>
                <w:lang w:val="en-US" w:eastAsia="zh-CN"/>
              </w:rPr>
              <w:t>一、虚构销售和虚增收入</w:t>
            </w:r>
          </w:p>
          <w:p>
            <w:pPr>
              <w:ind w:firstLine="420" w:firstLineChars="200"/>
              <w:rPr>
                <w:rFonts w:hint="eastAsia" w:ascii="Arial" w:hAnsi="Arial" w:eastAsia="宋体" w:cs="Arial"/>
                <w:kern w:val="0"/>
                <w:sz w:val="21"/>
                <w:szCs w:val="21"/>
                <w:lang w:val="en-US" w:eastAsia="zh-CN" w:bidi="ar-SA"/>
              </w:rPr>
            </w:pPr>
            <w:r>
              <w:rPr>
                <w:rFonts w:hint="eastAsia" w:ascii="Arial" w:hAnsi="Arial" w:eastAsia="宋体" w:cs="Arial"/>
                <w:kern w:val="0"/>
                <w:sz w:val="21"/>
                <w:szCs w:val="21"/>
                <w:lang w:val="en-US" w:eastAsia="zh-CN" w:bidi="ar-SA"/>
              </w:rPr>
              <w:t>万福生科通过虚构销售来虚增营业收入，其大客户都是虚构的。 从 2012 年报看，万福生科仅半年就从湘盈粮油经销部获得销售收入 16.94 万元，占到公司全部经营收入的 20.85%,而亿德粮油使万福生科获得了 6,340 万元销售收入，占公司营业收入的 7.7%. 根据调查，亿德粮油根本不存在，万福生科和湘盈粮油也根本没有合作。 根据 2012 年上半年年报， 万福生科合并成立佛山市南海亿德粮油贸易行，合并后销售总金额 24,648,519.65 元，成为第一大客户，占 2012 年销售总额的 8.33%. 据调查，佛山市南海亿德粮油贸易行的实际控制人黄德义与万福生科控股股东有亲属关系。 可见万福生科虚构销售对象，以达到增加收入的目的。</w:t>
            </w:r>
          </w:p>
          <w:p>
            <w:pPr>
              <w:ind w:firstLine="420" w:firstLineChars="200"/>
              <w:rPr>
                <w:rFonts w:hint="eastAsia" w:ascii="Arial" w:hAnsi="Arial" w:eastAsia="宋体" w:cs="Arial"/>
                <w:kern w:val="0"/>
                <w:sz w:val="21"/>
                <w:szCs w:val="21"/>
                <w:lang w:val="en-US" w:eastAsia="zh-CN" w:bidi="ar-SA"/>
              </w:rPr>
            </w:pPr>
          </w:p>
          <w:p>
            <w:pPr>
              <w:widowControl w:val="0"/>
              <w:numPr>
                <w:ilvl w:val="0"/>
                <w:numId w:val="0"/>
              </w:numPr>
              <w:ind w:firstLine="422" w:firstLineChars="200"/>
              <w:jc w:val="both"/>
              <w:rPr>
                <w:rFonts w:hint="eastAsia" w:ascii="Arial" w:hAnsi="Arial" w:cs="Arial"/>
                <w:b/>
                <w:bCs/>
                <w:i w:val="0"/>
                <w:iCs w:val="0"/>
                <w:caps w:val="0"/>
                <w:color w:val="333333"/>
                <w:spacing w:val="0"/>
                <w:sz w:val="21"/>
                <w:szCs w:val="21"/>
                <w:shd w:val="clear" w:fill="FFFFFF"/>
                <w:lang w:val="en-US" w:eastAsia="zh-CN"/>
              </w:rPr>
            </w:pPr>
            <w:r>
              <w:rPr>
                <w:rFonts w:hint="eastAsia" w:ascii="Arial" w:hAnsi="Arial" w:cs="Arial"/>
                <w:b/>
                <w:bCs/>
                <w:i w:val="0"/>
                <w:iCs w:val="0"/>
                <w:caps w:val="0"/>
                <w:color w:val="333333"/>
                <w:spacing w:val="0"/>
                <w:sz w:val="21"/>
                <w:szCs w:val="21"/>
                <w:shd w:val="clear" w:fill="FFFFFF"/>
                <w:lang w:val="en-US" w:eastAsia="zh-CN"/>
              </w:rPr>
              <w:t>二、虚增在建工程</w:t>
            </w:r>
          </w:p>
          <w:p>
            <w:pPr>
              <w:ind w:firstLine="420" w:firstLineChars="200"/>
              <w:rPr>
                <w:rFonts w:hint="eastAsia" w:ascii="Arial" w:hAnsi="Arial" w:eastAsia="宋体" w:cs="Arial"/>
                <w:kern w:val="0"/>
                <w:sz w:val="21"/>
                <w:szCs w:val="21"/>
                <w:lang w:val="en-US" w:eastAsia="zh-CN" w:bidi="ar-SA"/>
              </w:rPr>
            </w:pPr>
            <w:r>
              <w:rPr>
                <w:rFonts w:hint="eastAsia" w:ascii="Arial" w:hAnsi="Arial" w:eastAsia="宋体" w:cs="Arial"/>
                <w:kern w:val="0"/>
                <w:sz w:val="21"/>
                <w:szCs w:val="21"/>
                <w:lang w:val="en-US" w:eastAsia="zh-CN" w:bidi="ar-SA"/>
              </w:rPr>
              <w:t>对比万福生科 2011 年度报告、2012 年上半年报告以及 2012 年年度报告中在建工程重大项目有许多自相矛盾的陈述，具体有以下两点：（1）2012 年与 2011 年相比，工程的投入资金在不断增加，但工程进度不增反降。如表 1 所示，污水处理工程投入资金增加了 4000 万元，但工程进度仍然为 50%.（2）工程资金使用说明与年报中金额不符。 稻米精深加工生产线技改项目在 2011 年年报和 2012 年半年报中均未提及，根据 2012 年年报，2012 年投入金额很大，为 6,973 万元。但是在《2012 年募集资金存放与使用情况的专项报告》中提到 2012 年对循环经济型稻米清深加工生产线技改项目投资为 11,605 万元。 可见，万福生科的几次公开资料关于在建工程资金投入的数据不一致。</w:t>
            </w:r>
          </w:p>
          <w:p>
            <w:pPr>
              <w:ind w:firstLine="420" w:firstLineChars="200"/>
              <w:rPr>
                <w:rFonts w:hint="eastAsia" w:ascii="Arial" w:hAnsi="Arial" w:eastAsia="宋体" w:cs="Arial"/>
                <w:kern w:val="0"/>
                <w:sz w:val="21"/>
                <w:szCs w:val="21"/>
                <w:lang w:val="en-US" w:eastAsia="zh-CN" w:bidi="ar-SA"/>
              </w:rPr>
            </w:pPr>
          </w:p>
          <w:p>
            <w:pPr>
              <w:widowControl w:val="0"/>
              <w:numPr>
                <w:ilvl w:val="0"/>
                <w:numId w:val="0"/>
              </w:numPr>
              <w:ind w:firstLine="422" w:firstLineChars="200"/>
              <w:jc w:val="both"/>
              <w:rPr>
                <w:rFonts w:hint="eastAsia" w:ascii="Arial" w:hAnsi="Arial" w:cs="Arial"/>
                <w:b/>
                <w:bCs/>
                <w:i w:val="0"/>
                <w:iCs w:val="0"/>
                <w:caps w:val="0"/>
                <w:color w:val="333333"/>
                <w:spacing w:val="0"/>
                <w:sz w:val="21"/>
                <w:szCs w:val="21"/>
                <w:shd w:val="clear" w:fill="FFFFFF"/>
                <w:lang w:val="en-US" w:eastAsia="zh-CN"/>
              </w:rPr>
            </w:pPr>
            <w:r>
              <w:rPr>
                <w:rFonts w:hint="eastAsia" w:ascii="Arial" w:hAnsi="Arial" w:cs="Arial"/>
                <w:b/>
                <w:bCs/>
                <w:i w:val="0"/>
                <w:iCs w:val="0"/>
                <w:caps w:val="0"/>
                <w:color w:val="333333"/>
                <w:spacing w:val="0"/>
                <w:sz w:val="21"/>
                <w:szCs w:val="21"/>
                <w:shd w:val="clear" w:fill="FFFFFF"/>
                <w:lang w:val="en-US" w:eastAsia="zh-CN"/>
              </w:rPr>
              <w:t>三、 虚增预付账款</w:t>
            </w:r>
          </w:p>
          <w:p>
            <w:pPr>
              <w:ind w:firstLine="420" w:firstLineChars="200"/>
              <w:rPr>
                <w:rFonts w:hint="eastAsia" w:ascii="Arial" w:hAnsi="Arial" w:eastAsia="宋体" w:cs="Arial"/>
                <w:kern w:val="0"/>
                <w:sz w:val="21"/>
                <w:szCs w:val="21"/>
                <w:lang w:val="en-US" w:eastAsia="zh-CN" w:bidi="ar-SA"/>
              </w:rPr>
            </w:pPr>
            <w:r>
              <w:rPr>
                <w:rFonts w:hint="eastAsia" w:ascii="Arial" w:hAnsi="Arial" w:eastAsia="宋体" w:cs="Arial"/>
                <w:kern w:val="0"/>
                <w:sz w:val="21"/>
                <w:szCs w:val="21"/>
                <w:lang w:val="en-US" w:eastAsia="zh-CN" w:bidi="ar-SA"/>
              </w:rPr>
              <w:t>上市前的 2011 年半年报显示预付账款只有 2000 多万元，上市后该科目余额迅速上升，2011 年末就达到 1.2 亿元，比上年末增长了 449.44%. 2012 年 8 月，万福生科的预付账款已经高达 2 亿多元。 根据招股说明书，2011 年底，万福生科的预付账款实际数仅为 1200 万元，远远低于披露的 1.2 亿。 事实上，万福生科以采购的名义，将公司自有资金作为预付款支付给农户和粮食经纪人。 从历史数据来看，万福生科日常的经营活动产生的预付账款不多，从 2011 年上半年末其预付账款仍不多来看，不存在导致预付账款猛增的季节性因素。 这些预付款只有少数用在真实发生的交易，多数资金汇入了由万福生科自己控制的银行账户， 随后将其账户内的采购预付款作为销售回款以现金支取方式转入公司账户中，实现了资金的“体外循环”. 通过虚增预付账款，万福生科的营业收入便迅速放大。</w:t>
            </w:r>
          </w:p>
          <w:p>
            <w:pPr>
              <w:ind w:firstLine="420" w:firstLineChars="200"/>
              <w:rPr>
                <w:rFonts w:hint="eastAsia" w:ascii="Arial" w:hAnsi="Arial" w:eastAsia="宋体" w:cs="Arial"/>
                <w:kern w:val="0"/>
                <w:sz w:val="21"/>
                <w:szCs w:val="21"/>
                <w:lang w:val="en-US" w:eastAsia="zh-CN" w:bidi="ar-SA"/>
              </w:rPr>
            </w:pPr>
          </w:p>
          <w:p>
            <w:pPr>
              <w:widowControl w:val="0"/>
              <w:numPr>
                <w:ilvl w:val="0"/>
                <w:numId w:val="0"/>
              </w:numPr>
              <w:ind w:firstLine="422" w:firstLineChars="200"/>
              <w:jc w:val="both"/>
              <w:rPr>
                <w:rFonts w:hint="eastAsia" w:ascii="Arial" w:hAnsi="Arial" w:cs="Arial"/>
                <w:b/>
                <w:bCs/>
                <w:i w:val="0"/>
                <w:iCs w:val="0"/>
                <w:caps w:val="0"/>
                <w:color w:val="333333"/>
                <w:spacing w:val="0"/>
                <w:sz w:val="21"/>
                <w:szCs w:val="21"/>
                <w:shd w:val="clear" w:fill="FFFFFF"/>
                <w:lang w:val="en-US" w:eastAsia="zh-CN"/>
              </w:rPr>
            </w:pPr>
            <w:r>
              <w:rPr>
                <w:rFonts w:hint="eastAsia" w:ascii="Arial" w:hAnsi="Arial" w:cs="Arial"/>
                <w:b/>
                <w:bCs/>
                <w:i w:val="0"/>
                <w:iCs w:val="0"/>
                <w:caps w:val="0"/>
                <w:color w:val="333333"/>
                <w:spacing w:val="0"/>
                <w:sz w:val="21"/>
                <w:szCs w:val="21"/>
                <w:shd w:val="clear" w:fill="FFFFFF"/>
                <w:lang w:val="en-US" w:eastAsia="zh-CN"/>
              </w:rPr>
              <w:t>四、虚增产量</w:t>
            </w:r>
          </w:p>
          <w:p>
            <w:pPr>
              <w:ind w:firstLine="420" w:firstLineChars="200"/>
              <w:rPr>
                <w:rFonts w:hint="eastAsia" w:ascii="Arial" w:hAnsi="Arial" w:eastAsia="宋体" w:cs="Arial"/>
                <w:kern w:val="0"/>
                <w:sz w:val="21"/>
                <w:szCs w:val="21"/>
                <w:lang w:val="en-US" w:eastAsia="zh-CN" w:bidi="ar-SA"/>
              </w:rPr>
            </w:pPr>
            <w:r>
              <w:rPr>
                <w:rFonts w:hint="eastAsia" w:ascii="Arial" w:hAnsi="Arial" w:eastAsia="宋体" w:cs="Arial"/>
                <w:kern w:val="0"/>
                <w:sz w:val="21"/>
                <w:szCs w:val="21"/>
                <w:lang w:val="en-US" w:eastAsia="zh-CN" w:bidi="ar-SA"/>
              </w:rPr>
              <w:t>据万福生科招股书披露，2008-2010 年，通过各种渠道采购的稻谷数量为 151,434 吨、167,678 吨、169,447 吨，假设将这些稻谷全部加工不留存货，则万福生科可生产碎米分别为 10,810 吨、11,977 吨、12,103 吨。 每吨碎米可加工出麦芽糖浆 900 公斤，蛋白粉 120 公斤，由此可推算出公司 2008-2010 年麦芽糖浆和蛋白粉的实际产量。 由表 2 可见，万福生科 2008-2010 年麦芽糖浆比其现有加工技术的实际产量每年都高出 3-4 倍，蛋白粉产量比实际产量高出 4-6 倍。</w:t>
            </w:r>
          </w:p>
          <w:p>
            <w:pPr>
              <w:rPr>
                <w:b/>
                <w:bCs/>
              </w:rPr>
            </w:pP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pPr>
            <w:r>
              <w:rPr>
                <w:rFonts w:hint="eastAsia" w:ascii="Arial" w:hAnsi="Arial" w:eastAsia="宋体" w:cs="Arial"/>
                <w:kern w:val="0"/>
                <w:sz w:val="21"/>
                <w:szCs w:val="21"/>
                <w:lang w:val="en-US" w:eastAsia="zh-CN" w:bidi="ar-SA"/>
              </w:rPr>
              <w:t>2013 年 5 月 10 日，证监会就此案做出了通报，并对万福生科董事长兼总经理龚永福与财务经理覃学军给予责令整改、警告、罚款和终身证券市场禁入等处罚决定，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ind w:firstLine="420" w:firstLineChars="200"/>
            </w:pPr>
            <w:r>
              <w:rPr>
                <w:rFonts w:hint="eastAsia" w:ascii="Arial" w:hAnsi="Arial" w:eastAsia="宋体" w:cs="Arial"/>
                <w:kern w:val="0"/>
                <w:sz w:val="21"/>
                <w:szCs w:val="21"/>
                <w:lang w:val="en-US" w:eastAsia="zh-CN" w:bidi="ar-SA"/>
              </w:rPr>
              <w:t>中磊会计师事务所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widowControl w:val="0"/>
              <w:numPr>
                <w:ilvl w:val="0"/>
                <w:numId w:val="0"/>
              </w:numPr>
              <w:ind w:firstLine="422" w:firstLineChars="200"/>
              <w:jc w:val="both"/>
              <w:rPr>
                <w:rFonts w:hint="eastAsia" w:ascii="Arial" w:hAnsi="Arial" w:cs="Arial"/>
                <w:b/>
                <w:bCs/>
                <w:i w:val="0"/>
                <w:iCs w:val="0"/>
                <w:caps w:val="0"/>
                <w:color w:val="333333"/>
                <w:spacing w:val="0"/>
                <w:sz w:val="21"/>
                <w:szCs w:val="21"/>
                <w:shd w:val="clear" w:fill="FFFFFF"/>
                <w:lang w:val="en-US" w:eastAsia="zh-CN"/>
              </w:rPr>
            </w:pPr>
            <w:r>
              <w:rPr>
                <w:rFonts w:hint="eastAsia" w:ascii="Arial" w:hAnsi="Arial" w:cs="Arial"/>
                <w:b/>
                <w:bCs/>
                <w:i w:val="0"/>
                <w:iCs w:val="0"/>
                <w:caps w:val="0"/>
                <w:color w:val="333333"/>
                <w:spacing w:val="0"/>
                <w:sz w:val="21"/>
                <w:szCs w:val="21"/>
                <w:shd w:val="clear" w:fill="FFFFFF"/>
                <w:lang w:val="en-US" w:eastAsia="zh-CN"/>
              </w:rPr>
              <w:t>一、未实施风险评估程序</w:t>
            </w:r>
          </w:p>
          <w:p>
            <w:pPr>
              <w:rPr>
                <w:rFonts w:hint="eastAsia"/>
                <w:lang w:val="en-US" w:eastAsia="zh-CN"/>
              </w:rPr>
            </w:pPr>
            <w:r>
              <w:rPr>
                <w:rFonts w:hint="eastAsia" w:ascii="Times New Roman" w:eastAsia="宋体"/>
                <w:lang w:val="en-US" w:eastAsia="zh-CN"/>
              </w:rPr>
              <w:t>　　中磊会计师事务所未充分了解被审计单位及其环境以评估重大错报风险。 风险导向审计中，了解被审计单位及其环境是必要程序。 中磊会计师事务所没有全面了解万福生科的基本情况及其所处行业动向，未实施风险评估程序，没有识别其重大错报风险。 万福生科所处的稻米加工行业早在 2009 年就开始发生重大变化， 全国大米加工企业由于原料供应不足爆发了大面积停产危机， 但是在招股书中，万福生科对 2012 年上半年由于断粮危机造成的停产只字未提，对此，中磊事务所没有充分关注万福生科所处的行业的重大变化，识破其原材料供应谎言，以识别和评估重大错报风险。</w:t>
            </w:r>
          </w:p>
          <w:p>
            <w:pPr>
              <w:rPr>
                <w:rFonts w:hint="eastAsia"/>
                <w:lang w:val="en-US" w:eastAsia="zh-CN"/>
              </w:rPr>
            </w:pPr>
          </w:p>
          <w:p>
            <w:pPr>
              <w:rPr>
                <w:rFonts w:hint="eastAsia"/>
                <w:lang w:val="en-US" w:eastAsia="zh-CN"/>
              </w:rPr>
            </w:pPr>
            <w:r>
              <w:rPr>
                <w:rFonts w:hint="eastAsia" w:ascii="Times New Roman" w:eastAsia="宋体"/>
                <w:lang w:val="en-US" w:eastAsia="zh-CN"/>
              </w:rPr>
              <w:t>　　二、</w:t>
            </w:r>
            <w:r>
              <w:rPr>
                <w:rFonts w:hint="eastAsia" w:ascii="Arial" w:hAnsi="Arial" w:cs="Arial"/>
                <w:b/>
                <w:bCs/>
                <w:i w:val="0"/>
                <w:iCs w:val="0"/>
                <w:caps w:val="0"/>
                <w:color w:val="333333"/>
                <w:spacing w:val="0"/>
                <w:sz w:val="21"/>
                <w:szCs w:val="21"/>
                <w:shd w:val="clear" w:fill="FFFFFF"/>
                <w:lang w:val="en-US" w:eastAsia="zh-CN"/>
              </w:rPr>
              <w:t>未有效函证往来款项</w:t>
            </w:r>
          </w:p>
          <w:p>
            <w:pPr>
              <w:rPr>
                <w:rFonts w:hint="eastAsia"/>
                <w:lang w:val="en-US" w:eastAsia="zh-CN"/>
              </w:rPr>
            </w:pPr>
            <w:r>
              <w:rPr>
                <w:rFonts w:hint="eastAsia" w:ascii="Times New Roman" w:eastAsia="宋体"/>
                <w:lang w:val="en-US" w:eastAsia="zh-CN"/>
              </w:rPr>
              <w:t>　　函证是获取审计证据和辨识往来款项的重要方法。 在此案件中，2011 年末，万福生科的预付账款比上年末增长了 450%.但是中磊事务所却未有效函证往来款项。面对预付账款的大幅增长，中磊会计师事务所应确定低的重要性水平，选择适当的方式就账户余额及其组成部分，并对重大交易或重要合同的细节进行函证方式，谨慎分析和评价结果，那么万福生科虚增的预付账款就会无立足之地。</w:t>
            </w:r>
          </w:p>
          <w:p>
            <w:pPr>
              <w:rPr>
                <w:rFonts w:hint="eastAsia"/>
                <w:lang w:val="en-US" w:eastAsia="zh-CN"/>
              </w:rPr>
            </w:pPr>
          </w:p>
          <w:p>
            <w:pPr>
              <w:rPr>
                <w:rFonts w:hint="eastAsia"/>
                <w:lang w:val="en-US" w:eastAsia="zh-CN"/>
              </w:rPr>
            </w:pPr>
            <w:r>
              <w:rPr>
                <w:rFonts w:hint="eastAsia" w:ascii="Times New Roman" w:eastAsia="宋体"/>
                <w:lang w:val="en-US" w:eastAsia="zh-CN"/>
              </w:rPr>
              <w:t>　　三、</w:t>
            </w:r>
            <w:r>
              <w:rPr>
                <w:rFonts w:hint="eastAsia" w:ascii="Arial" w:hAnsi="Arial" w:cs="Arial"/>
                <w:b/>
                <w:bCs/>
                <w:i w:val="0"/>
                <w:iCs w:val="0"/>
                <w:caps w:val="0"/>
                <w:color w:val="333333"/>
                <w:spacing w:val="0"/>
                <w:sz w:val="21"/>
                <w:szCs w:val="21"/>
                <w:shd w:val="clear" w:fill="FFFFFF"/>
                <w:lang w:val="en-US" w:eastAsia="zh-CN"/>
              </w:rPr>
              <w:t>未全面执行分析程序</w:t>
            </w:r>
          </w:p>
          <w:p>
            <w:pPr>
              <w:rPr>
                <w:rFonts w:hint="default" w:eastAsia="宋体"/>
                <w:lang w:val="en-US" w:eastAsia="zh-CN"/>
              </w:rPr>
            </w:pPr>
            <w:r>
              <w:rPr>
                <w:rFonts w:hint="eastAsia" w:ascii="Times New Roman" w:eastAsia="宋体"/>
                <w:lang w:val="en-US" w:eastAsia="zh-CN"/>
              </w:rPr>
              <w:t>　　分析程序是发现财务报表的异常变化的有效手段，应用于风险评估程序和实质性程序。 中磊会计师事务所如果执行分析程序是易于识破万福生科虚构利润的把戏。 如将其销售毛利率与同行业公司相比较， 2008 - 2010 年，万福生科淀粉糖毛利率分别高达 27.7%、29.39%、28.13%,而生产同类产品的西王糖业、鲁州生物的同期毛利率却始终处于 10%左右；又如与其主要竞争对手江西恒天实业有限公司相比，在其核心产品、营运能力、资本结构皆远不如江西恒天的情形下，万福生科实现净利润是其竞争对手三倍。 从上述分析程序便可看出万福生科虚增利润的财务操纵行为，但中磊会计师事务所却未执行有效的分析程序识别重大错报导致审计失败。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ind w:firstLine="420" w:firstLineChars="200"/>
            </w:pPr>
            <w:r>
              <w:rPr>
                <w:rFonts w:hint="eastAsia" w:ascii="Arial" w:hAnsi="Arial" w:eastAsia="宋体" w:cs="Arial"/>
                <w:kern w:val="0"/>
                <w:sz w:val="21"/>
                <w:szCs w:val="21"/>
                <w:lang w:val="en-US" w:eastAsia="zh-CN" w:bidi="ar-SA"/>
              </w:rPr>
              <w:t>2013 年 5 月 10 日，对中磊会计师事务所处以“没收业务收入 138 万元，并处以两倍的罚款，撤销其证券服务业务许可”的处罚。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ind w:firstLine="420" w:firstLineChars="200"/>
              <w:rPr>
                <w:rStyle w:val="18"/>
                <w:rFonts w:hint="default"/>
                <w:i w:val="0"/>
                <w:iCs w:val="0"/>
                <w:color w:val="auto"/>
              </w:rPr>
            </w:pPr>
            <w:r>
              <w:rPr>
                <w:rStyle w:val="18"/>
                <w:rFonts w:hint="eastAsia"/>
                <w:i w:val="0"/>
                <w:iCs w:val="0"/>
                <w:color w:val="auto"/>
              </w:rPr>
              <w:t>证监会对万福生科案开出的严厉罚单，对中磊会计师事务所撤销其证券服务业务许可，证监会的“一纸罚书”并不是万福生科案的结局，反而正是一个反思会计师事务所审计失败的开始。 “金稻谷霉变”并非一蹴而就，而是企业、证监会、注册会计师三方共同催化的结果。</w:t>
            </w:r>
          </w:p>
          <w:p>
            <w:pPr>
              <w:tabs>
                <w:tab w:val="left" w:pos="2160"/>
              </w:tabs>
              <w:rPr>
                <w:rStyle w:val="18"/>
                <w:rFonts w:hint="eastAsia"/>
                <w:i w:val="0"/>
                <w:iCs w:val="0"/>
                <w:color w:val="auto"/>
              </w:rPr>
            </w:pPr>
            <w:r>
              <w:rPr>
                <w:rStyle w:val="18"/>
                <w:rFonts w:hint="eastAsia"/>
                <w:i w:val="0"/>
                <w:iCs w:val="0"/>
                <w:color w:val="auto"/>
              </w:rPr>
              <w:t>　　</w:t>
            </w:r>
            <w:r>
              <w:rPr>
                <w:rFonts w:hint="eastAsia" w:ascii="Times New Roman" w:eastAsia="宋体"/>
                <w:lang w:val="en-US" w:eastAsia="zh-CN"/>
              </w:rPr>
              <w:t>1. 公司应建立完善的内部控制制度</w:t>
            </w:r>
          </w:p>
          <w:p>
            <w:pPr>
              <w:tabs>
                <w:tab w:val="left" w:pos="2160"/>
              </w:tabs>
              <w:ind w:firstLine="420"/>
              <w:rPr>
                <w:rStyle w:val="18"/>
                <w:rFonts w:hint="eastAsia"/>
                <w:i w:val="0"/>
                <w:iCs w:val="0"/>
                <w:color w:val="auto"/>
              </w:rPr>
            </w:pPr>
            <w:r>
              <w:rPr>
                <w:rStyle w:val="18"/>
                <w:rFonts w:hint="eastAsia"/>
                <w:i w:val="0"/>
                <w:iCs w:val="0"/>
                <w:color w:val="auto"/>
              </w:rPr>
              <w:t>万福生科财务造假与其内控制度不健全有直接关系。 万福生科董事长龚永福与其妻子杨荣华并列公司第一大股东，为公司实际控制人，两人合计持有公司 59.98%的股份。 可见，独裁董事长用“土办法”管理公司，管理层凌驾于内部控制之上，缺乏监督机制和内控制度，极易造假。 因此，企业要建立健全完善内控制度，建立良好的控制环境，引进先进管理模式，良好的内部控制是财务报告的可靠性的保障，也是杜绝财务造假的重要保障。</w:t>
            </w:r>
          </w:p>
          <w:p>
            <w:pPr>
              <w:tabs>
                <w:tab w:val="left" w:pos="2160"/>
              </w:tabs>
              <w:ind w:firstLine="420"/>
              <w:rPr>
                <w:rStyle w:val="18"/>
                <w:rFonts w:hint="eastAsia"/>
                <w:i w:val="0"/>
                <w:iCs w:val="0"/>
                <w:color w:val="auto"/>
              </w:rPr>
            </w:pPr>
          </w:p>
          <w:p>
            <w:pPr>
              <w:tabs>
                <w:tab w:val="left" w:pos="2160"/>
              </w:tabs>
              <w:rPr>
                <w:rStyle w:val="18"/>
                <w:rFonts w:hint="eastAsia"/>
                <w:i w:val="0"/>
                <w:iCs w:val="0"/>
                <w:color w:val="auto"/>
              </w:rPr>
            </w:pPr>
            <w:r>
              <w:rPr>
                <w:rStyle w:val="18"/>
                <w:rFonts w:hint="eastAsia"/>
                <w:i w:val="0"/>
                <w:iCs w:val="0"/>
                <w:color w:val="auto"/>
              </w:rPr>
              <w:t>　　2</w:t>
            </w:r>
            <w:r>
              <w:rPr>
                <w:rStyle w:val="18"/>
                <w:rFonts w:hint="eastAsia"/>
                <w:i w:val="0"/>
                <w:iCs w:val="0"/>
                <w:color w:val="auto"/>
                <w:lang w:val="en-US" w:eastAsia="zh-CN"/>
              </w:rPr>
              <w:t>.</w:t>
            </w:r>
            <w:r>
              <w:rPr>
                <w:rStyle w:val="18"/>
                <w:rFonts w:hint="eastAsia"/>
                <w:i w:val="0"/>
                <w:iCs w:val="0"/>
                <w:color w:val="auto"/>
              </w:rPr>
              <w:t xml:space="preserve"> 政府应加强监管和违法处罚力度</w:t>
            </w:r>
          </w:p>
          <w:p>
            <w:pPr>
              <w:tabs>
                <w:tab w:val="left" w:pos="2160"/>
              </w:tabs>
              <w:rPr>
                <w:rStyle w:val="18"/>
                <w:rFonts w:hint="eastAsia"/>
                <w:i w:val="0"/>
                <w:iCs w:val="0"/>
                <w:color w:val="auto"/>
              </w:rPr>
            </w:pPr>
            <w:r>
              <w:rPr>
                <w:rStyle w:val="18"/>
                <w:rFonts w:hint="eastAsia"/>
                <w:i w:val="0"/>
                <w:iCs w:val="0"/>
                <w:color w:val="auto"/>
              </w:rPr>
              <w:t>　　在创业板三周年之际爆出万福生科“创业板造假第一股”的丑闻，暴露出政府对创业板公司监管漏洞。 万福生科是高科技产业，享受的免税补贴在逐年上升，如此轻松获得政策优惠说明高科技产业的考查和监督机制还没有完全建立，财务造假受惩低成本等都给万福生科财务舞弊提供了机会。 政府应建立健全创业板公司上市监管制度，整合监管资源，加大对创业板公司的监管力度，保证资本市场的稳定。 同时对为创业板公司审计的会计师事务所，政府应明确财政部门、证监会和注册会计师协会各部门之间的分工，对违规事务所加强法律和经济处罚，多管齐下遏制审计失败行为的发生。</w:t>
            </w:r>
          </w:p>
          <w:p>
            <w:pPr>
              <w:tabs>
                <w:tab w:val="left" w:pos="2160"/>
              </w:tabs>
              <w:rPr>
                <w:rStyle w:val="18"/>
                <w:rFonts w:hint="eastAsia"/>
                <w:i w:val="0"/>
                <w:iCs w:val="0"/>
                <w:color w:val="auto"/>
              </w:rPr>
            </w:pPr>
            <w:r>
              <w:rPr>
                <w:rStyle w:val="18"/>
                <w:rFonts w:hint="eastAsia"/>
                <w:i w:val="0"/>
                <w:iCs w:val="0"/>
                <w:color w:val="auto"/>
              </w:rPr>
              <w:t>　　3</w:t>
            </w:r>
            <w:r>
              <w:rPr>
                <w:rStyle w:val="18"/>
                <w:rFonts w:hint="eastAsia"/>
                <w:i w:val="0"/>
                <w:iCs w:val="0"/>
                <w:color w:val="auto"/>
                <w:lang w:val="en-US" w:eastAsia="zh-CN"/>
              </w:rPr>
              <w:t>.</w:t>
            </w:r>
            <w:r>
              <w:rPr>
                <w:rStyle w:val="18"/>
                <w:rFonts w:hint="eastAsia"/>
                <w:i w:val="0"/>
                <w:iCs w:val="0"/>
                <w:color w:val="auto"/>
              </w:rPr>
              <w:t xml:space="preserve"> 事务所提高审计质量</w:t>
            </w:r>
          </w:p>
          <w:p>
            <w:pPr>
              <w:tabs>
                <w:tab w:val="left" w:pos="2160"/>
              </w:tabs>
              <w:rPr>
                <w:rStyle w:val="18"/>
                <w:rFonts w:hint="eastAsia"/>
                <w:i w:val="0"/>
                <w:iCs w:val="0"/>
                <w:color w:val="auto"/>
              </w:rPr>
            </w:pPr>
            <w:r>
              <w:rPr>
                <w:rStyle w:val="18"/>
                <w:rFonts w:hint="eastAsia"/>
                <w:i w:val="0"/>
                <w:iCs w:val="0"/>
                <w:color w:val="auto"/>
              </w:rPr>
              <w:t>　　万福生科事件中得到的教训是深刻的，提高事务所的审计质量迫在眉睫。 首先，防范特定行业的风险，执行风险评估程序。 其次，执行分析性复核程序，根据上市公司的公开年报数据以及行业标准等分析其数据存在的逻辑矛盾。 再次，健全质量控制制度，会计师事务所应严格遵循审计准则的要求执行审计程序，增强审计人员的专业知识和业务能力，保证会计师事务所的审计质量。</w:t>
            </w:r>
          </w:p>
          <w:p>
            <w:pPr>
              <w:tabs>
                <w:tab w:val="left" w:pos="2160"/>
              </w:tabs>
              <w:rPr>
                <w:rStyle w:val="18"/>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val="en-US" w:eastAsia="zh-CN"/>
              </w:rPr>
            </w:pPr>
            <w:r>
              <w:rPr>
                <w:rFonts w:hint="eastAsia" w:ascii="Times New Roman" w:eastAsia="宋体"/>
                <w:lang w:val="en-US" w:eastAsia="zh-CN"/>
              </w:rPr>
              <w:t>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风险评估；分析程序；函证</w:t>
            </w:r>
          </w:p>
        </w:tc>
      </w:tr>
    </w:tbl>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pStyle w:val="2"/>
        <w:rPr>
          <w:rFonts w:hint="default" w:eastAsia="宋体"/>
          <w:lang w:val="en-US" w:eastAsia="zh-CN"/>
        </w:rPr>
      </w:pPr>
      <w:bookmarkStart w:id="24" w:name="_Toc16002"/>
      <w:r>
        <w:rPr>
          <w:rFonts w:hint="eastAsia"/>
          <w:lang w:val="en-US" w:eastAsia="zh-CN"/>
        </w:rPr>
        <w:t>1</w:t>
      </w:r>
      <w:r>
        <w:rPr>
          <w:rFonts w:hint="eastAsia"/>
        </w:rPr>
        <w:t>3</w:t>
      </w:r>
      <w:r>
        <w:rPr>
          <w:rFonts w:hint="eastAsia"/>
          <w:lang w:val="en-US" w:eastAsia="zh-CN"/>
        </w:rPr>
        <w:t xml:space="preserve"> 金亚科技</w:t>
      </w:r>
      <w:bookmarkEnd w:id="24"/>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rPr>
              <w:t>20</w:t>
            </w:r>
            <w:r>
              <w:rPr>
                <w:rFonts w:hint="eastAsia" w:ascii="Times New Roman" w:eastAsia="宋体"/>
                <w:lang w:val="en-US" w:eastAsia="zh-CN"/>
              </w:rPr>
              <w:t>11</w:t>
            </w:r>
            <w:r>
              <w:rPr>
                <w:rFonts w:hint="eastAsia"/>
              </w:rPr>
              <w:t>年</w:t>
            </w:r>
            <w:r>
              <w:rPr>
                <w:rFonts w:hint="eastAsia" w:ascii="Times New Roman" w:eastAsia="宋体"/>
                <w:lang w:val="en-US" w:eastAsia="zh-CN"/>
              </w:rPr>
              <w:t>~2015年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fldChar w:fldCharType="begin"/>
            </w:r>
            <w:r>
              <w:rPr>
                <w:rFonts w:hint="eastAsia"/>
              </w:rPr>
              <w:instrText xml:space="preserve"> HYPERLINK "https://baike.baidu.com/item/%E6%88%90%E9%83%BD%E9%87%91%E4%BA%9A%E7%A7%91%E6%8A%80%E8%82%A1%E4%BB%BD%E6%9C%89%E9%99%90%E5%85%AC%E5%8F%B8/1261690" \t "https://baike.baidu.com/item/_blank" </w:instrText>
            </w:r>
            <w:r>
              <w:rPr>
                <w:rFonts w:hint="eastAsia"/>
              </w:rPr>
              <w:fldChar w:fldCharType="separate"/>
            </w:r>
            <w:r>
              <w:rPr>
                <w:rFonts w:hint="default"/>
              </w:rPr>
              <w:t>成都金亚科技股份有限公司</w:t>
            </w:r>
            <w:r>
              <w:rPr>
                <w:rFonts w:hint="default"/>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default" w:ascii="宋体" w:hAnsi="宋体" w:eastAsia="宋体" w:cs="宋体"/>
                <w:i w:val="0"/>
                <w:caps w:val="0"/>
                <w:color w:val="222222"/>
                <w:spacing w:val="0"/>
                <w:sz w:val="24"/>
                <w:szCs w:val="24"/>
                <w:shd w:val="clear" w:fill="FFFFFF"/>
                <w:lang w:val="en-US" w:eastAsia="zh-CN"/>
              </w:rPr>
              <w:t>广电设备制造业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tabs>
                <w:tab w:val="left" w:pos="2160"/>
              </w:tabs>
              <w:ind w:firstLine="420" w:firstLineChars="200"/>
              <w:rPr>
                <w:rStyle w:val="18"/>
                <w:rFonts w:hint="default"/>
                <w:i w:val="0"/>
                <w:iCs w:val="0"/>
                <w:color w:val="auto"/>
                <w:lang w:val="en-US" w:eastAsia="zh-CN"/>
              </w:rPr>
            </w:pPr>
            <w:r>
              <w:rPr>
                <w:rStyle w:val="18"/>
                <w:rFonts w:hint="default"/>
                <w:i w:val="0"/>
                <w:iCs w:val="0"/>
                <w:color w:val="auto"/>
                <w:lang w:val="en-US" w:eastAsia="zh-CN"/>
              </w:rPr>
              <w:t>2000年，</w:t>
            </w:r>
            <w:r>
              <w:rPr>
                <w:rStyle w:val="18"/>
                <w:rFonts w:hint="default"/>
                <w:i w:val="0"/>
                <w:iCs w:val="0"/>
                <w:color w:val="auto"/>
                <w:lang w:val="en-US" w:eastAsia="zh-CN"/>
              </w:rPr>
              <w:fldChar w:fldCharType="begin"/>
            </w:r>
            <w:r>
              <w:rPr>
                <w:rStyle w:val="18"/>
                <w:rFonts w:hint="default"/>
                <w:i w:val="0"/>
                <w:iCs w:val="0"/>
                <w:color w:val="auto"/>
                <w:lang w:val="en-US" w:eastAsia="zh-CN"/>
              </w:rPr>
              <w:instrText xml:space="preserve"> HYPERLINK "https://baike.baidu.com/item/%E6%88%90%E9%83%BD%E9%87%91%E4%BA%9A%E7%A7%91%E6%8A%80%E8%82%A1%E4%BB%BD%E6%9C%89%E9%99%90%E5%85%AC%E5%8F%B8/1261690" \t "https://baike.baidu.com/item/_blank" </w:instrText>
            </w:r>
            <w:r>
              <w:rPr>
                <w:rStyle w:val="18"/>
                <w:rFonts w:hint="default"/>
                <w:i w:val="0"/>
                <w:iCs w:val="0"/>
                <w:color w:val="auto"/>
                <w:lang w:val="en-US" w:eastAsia="zh-CN"/>
              </w:rPr>
              <w:fldChar w:fldCharType="separate"/>
            </w:r>
            <w:r>
              <w:rPr>
                <w:rStyle w:val="18"/>
                <w:rFonts w:hint="default"/>
                <w:i w:val="0"/>
                <w:iCs w:val="0"/>
                <w:color w:val="auto"/>
              </w:rPr>
              <w:t>成都金亚科技股份有限公司</w:t>
            </w:r>
            <w:r>
              <w:rPr>
                <w:rStyle w:val="18"/>
                <w:rFonts w:hint="default"/>
                <w:i w:val="0"/>
                <w:iCs w:val="0"/>
                <w:color w:val="auto"/>
                <w:lang w:val="en-US" w:eastAsia="zh-CN"/>
              </w:rPr>
              <w:fldChar w:fldCharType="end"/>
            </w:r>
            <w:r>
              <w:rPr>
                <w:rStyle w:val="18"/>
                <w:rFonts w:hint="default"/>
                <w:i w:val="0"/>
                <w:iCs w:val="0"/>
                <w:color w:val="auto"/>
                <w:lang w:val="en-US" w:eastAsia="zh-CN"/>
              </w:rPr>
              <w:t>成立，现注册资金1亿1千万，占地50余亩。</w:t>
            </w:r>
          </w:p>
          <w:p>
            <w:pPr>
              <w:tabs>
                <w:tab w:val="left" w:pos="2160"/>
              </w:tabs>
              <w:ind w:firstLine="420" w:firstLineChars="200"/>
              <w:rPr>
                <w:rStyle w:val="18"/>
                <w:rFonts w:hint="eastAsia"/>
                <w:i w:val="0"/>
                <w:iCs w:val="0"/>
                <w:color w:val="auto"/>
              </w:rPr>
            </w:pPr>
            <w:r>
              <w:rPr>
                <w:rStyle w:val="18"/>
                <w:rFonts w:hint="default"/>
                <w:i w:val="0"/>
                <w:iCs w:val="0"/>
                <w:color w:val="auto"/>
                <w:lang w:val="en-US" w:eastAsia="zh-CN"/>
              </w:rPr>
              <w:t>2008年初，金亚科技机壳分厂正式成立，首批引进十余台伺服节能型注塑机及配套生产设备，大大提高了公司数字电视产品的效率。公司同时拥有4项软件著作权、2项外观设计专利及多项非专利技术，软件产品均为自主知识产权。</w:t>
            </w:r>
          </w:p>
          <w:p>
            <w:pPr>
              <w:rPr>
                <w:b/>
              </w:rPr>
            </w:pPr>
            <w:r>
              <w:rPr>
                <w:rFonts w:hint="eastAsia"/>
                <w:b/>
              </w:rPr>
              <w:t>【案情背景</w:t>
            </w:r>
            <w:r>
              <w:rPr>
                <w:b/>
              </w:rPr>
              <w:t>】</w:t>
            </w:r>
          </w:p>
          <w:p>
            <w:pPr>
              <w:rPr>
                <w:rStyle w:val="18"/>
                <w:rFonts w:hint="default"/>
                <w:i w:val="0"/>
                <w:iCs w:val="0"/>
                <w:color w:val="auto"/>
                <w:lang w:val="en-US" w:eastAsia="zh-CN"/>
              </w:rPr>
            </w:pPr>
            <w:r>
              <w:rPr>
                <w:b/>
              </w:rPr>
              <w:tab/>
            </w:r>
            <w:r>
              <w:rPr>
                <w:rStyle w:val="18"/>
                <w:rFonts w:hint="eastAsia"/>
                <w:i w:val="0"/>
                <w:iCs w:val="0"/>
                <w:color w:val="auto"/>
                <w:lang w:val="en-US" w:eastAsia="zh-CN"/>
              </w:rPr>
              <w:t>成都金亚科技股份有限公司（300028），前身为成都金亚高科技有限公司，成立于1999年11月18日，于2007年完成股份制改革，2009年10月30日在深圳證券交易所挂牌交易。2015年2月13日，金亚科技大手笔的收购刚成立不久的天象互动100%的股权，证监会怀疑其涉嫌重大利益输送并展开调查，由此查出金亚科技财务造假问题。2015年6月5日，金亚科技披露因涉嫌违法违规，证监会决定对公司及实际控制人周旭辉立案调查，截止目前调查仍在继续。2016年8月31日，公司发布公告承认以前年度存在重大会计差错，并披露2014年年报中虚增货币资金2.2亿，营业收入归属于当期的净利润调整前为55822.95万元，调整后为53097.44万元，当期虚增营业收入2725.51万元，净利润由2577.28万元调减为646.16万元，2013年年报中虚增营业收入4362.63万元。多项财务数据的确认不符合《企业会计准则》，导致出现重大会计差错。其造假金额远超过创业板造假第一股万福生科。</w:t>
            </w:r>
          </w:p>
          <w:p>
            <w:pPr>
              <w:rPr>
                <w:b/>
              </w:rPr>
            </w:pPr>
          </w:p>
          <w:p>
            <w:pPr>
              <w:rPr>
                <w:b/>
              </w:rPr>
            </w:pPr>
            <w:r>
              <w:rPr>
                <w:rFonts w:hint="eastAsia"/>
                <w:b/>
              </w:rPr>
              <w:t>【案情描述】</w:t>
            </w:r>
          </w:p>
          <w:p>
            <w:pPr>
              <w:rPr>
                <w:rFonts w:hint="eastAsia" w:eastAsia="宋体"/>
                <w:b/>
                <w:bCs/>
                <w:lang w:val="en-US" w:eastAsia="zh-CN"/>
              </w:rPr>
            </w:pPr>
            <w:r>
              <w:rPr>
                <w:b/>
                <w:bCs/>
              </w:rPr>
              <w:tab/>
            </w:r>
            <w:r>
              <w:rPr>
                <w:rFonts w:hint="eastAsia" w:ascii="Times New Roman" w:eastAsia="宋体"/>
                <w:b/>
                <w:bCs/>
                <w:lang w:val="en-US" w:eastAsia="zh-CN"/>
              </w:rPr>
              <w:t>一、虚增货币资金、营业收入，虚增净利润</w:t>
            </w:r>
          </w:p>
          <w:p>
            <w:pPr>
              <w:ind w:firstLine="420" w:firstLineChars="200"/>
              <w:rPr>
                <w:rStyle w:val="18"/>
                <w:rFonts w:hint="eastAsia"/>
                <w:i w:val="0"/>
                <w:iCs w:val="0"/>
                <w:color w:val="auto"/>
                <w:lang w:val="en-US" w:eastAsia="zh-CN"/>
              </w:rPr>
            </w:pPr>
            <w:r>
              <w:rPr>
                <w:rStyle w:val="18"/>
                <w:rFonts w:hint="eastAsia"/>
                <w:i w:val="0"/>
                <w:iCs w:val="0"/>
                <w:color w:val="auto"/>
                <w:lang w:val="en-US" w:eastAsia="zh-CN"/>
              </w:rPr>
              <w:t>金亚科技2011～2015年货币资金分别为47852.2万元，53328.8万元，57472.2万元；34523.4万元，21718.6万元，2013～2014年货币资金减少了66.5%，而同行业的亿通科技货币资金减少了18.9%，二者差距悬殊，调整后的2014年年报中，金亚科技货币资金为12428.9，调减了22094.5万元，货币资金下降幅度之大，可能在2014年以前就存在货币资金造假问题。2012～13年期间，公司的营业收入和营业成本分别增长了24.57%和42.20%，而净利润却下降了512%，甚至在13年出现了负的净利润。2014年调整后的营业收入和净利润分别为52789.77万元和646.16万元，虚增营业收入3033.17万元，虚增净利润1931.11万元。</w:t>
            </w:r>
          </w:p>
          <w:p>
            <w:pPr>
              <w:ind w:firstLine="420" w:firstLineChars="200"/>
              <w:rPr>
                <w:rStyle w:val="18"/>
                <w:rFonts w:hint="eastAsia"/>
                <w:i w:val="0"/>
                <w:iCs w:val="0"/>
                <w:color w:val="auto"/>
                <w:lang w:val="en-US" w:eastAsia="zh-CN"/>
              </w:rPr>
            </w:pPr>
          </w:p>
          <w:p>
            <w:pPr>
              <w:numPr>
                <w:ilvl w:val="0"/>
                <w:numId w:val="4"/>
              </w:numPr>
              <w:ind w:left="420" w:leftChars="0" w:firstLine="0" w:firstLineChars="0"/>
              <w:rPr>
                <w:rFonts w:hint="eastAsia"/>
                <w:b/>
                <w:bCs/>
                <w:lang w:val="en-US" w:eastAsia="zh-CN"/>
              </w:rPr>
            </w:pPr>
            <w:r>
              <w:rPr>
                <w:rFonts w:hint="eastAsia" w:ascii="Times New Roman" w:eastAsia="宋体"/>
                <w:b/>
                <w:bCs/>
                <w:lang w:val="en-US" w:eastAsia="zh-CN"/>
              </w:rPr>
              <w:t>虚构预付工程款</w:t>
            </w:r>
          </w:p>
          <w:p>
            <w:pPr>
              <w:ind w:firstLine="420" w:firstLineChars="200"/>
              <w:rPr>
                <w:rStyle w:val="18"/>
                <w:rFonts w:hint="default"/>
                <w:i w:val="0"/>
                <w:iCs w:val="0"/>
                <w:color w:val="auto"/>
                <w:lang w:val="en-US" w:eastAsia="zh-CN"/>
              </w:rPr>
            </w:pPr>
            <w:r>
              <w:rPr>
                <w:rStyle w:val="18"/>
                <w:rFonts w:hint="default"/>
                <w:i w:val="0"/>
                <w:iCs w:val="0"/>
                <w:color w:val="auto"/>
                <w:lang w:val="en-US" w:eastAsia="zh-CN"/>
              </w:rPr>
              <w:t>2014年金亚科技下属子公司金亚智能与四川宏山签订金额为77500万元工程建造合同，需要先预付31000万元的工程款项，但实际上这笔款项没有实际支付，导致现金流量表相关项目金额发生重大变化，这一做法是将虚增收入和利润所导致的资金缺口向外转出，从而减少虚构资金的压力，实现财务报表平衡，几年前万福生科财务造假也用过这一手段。而供应商四川宏山建设工程有限公司在2015年初因连续3年未按规定要求参与企业年度检验，被泸州市工商行政管理局吊销营业执照，而审计机构立信会计师事务所有能力和足够的时间查出这一会计差错，却依旧出具无保留的审计意见，这显然是审计机构的失职。</w:t>
            </w:r>
          </w:p>
          <w:p>
            <w:pPr>
              <w:rPr>
                <w:b/>
                <w:bCs/>
              </w:rPr>
            </w:pPr>
          </w:p>
          <w:p>
            <w:pPr>
              <w:numPr>
                <w:ilvl w:val="0"/>
                <w:numId w:val="4"/>
              </w:numPr>
              <w:ind w:left="420" w:leftChars="0" w:firstLine="0" w:firstLineChars="0"/>
              <w:rPr>
                <w:rFonts w:hint="eastAsia"/>
                <w:b/>
                <w:bCs/>
                <w:lang w:val="en-US" w:eastAsia="zh-CN"/>
              </w:rPr>
            </w:pPr>
            <w:r>
              <w:rPr>
                <w:rFonts w:hint="eastAsia" w:ascii="Times New Roman" w:eastAsia="宋体"/>
                <w:b/>
                <w:bCs/>
                <w:lang w:val="en-US" w:eastAsia="zh-CN"/>
              </w:rPr>
              <w:t>应收账款和在建工程存在造假</w:t>
            </w:r>
          </w:p>
          <w:p>
            <w:pPr>
              <w:ind w:firstLine="420" w:firstLineChars="200"/>
              <w:rPr>
                <w:rStyle w:val="18"/>
                <w:rFonts w:hint="eastAsia"/>
                <w:i w:val="0"/>
                <w:iCs w:val="0"/>
                <w:color w:val="auto"/>
                <w:lang w:val="en-US" w:eastAsia="zh-CN"/>
              </w:rPr>
            </w:pPr>
            <w:r>
              <w:rPr>
                <w:rStyle w:val="18"/>
                <w:rFonts w:hint="eastAsia"/>
                <w:i w:val="0"/>
                <w:iCs w:val="0"/>
                <w:color w:val="auto"/>
                <w:lang w:val="en-US" w:eastAsia="zh-CN"/>
              </w:rPr>
              <w:t>2010～2013年，随着收入的增加应收账款周转率整体有所下降，说明应收账款的增加幅度大于收入的增长幅度。14年营业收入有所下降，应收账款也小幅降低，其周转率应维持不变或变动较小，但应收账款周转率却是上升。通过金亚科技公布的自查报告和年报可以看出，2014年应收账款虚增了3213.27万元，估计不仅2014年应收账款造假，以前年度也可能出现造假行为。而在建工程由2010年的3万元到2012年的1298万元，且到2015年9月，在建工程增长到9382万元，增长速度之快，让人惊讶，仅仅2014年第三季度就比第二季度增长了11231.9万元，谜一样的增长速度，与同行业相比是不正常的。</w:t>
            </w:r>
          </w:p>
          <w:p>
            <w:pPr>
              <w:ind w:firstLine="420" w:firstLineChars="200"/>
              <w:rPr>
                <w:rStyle w:val="18"/>
                <w:rFonts w:hint="eastAsia"/>
                <w:i w:val="0"/>
                <w:iCs w:val="0"/>
                <w:color w:val="auto"/>
                <w:lang w:val="en-US" w:eastAsia="zh-CN"/>
              </w:rPr>
            </w:pPr>
          </w:p>
          <w:p>
            <w:pPr>
              <w:numPr>
                <w:ilvl w:val="0"/>
                <w:numId w:val="4"/>
              </w:numPr>
              <w:ind w:left="420" w:leftChars="0" w:firstLine="0" w:firstLineChars="0"/>
              <w:rPr>
                <w:rFonts w:hint="default"/>
                <w:b/>
                <w:bCs/>
                <w:lang w:val="en-US" w:eastAsia="zh-CN"/>
              </w:rPr>
            </w:pPr>
            <w:r>
              <w:rPr>
                <w:rFonts w:hint="default"/>
                <w:b/>
                <w:bCs/>
                <w:lang w:val="en-US" w:eastAsia="zh-CN"/>
              </w:rPr>
              <w:t>大股东将部分公司资金占为己用</w:t>
            </w:r>
          </w:p>
          <w:p>
            <w:pPr>
              <w:widowControl w:val="0"/>
              <w:numPr>
                <w:ilvl w:val="0"/>
                <w:numId w:val="0"/>
              </w:numPr>
              <w:ind w:firstLine="420" w:firstLineChars="200"/>
              <w:jc w:val="both"/>
              <w:rPr>
                <w:rFonts w:hint="default"/>
                <w:b/>
                <w:bCs/>
                <w:lang w:val="en-US" w:eastAsia="zh-CN"/>
              </w:rPr>
            </w:pPr>
            <w:r>
              <w:rPr>
                <w:rFonts w:hint="default"/>
                <w:b w:val="0"/>
                <w:bCs w:val="0"/>
                <w:lang w:val="en-US" w:eastAsia="zh-CN"/>
              </w:rPr>
              <w:t>根据金亚科技公开的2015年年报，该公司实际控制人周旭辉将2.2亿公司资金挪为已用，遭证监会调查后，周旭辉以其所持天象互动10%股权作为对价归还了占用的上市公司资金2.2亿元。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pPr>
            <w:r>
              <w:rPr>
                <w:rFonts w:hint="eastAsia"/>
              </w:rPr>
              <w:t>一、 对金亚科技给予警告，并处以 60 万元罚款；</w:t>
            </w:r>
          </w:p>
          <w:p>
            <w:pPr>
              <w:ind w:firstLine="420" w:firstLineChars="200"/>
              <w:rPr>
                <w:rFonts w:hint="eastAsia"/>
              </w:rPr>
            </w:pPr>
            <w:r>
              <w:rPr>
                <w:rFonts w:hint="eastAsia"/>
              </w:rPr>
              <w:t>二、 对周旭辉给予警告，并处以 90 万元罚款；</w:t>
            </w:r>
          </w:p>
          <w:p>
            <w:pPr>
              <w:ind w:firstLine="420" w:firstLineChars="200"/>
              <w:rPr>
                <w:rFonts w:hint="eastAsia"/>
              </w:rPr>
            </w:pPr>
            <w:r>
              <w:rPr>
                <w:rFonts w:hint="eastAsia"/>
              </w:rPr>
              <w:t>三、 对张法德、丁勇和给予警告，并分别处以 30 万元罚款；</w:t>
            </w:r>
          </w:p>
          <w:p>
            <w:pPr>
              <w:ind w:firstLine="420" w:firstLineChars="200"/>
              <w:rPr>
                <w:rFonts w:hint="eastAsia"/>
              </w:rPr>
            </w:pPr>
            <w:r>
              <w:rPr>
                <w:rFonts w:hint="eastAsia"/>
              </w:rPr>
              <w:t>四、 对罗进、何苗、周良超、李国路给予警告，并分别处以 25 万元罚款；</w:t>
            </w:r>
          </w:p>
          <w:p>
            <w:pPr>
              <w:ind w:firstLine="420" w:firstLineChars="200"/>
              <w:rPr>
                <w:rFonts w:hint="eastAsia"/>
              </w:rPr>
            </w:pPr>
            <w:r>
              <w:rPr>
                <w:rFonts w:hint="eastAsia"/>
              </w:rPr>
              <w:t>五、 对刘红、曾兵给予警告，并分别处以 20 万元罚款；</w:t>
            </w:r>
          </w:p>
          <w:p>
            <w:pPr>
              <w:ind w:firstLine="420" w:firstLineChars="200"/>
              <w:rPr>
                <w:rFonts w:hint="eastAsia"/>
              </w:rPr>
            </w:pPr>
            <w:r>
              <w:rPr>
                <w:rFonts w:hint="eastAsia"/>
              </w:rPr>
              <w:t>六、 对王海龙、陈维亮、陈宏、张晓庆给予警告，并分别处以 15 万罚款；</w:t>
            </w:r>
          </w:p>
          <w:p>
            <w:pPr>
              <w:ind w:firstLine="420" w:firstLineChars="200"/>
              <w:rPr>
                <w:rFonts w:hint="eastAsia"/>
              </w:rPr>
            </w:pPr>
            <w:r>
              <w:rPr>
                <w:rFonts w:hint="eastAsia"/>
              </w:rPr>
              <w:t>七、 对曾兴勇、张世杰、刘志宏、舒稚寒给予警告，并分别处以 10 万元罚款。</w:t>
            </w:r>
          </w:p>
          <w:p>
            <w:pPr>
              <w:ind w:firstLine="420" w:firstLineChars="200"/>
              <w:rPr>
                <w:rFonts w:hint="eastAsia"/>
              </w:rPr>
            </w:pPr>
            <w:r>
              <w:rPr>
                <w:rFonts w:hint="eastAsia"/>
              </w:rPr>
              <w:t>此外，鉴于周旭辉作为金亚科技上述违法行为直接负责的主管人员，违法情节特别严重，张法德、丁勇和、罗进、何苗作为金亚科技上述违法行为其他直接责任人，违法情节严重，根据《证券法》第二百三十三条和《证券市场禁入规定》（证监会令第 33 号）第五条的规定，我会拟对周旭辉采取终身证券市场禁入措施，拟对张法德、丁勇和分别采取 10 年证券市场禁入措施，拟对罗进、何苗分别采取 5 年证券市场禁入措施。</w:t>
            </w:r>
          </w:p>
          <w:p>
            <w:pPr>
              <w:ind w:firstLine="420" w:firstLineChars="20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立信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ind w:firstLine="420" w:firstLineChars="200"/>
              <w:rPr>
                <w:rFonts w:hint="eastAsia"/>
              </w:rPr>
            </w:pPr>
            <w:r>
              <w:rPr>
                <w:rFonts w:hint="default"/>
              </w:rPr>
              <w:t>金亚科技2014年度财务报表错报情况，金亚科技披露的2014年合并财务报表虚增银行存款2.18亿元，虚增营业收入7363.51万元，虚增营业成本1925.33万元，虚增预付工程款3.1亿元。而立信所在对金亚科技2014年度财务报表审计时，未勤勉尽责，出具了存在虚假记载的审计报告。</w:t>
            </w:r>
          </w:p>
          <w:p>
            <w:pPr>
              <w:ind w:firstLine="420" w:firstLineChars="200"/>
              <w:rPr>
                <w:rFonts w:hint="default"/>
              </w:rPr>
            </w:pPr>
            <w:r>
              <w:rPr>
                <w:rFonts w:hint="default"/>
              </w:rPr>
              <w:t>具体来说，立信所未按要求执行货币资金的函证程序。2015年1月20日，审计人员在对金亚科技基本账户（440************0086）开户行（工商银行成都高新西部园区支行）函证时，未对询证函保持控制，未对询证函是否加盖银行公章事项给予充分关注，上述行为导致立信所未能发现银行回函系金亚科技伪造，金亚科技虚增银行存款2.18亿元的事实。</w:t>
            </w:r>
          </w:p>
          <w:p>
            <w:pPr>
              <w:ind w:firstLine="420" w:firstLineChars="200"/>
              <w:rPr>
                <w:rFonts w:hint="default"/>
              </w:rPr>
            </w:pPr>
            <w:r>
              <w:rPr>
                <w:rFonts w:hint="default"/>
              </w:rPr>
              <w:t>同时，由于销售与收款循环函证程序不当，立信所未关注重大合同的异常情况。在应收账款函证程序上，立信所未对存在不确定性的发函地址实施进一步审计程序，导致未能发现错误及不存在的发函地址，且审计工作底稿未记录发函和回函过程，现有证据无法证实其对函证保持控制；同时立信所未关注回函中的异常情况，未正确填写被询证者地址。另外，现有证据未能证实立信所针对未收到回函的客户实施了进一步替代程序，以证实应收账款是否真实存在、计价是否正确。</w:t>
            </w:r>
          </w:p>
          <w:p>
            <w:pPr>
              <w:ind w:firstLine="420" w:firstLineChars="200"/>
              <w:rPr>
                <w:rFonts w:hint="default"/>
              </w:rPr>
            </w:pPr>
            <w:r>
              <w:rPr>
                <w:rFonts w:hint="default"/>
              </w:rPr>
              <w:t>对重大合同的异常情况，立信所也未保持合理的职业怀疑。立信所对金亚科技2014年前20大客户及金额较大合同进行查验，并在审计工作底稿中予以记录。经调查，其中7份合同存在异常情况，存在未签字盖章、两份合同编号相同等异常情况。审计人员未保持职业怀疑，未充分关注重大合同中的异常情况，未实施进一步审计程序。</w:t>
            </w:r>
          </w:p>
          <w:p>
            <w:pPr>
              <w:ind w:firstLine="420" w:firstLineChars="200"/>
              <w:rPr>
                <w:rFonts w:hint="default"/>
              </w:rPr>
            </w:pPr>
            <w:r>
              <w:rPr>
                <w:rFonts w:hint="default"/>
              </w:rPr>
              <w:t>在采购与付款函证程序上，审计工作底稿中“发函清单”显示共发出28份函证，其中13份（占函证的46.43%）存在发函地址与发票地址不一致等异常情况，立信所未关注上述异常情况。审计工作底稿未记录收发函物流信息，也未记录应付款的函证结论。</w:t>
            </w:r>
          </w:p>
          <w:p>
            <w:pPr>
              <w:ind w:firstLine="420" w:firstLineChars="200"/>
            </w:pPr>
            <w:r>
              <w:rPr>
                <w:rFonts w:hint="default"/>
              </w:rPr>
              <w:t>还有对于3.1亿元预付工程款的审计程序。在金亚科技与四川宏山建设工程有限公司（简称“四川宏山”）签订的《建设工程施工合同》中，主合同部分双方均未盖章签字，立信所取得的3.1亿元预付工程款的银行对账单系金亚科技伪造并提供。在合同涉及金额较大，且合同形式存在不完备的情况下，立信所未特别关注，未保持合理的职业怀疑，未考虑到因管理层舞弊可能导致的重大错报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ind w:firstLine="420" w:firstLineChars="200"/>
            </w:pPr>
            <w:r>
              <w:rPr>
                <w:rFonts w:hint="eastAsia"/>
              </w:rPr>
              <w:t>没收立信所业务收入90万元，并处以270万元的罚款；同时，对邹军梅、程进给予警告，并分别处以10万元的罚款。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numPr>
                <w:ilvl w:val="0"/>
                <w:numId w:val="6"/>
              </w:numPr>
              <w:tabs>
                <w:tab w:val="left" w:pos="2160"/>
              </w:tabs>
              <w:rPr>
                <w:rStyle w:val="18"/>
                <w:rFonts w:hint="eastAsia"/>
                <w:i w:val="0"/>
                <w:iCs w:val="0"/>
                <w:color w:val="auto"/>
              </w:rPr>
            </w:pPr>
            <w:r>
              <w:rPr>
                <w:rStyle w:val="18"/>
                <w:rFonts w:hint="default"/>
                <w:i w:val="0"/>
                <w:iCs w:val="0"/>
                <w:color w:val="auto"/>
              </w:rPr>
              <w:t>加大公司治理力度，优化公司股权结构，完善公司内部控制</w:t>
            </w:r>
          </w:p>
          <w:p>
            <w:pPr>
              <w:tabs>
                <w:tab w:val="left" w:pos="2160"/>
              </w:tabs>
              <w:ind w:firstLine="420" w:firstLineChars="200"/>
              <w:rPr>
                <w:rStyle w:val="18"/>
                <w:rFonts w:hint="default"/>
                <w:i w:val="0"/>
                <w:iCs w:val="0"/>
                <w:color w:val="auto"/>
              </w:rPr>
            </w:pPr>
            <w:r>
              <w:rPr>
                <w:rStyle w:val="18"/>
                <w:rFonts w:hint="default"/>
                <w:i w:val="0"/>
                <w:iCs w:val="0"/>
                <w:color w:val="auto"/>
              </w:rPr>
              <w:t>创业板的上市公司，一般公司治理结构都存在一定的问题，只是为了上市，新建立一套空壳的完善的公司治理结构，导致了内部控制名存实亡，本文认为，公司尤其是上市公司应该建立一套完整的内部控制体系，尤其是内部审计制度，完善内部审计体系，同时可以适当引进投资者，优化公司股权结构，从而改善公司治理现存的问题。</w:t>
            </w:r>
          </w:p>
          <w:p>
            <w:pPr>
              <w:numPr>
                <w:ilvl w:val="0"/>
                <w:numId w:val="6"/>
              </w:numPr>
              <w:tabs>
                <w:tab w:val="left" w:pos="2160"/>
              </w:tabs>
              <w:ind w:left="0" w:leftChars="0" w:firstLine="0" w:firstLineChars="0"/>
              <w:rPr>
                <w:rStyle w:val="18"/>
                <w:rFonts w:hint="default"/>
                <w:i w:val="0"/>
                <w:iCs w:val="0"/>
                <w:color w:val="auto"/>
              </w:rPr>
            </w:pPr>
            <w:r>
              <w:rPr>
                <w:rStyle w:val="18"/>
                <w:rFonts w:hint="default"/>
                <w:i w:val="0"/>
                <w:iCs w:val="0"/>
                <w:color w:val="auto"/>
              </w:rPr>
              <w:t>规范中介机构管理</w:t>
            </w:r>
          </w:p>
          <w:p>
            <w:pPr>
              <w:tabs>
                <w:tab w:val="left" w:pos="2160"/>
              </w:tabs>
              <w:ind w:firstLine="420" w:firstLineChars="200"/>
              <w:rPr>
                <w:rStyle w:val="18"/>
                <w:rFonts w:hint="default"/>
                <w:i w:val="0"/>
                <w:iCs w:val="0"/>
                <w:color w:val="auto"/>
              </w:rPr>
            </w:pPr>
            <w:r>
              <w:rPr>
                <w:rStyle w:val="18"/>
                <w:rFonts w:hint="default"/>
                <w:i w:val="0"/>
                <w:iCs w:val="0"/>
                <w:color w:val="auto"/>
              </w:rPr>
              <w:t>公司能进行财务造假，与中介机构脱不了关系，中介机构面对丰厚的利润诱惑，违背自己的职业操守，帮助公司进行造假，严重损害投资者的利益，本文认为，中介机构要自身加强管理，加强诚信意识，遵守自己的职业操守；完善保荐人的业绩考核激励制度和选择项目的标准；</w:t>
            </w:r>
          </w:p>
          <w:p>
            <w:pPr>
              <w:numPr>
                <w:ilvl w:val="0"/>
                <w:numId w:val="6"/>
              </w:numPr>
              <w:tabs>
                <w:tab w:val="left" w:pos="2160"/>
              </w:tabs>
              <w:ind w:left="0" w:leftChars="0" w:firstLine="0" w:firstLineChars="0"/>
              <w:rPr>
                <w:rStyle w:val="18"/>
                <w:rFonts w:hint="default"/>
                <w:i w:val="0"/>
                <w:iCs w:val="0"/>
                <w:color w:val="auto"/>
              </w:rPr>
            </w:pPr>
            <w:r>
              <w:rPr>
                <w:rStyle w:val="18"/>
                <w:rFonts w:hint="default"/>
                <w:i w:val="0"/>
                <w:iCs w:val="0"/>
                <w:color w:val="auto"/>
              </w:rPr>
              <w:t>审计机构自身要加强人员道德素质管理。</w:t>
            </w:r>
          </w:p>
          <w:p>
            <w:pPr>
              <w:widowControl w:val="0"/>
              <w:numPr>
                <w:ilvl w:val="0"/>
                <w:numId w:val="0"/>
              </w:numPr>
              <w:tabs>
                <w:tab w:val="left" w:pos="2160"/>
              </w:tabs>
              <w:ind w:firstLine="210" w:firstLineChars="100"/>
              <w:jc w:val="both"/>
              <w:rPr>
                <w:rStyle w:val="18"/>
                <w:rFonts w:hint="default"/>
                <w:i w:val="0"/>
                <w:iCs w:val="0"/>
                <w:color w:val="auto"/>
              </w:rPr>
            </w:pPr>
            <w:r>
              <w:rPr>
                <w:rStyle w:val="18"/>
                <w:rFonts w:hint="default"/>
                <w:i w:val="0"/>
                <w:iCs w:val="0"/>
                <w:color w:val="auto"/>
              </w:rPr>
              <w:t>审计机构要充分发挥独立性，客观公正的进行审计活动。审计人员应具备专业的业务能力，审计失败的原因之一就是审计人员本身业务水平不够高。同时，审计行业的监督与指导也是必不可少的，特别是在审计人员职业道德违规后作出相应的惩罚是有效的保证手段。针对审计失败政府有作出相应的努力，但是显然效果不够明显，这边提出建议企业将审计费用交至证监会或者中国注册会计师协会，由这两者进行审计招标，相对来说能够加强对审计事业的监督，从而提高审计质量。</w:t>
            </w:r>
          </w:p>
          <w:p>
            <w:pPr>
              <w:numPr>
                <w:ilvl w:val="0"/>
                <w:numId w:val="6"/>
              </w:numPr>
              <w:tabs>
                <w:tab w:val="left" w:pos="2160"/>
              </w:tabs>
              <w:ind w:left="0" w:leftChars="0" w:firstLine="0" w:firstLineChars="0"/>
              <w:rPr>
                <w:rStyle w:val="18"/>
                <w:rFonts w:hint="default"/>
                <w:i w:val="0"/>
                <w:iCs w:val="0"/>
                <w:color w:val="auto"/>
              </w:rPr>
            </w:pPr>
            <w:r>
              <w:rPr>
                <w:rStyle w:val="18"/>
                <w:rFonts w:hint="default"/>
                <w:i w:val="0"/>
                <w:iCs w:val="0"/>
                <w:color w:val="auto"/>
              </w:rPr>
              <w:t>政府和监管机构要完善相应的法律法规，加大惩罚力度</w:t>
            </w:r>
          </w:p>
          <w:p>
            <w:pPr>
              <w:tabs>
                <w:tab w:val="left" w:pos="2160"/>
              </w:tabs>
              <w:ind w:firstLine="420" w:firstLineChars="200"/>
              <w:rPr>
                <w:rStyle w:val="18"/>
                <w:rFonts w:hint="default"/>
                <w:i w:val="0"/>
                <w:iCs w:val="0"/>
                <w:color w:val="auto"/>
              </w:rPr>
            </w:pPr>
            <w:r>
              <w:rPr>
                <w:rStyle w:val="18"/>
                <w:rFonts w:hint="default"/>
                <w:i w:val="0"/>
                <w:iCs w:val="0"/>
                <w:color w:val="auto"/>
              </w:rPr>
              <w:t>财务造假是一个永恒的话题，政府和监管机构要不断完善相关法律法规，减少法律漏洞，同时要加大这方面的刑事和行政处罚力度，减少财务造假事件的发生。</w:t>
            </w:r>
          </w:p>
          <w:p>
            <w:pPr>
              <w:numPr>
                <w:ilvl w:val="0"/>
                <w:numId w:val="6"/>
              </w:numPr>
              <w:tabs>
                <w:tab w:val="left" w:pos="2160"/>
              </w:tabs>
              <w:ind w:left="0" w:leftChars="0" w:firstLine="0" w:firstLineChars="0"/>
              <w:rPr>
                <w:rStyle w:val="18"/>
                <w:rFonts w:hint="default" w:eastAsia="宋体"/>
                <w:i w:val="0"/>
                <w:iCs w:val="0"/>
                <w:color w:val="auto"/>
                <w:lang w:val="en-US" w:eastAsia="zh-CN"/>
              </w:rPr>
            </w:pPr>
            <w:r>
              <w:rPr>
                <w:rStyle w:val="18"/>
                <w:rFonts w:hint="default" w:eastAsia="宋体"/>
                <w:i w:val="0"/>
                <w:iCs w:val="0"/>
                <w:color w:val="auto"/>
                <w:lang w:val="en-US" w:eastAsia="zh-CN"/>
              </w:rPr>
              <w:t>企业要有长远的发展战略，不能因为短期利益而走向灭亡的深渊。</w:t>
            </w:r>
          </w:p>
          <w:p>
            <w:pPr>
              <w:numPr>
                <w:ilvl w:val="0"/>
                <w:numId w:val="0"/>
              </w:numPr>
              <w:tabs>
                <w:tab w:val="left" w:pos="2160"/>
              </w:tabs>
              <w:ind w:leftChars="0" w:firstLine="420" w:firstLineChars="200"/>
              <w:rPr>
                <w:rStyle w:val="18"/>
                <w:rFonts w:hint="default" w:eastAsia="宋体"/>
                <w:i w:val="0"/>
                <w:iCs w:val="0"/>
                <w:color w:val="auto"/>
                <w:lang w:val="en-US" w:eastAsia="zh-CN"/>
              </w:rPr>
            </w:pPr>
            <w:r>
              <w:rPr>
                <w:rStyle w:val="18"/>
                <w:rFonts w:hint="default" w:eastAsia="宋体"/>
                <w:i w:val="0"/>
                <w:iCs w:val="0"/>
                <w:color w:val="auto"/>
                <w:lang w:val="en-US" w:eastAsia="zh-CN"/>
              </w:rPr>
              <w:t>金亚科技因为追求短期效益做出了作为市值管理的黑幕，结果却造成如今的停盘与声誉的暴跌，可谓是得不偿失。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val="en-US" w:eastAsia="zh-CN"/>
              </w:rPr>
            </w:pPr>
            <w:r>
              <w:rPr>
                <w:rFonts w:hint="eastAsia" w:ascii="Times New Roman" w:eastAsia="宋体"/>
                <w:lang w:val="en-US" w:eastAsia="zh-CN"/>
              </w:rPr>
              <w:t>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default"/>
              </w:rPr>
              <w:t>替代程序</w:t>
            </w:r>
          </w:p>
        </w:tc>
      </w:tr>
    </w:tbl>
    <w:p/>
    <w:p/>
    <w:p/>
    <w:p/>
    <w:p/>
    <w:p/>
    <w:p/>
    <w:p/>
    <w:p/>
    <w:p/>
    <w:p>
      <w:pPr>
        <w:pStyle w:val="2"/>
        <w:rPr>
          <w:rFonts w:hint="default" w:eastAsia="宋体"/>
          <w:lang w:val="en-US" w:eastAsia="zh-CN"/>
        </w:rPr>
      </w:pPr>
      <w:bookmarkStart w:id="25" w:name="_Toc10979"/>
      <w:r>
        <w:rPr>
          <w:rFonts w:hint="eastAsia"/>
          <w:lang w:val="en-US" w:eastAsia="zh-CN"/>
        </w:rPr>
        <w:t>1</w:t>
      </w:r>
      <w:r>
        <w:rPr>
          <w:rFonts w:hint="eastAsia"/>
        </w:rPr>
        <w:t>4</w:t>
      </w:r>
      <w:r>
        <w:rPr>
          <w:rFonts w:hint="eastAsia"/>
          <w:lang w:val="en-US" w:eastAsia="zh-CN"/>
        </w:rPr>
        <w:t xml:space="preserve"> 圣莱达</w:t>
      </w:r>
      <w:bookmarkEnd w:id="25"/>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15</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eastAsia" w:eastAsia="宋体"/>
                <w:lang w:val="en-US" w:eastAsia="zh-CN"/>
              </w:rPr>
            </w:pPr>
            <w:r>
              <w:rPr>
                <w:rFonts w:hint="eastAsia" w:ascii="Times New Roman" w:eastAsia="宋体"/>
                <w:lang w:val="en-US" w:eastAsia="zh-CN"/>
              </w:rPr>
              <w:t>圣莱达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ascii="Times New Roman" w:eastAsia="宋体"/>
                <w:lang w:val="en-US" w:eastAsia="zh-CN"/>
              </w:rPr>
              <w:t>日用电器制造业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r>
              <w:tab/>
            </w:r>
            <w:r>
              <w:rPr>
                <w:rFonts w:hint="eastAsia" w:ascii="Arial" w:hAnsi="Arial" w:eastAsia="宋体" w:cs="Arial"/>
                <w:i w:val="0"/>
                <w:iCs w:val="0"/>
                <w:caps w:val="0"/>
                <w:color w:val="333333"/>
                <w:spacing w:val="0"/>
                <w:sz w:val="21"/>
                <w:szCs w:val="21"/>
                <w:shd w:val="clear" w:fill="FFFFFF"/>
              </w:rPr>
              <w:t>公司是全球知名的温控器供应商及高端电热水壶出口</w:t>
            </w:r>
            <w:r>
              <w:rPr>
                <w:rFonts w:hint="default" w:ascii="Arial" w:hAnsi="Arial" w:eastAsia="宋体" w:cs="Arial"/>
                <w:i w:val="0"/>
                <w:iCs w:val="0"/>
                <w:caps w:val="0"/>
                <w:color w:val="136EC2"/>
                <w:spacing w:val="0"/>
                <w:sz w:val="21"/>
                <w:szCs w:val="21"/>
                <w:u w:val="none"/>
                <w:shd w:val="clear" w:fill="FFFFFF"/>
              </w:rPr>
              <w:fldChar w:fldCharType="begin"/>
            </w:r>
            <w:r>
              <w:rPr>
                <w:rFonts w:hint="default" w:ascii="Arial" w:hAnsi="Arial" w:eastAsia="宋体" w:cs="Arial"/>
                <w:i w:val="0"/>
                <w:iCs w:val="0"/>
                <w:caps w:val="0"/>
                <w:color w:val="136EC2"/>
                <w:spacing w:val="0"/>
                <w:sz w:val="21"/>
                <w:szCs w:val="21"/>
                <w:u w:val="none"/>
                <w:shd w:val="clear" w:fill="FFFFFF"/>
              </w:rPr>
              <w:instrText xml:space="preserve"> HYPERLINK "https://baike.baidu.com/item/%E9%AB%98%E6%96%B0%E6%8A%80%E6%9C%AF%E4%BC%81%E4%B8%9A/3673778" \t "https://baike.baidu.com/item/_blank" </w:instrText>
            </w:r>
            <w:r>
              <w:rPr>
                <w:rFonts w:hint="default" w:ascii="Arial" w:hAnsi="Arial" w:eastAsia="宋体" w:cs="Arial"/>
                <w:i w:val="0"/>
                <w:iCs w:val="0"/>
                <w:caps w:val="0"/>
                <w:color w:val="136EC2"/>
                <w:spacing w:val="0"/>
                <w:sz w:val="21"/>
                <w:szCs w:val="21"/>
                <w:u w:val="none"/>
                <w:shd w:val="clear" w:fill="FFFFFF"/>
              </w:rPr>
              <w:fldChar w:fldCharType="separate"/>
            </w:r>
            <w:r>
              <w:rPr>
                <w:rStyle w:val="17"/>
                <w:rFonts w:hint="default" w:ascii="Arial" w:hAnsi="Arial" w:eastAsia="宋体" w:cs="Arial"/>
                <w:i w:val="0"/>
                <w:iCs w:val="0"/>
                <w:caps w:val="0"/>
                <w:color w:val="136EC2"/>
                <w:spacing w:val="0"/>
                <w:sz w:val="21"/>
                <w:szCs w:val="21"/>
                <w:u w:val="none"/>
                <w:shd w:val="clear" w:fill="FFFFFF"/>
              </w:rPr>
              <w:t>高新技术企业</w:t>
            </w:r>
            <w:r>
              <w:rPr>
                <w:rFonts w:hint="default" w:ascii="Arial" w:hAnsi="Arial" w:eastAsia="宋体" w:cs="Arial"/>
                <w:i w:val="0"/>
                <w:iCs w:val="0"/>
                <w:caps w:val="0"/>
                <w:color w:val="136EC2"/>
                <w:spacing w:val="0"/>
                <w:sz w:val="21"/>
                <w:szCs w:val="21"/>
                <w:u w:val="none"/>
                <w:shd w:val="clear" w:fill="FFFFFF"/>
              </w:rPr>
              <w:fldChar w:fldCharType="end"/>
            </w:r>
            <w:r>
              <w:rPr>
                <w:rFonts w:hint="default" w:ascii="Arial" w:hAnsi="Arial" w:eastAsia="宋体" w:cs="Arial"/>
                <w:i w:val="0"/>
                <w:iCs w:val="0"/>
                <w:caps w:val="0"/>
                <w:color w:val="333333"/>
                <w:spacing w:val="0"/>
                <w:sz w:val="21"/>
                <w:szCs w:val="21"/>
                <w:shd w:val="clear" w:fill="FFFFFF"/>
              </w:rPr>
              <w:t>。公司主要从事水加热生活电器核心零部件及整机的研发、生产和销售，主要产品为温控器及电热水壶整机。</w:t>
            </w:r>
          </w:p>
          <w:p/>
          <w:p>
            <w:pPr>
              <w:rPr>
                <w:b/>
              </w:rPr>
            </w:pPr>
            <w:r>
              <w:rPr>
                <w:rFonts w:hint="eastAsia"/>
                <w:b/>
              </w:rPr>
              <w:t>【案情背景</w:t>
            </w:r>
            <w:r>
              <w:rPr>
                <w:b/>
              </w:rPr>
              <w:t>】</w:t>
            </w:r>
          </w:p>
          <w:p>
            <w:pPr>
              <w:rPr>
                <w:rFonts w:hint="eastAsia"/>
                <w:b w:val="0"/>
                <w:bCs/>
              </w:rPr>
            </w:pPr>
            <w:r>
              <w:rPr>
                <w:b/>
              </w:rPr>
              <w:tab/>
            </w:r>
            <w:r>
              <w:rPr>
                <w:rFonts w:hint="eastAsia"/>
                <w:b w:val="0"/>
                <w:bCs/>
              </w:rPr>
              <w:t>宁波圣莱达电器股份有限公司于2004年成立， 主要从事水加热生活电器核心零部件及整机的研发、生产和销售，之后向影视文化投资方向延伸，当前主营产品为温控器、电热水壶和咖啡机，公司于 2010 年首次公开发行股票，成为国内温控器及中高端电热水壶行业的首家 A 股上市公司。</w:t>
            </w:r>
          </w:p>
          <w:p>
            <w:pPr>
              <w:ind w:firstLine="420" w:firstLineChars="200"/>
              <w:rPr>
                <w:rFonts w:hint="eastAsia"/>
                <w:b w:val="0"/>
                <w:bCs/>
              </w:rPr>
            </w:pPr>
            <w:r>
              <w:rPr>
                <w:rFonts w:hint="eastAsia"/>
                <w:b w:val="0"/>
                <w:bCs/>
              </w:rPr>
              <w:t>2015 年圣莱达分别虚构了影视版权转让协议和政府补助事项，虚计营业外收入 2000 万、虚增净利润 1500 万，虚增行为导致圣莱达 2015 年度扭亏为盈。2014 年圣莱达的净利润为负值，如果2015 年圣莱达持续亏损，则将会被戴“ ST ”的帽子，为了避免 ST，圣莱达选择了财务造假的方式掩盖亏损的事实。</w:t>
            </w:r>
          </w:p>
          <w:p>
            <w:pPr>
              <w:rPr>
                <w:b/>
              </w:rPr>
            </w:pPr>
          </w:p>
          <w:p>
            <w:pPr>
              <w:rPr>
                <w:b/>
              </w:rPr>
            </w:pPr>
          </w:p>
          <w:p>
            <w:pPr>
              <w:rPr>
                <w:b/>
              </w:rPr>
            </w:pPr>
            <w:r>
              <w:rPr>
                <w:rFonts w:hint="eastAsia"/>
                <w:b/>
              </w:rPr>
              <w:t>【案情描述】</w:t>
            </w:r>
          </w:p>
          <w:p>
            <w:pPr>
              <w:numPr>
                <w:ilvl w:val="0"/>
                <w:numId w:val="7"/>
              </w:numPr>
              <w:ind w:left="420" w:leftChars="0"/>
              <w:rPr>
                <w:rFonts w:hint="eastAsia"/>
                <w:b/>
                <w:bCs/>
                <w:lang w:val="en-US" w:eastAsia="zh-CN"/>
              </w:rPr>
            </w:pPr>
            <w:r>
              <w:rPr>
                <w:rFonts w:hint="eastAsia" w:ascii="Times New Roman" w:eastAsia="宋体"/>
                <w:b/>
                <w:bCs/>
                <w:lang w:val="en-US" w:eastAsia="zh-CN"/>
              </w:rPr>
              <w:t>虚构影视版权转让业务，虚增违约金收入</w:t>
            </w:r>
          </w:p>
          <w:p>
            <w:pPr>
              <w:widowControl w:val="0"/>
              <w:numPr>
                <w:ilvl w:val="0"/>
                <w:numId w:val="0"/>
              </w:numPr>
              <w:ind w:firstLine="420" w:firstLineChars="200"/>
              <w:jc w:val="both"/>
              <w:rPr>
                <w:rFonts w:hint="eastAsia"/>
                <w:b w:val="0"/>
                <w:bCs w:val="0"/>
                <w:lang w:val="en-US" w:eastAsia="zh-CN"/>
              </w:rPr>
            </w:pPr>
            <w:r>
              <w:rPr>
                <w:rFonts w:hint="eastAsia" w:ascii="Times New Roman" w:eastAsia="宋体"/>
                <w:b w:val="0"/>
                <w:bCs w:val="0"/>
                <w:lang w:val="en-US" w:eastAsia="zh-CN"/>
              </w:rPr>
              <w:t>2015 年末，圣莱达主业亏损、盈利无望。董事长胡宜东挑起“虚构收入，扭转乾坤”年度大戏的重担。胡宜东与华视友邦影视传媒（北京）有限公司（非关联公司，以下简称“华视友邦”）合谋串通签订了虚假影视版权转让协议，华视友邦故意违约，圣莱达向法院提起诉讼，圣莱达“成功”虚增违约金收入。两家公司用极其隐蔽的手段迷惑着大众，舞弊过程如图 4.1 所示。</w:t>
            </w:r>
          </w:p>
          <w:p>
            <w:pPr>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3593465" cy="2880995"/>
                  <wp:effectExtent l="0" t="0" r="0" b="0"/>
                  <wp:docPr id="3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descr="IMG_256"/>
                          <pic:cNvPicPr>
                            <a:picLocks noChangeAspect="1"/>
                          </pic:cNvPicPr>
                        </pic:nvPicPr>
                        <pic:blipFill>
                          <a:blip/>
                          <a:stretch>
                            <a:fillRect/>
                          </a:stretch>
                        </pic:blipFill>
                        <pic:spPr>
                          <a:xfrm>
                            <a:off x="0" y="0"/>
                            <a:ext cx="3593465" cy="2880995"/>
                          </a:xfrm>
                          <a:prstGeom prst="rect">
                            <a:avLst/>
                          </a:prstGeom>
                          <a:noFill/>
                          <a:ln w="9525">
                            <a:noFill/>
                          </a:ln>
                        </pic:spPr>
                      </pic:pic>
                    </a:graphicData>
                  </a:graphic>
                </wp:inline>
              </w:drawing>
            </w:r>
          </w:p>
          <w:p>
            <w:pPr>
              <w:ind w:firstLine="440" w:firstLineChars="200"/>
              <w:rPr>
                <w:rFonts w:hint="eastAsia" w:ascii="宋体" w:hAnsi="宋体" w:eastAsia="宋体" w:cs="宋体"/>
                <w:sz w:val="22"/>
                <w:szCs w:val="22"/>
              </w:rPr>
            </w:pPr>
            <w:r>
              <w:rPr>
                <w:rFonts w:hint="eastAsia" w:ascii="宋体" w:hAnsi="宋体" w:eastAsia="宋体" w:cs="宋体"/>
                <w:sz w:val="22"/>
                <w:szCs w:val="22"/>
              </w:rPr>
              <w:t>圣莱达串通华视友邦“假戏真做”，影视版权转让业务让大众看似符合常理，为了达到“以假乱真”的效果圣莱达甚至“搬出”法院为自己的行为作证。但本次影片转让协议实为倒签，华视友邦并未拥有《饕餮刑警》签订协议约定的全部权利，且该影片拍摄进展尚未到达放映许可证申请的条件。胡宜东在知悉该影片权利瑕疵的情况下策划了这一切，联手华视友邦唱了一出“演技精湛”的大戏。</w:t>
            </w:r>
          </w:p>
          <w:p>
            <w:pPr>
              <w:numPr>
                <w:ilvl w:val="0"/>
                <w:numId w:val="7"/>
              </w:numPr>
              <w:ind w:left="420" w:leftChars="0" w:firstLine="0" w:firstLineChars="0"/>
              <w:rPr>
                <w:rFonts w:hint="eastAsia"/>
                <w:b/>
                <w:bCs/>
                <w:lang w:val="en-US" w:eastAsia="zh-CN"/>
              </w:rPr>
            </w:pPr>
            <w:r>
              <w:rPr>
                <w:rFonts w:hint="eastAsia" w:ascii="Times New Roman" w:eastAsia="宋体"/>
                <w:b/>
                <w:bCs/>
                <w:lang w:val="en-US" w:eastAsia="zh-CN"/>
              </w:rPr>
              <w:t>利用关联公司完成影视版权资金循环支付</w:t>
            </w:r>
          </w:p>
          <w:p>
            <w:pPr>
              <w:widowControl w:val="0"/>
              <w:numPr>
                <w:ilvl w:val="0"/>
                <w:numId w:val="0"/>
              </w:numPr>
              <w:ind w:firstLine="420" w:firstLineChars="200"/>
              <w:jc w:val="both"/>
              <w:rPr>
                <w:rFonts w:hint="eastAsia"/>
                <w:b w:val="0"/>
                <w:bCs w:val="0"/>
                <w:lang w:val="en-US" w:eastAsia="zh-CN"/>
              </w:rPr>
            </w:pPr>
            <w:r>
              <w:rPr>
                <w:rFonts w:hint="eastAsia" w:ascii="Times New Roman" w:eastAsia="宋体"/>
                <w:b w:val="0"/>
                <w:bCs w:val="0"/>
                <w:lang w:val="en-US" w:eastAsia="zh-CN"/>
              </w:rPr>
              <w:t>影视版权转让费及华视友邦违约后退给圣莱达的违约金、本金都是通过圣莱达关联公司循环支付完成的。本次财务舞弊事件涉及的关联公司构成是以圣莱达实际控制人覃辉为核心的，包括覃辉控制的多家“星美系”公司及圣莱达子公司，如图 4.2 所示。星美系公司包括：北京星美汇餐饮管理有限公司（以下简称“星美汇餐”）、北京双建信息技术有限公司（以下简称“双建信息”）、北京天元建业建设工程有限公司（以下简称“天元建设”）、华民贸易有限公司（以下简称“华民贸易”）等。参与资金循环支付的圣莱达子公司为北京圣莱达电器销售服务有限公司（以下简称“北京圣莱”）。</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3395980" cy="1879600"/>
                  <wp:effectExtent l="0" t="0" r="13970" b="6350"/>
                  <wp:docPr id="3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descr="IMG_256"/>
                          <pic:cNvPicPr>
                            <a:picLocks noChangeAspect="1"/>
                          </pic:cNvPicPr>
                        </pic:nvPicPr>
                        <pic:blipFill>
                          <a:blip r:embed="rId16"/>
                          <a:stretch>
                            <a:fillRect/>
                          </a:stretch>
                        </pic:blipFill>
                        <pic:spPr>
                          <a:xfrm>
                            <a:off x="0" y="0"/>
                            <a:ext cx="3395980" cy="1879600"/>
                          </a:xfrm>
                          <a:prstGeom prst="rect">
                            <a:avLst/>
                          </a:prstGeom>
                          <a:noFill/>
                          <a:ln w="9525">
                            <a:noFill/>
                          </a:ln>
                        </pic:spPr>
                      </pic:pic>
                    </a:graphicData>
                  </a:graphic>
                </wp:inline>
              </w:drawing>
            </w:r>
          </w:p>
          <w:p>
            <w:pPr>
              <w:rPr>
                <w:rFonts w:ascii="宋体" w:hAnsi="宋体" w:eastAsia="宋体" w:cs="宋体"/>
                <w:sz w:val="24"/>
                <w:szCs w:val="24"/>
              </w:rPr>
            </w:pPr>
          </w:p>
          <w:p>
            <w:pPr>
              <w:rPr>
                <w:rFonts w:ascii="宋体" w:hAnsi="宋体" w:eastAsia="宋体" w:cs="宋体"/>
                <w:sz w:val="24"/>
                <w:szCs w:val="24"/>
              </w:rPr>
            </w:pPr>
          </w:p>
          <w:p>
            <w:pPr>
              <w:numPr>
                <w:ilvl w:val="0"/>
                <w:numId w:val="7"/>
              </w:numPr>
              <w:ind w:left="420" w:leftChars="0" w:firstLine="0" w:firstLineChars="0"/>
              <w:rPr>
                <w:rFonts w:hint="eastAsia" w:ascii="宋体" w:hAnsi="宋体" w:cs="宋体"/>
                <w:b/>
                <w:bCs/>
                <w:sz w:val="22"/>
                <w:szCs w:val="22"/>
                <w:lang w:val="en-US" w:eastAsia="zh-CN"/>
              </w:rPr>
            </w:pPr>
            <w:r>
              <w:rPr>
                <w:rFonts w:hint="eastAsia" w:ascii="宋体" w:hAnsi="宋体" w:cs="宋体"/>
                <w:b/>
                <w:bCs/>
                <w:sz w:val="22"/>
                <w:szCs w:val="22"/>
                <w:lang w:val="en-US" w:eastAsia="zh-CN"/>
              </w:rPr>
              <w:t>虚构政府财政补助收入</w:t>
            </w:r>
          </w:p>
          <w:p>
            <w:pPr>
              <w:widowControl w:val="0"/>
              <w:numPr>
                <w:ilvl w:val="0"/>
                <w:numId w:val="0"/>
              </w:numPr>
              <w:ind w:firstLine="440" w:firstLineChars="200"/>
              <w:jc w:val="both"/>
              <w:rPr>
                <w:rFonts w:hint="eastAsia" w:ascii="宋体" w:hAnsi="宋体" w:cs="宋体"/>
                <w:sz w:val="22"/>
                <w:szCs w:val="22"/>
                <w:lang w:val="en-US" w:eastAsia="zh-CN"/>
              </w:rPr>
            </w:pPr>
            <w:r>
              <w:rPr>
                <w:rFonts w:hint="eastAsia" w:ascii="宋体" w:hAnsi="宋体" w:cs="宋体"/>
                <w:sz w:val="22"/>
                <w:szCs w:val="22"/>
                <w:lang w:val="en-US" w:eastAsia="zh-CN"/>
              </w:rPr>
              <w:t>圣莱达在 2015 年度扭亏大战中又将手伸向了“政府”。2015 年 12 月 31 日，圣莱达发布政府补助公告，公告称收到宁波市江北区慈城镇财政局和经济发展局联合发文，公司极速咖啡机研发项目获财政补助 1000 万元，计入 2015 年度营业外收入。圣莱达此项财政补助收入实为蓄意拉政府为自己“做掩护”的虚构行为。圣莱达董事长胡宜东为防止公司股票被特别处理，找到了宁波市江北区慈城镇人民政府（以下简称“慈城镇政府”），希望能得到政府帮助度过难关，最终以政府补助的形式虚增营业收入和利润，以完成圣莱达“扭亏大戏”。</w:t>
            </w:r>
          </w:p>
          <w:p>
            <w:pPr>
              <w:widowControl w:val="0"/>
              <w:numPr>
                <w:ilvl w:val="0"/>
                <w:numId w:val="7"/>
              </w:numPr>
              <w:ind w:left="420" w:leftChars="0" w:firstLine="0" w:firstLineChars="0"/>
              <w:jc w:val="both"/>
              <w:rPr>
                <w:rFonts w:hint="eastAsia" w:ascii="宋体" w:hAnsi="宋体" w:cs="宋体"/>
                <w:b/>
                <w:bCs/>
                <w:sz w:val="22"/>
                <w:szCs w:val="22"/>
                <w:lang w:val="en-US" w:eastAsia="zh-CN"/>
              </w:rPr>
            </w:pPr>
            <w:r>
              <w:rPr>
                <w:rFonts w:hint="eastAsia" w:ascii="宋体" w:hAnsi="宋体" w:cs="宋体"/>
                <w:b/>
                <w:bCs/>
                <w:sz w:val="22"/>
                <w:szCs w:val="22"/>
                <w:lang w:val="en-US" w:eastAsia="zh-CN"/>
              </w:rPr>
              <w:t>利用关联公司完成政府补助资金支付</w:t>
            </w:r>
          </w:p>
          <w:p>
            <w:pPr>
              <w:widowControl w:val="0"/>
              <w:numPr>
                <w:ilvl w:val="0"/>
                <w:numId w:val="0"/>
              </w:numPr>
              <w:ind w:firstLine="440" w:firstLineChars="200"/>
              <w:jc w:val="both"/>
              <w:rPr>
                <w:rFonts w:hint="default" w:ascii="宋体" w:hAnsi="宋体" w:cs="宋体"/>
                <w:b/>
                <w:bCs/>
                <w:sz w:val="22"/>
                <w:szCs w:val="22"/>
                <w:lang w:val="en-US" w:eastAsia="zh-CN"/>
              </w:rPr>
            </w:pPr>
            <w:r>
              <w:rPr>
                <w:rFonts w:hint="default" w:ascii="宋体" w:hAnsi="宋体" w:cs="宋体"/>
                <w:b w:val="0"/>
                <w:bCs w:val="0"/>
                <w:sz w:val="22"/>
                <w:szCs w:val="22"/>
                <w:lang w:val="en-US" w:eastAsia="zh-CN"/>
              </w:rPr>
              <w:t>圣莱达公司在 2015 年 12 月 31 日发布的《关于收到政府补助的公告》中，称公司获得了政府在极速咖啡机研发项目给予的 1000 万元补助，并确认为 2015年度本期收入。通过对该情况进行深层次的调查与研究后，了解到圣莱达公司为了避免被 ST，胡宜东便请求慈城镇政府给予帮助，采用得到政府补助的方式来对圣莱达公司利润的虚增。由于圣莱达公司的第一大股东宁波金阳光在 2015 年进行了股权转让，因此按照规定需要向江北区国税局缴纳 2 亿元的税款。根据江北区的税收优惠政策，在缴纳 2 亿元税款后可以得到 1000 万元的税收还款。但是需注意的是，由于宁波金阳光在 2015 年末前并没有对税款缴纳，因此无法享受税收返还。对此，胡宜东为了避免被 ST，则与慈城镇政府进行了协商，最终政府 同意采用财政补助形式的方式将 1000 万元返还给圣莱达公司，达到对利润虚增的目标。在此过程中，胡宜东承诺慈城镇政府不用实际为圣莱达公司提供财政补助，而是由宁波金阳光以税收保证金的方式向政府交纳 1000 万元，最终转移给圣莱达公司。</w:t>
            </w:r>
            <w:r>
              <w:rPr>
                <w:rFonts w:hint="default" w:ascii="宋体" w:hAnsi="宋体" w:cs="宋体"/>
                <w:b/>
                <w:bCs/>
                <w:sz w:val="22"/>
                <w:szCs w:val="22"/>
                <w:lang w:val="en-US" w:eastAsia="zh-CN"/>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pPr>
            <w:r>
              <w:t>原董事长胡宜东、实际控制人覃辉、原财务总监康璐等人分别被处以30万元、60万元和20万元的罚款，以及分别被采取10年、5年、3年的证券市场禁入措施。</w:t>
            </w:r>
          </w:p>
          <w:p>
            <w:pPr>
              <w:ind w:firstLine="420" w:firstLineChars="200"/>
              <w:rPr>
                <w:rFonts w:hint="eastAsia" w:eastAsia="宋体"/>
                <w:lang w:eastAsia="zh-CN"/>
              </w:rPr>
            </w:pPr>
            <w:r>
              <w:rPr>
                <w:rFonts w:hint="eastAsia" w:ascii="Times New Roman" w:eastAsia="宋体"/>
                <w:lang w:val="en-US" w:eastAsia="zh-CN"/>
              </w:rPr>
              <w:t>企业</w:t>
            </w:r>
            <w:r>
              <w:rPr>
                <w:rFonts w:hint="eastAsia"/>
              </w:rPr>
              <w:t>被监管顶格处罚了60万</w:t>
            </w:r>
            <w:r>
              <w:rPr>
                <w:rFonts w:hint="eastAsia" w:eastAsia="宋体"/>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eastAsia" w:eastAsia="宋体"/>
                <w:lang w:val="en-US" w:eastAsia="zh-CN"/>
              </w:rPr>
            </w:pPr>
            <w:r>
              <w:rPr>
                <w:rFonts w:hint="eastAsia" w:ascii="Times New Roman" w:eastAsia="宋体"/>
                <w:lang w:val="en-US" w:eastAsia="zh-CN"/>
              </w:rPr>
              <w:t>众华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审计机构案情描述以及审计受罚或责任描述</w:t>
            </w:r>
          </w:p>
        </w:tc>
        <w:tc>
          <w:tcPr>
            <w:tcW w:w="6316" w:type="dxa"/>
          </w:tcPr>
          <w:p>
            <w:r>
              <w:drawing>
                <wp:inline distT="0" distB="0" distL="114300" distR="114300">
                  <wp:extent cx="3870325" cy="2402205"/>
                  <wp:effectExtent l="0" t="0" r="15875" b="171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7"/>
                          <a:stretch>
                            <a:fillRect/>
                          </a:stretch>
                        </pic:blipFill>
                        <pic:spPr>
                          <a:xfrm>
                            <a:off x="0" y="0"/>
                            <a:ext cx="3870325" cy="240220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numPr>
                <w:ilvl w:val="0"/>
                <w:numId w:val="8"/>
              </w:numPr>
              <w:tabs>
                <w:tab w:val="left" w:pos="2160"/>
              </w:tabs>
              <w:ind w:firstLine="420" w:firstLineChars="200"/>
              <w:rPr>
                <w:rStyle w:val="18"/>
                <w:i w:val="0"/>
                <w:iCs w:val="0"/>
                <w:color w:val="auto"/>
              </w:rPr>
            </w:pPr>
            <w:r>
              <w:rPr>
                <w:rStyle w:val="18"/>
                <w:i w:val="0"/>
                <w:iCs w:val="0"/>
                <w:color w:val="auto"/>
              </w:rPr>
              <w:t>为了避免被ST或退市，不得不（这三个字好）进行财务造假。换句话说，这些公司造假的动机高达1000%，因此投资者最好的方法就是不去赌博重组或者取消ST。</w:t>
            </w:r>
            <w:r>
              <w:rPr>
                <w:rStyle w:val="18"/>
                <w:rFonts w:hint="eastAsia"/>
                <w:i w:val="0"/>
                <w:iCs w:val="0"/>
                <w:color w:val="auto"/>
              </w:rPr>
              <w:t>财务造假一旦被证实，可能会被退市，到时候就悔之晚矣。</w:t>
            </w:r>
          </w:p>
          <w:p>
            <w:pPr>
              <w:numPr>
                <w:ilvl w:val="0"/>
                <w:numId w:val="0"/>
              </w:numPr>
              <w:tabs>
                <w:tab w:val="left" w:pos="2160"/>
              </w:tabs>
              <w:ind w:firstLine="420" w:firstLineChars="200"/>
              <w:rPr>
                <w:rStyle w:val="18"/>
                <w:i w:val="0"/>
                <w:iCs w:val="0"/>
                <w:color w:val="auto"/>
              </w:rPr>
            </w:pPr>
            <w:r>
              <w:rPr>
                <w:rStyle w:val="18"/>
                <w:rFonts w:hint="eastAsia"/>
                <w:i w:val="0"/>
                <w:iCs w:val="0"/>
                <w:color w:val="auto"/>
                <w:lang w:val="en-US" w:eastAsia="zh-CN"/>
              </w:rPr>
              <w:t>2.</w:t>
            </w:r>
            <w:r>
              <w:rPr>
                <w:rStyle w:val="18"/>
                <w:i w:val="0"/>
                <w:iCs w:val="0"/>
                <w:color w:val="auto"/>
                <w:lang w:val="en-US" w:eastAsia="zh-CN"/>
              </w:rPr>
              <w:t xml:space="preserve">完善企业的组织架构 </w:t>
            </w:r>
          </w:p>
          <w:p>
            <w:pPr>
              <w:numPr>
                <w:ilvl w:val="0"/>
                <w:numId w:val="0"/>
              </w:numPr>
              <w:tabs>
                <w:tab w:val="left" w:pos="2160"/>
              </w:tabs>
              <w:ind w:firstLine="420" w:firstLineChars="200"/>
              <w:rPr>
                <w:rStyle w:val="18"/>
                <w:i w:val="0"/>
                <w:iCs w:val="0"/>
                <w:color w:val="auto"/>
              </w:rPr>
            </w:pPr>
            <w:r>
              <w:rPr>
                <w:rStyle w:val="18"/>
                <w:rFonts w:hint="default"/>
                <w:i w:val="0"/>
                <w:iCs w:val="0"/>
                <w:color w:val="auto"/>
                <w:lang w:val="en-US" w:eastAsia="zh-CN"/>
              </w:rPr>
              <w:t>建立良好的内部控制环境</w:t>
            </w:r>
            <w:r>
              <w:rPr>
                <w:rStyle w:val="18"/>
                <w:i w:val="0"/>
                <w:iCs w:val="0"/>
                <w:color w:val="auto"/>
                <w:lang w:val="en-US" w:eastAsia="zh-CN"/>
              </w:rPr>
              <w:t xml:space="preserve">， </w:t>
            </w:r>
            <w:r>
              <w:rPr>
                <w:rStyle w:val="18"/>
                <w:rFonts w:hint="default"/>
                <w:i w:val="0"/>
                <w:iCs w:val="0"/>
                <w:color w:val="auto"/>
                <w:lang w:val="en-US" w:eastAsia="zh-CN"/>
              </w:rPr>
              <w:t xml:space="preserve">是内部控制制度有效实施的基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础。构建良好的内部控制环境需要科学的组织架构。在圣莱达的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内部控制环境中， 存在董事会成员兼任财务部门职位的现象，使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得财务部门在开展内部控制与内部审计工作中存在对独立性的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制约，导致内部控制失效。 因此，企业应该建立科学的组织架构，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针对圣莱达财务造假事件，企业在人员安排上，应保持各部门工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作的独立性，避免一人多职的情况出现。 </w:t>
            </w:r>
          </w:p>
          <w:p>
            <w:pPr>
              <w:numPr>
                <w:ilvl w:val="0"/>
                <w:numId w:val="0"/>
              </w:numPr>
              <w:tabs>
                <w:tab w:val="left" w:pos="2160"/>
              </w:tabs>
              <w:ind w:firstLine="420" w:firstLineChars="200"/>
              <w:rPr>
                <w:rStyle w:val="18"/>
                <w:i w:val="0"/>
                <w:iCs w:val="0"/>
                <w:color w:val="auto"/>
              </w:rPr>
            </w:pPr>
            <w:r>
              <w:rPr>
                <w:rStyle w:val="18"/>
                <w:rFonts w:hint="eastAsia"/>
                <w:i w:val="0"/>
                <w:iCs w:val="0"/>
                <w:color w:val="auto"/>
                <w:lang w:val="en-US" w:eastAsia="zh-CN"/>
              </w:rPr>
              <w:t>3</w:t>
            </w:r>
            <w:r>
              <w:rPr>
                <w:rStyle w:val="18"/>
                <w:rFonts w:hint="default"/>
                <w:i w:val="0"/>
                <w:iCs w:val="0"/>
                <w:color w:val="auto"/>
                <w:lang w:val="en-US" w:eastAsia="zh-CN"/>
              </w:rPr>
              <w:t xml:space="preserve">.加强公司治理层人员的内控意识 </w:t>
            </w:r>
          </w:p>
          <w:p>
            <w:pPr>
              <w:numPr>
                <w:ilvl w:val="0"/>
                <w:numId w:val="0"/>
              </w:numPr>
              <w:tabs>
                <w:tab w:val="left" w:pos="2160"/>
              </w:tabs>
              <w:ind w:firstLine="420" w:firstLineChars="200"/>
              <w:rPr>
                <w:rStyle w:val="18"/>
                <w:i w:val="0"/>
                <w:iCs w:val="0"/>
                <w:color w:val="auto"/>
              </w:rPr>
            </w:pPr>
            <w:r>
              <w:rPr>
                <w:rStyle w:val="18"/>
                <w:rFonts w:hint="default"/>
                <w:i w:val="0"/>
                <w:iCs w:val="0"/>
                <w:color w:val="auto"/>
                <w:lang w:val="en-US" w:eastAsia="zh-CN"/>
              </w:rPr>
              <w:t xml:space="preserve">圣莱达造假事件是董事会层面的意识，和执行层面的关系不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大。因此，建立企业人员正确的价值观，加强公司治理层人员的内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控意识和法律意识，保持公司高层的纯洁性。 </w:t>
            </w:r>
          </w:p>
          <w:p>
            <w:pPr>
              <w:numPr>
                <w:ilvl w:val="0"/>
                <w:numId w:val="0"/>
              </w:numPr>
              <w:tabs>
                <w:tab w:val="left" w:pos="2160"/>
              </w:tabs>
              <w:ind w:firstLine="420" w:firstLineChars="200"/>
              <w:rPr>
                <w:rStyle w:val="18"/>
                <w:i w:val="0"/>
                <w:iCs w:val="0"/>
                <w:color w:val="auto"/>
              </w:rPr>
            </w:pPr>
            <w:r>
              <w:rPr>
                <w:rStyle w:val="18"/>
                <w:rFonts w:hint="eastAsia"/>
                <w:i w:val="0"/>
                <w:iCs w:val="0"/>
                <w:color w:val="auto"/>
                <w:lang w:val="en-US" w:eastAsia="zh-CN"/>
              </w:rPr>
              <w:t>4</w:t>
            </w:r>
            <w:r>
              <w:rPr>
                <w:rStyle w:val="18"/>
                <w:rFonts w:hint="default"/>
                <w:i w:val="0"/>
                <w:iCs w:val="0"/>
                <w:color w:val="auto"/>
                <w:lang w:val="en-US" w:eastAsia="zh-CN"/>
              </w:rPr>
              <w:t xml:space="preserve">.提高企业的信息沟通能力 </w:t>
            </w:r>
          </w:p>
          <w:p>
            <w:pPr>
              <w:numPr>
                <w:ilvl w:val="0"/>
                <w:numId w:val="0"/>
              </w:numPr>
              <w:tabs>
                <w:tab w:val="left" w:pos="2160"/>
              </w:tabs>
              <w:ind w:firstLine="420" w:firstLineChars="200"/>
              <w:rPr>
                <w:rStyle w:val="18"/>
                <w:i w:val="0"/>
                <w:iCs w:val="0"/>
                <w:color w:val="auto"/>
              </w:rPr>
            </w:pPr>
            <w:r>
              <w:rPr>
                <w:rStyle w:val="18"/>
                <w:rFonts w:hint="default"/>
                <w:i w:val="0"/>
                <w:iCs w:val="0"/>
                <w:color w:val="auto"/>
                <w:lang w:val="en-US" w:eastAsia="zh-CN"/>
              </w:rPr>
              <w:t xml:space="preserve">企业的信息交流与沟通贯彻 COSO 框架的始终，健全、顺畅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的信息沟通系统为企业的经营决策提供有效的数据。针对圣莱达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财务造假事件，其中的关键因素之一就是信息沟通不及时带来的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企业决策上的失误，从而被迫走上造假之路。 因此，打通执行层、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管理层和治理层之间的沟通渠道，创造流畅的沟通环境，同时，提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高信息沟通的效率，保证信息沟通与交流的及时性。 </w:t>
            </w:r>
          </w:p>
          <w:p>
            <w:pPr>
              <w:numPr>
                <w:ilvl w:val="0"/>
                <w:numId w:val="0"/>
              </w:numPr>
              <w:tabs>
                <w:tab w:val="left" w:pos="2160"/>
              </w:tabs>
              <w:ind w:firstLine="420" w:firstLineChars="200"/>
              <w:rPr>
                <w:rStyle w:val="18"/>
                <w:i w:val="0"/>
                <w:iCs w:val="0"/>
                <w:color w:val="auto"/>
              </w:rPr>
            </w:pPr>
            <w:r>
              <w:rPr>
                <w:rStyle w:val="18"/>
                <w:rFonts w:hint="eastAsia"/>
                <w:i w:val="0"/>
                <w:iCs w:val="0"/>
                <w:color w:val="auto"/>
                <w:lang w:val="en-US" w:eastAsia="zh-CN"/>
              </w:rPr>
              <w:t>5</w:t>
            </w:r>
            <w:r>
              <w:rPr>
                <w:rStyle w:val="18"/>
                <w:rFonts w:hint="default"/>
                <w:i w:val="0"/>
                <w:iCs w:val="0"/>
                <w:color w:val="auto"/>
                <w:lang w:val="en-US" w:eastAsia="zh-CN"/>
              </w:rPr>
              <w:t xml:space="preserve">.加强财务管理人员队伍建设 </w:t>
            </w:r>
          </w:p>
          <w:p>
            <w:pPr>
              <w:numPr>
                <w:ilvl w:val="0"/>
                <w:numId w:val="0"/>
              </w:numPr>
              <w:tabs>
                <w:tab w:val="left" w:pos="2160"/>
              </w:tabs>
              <w:ind w:firstLine="420" w:firstLineChars="200"/>
              <w:rPr>
                <w:rStyle w:val="18"/>
                <w:i w:val="0"/>
                <w:iCs w:val="0"/>
                <w:color w:val="auto"/>
              </w:rPr>
            </w:pPr>
            <w:r>
              <w:rPr>
                <w:rStyle w:val="18"/>
                <w:rFonts w:hint="default"/>
                <w:i w:val="0"/>
                <w:iCs w:val="0"/>
                <w:color w:val="auto"/>
                <w:lang w:val="en-US" w:eastAsia="zh-CN"/>
              </w:rPr>
              <w:t xml:space="preserve">加强对财务管理人员的能力、素质等方面的培训，开展各类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政策法规学习，加强职业道德建设，加强财务管理人员对各项工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作的深入了解，同时，加强与其他部门之间的沟通交流，注重对内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部控制活动的深入调研，及时发现不合规的情形，保证内部控制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有效运行。 </w:t>
            </w:r>
          </w:p>
          <w:p>
            <w:pPr>
              <w:numPr>
                <w:ilvl w:val="0"/>
                <w:numId w:val="0"/>
              </w:numPr>
              <w:tabs>
                <w:tab w:val="left" w:pos="2160"/>
              </w:tabs>
              <w:ind w:firstLine="420" w:firstLineChars="200"/>
              <w:rPr>
                <w:rStyle w:val="18"/>
                <w:i w:val="0"/>
                <w:iCs w:val="0"/>
                <w:color w:val="auto"/>
              </w:rPr>
            </w:pPr>
            <w:r>
              <w:rPr>
                <w:rStyle w:val="18"/>
                <w:rFonts w:hint="eastAsia"/>
                <w:i w:val="0"/>
                <w:iCs w:val="0"/>
                <w:color w:val="auto"/>
                <w:lang w:val="en-US" w:eastAsia="zh-CN"/>
              </w:rPr>
              <w:t>6</w:t>
            </w:r>
            <w:r>
              <w:rPr>
                <w:rStyle w:val="18"/>
                <w:rFonts w:hint="default"/>
                <w:i w:val="0"/>
                <w:iCs w:val="0"/>
                <w:color w:val="auto"/>
                <w:lang w:val="en-US" w:eastAsia="zh-CN"/>
              </w:rPr>
              <w:t>.健全内部审计</w:t>
            </w:r>
            <w:r>
              <w:rPr>
                <w:rStyle w:val="18"/>
                <w:i w:val="0"/>
                <w:iCs w:val="0"/>
                <w:color w:val="auto"/>
                <w:lang w:val="en-US" w:eastAsia="zh-CN"/>
              </w:rPr>
              <w:t>，</w:t>
            </w:r>
            <w:r>
              <w:rPr>
                <w:rStyle w:val="18"/>
                <w:rFonts w:hint="default"/>
                <w:i w:val="0"/>
                <w:iCs w:val="0"/>
                <w:color w:val="auto"/>
                <w:lang w:val="en-US" w:eastAsia="zh-CN"/>
              </w:rPr>
              <w:t xml:space="preserve">强化企业内部监督 </w:t>
            </w:r>
          </w:p>
          <w:p>
            <w:pPr>
              <w:numPr>
                <w:ilvl w:val="0"/>
                <w:numId w:val="0"/>
              </w:numPr>
              <w:tabs>
                <w:tab w:val="left" w:pos="2160"/>
              </w:tabs>
              <w:ind w:firstLine="420" w:firstLineChars="200"/>
              <w:rPr>
                <w:rStyle w:val="18"/>
                <w:i w:val="0"/>
                <w:iCs w:val="0"/>
                <w:color w:val="auto"/>
              </w:rPr>
            </w:pPr>
            <w:r>
              <w:rPr>
                <w:rStyle w:val="18"/>
                <w:rFonts w:hint="default"/>
                <w:i w:val="0"/>
                <w:iCs w:val="0"/>
                <w:color w:val="auto"/>
                <w:lang w:val="en-US" w:eastAsia="zh-CN"/>
              </w:rPr>
              <w:t xml:space="preserve">企业内部控制有效性的实现，不能忽视审计的监督作用。 内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部审计的监督作用对管理者是一种约束，所以能够为内部控制的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有效执行营造良好的工作环境。 因此，强化内部审计职能，建立 独立的企业内部审计部门，保证权力的独立性与权威性，避免受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到企业管理者的思想意识的制约，同时审计部门应对内部控制的 </w:t>
            </w:r>
          </w:p>
          <w:p>
            <w:pPr>
              <w:numPr>
                <w:ilvl w:val="0"/>
                <w:numId w:val="0"/>
              </w:numPr>
              <w:tabs>
                <w:tab w:val="left" w:pos="2160"/>
              </w:tabs>
              <w:rPr>
                <w:rStyle w:val="18"/>
                <w:i w:val="0"/>
                <w:iCs w:val="0"/>
                <w:color w:val="auto"/>
              </w:rPr>
            </w:pPr>
            <w:r>
              <w:rPr>
                <w:rStyle w:val="18"/>
                <w:rFonts w:hint="default"/>
                <w:i w:val="0"/>
                <w:iCs w:val="0"/>
                <w:color w:val="auto"/>
                <w:lang w:val="en-US" w:eastAsia="zh-CN"/>
              </w:rPr>
              <w:t xml:space="preserve">整个过程进行全程监督，保证内部控制贯彻落实，发现问题，及时 </w:t>
            </w:r>
          </w:p>
          <w:p>
            <w:pPr>
              <w:numPr>
                <w:ilvl w:val="0"/>
                <w:numId w:val="0"/>
              </w:numPr>
              <w:tabs>
                <w:tab w:val="left" w:pos="2160"/>
              </w:tabs>
              <w:rPr>
                <w:rStyle w:val="18"/>
                <w:i w:val="0"/>
                <w:iCs w:val="0"/>
                <w:color w:val="auto"/>
              </w:rPr>
            </w:pPr>
            <w:r>
              <w:rPr>
                <w:rStyle w:val="18"/>
                <w:rFonts w:hint="default"/>
                <w:i w:val="0"/>
                <w:iCs w:val="0"/>
                <w:color w:val="auto"/>
                <w:lang w:val="en-US" w:eastAsia="zh-CN"/>
              </w:rPr>
              <w:t>报告，减少企业在治理过程中发生违规行为。</w:t>
            </w:r>
          </w:p>
          <w:p>
            <w:pPr>
              <w:numPr>
                <w:ilvl w:val="0"/>
                <w:numId w:val="0"/>
              </w:numPr>
              <w:tabs>
                <w:tab w:val="left" w:pos="2160"/>
              </w:tabs>
              <w:rPr>
                <w:rStyle w:val="18"/>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val="en-US" w:eastAsia="zh-CN"/>
              </w:rPr>
            </w:pPr>
            <w:r>
              <w:rPr>
                <w:rFonts w:hint="eastAsia" w:ascii="Times New Roman" w:eastAsia="宋体"/>
                <w:lang w:val="en-US" w:eastAsia="zh-CN"/>
              </w:rPr>
              <w:t>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val="en-US" w:eastAsia="zh-CN"/>
              </w:rPr>
            </w:pPr>
            <w:r>
              <w:rPr>
                <w:rFonts w:hint="eastAsia" w:ascii="Times New Roman" w:eastAsia="宋体"/>
                <w:lang w:val="en-US" w:eastAsia="zh-CN"/>
              </w:rPr>
              <w:t>资金循环</w:t>
            </w:r>
          </w:p>
        </w:tc>
      </w:tr>
    </w:tbl>
    <w:p/>
    <w:p/>
    <w:p>
      <w:pPr>
        <w:pStyle w:val="2"/>
        <w:rPr>
          <w:rFonts w:hint="default" w:eastAsia="宋体"/>
          <w:shd w:val="clear" w:color="auto" w:fill="FFFFFF"/>
          <w:lang w:val="en-US" w:eastAsia="zh-CN"/>
        </w:rPr>
      </w:pPr>
      <w:bookmarkStart w:id="26" w:name="_Toc27535"/>
      <w:r>
        <w:rPr>
          <w:rFonts w:hint="eastAsia"/>
          <w:lang w:val="en-US" w:eastAsia="zh-CN"/>
        </w:rPr>
        <w:t>1</w:t>
      </w:r>
      <w:r>
        <w:rPr>
          <w:rFonts w:hint="eastAsia"/>
        </w:rPr>
        <w:t>5</w:t>
      </w:r>
      <w:r>
        <w:t xml:space="preserve"> </w:t>
      </w:r>
      <w:r>
        <w:rPr>
          <w:rFonts w:hint="eastAsia"/>
          <w:lang w:val="en-US" w:eastAsia="zh-CN"/>
        </w:rPr>
        <w:t xml:space="preserve"> 奥瑞德</w:t>
      </w:r>
      <w:bookmarkEnd w:id="26"/>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rPr>
              <w:t>20</w:t>
            </w:r>
            <w:r>
              <w:rPr>
                <w:rFonts w:hint="eastAsia" w:ascii="Times New Roman" w:eastAsia="宋体"/>
                <w:lang w:val="en-US" w:eastAsia="zh-CN"/>
              </w:rPr>
              <w:t>16</w:t>
            </w:r>
            <w:r>
              <w:rPr>
                <w:rFonts w:hint="eastAsia"/>
              </w:rPr>
              <w:t>年</w:t>
            </w:r>
            <w:r>
              <w:rPr>
                <w:rFonts w:hint="eastAsia" w:ascii="Times New Roman" w:eastAsia="宋体"/>
                <w:lang w:val="en-US" w:eastAsia="zh-CN"/>
              </w:rPr>
              <w:t>~2017年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奥瑞德光电股份有限公司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宋体" w:hAnsi="宋体" w:cs="宋体"/>
                <w:i w:val="0"/>
                <w:caps w:val="0"/>
                <w:color w:val="222222"/>
                <w:spacing w:val="0"/>
                <w:sz w:val="24"/>
                <w:szCs w:val="24"/>
                <w:shd w:val="clear" w:fill="FFFFFF"/>
                <w:lang w:val="en-US" w:eastAsia="zh-CN"/>
              </w:rPr>
              <w:t>光电</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rPr>
                <w:rFonts w:hint="eastAsia" w:ascii="Arial" w:hAnsi="Arial" w:eastAsia="宋体" w:cs="Arial"/>
                <w:i w:val="0"/>
                <w:iCs w:val="0"/>
                <w:caps w:val="0"/>
                <w:color w:val="333333"/>
                <w:spacing w:val="0"/>
                <w:sz w:val="21"/>
                <w:szCs w:val="21"/>
                <w:shd w:val="clear" w:fill="FFFFFF"/>
              </w:rPr>
            </w:pPr>
            <w:r>
              <w:tab/>
            </w:r>
            <w:r>
              <w:rPr>
                <w:rFonts w:hint="eastAsia" w:ascii="Arial" w:hAnsi="Arial" w:eastAsia="宋体" w:cs="Arial"/>
                <w:i w:val="0"/>
                <w:iCs w:val="0"/>
                <w:caps w:val="0"/>
                <w:color w:val="333333"/>
                <w:spacing w:val="0"/>
                <w:sz w:val="21"/>
                <w:szCs w:val="21"/>
                <w:shd w:val="clear" w:fill="FFFFFF"/>
              </w:rPr>
              <w:t>奥瑞德光电股份有限公司于1992年11月25日成立。法定代表人杨鑫宏,公司经营范围包括：蓝宝石晶体材料、半导体衬底晶圆、衬底片、光电窗口材料、激光窗口材料及光电功能材料、光电涂层材料的生产、销售；晶体生长设备、加工设备、专用刀具研制、开发、制造和销售；蓝宝石复合材料制品、工模具、机械加工刀具、工矿配套机电产品、五金、建筑材料、化工原材料（危险化学品、毒品除外）的生产、销售；蓝宝石生产技术开发、技术咨询服务；货物及技术进出口等。</w:t>
            </w:r>
          </w:p>
          <w:p>
            <w:pPr>
              <w:rPr>
                <w:rFonts w:hint="eastAsia" w:ascii="Arial" w:hAnsi="Arial" w:eastAsia="宋体" w:cs="Arial"/>
                <w:i w:val="0"/>
                <w:iCs w:val="0"/>
                <w:caps w:val="0"/>
                <w:color w:val="333333"/>
                <w:spacing w:val="0"/>
                <w:sz w:val="21"/>
                <w:szCs w:val="21"/>
                <w:shd w:val="clear" w:fill="FFFFFF"/>
              </w:rPr>
            </w:pPr>
          </w:p>
          <w:p>
            <w:pPr>
              <w:rPr>
                <w:b/>
              </w:rPr>
            </w:pPr>
            <w:r>
              <w:rPr>
                <w:rFonts w:hint="eastAsia"/>
                <w:b/>
              </w:rPr>
              <w:t>【案情背景</w:t>
            </w:r>
            <w:r>
              <w:rPr>
                <w:b/>
              </w:rPr>
              <w:t>】</w:t>
            </w:r>
          </w:p>
          <w:p>
            <w:pPr>
              <w:rPr>
                <w:b/>
              </w:rPr>
            </w:pPr>
            <w:r>
              <w:rPr>
                <w:b/>
              </w:rPr>
              <w:tab/>
            </w:r>
            <w:r>
              <w:rPr>
                <w:rFonts w:hint="eastAsia"/>
                <w:b w:val="0"/>
                <w:bCs/>
              </w:rPr>
              <w:t>奥瑞德及其子公司相关借款、担保事项以及哈尔滨奥瑞德光电技术有限公司（奥瑞德全资子公司，以下简称奥瑞德有限）虚构向东莞市华星镀膜科技有限公司（以下简称华星镀膜）销售145台3D玻璃热弯机事项、虚构收回鄂尔多斯市达瑞祥光电科技有限公司应收账款事项导致奥瑞德公开披露的《2016年半年度报告》《2016年第三季度报告》《2016年年度报告》《2017年第一季度报告》《2017年半年度报告》《2017年第三季度报告》《2017年年度报告》《2018年第一季度报告》《2018年半年度报告》《2018年第三季度报告》的财务报表存在虚假记载，分别虚增当期利润总额3,621.01万元、3,621.01万元、15,626.73万元、1,816.97万元、1,816.97万元、3,275.78万元、10,058.50万元、3,308.60万元、9,495.27万元、14,218.93万元。</w:t>
            </w:r>
          </w:p>
          <w:p>
            <w:pPr>
              <w:rPr>
                <w:b/>
              </w:rPr>
            </w:pPr>
          </w:p>
          <w:p>
            <w:pPr>
              <w:rPr>
                <w:b/>
              </w:rPr>
            </w:pPr>
          </w:p>
          <w:p>
            <w:pPr>
              <w:rPr>
                <w:b/>
              </w:rPr>
            </w:pPr>
            <w:r>
              <w:rPr>
                <w:rFonts w:hint="eastAsia"/>
                <w:b/>
              </w:rPr>
              <w:t>【案情描述】</w:t>
            </w:r>
          </w:p>
          <w:p>
            <w:pPr>
              <w:rPr>
                <w:b/>
                <w:bCs/>
              </w:rPr>
            </w:pPr>
            <w:r>
              <w:rPr>
                <w:b/>
                <w:bCs/>
              </w:rPr>
              <w:tab/>
            </w:r>
            <w:r>
              <w:rPr>
                <w:b/>
                <w:bCs/>
              </w:rPr>
              <w:t>一、定期报告中财务报表存在虚假记载</w:t>
            </w:r>
            <w:r>
              <w:rPr>
                <w:rFonts w:hint="eastAsia"/>
                <w:b/>
                <w:bCs/>
              </w:rPr>
              <w:br w:type="textWrapping"/>
            </w:r>
            <w:r>
              <w:rPr>
                <w:rFonts w:hint="eastAsia"/>
                <w:b w:val="0"/>
                <w:bCs w:val="0"/>
              </w:rPr>
              <w:t>　　奥瑞德及其子公司相关借款、担保事项以及哈尔滨奥瑞德光电技术有限公司(奥瑞德全资子公司，以下简称奥瑞德有限)虚构向东莞市华星镀膜科技有限公司(以下简称华星镀膜)销售145台3D玻璃热弯机事项、虚构收回鄂尔多斯市达瑞祥光电科技有限公司应收账款事项导致奥瑞德公开披露的《2016年半年度报告》《2016年第三季度报告》《2016年年度报告》《2017年第一季度报告》《2017年半年度报告》《2017年第三季度报告》《2017年年度报告》《2018年第一季度报告》《2018年半年度报告》《2018年第三季度报告》的财务报表存在虚假记载，分别虚增当期利润总额3，621.01万元、3，621.01万元、15，626.73万元、1，816.97万元、1，816.97万元、3，275.78万元、10，058.50万元、3，308.60万元、9，495.27万元、14，218.93万元。</w:t>
            </w:r>
            <w:r>
              <w:rPr>
                <w:rFonts w:hint="eastAsia"/>
                <w:b w:val="0"/>
                <w:bCs w:val="0"/>
              </w:rPr>
              <w:br w:type="textWrapping"/>
            </w:r>
            <w:r>
              <w:rPr>
                <w:rFonts w:hint="eastAsia"/>
                <w:b w:val="0"/>
                <w:bCs w:val="0"/>
              </w:rPr>
              <w:br w:type="textWrapping"/>
            </w:r>
            <w:r>
              <w:rPr>
                <w:rFonts w:hint="eastAsia"/>
                <w:b w:val="0"/>
                <w:bCs w:val="0"/>
              </w:rPr>
              <w:t>　　</w:t>
            </w:r>
            <w:r>
              <w:rPr>
                <w:rFonts w:hint="eastAsia"/>
                <w:b/>
                <w:bCs/>
              </w:rPr>
              <w:t>二、未及时披露且未在相关定期报告中披露重大合同、重大债务违约及诉讼的情况</w:t>
            </w:r>
            <w:r>
              <w:rPr>
                <w:rFonts w:hint="eastAsia"/>
                <w:b/>
                <w:bCs/>
              </w:rPr>
              <w:br w:type="textWrapping"/>
            </w:r>
            <w:r>
              <w:rPr>
                <w:rFonts w:hint="eastAsia"/>
                <w:b w:val="0"/>
                <w:bCs w:val="0"/>
              </w:rPr>
              <w:t>　　奥瑞德未及时披露奥瑞德有限于2017年5月向芜湖华融兴融投资合伙企业(有限合伙)借入资金20，000万元的后续重大债务违约及诉讼事项；未及时披露奥瑞德于2017年8月和2018年9月与安徽省金丰典当有限公司(以下简称金丰典当)签订典当合同，向金丰典当分别借入当金10，000万元、500万元的重大合同订立情况及后续重大债务违约事项；未及时披露奥瑞德及奥瑞德有限在2017年8月至2017年9月期间与朱某美共签订8份借款合同，累计向朱某美借入资金38，500万元的重大合同订立情况、后续重大债务违约及诉讼事项；未及时披露奥瑞德有限于2017年11月与武汉当代瑞通投资管理有限公司(以下简称当代瑞通)签订借款合同，向当代瑞通借入资金8，000万元的重大合同订立情况、后续重大债务违约及诉讼事项；未及时披露哈尔滨秋冠光电科技有限公司(奥瑞德有限的全资子公司，以下简称秋冠光电)于2017年11月与张某艳签订借款合同，向张某艳借入资金8，000万元的重大合同订立情况及后续重大债务违约事项；未及时披露秋冠光电于2018年5月与孙某签订借款合同，向孙某借入资金7，800万元的重大合同订立情况；未及时披露奥瑞德、王某英及奥瑞德有限、秋冠光电、左洪波、褚淑霞于2017年12月签订借款暨担保协议，奥瑞德向王某英借入资金4，700万元(最终认定金额，合同约定金额5，000万元)的重大合同订立情况、后续重大债务违约及诉讼事项；未及时披露奥瑞德有限于2018年2月向交通银行股份有限公司哈尔滨北新支行借入24，000万元的后续重大债务违约及诉讼事项。</w:t>
            </w:r>
            <w:r>
              <w:rPr>
                <w:rFonts w:hint="eastAsia"/>
                <w:b w:val="0"/>
                <w:bCs w:val="0"/>
              </w:rPr>
              <w:br w:type="textWrapping"/>
            </w:r>
            <w:r>
              <w:rPr>
                <w:rFonts w:hint="eastAsia"/>
                <w:b w:val="0"/>
                <w:bCs w:val="0"/>
              </w:rPr>
              <w:t>　　上述有关重大合同、后续重大债务违约及诉讼事项达到相关定期报告披露标准，但奥瑞德也未按规定在相关定期报告中披露，导致奥瑞德披露的《2017年第三季度报告》《2017年年度报告》《2018年第一季度报告》《2018年半年度报告》《2018年第三季度报告》存在重大遗漏。</w:t>
            </w:r>
            <w:r>
              <w:rPr>
                <w:rFonts w:hint="eastAsia"/>
                <w:b w:val="0"/>
                <w:bCs w:val="0"/>
              </w:rPr>
              <w:br w:type="textWrapping"/>
            </w:r>
            <w:r>
              <w:rPr>
                <w:rFonts w:hint="eastAsia"/>
                <w:b w:val="0"/>
                <w:bCs w:val="0"/>
              </w:rPr>
              <w:br w:type="textWrapping"/>
            </w:r>
            <w:r>
              <w:rPr>
                <w:rFonts w:hint="eastAsia"/>
                <w:b w:val="0"/>
                <w:bCs w:val="0"/>
              </w:rPr>
              <w:t>　　</w:t>
            </w:r>
            <w:r>
              <w:rPr>
                <w:rFonts w:hint="eastAsia"/>
                <w:b/>
                <w:bCs/>
              </w:rPr>
              <w:t>三、未及时披露且未在相关定期报告中披露关联方资金占用及关联交易的情况</w:t>
            </w:r>
            <w:r>
              <w:rPr>
                <w:rFonts w:hint="eastAsia"/>
                <w:b/>
                <w:bCs/>
              </w:rPr>
              <w:br w:type="textWrapping"/>
            </w:r>
            <w:r>
              <w:rPr>
                <w:rFonts w:hint="eastAsia"/>
                <w:b w:val="0"/>
                <w:bCs w:val="0"/>
              </w:rPr>
              <w:t>　　2017年8月至12月期间，奥瑞德及奥瑞德有限向金丰典当、朱某美、王某英借入的资金先后转入公司控股股东、实际控制人左洪波及其控制的褚淑霞银行账户和左某银行账户，资金使用用途和具体流向由左洪波决定，有的资金用于归还了左洪波个人借款，形成控股股东、实际控制人左洪波占用上市公司资金的情况，构成控股股东、实际控制人左洪波向公司拆借资金的重大关联交易事项。奥瑞德未按规定及时履行关联方资金占用及关联交易事项的信息披露义务，且奥瑞德在相关定期报告中也未按规定进行披露，导致奥瑞德披露的《2017年年度报告》《2018年半年度报告》存在重大遗漏。</w:t>
            </w:r>
            <w:r>
              <w:rPr>
                <w:rFonts w:hint="eastAsia"/>
                <w:b w:val="0"/>
                <w:bCs w:val="0"/>
              </w:rPr>
              <w:br w:type="textWrapping"/>
            </w:r>
            <w:r>
              <w:rPr>
                <w:rFonts w:hint="eastAsia"/>
                <w:b w:val="0"/>
                <w:bCs w:val="0"/>
              </w:rPr>
              <w:t>　　此外，奥瑞德于2018年4月28日披露的《控股股东及其他关联方资金占用情况的专项说明》(2017年度)显示，奥瑞德2017年度大股东及其附属企业占用公司资金发生额和期初期末余额均为0，与事实不符，存在重大遗漏。</w:t>
            </w:r>
            <w:r>
              <w:rPr>
                <w:rFonts w:hint="eastAsia"/>
                <w:b w:val="0"/>
                <w:bCs w:val="0"/>
              </w:rPr>
              <w:br w:type="textWrapping"/>
            </w:r>
            <w:r>
              <w:rPr>
                <w:rFonts w:hint="eastAsia"/>
                <w:b w:val="0"/>
                <w:bCs w:val="0"/>
              </w:rPr>
              <w:br w:type="textWrapping"/>
            </w:r>
            <w:r>
              <w:rPr>
                <w:rFonts w:hint="eastAsia"/>
                <w:b w:val="0"/>
                <w:bCs w:val="0"/>
              </w:rPr>
              <w:t>　　</w:t>
            </w:r>
            <w:r>
              <w:rPr>
                <w:rFonts w:hint="eastAsia"/>
                <w:b/>
                <w:bCs/>
              </w:rPr>
              <w:t>四、未及时披露且未在相关定期报告中披露对外担保及诉讼的情况</w:t>
            </w:r>
            <w:r>
              <w:rPr>
                <w:rFonts w:hint="eastAsia"/>
                <w:b/>
                <w:bCs/>
              </w:rPr>
              <w:br w:type="textWrapping"/>
            </w:r>
            <w:r>
              <w:rPr>
                <w:rFonts w:hint="eastAsia"/>
                <w:b w:val="0"/>
                <w:bCs w:val="0"/>
              </w:rPr>
              <w:t>　　奥瑞德未及时披露于2017年9月与浙江国都控股有限公司(以下简称国都控股)签署的《担保协议》，为国都控股认购云南国际信托有限公司源盛恒瑞17号集合资金信托计划15，000万元本金及收益提供连带责任保证担保及后续的诉讼事项；未及时披露于2017年12月与上海爱建信托有限责任公司(以下简称上海爱建)签署《爱建耀莱单一资金信托保证合同》，为上海爱建(贷款人)与北京耀莱投资有限公司(借款人)签署的《爱建耀莱单一资金信托信托合同》的10，000万元债权及其利息等相关费用提供连带责任保证担保事项。</w:t>
            </w:r>
            <w:r>
              <w:rPr>
                <w:rFonts w:hint="eastAsia"/>
                <w:b w:val="0"/>
                <w:bCs w:val="0"/>
              </w:rPr>
              <w:br w:type="textWrapping"/>
            </w:r>
            <w:r>
              <w:rPr>
                <w:rFonts w:hint="eastAsia"/>
                <w:b w:val="0"/>
                <w:bCs w:val="0"/>
              </w:rPr>
              <w:t>　　上述对外担保金额达到相关定期报告披露标准，但奥瑞德也未按规定在相关定期报告中披露，导致奥瑞德披露的《2017年第三季度报告》《2017年年度报告》《2018年第一季度报告》《2018年半年度报告》《2018年第三季度报告》存在重大遗漏。</w:t>
            </w:r>
            <w:r>
              <w:rPr>
                <w:rFonts w:hint="eastAsia"/>
                <w:b w:val="0"/>
                <w:bCs w:val="0"/>
              </w:rPr>
              <w:br w:type="textWrapping"/>
            </w:r>
            <w:r>
              <w:rPr>
                <w:rFonts w:hint="eastAsia"/>
                <w:b w:val="0"/>
                <w:bCs w:val="0"/>
              </w:rPr>
              <w:br w:type="textWrapping"/>
            </w:r>
            <w:r>
              <w:rPr>
                <w:rFonts w:hint="eastAsia"/>
                <w:b w:val="0"/>
                <w:bCs w:val="0"/>
              </w:rPr>
              <w:t>　　</w:t>
            </w:r>
            <w:r>
              <w:rPr>
                <w:rFonts w:hint="eastAsia"/>
                <w:b/>
                <w:bCs/>
              </w:rPr>
              <w:t>五、未在年度报告中披露关联方提供担保的关联交易的情况</w:t>
            </w:r>
            <w:r>
              <w:rPr>
                <w:rFonts w:hint="eastAsia"/>
                <w:b w:val="0"/>
                <w:bCs w:val="0"/>
              </w:rPr>
              <w:br w:type="textWrapping"/>
            </w:r>
            <w:r>
              <w:rPr>
                <w:rFonts w:hint="eastAsia"/>
                <w:b w:val="0"/>
                <w:bCs w:val="0"/>
              </w:rPr>
              <w:t>　　2017年8月至9月期间，奥瑞德控股股东及其关联方左洪波、褚淑霞、左某为奥瑞德及其子公司奥瑞德有限向朱某美、当代瑞通、王某英借款提供担保，且关联担保金额达到在年度报告中的披露标准，但奥瑞德未按规定披露上述关联交易事项，导致奥瑞德披露的《2017年年度报告》存在重大遗漏。</w:t>
            </w:r>
            <w:r>
              <w:rPr>
                <w:rFonts w:hint="eastAsia"/>
                <w:b w:val="0"/>
                <w:bCs w:val="0"/>
              </w:rPr>
              <w:br w:type="textWrapping"/>
            </w:r>
            <w:r>
              <w:rPr>
                <w:rFonts w:hint="eastAsia"/>
                <w:b w:val="0"/>
                <w:bCs w:val="0"/>
              </w:rPr>
              <w:t>　　上述违法事实，有相关公告、情况说明、合同文件、有关财务资料及记账凭证、银行账户资料及银行流水、有关会议材料、相关当事人询问笔录等证据证明，足以认定。</w:t>
            </w:r>
            <w:r>
              <w:rPr>
                <w:rFonts w:hint="eastAsia"/>
                <w:b w:val="0"/>
                <w:bCs w:val="0"/>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r>
              <w:t>　一、责令奥瑞德改正，给予警告，并处以60万元罚款；</w:t>
            </w:r>
            <w:r>
              <w:rPr>
                <w:rFonts w:hint="eastAsia"/>
              </w:rPr>
              <w:br w:type="textWrapping"/>
            </w:r>
            <w:r>
              <w:rPr>
                <w:rFonts w:hint="eastAsia"/>
              </w:rPr>
              <w:t>　二、对左洪波给予警告，并处以90万元罚款，其中，作为直接负责的主管人员罚款30万元，作为控股股东、实际控制人罚款60万元；</w:t>
            </w:r>
            <w:r>
              <w:rPr>
                <w:rFonts w:hint="eastAsia"/>
              </w:rPr>
              <w:br w:type="textWrapping"/>
            </w:r>
            <w:r>
              <w:rPr>
                <w:rFonts w:hint="eastAsia"/>
              </w:rPr>
              <w:t>　　三、对褚淑霞给予警告，并处以20万元罚款；</w:t>
            </w:r>
            <w:r>
              <w:rPr>
                <w:rFonts w:hint="eastAsia"/>
              </w:rPr>
              <w:br w:type="textWrapping"/>
            </w:r>
            <w:r>
              <w:rPr>
                <w:rFonts w:hint="eastAsia"/>
              </w:rPr>
              <w:t>　　四、对杨鑫宏、张晓彤、丁丽、郑海涛给予警告，并分别处以15万元罚款；</w:t>
            </w:r>
            <w:r>
              <w:rPr>
                <w:rFonts w:hint="eastAsia"/>
              </w:rPr>
              <w:br w:type="textWrapping"/>
            </w:r>
            <w:r>
              <w:rPr>
                <w:rFonts w:hint="eastAsia"/>
              </w:rPr>
              <w:t>　　五、对路正通、吉泽升、张波、张鼎映、刘娟给予警告，并分别处以10万元罚款；</w:t>
            </w:r>
            <w:r>
              <w:rPr>
                <w:rFonts w:hint="eastAsia"/>
              </w:rPr>
              <w:br w:type="textWrapping"/>
            </w:r>
            <w:r>
              <w:rPr>
                <w:rFonts w:hint="eastAsia"/>
              </w:rPr>
              <w:t>　　六、对刘迪、张世铭、盛海波给予警告，并分别处以5万元罚款；</w:t>
            </w:r>
            <w:r>
              <w:rPr>
                <w:rFonts w:hint="eastAsia"/>
              </w:rPr>
              <w:br w:type="textWrapping"/>
            </w:r>
            <w:r>
              <w:rPr>
                <w:rFonts w:hint="eastAsia"/>
              </w:rPr>
              <w:t>　　七、对陶宏给予警告，并处以3万元罚款。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eastAsia" w:eastAsia="宋体"/>
                <w:lang w:val="en-US" w:eastAsia="zh-CN"/>
              </w:rPr>
            </w:pPr>
            <w:r>
              <w:rPr>
                <w:rFonts w:hint="eastAsia" w:ascii="Times New Roman" w:eastAsia="宋体"/>
                <w:lang w:val="en-US" w:eastAsia="zh-CN"/>
              </w:rPr>
              <w:t>大华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ind w:firstLine="422" w:firstLineChars="200"/>
              <w:rPr>
                <w:b/>
                <w:bCs/>
              </w:rPr>
            </w:pPr>
            <w:r>
              <w:rPr>
                <w:b/>
                <w:bCs/>
              </w:rPr>
              <w:t>一</w:t>
            </w:r>
            <w:r>
              <w:rPr>
                <w:rFonts w:hint="eastAsia" w:eastAsia="宋体"/>
                <w:b/>
                <w:bCs/>
                <w:lang w:eastAsia="zh-CN"/>
              </w:rPr>
              <w:t>、</w:t>
            </w:r>
            <w:r>
              <w:rPr>
                <w:b/>
                <w:bCs/>
              </w:rPr>
              <w:t>未对期后诉讼事项执行进一步审计程序</w:t>
            </w:r>
          </w:p>
          <w:p>
            <w:pPr>
              <w:ind w:firstLine="420" w:firstLineChars="200"/>
            </w:pPr>
            <w:r>
              <w:rPr>
                <w:rFonts w:hint="default"/>
              </w:rPr>
              <w:t>《审计报告》出具前，奥瑞德发布的《关于控股股东股份被轮候冻结的公告》（公告编号：临2018-014）显示，奥瑞德及其子公司哈尔滨奥瑞德光电技术有限公司（以下简称“奥瑞德有限”）等为民间借贷纠纷的诉讼被告。大华会计师所在询问了时任奥瑞德财务总监刘某和奥瑞德实际控制人左某波并核对奥瑞德银行流水后即认为公告涉及诉讼事项与奥瑞德无关。对该期后诉讼事项未保持充分的职业怀疑，未执行进一步审计程序确认涉诉借款事项与奥瑞德是否有关，导致未能发现2017年度奥瑞德控股股东非经营性资金占用情况，未能发现奥瑞德2017年度财务报表存在错报，其出具的《审计报告》《专项说明》存在虚假记载和重大遗漏。大华会计师所的上述行为不符合《中国注册会计师鉴证业务基本准则》第二十八条、第三十条，《中国注册会计师审计准则第1301号―审计证据》第九条、第十条，《中国注册会计师审计准则第1332号―期后事项》第八条、第九条，《中国注册会计师审计准则第1311号―对存货、诉讼和索赔、分部信息等特定项目获取审计证据的具体考虑》第九条、第十条的规定。</w:t>
            </w:r>
          </w:p>
          <w:p>
            <w:pPr>
              <w:ind w:firstLine="422" w:firstLineChars="200"/>
              <w:rPr>
                <w:b/>
                <w:bCs/>
              </w:rPr>
            </w:pPr>
            <w:r>
              <w:rPr>
                <w:rFonts w:hint="default"/>
                <w:b/>
                <w:bCs/>
              </w:rPr>
              <w:t>二</w:t>
            </w:r>
            <w:r>
              <w:rPr>
                <w:rFonts w:hint="eastAsia" w:eastAsia="宋体"/>
                <w:b/>
                <w:bCs/>
                <w:lang w:eastAsia="zh-CN"/>
              </w:rPr>
              <w:t>、</w:t>
            </w:r>
            <w:r>
              <w:rPr>
                <w:rFonts w:hint="default"/>
                <w:b/>
                <w:bCs/>
              </w:rPr>
              <w:t>未对应收账款异常情况执行进一步审计程序</w:t>
            </w:r>
          </w:p>
          <w:p>
            <w:pPr>
              <w:ind w:firstLine="420" w:firstLineChars="200"/>
            </w:pPr>
            <w:r>
              <w:rPr>
                <w:rFonts w:hint="default"/>
              </w:rPr>
              <w:t>就奥瑞德有限虚构向东莞市华星镀膜科技有限公司（以下简称“华星镀膜”）销售145台3D玻璃热弯机事项，奥瑞德分别于2016年、2017年确认了收入。奥瑞德发布《关于前期会计差错更正及追溯调整的公告》（公告编号：临2019-035），称上述销售业务不符合收入确认条件，并对相关会计科目进行了追溯调整。大华会计师所在《审计报告》出具前已经了解到上述销售回款的有关异常情况，但未保持充分的职业怀疑，未执行进一步审计程序核实销售回款的资金是否实际来源于奥瑞德或其关联方，也未对交易的真实性及商业合理性进行进一步核实，未获取充分适当的审计证据消除异常函证上的疑虑，导致未发现上述销售业务不符合收入确认条件，出具的《审计报告》存在虚假记载。大华会计师所的上述行为不符合《中国注册会计师鉴证业务基本准则》第二十八条、第三十条，《中国注册会计师审计准则第1312号―函证》第十七条的规定。</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ind w:firstLine="420" w:firstLineChars="200"/>
            </w:pPr>
            <w:r>
              <w:t>依据2005年《证券法》第二百二十三条的规定，重庆证监局决定责令大华会计师所改正，没收审计业务收入60万元，并处以120万元罚款；对于建永和段岩峰给予警告，并分别处以5万元罚款。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ind w:firstLine="420" w:firstLineChars="200"/>
              <w:rPr>
                <w:rStyle w:val="18"/>
                <w:i w:val="0"/>
                <w:iCs w:val="0"/>
                <w:color w:val="auto"/>
              </w:rPr>
            </w:pPr>
            <w:r>
              <w:rPr>
                <w:rStyle w:val="18"/>
                <w:rFonts w:hint="eastAsia"/>
                <w:i w:val="0"/>
                <w:iCs w:val="0"/>
                <w:color w:val="auto"/>
              </w:rPr>
              <w:t>健全质量控制制度，会计师事务所应严格遵循审计准则的要求执行审计程序，增强审计人员的专业知识和业务能力，保证会计师事务所的审计质量。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default" w:eastAsia="宋体"/>
                <w:lang w:val="en-US" w:eastAsia="zh-CN"/>
              </w:rPr>
            </w:pPr>
            <w:r>
              <w:rPr>
                <w:rFonts w:hint="eastAsia" w:ascii="Times New Roman" w:eastAsia="宋体"/>
                <w:lang w:val="en-US" w:eastAsia="zh-CN"/>
              </w:rPr>
              <w:t>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关联方交易</w:t>
            </w:r>
          </w:p>
        </w:tc>
      </w:tr>
    </w:tbl>
    <w:p/>
    <w:p>
      <w:pPr>
        <w:pStyle w:val="2"/>
        <w:rPr>
          <w:rFonts w:hint="default" w:eastAsia="宋体"/>
          <w:lang w:val="en-US" w:eastAsia="zh-CN"/>
        </w:rPr>
      </w:pPr>
      <w:bookmarkStart w:id="27" w:name="_Toc16525"/>
      <w:r>
        <w:rPr>
          <w:rFonts w:hint="eastAsia"/>
          <w:lang w:val="en-US" w:eastAsia="zh-CN"/>
        </w:rPr>
        <w:t>1</w:t>
      </w:r>
      <w:r>
        <w:rPr>
          <w:rFonts w:hint="eastAsia"/>
        </w:rPr>
        <w:t>6</w:t>
      </w:r>
      <w:r>
        <w:rPr>
          <w:rFonts w:hint="eastAsia"/>
          <w:lang w:val="en-US" w:eastAsia="zh-CN"/>
        </w:rPr>
        <w:t xml:space="preserve"> 林州重机</w:t>
      </w:r>
      <w:bookmarkEnd w:id="27"/>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rPr>
              <w:t>20</w:t>
            </w:r>
            <w:r>
              <w:rPr>
                <w:rFonts w:hint="eastAsia" w:ascii="Times New Roman" w:eastAsia="宋体"/>
                <w:lang w:val="en-US" w:eastAsia="zh-CN"/>
              </w:rPr>
              <w:t>17</w:t>
            </w:r>
            <w:r>
              <w:rPr>
                <w:rFonts w:hint="eastAsia"/>
              </w:rPr>
              <w:t>年</w:t>
            </w:r>
            <w:r>
              <w:rPr>
                <w:rFonts w:hint="eastAsia" w:ascii="Times New Roman" w:eastAsia="宋体"/>
                <w:lang w:val="en-US" w:eastAsia="zh-CN"/>
              </w:rPr>
              <w:t>~2019年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宋体" w:hAnsi="宋体" w:cs="宋体"/>
                <w:i w:val="0"/>
                <w:caps w:val="0"/>
                <w:color w:val="222222"/>
                <w:spacing w:val="0"/>
                <w:sz w:val="24"/>
                <w:szCs w:val="24"/>
                <w:shd w:val="clear" w:fill="FFFFFF"/>
                <w:lang w:val="en-US" w:eastAsia="zh-CN"/>
              </w:rPr>
              <w:t>林州重机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宋体" w:hAnsi="宋体" w:cs="宋体"/>
                <w:i w:val="0"/>
                <w:caps w:val="0"/>
                <w:color w:val="222222"/>
                <w:spacing w:val="0"/>
                <w:sz w:val="24"/>
                <w:szCs w:val="24"/>
                <w:shd w:val="clear" w:fill="FFFFFF"/>
                <w:lang w:val="en-US" w:eastAsia="zh-CN"/>
              </w:rPr>
              <w:t>煤矿机械、防爆电器、机器人产品制造、销售、维修及租赁服务等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rPr>
                <w:rFonts w:hint="eastAsia"/>
              </w:rPr>
            </w:pPr>
            <w:r>
              <w:tab/>
            </w:r>
            <w:r>
              <w:rPr>
                <w:rFonts w:hint="default"/>
                <w:lang w:val="en-US" w:eastAsia="zh-CN"/>
              </w:rPr>
              <w:t>公司是一家跨地区的集团公司，现有4个子公司，即</w:t>
            </w:r>
            <w:r>
              <w:rPr>
                <w:rFonts w:hint="default"/>
                <w:lang w:val="en-US" w:eastAsia="zh-CN"/>
              </w:rPr>
              <w:fldChar w:fldCharType="begin"/>
            </w:r>
            <w:r>
              <w:rPr>
                <w:rFonts w:hint="default"/>
                <w:lang w:val="en-US" w:eastAsia="zh-CN"/>
              </w:rPr>
              <w:instrText xml:space="preserve"> HYPERLINK "https://baike.baidu.com/item/%E4%B8%83%E5%8F%B0%E6%B2%B3%E9%87%8D%E6%9C%BA%E9%87%91%E6%9F%B1%E6%9C%BA%E6%A2%B0%E5%88%B6%E9%80%A0%E6%9C%89%E9%99%90%E8%B4%A3%E4%BB%BB%E5%85%AC%E5%8F%B8" \t "https://baike.baidu.com/item/%E6%9E%97%E5%B7%9E%E9%87%8D%E6%9C%BA%E9%9B%86%E5%9B%A2%E8%82%A1%E4%BB%BD%E6%9C%89%E9%99%90%E5%85%AC%E5%8F%B8/_blank" </w:instrText>
            </w:r>
            <w:r>
              <w:rPr>
                <w:rFonts w:hint="default"/>
                <w:lang w:val="en-US" w:eastAsia="zh-CN"/>
              </w:rPr>
              <w:fldChar w:fldCharType="separate"/>
            </w:r>
            <w:r>
              <w:rPr>
                <w:rFonts w:hint="default"/>
              </w:rPr>
              <w:t>七台河重机金柱机械制造有限责任公司</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"https://baike.baidu.com/item/%E5%8C%97%E4%BA%AC%E4%B8%AD%E7%A7%91%E6%9E%97%E9%87%8D%E7%A7%91%E6%8A%80%E6%9C%89%E9%99%90%E5%85%AC%E5%8F%B8" \t "https://baike.baidu.com/item/%E6%9E%97%E5%B7%9E%E9%87%8D%E6%9C%BA%E9%9B%86%E5%9B%A2%E8%82%A1%E4%BB%BD%E6%9C%89%E9%99%90%E5%85%AC%E5%8F%B8/_blank" </w:instrText>
            </w:r>
            <w:r>
              <w:rPr>
                <w:rFonts w:hint="default"/>
                <w:lang w:val="en-US" w:eastAsia="zh-CN"/>
              </w:rPr>
              <w:fldChar w:fldCharType="separate"/>
            </w:r>
            <w:r>
              <w:rPr>
                <w:rFonts w:hint="default"/>
              </w:rPr>
              <w:t>北京中科林重科技有限公司</w:t>
            </w:r>
            <w:r>
              <w:rPr>
                <w:rFonts w:hint="default"/>
                <w:lang w:val="en-US" w:eastAsia="zh-CN"/>
              </w:rPr>
              <w:fldChar w:fldCharType="end"/>
            </w:r>
            <w:r>
              <w:rPr>
                <w:rFonts w:hint="default"/>
                <w:lang w:val="en-US" w:eastAsia="zh-CN"/>
              </w:rPr>
              <w:t>、鸡西金顶重机制造有限公司和鄂尔多斯市林重煤机制造有限公司。</w:t>
            </w:r>
          </w:p>
          <w:p>
            <w:pPr>
              <w:rPr>
                <w:rFonts w:hint="default"/>
              </w:rPr>
            </w:pPr>
            <w:r>
              <w:rPr>
                <w:rFonts w:hint="default"/>
                <w:lang w:val="en-US" w:eastAsia="zh-CN"/>
              </w:rPr>
              <w:t>林州重机集团股份有限公司位于</w:t>
            </w:r>
            <w:r>
              <w:rPr>
                <w:rFonts w:hint="default"/>
                <w:lang w:val="en-US" w:eastAsia="zh-CN"/>
              </w:rPr>
              <w:fldChar w:fldCharType="begin"/>
            </w:r>
            <w:r>
              <w:rPr>
                <w:rFonts w:hint="default"/>
                <w:lang w:val="en-US" w:eastAsia="zh-CN"/>
              </w:rPr>
              <w:instrText xml:space="preserve"> HYPERLINK "https://baike.baidu.com/item/%E7%BA%A2%E6%97%97%E6%B8%A0/34502" \t "https://baike.baidu.com/item/%E6%9E%97%E5%B7%9E%E9%87%8D%E6%9C%BA%E9%9B%86%E5%9B%A2%E8%82%A1%E4%BB%BD%E6%9C%89%E9%99%90%E5%85%AC%E5%8F%B8/_blank" </w:instrText>
            </w:r>
            <w:r>
              <w:rPr>
                <w:rFonts w:hint="default"/>
                <w:lang w:val="en-US" w:eastAsia="zh-CN"/>
              </w:rPr>
              <w:fldChar w:fldCharType="separate"/>
            </w:r>
            <w:r>
              <w:rPr>
                <w:rFonts w:hint="default"/>
              </w:rPr>
              <w:t>红旗渠</w:t>
            </w:r>
            <w:r>
              <w:rPr>
                <w:rFonts w:hint="default"/>
                <w:lang w:val="en-US" w:eastAsia="zh-CN"/>
              </w:rPr>
              <w:fldChar w:fldCharType="end"/>
            </w:r>
            <w:r>
              <w:rPr>
                <w:rFonts w:hint="default"/>
                <w:lang w:val="en-US" w:eastAsia="zh-CN"/>
              </w:rPr>
              <w:t>畔，主营业务为煤矿机械、防爆电器、机器人产品制造、销售、维修及租赁服务；煤炭销售。 [1]</w:t>
            </w:r>
            <w:bookmarkStart w:id="28" w:name="ref_[1]_4503750"/>
            <w:r>
              <w:rPr>
                <w:rFonts w:hint="default"/>
                <w:lang w:val="en-US" w:eastAsia="zh-CN"/>
              </w:rPr>
              <w:t> </w:t>
            </w:r>
            <w:bookmarkEnd w:id="28"/>
          </w:p>
          <w:p>
            <w:r>
              <w:rPr>
                <w:rFonts w:hint="default"/>
                <w:lang w:val="en-US" w:eastAsia="zh-CN"/>
              </w:rPr>
              <w:t>2011年1月，公司在深交所成功上市。</w:t>
            </w:r>
          </w:p>
          <w:p/>
          <w:p>
            <w:pPr>
              <w:rPr>
                <w:b/>
              </w:rPr>
            </w:pPr>
            <w:r>
              <w:rPr>
                <w:rFonts w:hint="eastAsia"/>
                <w:b/>
              </w:rPr>
              <w:t>【案情背景</w:t>
            </w:r>
            <w:r>
              <w:rPr>
                <w:b/>
              </w:rPr>
              <w:t>】</w:t>
            </w:r>
          </w:p>
          <w:p>
            <w:pPr>
              <w:rPr>
                <w:rFonts w:hint="eastAsia"/>
                <w:b w:val="0"/>
                <w:bCs/>
              </w:rPr>
            </w:pPr>
            <w:r>
              <w:rPr>
                <w:b/>
              </w:rPr>
              <w:tab/>
            </w:r>
            <w:r>
              <w:rPr>
                <w:rFonts w:hint="default"/>
                <w:b w:val="0"/>
                <w:bCs/>
              </w:rPr>
              <w:t>在收到中小板公司管理部《监管函》4个月之际，曾经的中国民营煤炭机械制造一哥林州重机再遭打击。</w:t>
            </w:r>
          </w:p>
          <w:p>
            <w:pPr>
              <w:rPr>
                <w:rFonts w:hint="default"/>
                <w:b w:val="0"/>
                <w:bCs/>
              </w:rPr>
            </w:pPr>
            <w:r>
              <w:rPr>
                <w:rFonts w:hint="default"/>
                <w:b w:val="0"/>
                <w:bCs/>
              </w:rPr>
              <w:t>11月21日晚间，林州重机发布公告称，公司因涉嫌信披违规被证监会立案调查。事实上，在信披违规这件事上，林州重机自上市以来已多次收到交易所的监管函，但被证监会立案调查尚属首次。</w:t>
            </w:r>
          </w:p>
          <w:p>
            <w:pPr>
              <w:rPr>
                <w:b/>
              </w:rPr>
            </w:pPr>
          </w:p>
          <w:p>
            <w:pPr>
              <w:rPr>
                <w:b/>
              </w:rPr>
            </w:pPr>
          </w:p>
          <w:p>
            <w:pPr>
              <w:rPr>
                <w:b/>
              </w:rPr>
            </w:pPr>
          </w:p>
          <w:p>
            <w:pPr>
              <w:rPr>
                <w:b/>
              </w:rPr>
            </w:pPr>
            <w:r>
              <w:rPr>
                <w:rFonts w:hint="eastAsia"/>
                <w:b/>
              </w:rPr>
              <w:t>【案情描述】</w:t>
            </w:r>
          </w:p>
          <w:p>
            <w:pPr>
              <w:rPr>
                <w:b/>
                <w:bCs/>
              </w:rPr>
            </w:pPr>
            <w:r>
              <w:rPr>
                <w:b/>
                <w:bCs/>
              </w:rPr>
              <w:tab/>
            </w:r>
            <w:r>
              <w:rPr>
                <w:rFonts w:hint="eastAsia"/>
                <w:b/>
                <w:bCs/>
              </w:rPr>
              <w:t>一</w:t>
            </w:r>
            <w:r>
              <w:rPr>
                <w:rFonts w:hint="eastAsia" w:eastAsia="宋体"/>
                <w:b/>
                <w:bCs/>
                <w:lang w:eastAsia="zh-CN"/>
              </w:rPr>
              <w:t>、</w:t>
            </w:r>
            <w:r>
              <w:rPr>
                <w:rFonts w:hint="eastAsia"/>
                <w:b/>
                <w:bCs/>
              </w:rPr>
              <w:t>2017年年度报告存在虚假记载</w:t>
            </w:r>
          </w:p>
          <w:p>
            <w:pPr>
              <w:ind w:firstLine="420" w:firstLineChars="200"/>
              <w:rPr>
                <w:b w:val="0"/>
                <w:bCs w:val="0"/>
              </w:rPr>
            </w:pPr>
            <w:r>
              <w:rPr>
                <w:b w:val="0"/>
                <w:bCs w:val="0"/>
              </w:rPr>
              <w:t>林州重机在没有收到设备实物，也没有相关物流单据与发票的情况下，将预付账款转入在建工程并将相关利息费用资本化，导致林州重机2017年合并资产负债表虚增在建工程20691.88万元，虚减预付账款19500万元，合并利润表虚减财务费用1124.41万元，</w:t>
            </w:r>
            <w:r>
              <w:rPr>
                <w:rFonts w:hint="default"/>
                <w:b w:val="0"/>
                <w:bCs w:val="0"/>
              </w:rPr>
              <w:t>虚增利润总额1124.41万元，占当期合并利润总额的比例为48.72%。林州重机2017年年度报告存在虚假记载。</w:t>
            </w:r>
          </w:p>
          <w:p>
            <w:pPr>
              <w:ind w:firstLine="420" w:firstLineChars="200"/>
              <w:rPr>
                <w:b w:val="0"/>
                <w:bCs w:val="0"/>
              </w:rPr>
            </w:pPr>
            <w:r>
              <w:rPr>
                <w:rFonts w:hint="default"/>
                <w:b w:val="0"/>
                <w:bCs w:val="0"/>
              </w:rPr>
              <w:t>基于上述虚假记载事实，林州重机对2017年、2018年和2019年财务报表进行会计差错更正，主要更正事项包括：</w:t>
            </w:r>
          </w:p>
          <w:p>
            <w:pPr>
              <w:rPr>
                <w:b w:val="0"/>
                <w:bCs w:val="0"/>
              </w:rPr>
            </w:pPr>
            <w:r>
              <w:rPr>
                <w:rFonts w:hint="default"/>
                <w:b w:val="0"/>
                <w:bCs w:val="0"/>
              </w:rPr>
              <w:t>针对2017年合并财务报表，调增预付账款19500万元，调减在建工程20691.88万元，调增财务费用1124.41万元，调减净利润1124.41万元；针对2018年合并财务报表，调增预付账款19500万元，调减在建工程17550万元，调增财务费用1440.96万元，减少资产减值损失4661.08万元，调增所得税费用1165.27万元，调增净利润2054.85万元。</w:t>
            </w:r>
          </w:p>
          <w:p>
            <w:pPr>
              <w:ind w:firstLine="422" w:firstLineChars="200"/>
              <w:rPr>
                <w:rFonts w:hint="eastAsia"/>
                <w:b/>
                <w:bCs/>
                <w:lang w:val="en-US" w:eastAsia="zh-CN"/>
              </w:rPr>
            </w:pPr>
            <w:r>
              <w:rPr>
                <w:rFonts w:hint="eastAsia" w:ascii="Times New Roman" w:eastAsia="宋体"/>
                <w:b/>
                <w:bCs/>
                <w:lang w:val="en-US" w:eastAsia="zh-CN"/>
              </w:rPr>
              <w:t>二、2019年度财务报表被出具无法表示意见的审计报告</w:t>
            </w:r>
          </w:p>
          <w:p>
            <w:pPr>
              <w:ind w:firstLine="420" w:firstLineChars="200"/>
              <w:rPr>
                <w:rFonts w:hint="eastAsia"/>
                <w:b w:val="0"/>
                <w:bCs w:val="0"/>
                <w:lang w:val="en-US" w:eastAsia="zh-CN"/>
              </w:rPr>
            </w:pPr>
            <w:r>
              <w:rPr>
                <w:rFonts w:hint="eastAsia" w:ascii="Times New Roman" w:eastAsia="宋体"/>
                <w:b w:val="0"/>
                <w:bCs w:val="0"/>
                <w:lang w:val="en-US" w:eastAsia="zh-CN"/>
              </w:rPr>
              <w:t>林州重机2019年度财务报表被北京兴华会计师事务所（特殊普通合伙）（下称“兴华事务所”）出具无法表示意见的审计报告。形成无法表示意见的基础包括林州重机被中国证监会立案调查尚未有结论性意见或决定、无法判断对外担保损失金额以及担保损失的追偿金额。同时，林州重机2019年度内部控制被兴华事务所出具否定意见的审计报告。</w:t>
            </w:r>
          </w:p>
          <w:p>
            <w:pPr>
              <w:ind w:firstLine="420" w:firstLineChars="200"/>
              <w:rPr>
                <w:rFonts w:hint="eastAsia"/>
                <w:b w:val="0"/>
                <w:bCs w:val="0"/>
                <w:lang w:val="en-US" w:eastAsia="zh-CN"/>
              </w:rPr>
            </w:pPr>
            <w:r>
              <w:rPr>
                <w:rFonts w:hint="eastAsia" w:ascii="Times New Roman" w:eastAsia="宋体"/>
                <w:b w:val="0"/>
                <w:bCs w:val="0"/>
                <w:lang w:val="en-US" w:eastAsia="zh-CN"/>
              </w:rPr>
              <w:t>深交所表示，韩录云、赵正斌、郭日仓、陈景功、张复生、赵富军、李荣、吕江林作为林州重机时任的董事和监事，未能恪尽职守、履行诚信勤勉义务，违反了深交所《股票上市规则（2014年修订）》第1.4条、第2.2条、第3.1.5条，深交所《股票上市规则（2018年11月修订）》第1.4条、第2.2条、第3.1.5条的规定，对林州重机上述违规行为负有责任。</w:t>
            </w:r>
          </w:p>
          <w:p>
            <w:pPr>
              <w:ind w:firstLine="420" w:firstLineChars="200"/>
              <w:rPr>
                <w:rFonts w:hint="eastAsia"/>
                <w:b w:val="0"/>
                <w:bCs w:val="0"/>
                <w:lang w:val="en-US" w:eastAsia="zh-CN"/>
              </w:rPr>
            </w:pPr>
            <w:r>
              <w:rPr>
                <w:rFonts w:hint="eastAsia" w:ascii="Times New Roman" w:eastAsia="宋体"/>
                <w:b w:val="0"/>
                <w:bCs w:val="0"/>
                <w:lang w:val="en-US" w:eastAsia="zh-CN"/>
              </w:rPr>
              <w:t>吴凯作为林州重机时任的董事会秘书，未能恪尽职守、履行诚信勤勉义务，违反了《股票上市规则（2014年修订）》第1.4条、第2.2条、第3.1.5条、第3.2.2条，本股票上市规则（2018年11月修订）》第1.4条、第2.2条、第3.1.5条、第3.2.2条的规定，对林州重机上述违规行为负有责任。</w:t>
            </w:r>
          </w:p>
          <w:p>
            <w:pPr>
              <w:ind w:firstLine="420" w:firstLineChars="200"/>
              <w:rPr>
                <w:rFonts w:hint="eastAsia"/>
                <w:b w:val="0"/>
                <w:bCs w:val="0"/>
                <w:lang w:val="en-US" w:eastAsia="zh-CN"/>
              </w:rPr>
            </w:pPr>
            <w:r>
              <w:rPr>
                <w:rFonts w:hint="eastAsia" w:ascii="Times New Roman" w:eastAsia="宋体"/>
                <w:b w:val="0"/>
                <w:bCs w:val="0"/>
                <w:lang w:val="en-US" w:eastAsia="zh-CN"/>
              </w:rPr>
              <w:t>朱小平、宁金成作为林州重机时任的独立董事，未能恪尽职守、履行诚信勤勉义务，违反了《股票上市规则（2014年修订）》第1.4条、第2.2条、第3.1.5条的规定，对林州重机第一项违规行为负有责任。</w:t>
            </w:r>
          </w:p>
          <w:p>
            <w:pPr>
              <w:ind w:firstLine="420" w:firstLineChars="200"/>
              <w:rPr>
                <w:rFonts w:hint="eastAsia"/>
                <w:b w:val="0"/>
                <w:bCs w:val="0"/>
                <w:lang w:val="en-US" w:eastAsia="zh-CN"/>
              </w:rPr>
            </w:pPr>
            <w:r>
              <w:rPr>
                <w:rFonts w:hint="eastAsia" w:ascii="Times New Roman" w:eastAsia="宋体"/>
                <w:b w:val="0"/>
                <w:bCs w:val="0"/>
                <w:lang w:val="en-US" w:eastAsia="zh-CN"/>
              </w:rPr>
              <w:t>李伟真、楚金桥作为林州重机时任的独立董事，未能恪尽职守、履行诚信勤勉义务，违反了《股票上市规则（2018年11月修订）》第1.4条、第2.2条、第3.1.5条的规定，对林州重机第二项违规行为负有责任。</w:t>
            </w:r>
          </w:p>
          <w:p>
            <w:pPr>
              <w:ind w:firstLine="420" w:firstLineChars="200"/>
              <w:rPr>
                <w:rFonts w:hint="eastAsia"/>
                <w:b w:val="0"/>
                <w:bCs w:val="0"/>
                <w:lang w:val="en-US" w:eastAsia="zh-CN"/>
              </w:rPr>
            </w:pPr>
            <w:r>
              <w:rPr>
                <w:rFonts w:hint="eastAsia" w:ascii="Times New Roman" w:eastAsia="宋体"/>
                <w:b w:val="0"/>
                <w:bCs w:val="0"/>
                <w:lang w:val="en-US" w:eastAsia="zh-CN"/>
              </w:rPr>
              <w:t>据公开信息，*ST林重成立于2002年5月，2011年1月11日在深交所挂牌上市，主营业务为煤矿机械、防爆电器、机器人产品制造、销售、维修及租赁服务；煤炭矿井运营服务业务；铸造生铁业务；煤炭销售；商业保理业务等。目前法定代表人、实控人、第一大股东为郭现生，持股比例29.81%。</w:t>
            </w:r>
          </w:p>
          <w:p>
            <w:pPr>
              <w:rPr>
                <w:rFonts w:hint="eastAsia" w:eastAsia="宋体"/>
                <w:b/>
                <w:bCs/>
                <w:lang w:val="en-US" w:eastAsia="zh-CN"/>
              </w:rPr>
            </w:pP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rPr>
                <w:rFonts w:hint="default"/>
              </w:rPr>
            </w:pPr>
            <w:r>
              <w:t>对林州重机给予警告，并处以30万元罚款</w:t>
            </w:r>
            <w:r>
              <w:rPr>
                <w:rFonts w:hint="default"/>
              </w:rPr>
              <w:t>；</w:t>
            </w:r>
          </w:p>
          <w:p>
            <w:pPr>
              <w:ind w:firstLine="420" w:firstLineChars="200"/>
            </w:pPr>
            <w:r>
              <w:rPr>
                <w:rFonts w:hint="default"/>
              </w:rPr>
              <w:t>对董事长、法定代表人郭现生，时任董事、总经理郭钏，时任副总经理、财务负责人曹庆平给予警告，并分别处以10万元罚款。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eastAsia" w:eastAsia="宋体"/>
                <w:lang w:val="en-US" w:eastAsia="zh-CN"/>
              </w:rPr>
            </w:pPr>
            <w:r>
              <w:rPr>
                <w:rFonts w:hint="eastAsia" w:ascii="Times New Roman" w:eastAsia="宋体"/>
                <w:lang w:val="en-US" w:eastAsia="zh-CN"/>
              </w:rPr>
              <w:t>兴华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rPr>
                <w:rFonts w:hint="eastAsia"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rPr>
                <w:rFonts w:hint="eastAsia"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val="en-US" w:eastAsia="zh-CN"/>
              </w:rPr>
            </w:pPr>
            <w:r>
              <w:rPr>
                <w:rFonts w:hint="eastAsia" w:ascii="Times New Roman" w:eastAsia="宋体"/>
                <w:lang w:val="en-US" w:eastAsia="zh-CN"/>
              </w:rPr>
              <w:t>无法发表意见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val="en-US" w:eastAsia="zh-CN"/>
              </w:rPr>
            </w:pPr>
          </w:p>
        </w:tc>
      </w:tr>
    </w:tbl>
    <w:p/>
    <w:p>
      <w:pPr>
        <w:pStyle w:val="2"/>
        <w:rPr>
          <w:rFonts w:hint="default" w:eastAsia="宋体"/>
          <w:shd w:val="clear" w:color="auto" w:fill="FDFDFD"/>
          <w:lang w:val="en-US" w:eastAsia="zh-CN"/>
        </w:rPr>
      </w:pPr>
      <w:bookmarkStart w:id="29" w:name="_Toc17215"/>
      <w:r>
        <w:rPr>
          <w:rFonts w:hint="eastAsia"/>
          <w:lang w:val="en-US" w:eastAsia="zh-CN"/>
        </w:rPr>
        <w:t>1</w:t>
      </w:r>
      <w:r>
        <w:rPr>
          <w:rFonts w:hint="eastAsia"/>
        </w:rPr>
        <w:t>7</w:t>
      </w:r>
      <w:r>
        <w:rPr>
          <w:rFonts w:hint="eastAsia"/>
          <w:lang w:val="en-US" w:eastAsia="zh-CN"/>
        </w:rPr>
        <w:t xml:space="preserve"> 斯太尔</w:t>
      </w:r>
      <w:bookmarkEnd w:id="29"/>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rPr>
              <w:t>20</w:t>
            </w:r>
            <w:r>
              <w:rPr>
                <w:rFonts w:hint="eastAsia" w:ascii="Times New Roman" w:eastAsia="宋体"/>
                <w:lang w:val="en-US" w:eastAsia="zh-CN"/>
              </w:rPr>
              <w:t>14</w:t>
            </w:r>
            <w:r>
              <w:rPr>
                <w:rFonts w:hint="eastAsia"/>
              </w:rPr>
              <w:t>年</w:t>
            </w:r>
            <w:r>
              <w:rPr>
                <w:rFonts w:hint="eastAsia" w:ascii="Times New Roman" w:eastAsia="宋体"/>
                <w:lang w:val="en-US" w:eastAsia="zh-CN"/>
              </w:rPr>
              <w:t>~2016年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斯太尔动力股份有限公司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公司经营范围包括汽车配件制造、销售；经营本企业自产机电产品等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rPr>
                <w:rFonts w:hint="eastAsia"/>
              </w:rPr>
            </w:pPr>
            <w:r>
              <w:tab/>
            </w:r>
            <w:r>
              <w:rPr>
                <w:rFonts w:hint="default"/>
                <w:lang w:val="en-US" w:eastAsia="zh-CN"/>
              </w:rPr>
              <w:t>斯太尔动力股份有限公司于1994年6月14日在</w:t>
            </w:r>
            <w:r>
              <w:rPr>
                <w:rFonts w:hint="default"/>
                <w:lang w:val="en-US" w:eastAsia="zh-CN"/>
              </w:rPr>
              <w:fldChar w:fldCharType="begin"/>
            </w:r>
            <w:r>
              <w:rPr>
                <w:rFonts w:hint="default"/>
                <w:lang w:val="en-US" w:eastAsia="zh-CN"/>
              </w:rPr>
              <w:instrText xml:space="preserve"> HYPERLINK "https://baike.baidu.com/item/%E6%B9%96%E5%8C%97%E7%9C%81%E5%B7%A5%E5%95%86%E8%A1%8C%E6%94%BF%E7%AE%A1%E7%90%86%E5%B1%80/2195966" \t "https://baike.baidu.com/item/%E6%96%AF%E5%A4%AA%E5%B0%94%E5%8A%A8%E5%8A%9B%E8%82%A1%E4%BB%BD%E6%9C%89%E9%99%90%E5%85%AC%E5%8F%B8/_blank" </w:instrText>
            </w:r>
            <w:r>
              <w:rPr>
                <w:rFonts w:hint="default"/>
                <w:lang w:val="en-US" w:eastAsia="zh-CN"/>
              </w:rPr>
              <w:fldChar w:fldCharType="separate"/>
            </w:r>
            <w:r>
              <w:rPr>
                <w:rFonts w:hint="default"/>
              </w:rPr>
              <w:t>湖北省工商行政管理局</w:t>
            </w:r>
            <w:r>
              <w:rPr>
                <w:rFonts w:hint="default"/>
                <w:lang w:val="en-US" w:eastAsia="zh-CN"/>
              </w:rPr>
              <w:fldChar w:fldCharType="end"/>
            </w:r>
            <w:r>
              <w:rPr>
                <w:rFonts w:hint="default"/>
                <w:lang w:val="en-US" w:eastAsia="zh-CN"/>
              </w:rPr>
              <w:t>登记成立，法定代表人刘晓疆。</w:t>
            </w:r>
          </w:p>
          <w:p>
            <w:pPr>
              <w:rPr>
                <w:rFonts w:hint="default"/>
              </w:rPr>
            </w:pPr>
            <w:r>
              <w:rPr>
                <w:rFonts w:hint="default"/>
                <w:lang w:val="en-US" w:eastAsia="zh-CN"/>
              </w:rPr>
              <w:t>2021年6月2日，深交所决定对*ST斯太实施重大违法强制退市，公司股票终止上市。</w:t>
            </w:r>
          </w:p>
          <w:p>
            <w:pPr>
              <w:rPr>
                <w:rFonts w:hint="default"/>
              </w:rPr>
            </w:pPr>
            <w:r>
              <w:rPr>
                <w:rFonts w:hint="default"/>
                <w:lang w:val="en-US" w:eastAsia="zh-CN"/>
              </w:rPr>
              <w:t>2021年6月10日，深市公司*ST斯太在被依法依规作出终止上市决定后，股票正式进入退市整理期交易，这家“新德隆系”公司退出资本市场舞台已成定局。</w:t>
            </w:r>
          </w:p>
          <w:p/>
          <w:p/>
          <w:p/>
          <w:p>
            <w:pPr>
              <w:rPr>
                <w:b/>
              </w:rPr>
            </w:pPr>
            <w:r>
              <w:rPr>
                <w:rFonts w:hint="eastAsia"/>
                <w:b/>
              </w:rPr>
              <w:t>【案情背景</w:t>
            </w:r>
            <w:r>
              <w:rPr>
                <w:b/>
              </w:rPr>
              <w:t>】</w:t>
            </w:r>
          </w:p>
          <w:p>
            <w:pPr>
              <w:rPr>
                <w:b/>
                <w:sz w:val="20"/>
                <w:szCs w:val="21"/>
              </w:rPr>
            </w:pPr>
            <w:r>
              <w:rPr>
                <w:b/>
              </w:rPr>
              <w:tab/>
            </w:r>
            <w:r>
              <w:rPr>
                <w:rFonts w:hint="eastAsia" w:ascii="Times New Roman" w:eastAsia="宋体"/>
                <w:b w:val="0"/>
                <w:bCs w:val="0"/>
                <w:lang w:val="en-US" w:eastAsia="zh-CN"/>
              </w:rPr>
              <w:t>2020年</w:t>
            </w:r>
            <w:r>
              <w:rPr>
                <w:rFonts w:hint="eastAsia"/>
                <w:b w:val="0"/>
                <w:bCs w:val="0"/>
              </w:rPr>
              <w:t>6月3日晚间，*ST斯太发布公告，其收到证监会下发的《行政处罚及市场禁入事先告知书》，公司股票可能被实施重大违法强制退市。2014年至2016年，*ST斯太通过虚增营业收入、利润以及等方式将年报中的亏损披露为盈利。</w:t>
            </w:r>
          </w:p>
          <w:p>
            <w:pPr>
              <w:rPr>
                <w:b/>
              </w:rPr>
            </w:pPr>
          </w:p>
          <w:p>
            <w:pPr>
              <w:rPr>
                <w:b/>
              </w:rPr>
            </w:pPr>
          </w:p>
          <w:p>
            <w:pPr>
              <w:rPr>
                <w:b/>
              </w:rPr>
            </w:pPr>
            <w:r>
              <w:rPr>
                <w:rFonts w:hint="eastAsia"/>
                <w:b/>
              </w:rPr>
              <w:t>【案情描述】</w:t>
            </w:r>
          </w:p>
          <w:p>
            <w:pPr>
              <w:rPr>
                <w:rFonts w:hint="eastAsia"/>
                <w:b/>
                <w:bCs/>
              </w:rPr>
            </w:pPr>
            <w:r>
              <w:rPr>
                <w:b/>
                <w:bCs/>
              </w:rPr>
              <w:tab/>
            </w:r>
            <w:r>
              <w:rPr>
                <w:rFonts w:hint="default"/>
                <w:b/>
                <w:bCs/>
              </w:rPr>
              <w:t>斯太尔2014-2016 年年度报告的财务数据存在虚假记载</w:t>
            </w:r>
          </w:p>
          <w:p>
            <w:pPr>
              <w:ind w:firstLine="422" w:firstLineChars="200"/>
              <w:rPr>
                <w:rFonts w:hint="default"/>
                <w:b/>
                <w:bCs/>
              </w:rPr>
            </w:pPr>
            <w:r>
              <w:rPr>
                <w:rFonts w:hint="default"/>
                <w:b/>
                <w:bCs/>
              </w:rPr>
              <w:t>一</w:t>
            </w:r>
            <w:r>
              <w:rPr>
                <w:rFonts w:hint="eastAsia" w:eastAsia="宋体"/>
                <w:b/>
                <w:bCs/>
                <w:lang w:eastAsia="zh-CN"/>
              </w:rPr>
              <w:t>、</w:t>
            </w:r>
            <w:r>
              <w:rPr>
                <w:rFonts w:hint="default"/>
                <w:b/>
                <w:bCs/>
              </w:rPr>
              <w:t>2014 年年度报告虚增营业收入及利润</w:t>
            </w:r>
          </w:p>
          <w:p>
            <w:pPr>
              <w:ind w:firstLine="420" w:firstLineChars="200"/>
              <w:rPr>
                <w:rFonts w:hint="default"/>
                <w:b w:val="0"/>
                <w:bCs w:val="0"/>
              </w:rPr>
            </w:pPr>
            <w:r>
              <w:rPr>
                <w:rFonts w:hint="default"/>
                <w:b w:val="0"/>
                <w:bCs w:val="0"/>
              </w:rPr>
              <w:t>2015 年 4 月 30 日，斯太尔公告《2014 年年度报告》，对外披露 2014 年度营业收入 74,073.20 万元，利润总额 2,249.98 万元，净利润 984.69 万元。</w:t>
            </w:r>
          </w:p>
          <w:p>
            <w:pPr>
              <w:ind w:firstLine="420" w:firstLineChars="200"/>
              <w:rPr>
                <w:rFonts w:hint="default"/>
                <w:b w:val="0"/>
                <w:bCs w:val="0"/>
              </w:rPr>
            </w:pPr>
            <w:r>
              <w:rPr>
                <w:rFonts w:hint="default"/>
                <w:b w:val="0"/>
                <w:bCs w:val="0"/>
              </w:rPr>
              <w:t>经查，斯太尔通过虚构技术许可业务，将武进国家高新技术产业开发区管理委员会（以下简称武进高新区管委会）拨付的 1 亿元用于斯太尔柴油发动机项目的专项扶持资金，以子公司斯太尔动力（江苏）投资有限公司（以下简称江苏斯太尔）EM11 柴油发动机专有技术许可收入入账，并在扣除税金后确认为主营业务收入，据此虚增 2014 年度营业收入 9,433.96 万元，虚增利润总额 9,433.96 万元，虚增净利润 7,075.47 万元，并导致斯太尔在 2014 年年度报告中将亏损披露为盈利。</w:t>
            </w:r>
          </w:p>
          <w:p>
            <w:pPr>
              <w:ind w:firstLine="422" w:firstLineChars="200"/>
              <w:rPr>
                <w:rFonts w:hint="default"/>
                <w:b/>
                <w:bCs/>
              </w:rPr>
            </w:pPr>
            <w:r>
              <w:rPr>
                <w:rFonts w:hint="default"/>
                <w:b/>
                <w:bCs/>
              </w:rPr>
              <w:t>二</w:t>
            </w:r>
            <w:r>
              <w:rPr>
                <w:rFonts w:hint="eastAsia" w:eastAsia="宋体"/>
                <w:b/>
                <w:bCs/>
                <w:lang w:eastAsia="zh-CN"/>
              </w:rPr>
              <w:t>、</w:t>
            </w:r>
            <w:r>
              <w:rPr>
                <w:rFonts w:hint="default"/>
                <w:b/>
                <w:bCs/>
              </w:rPr>
              <w:t>2015 年年度报告虚减营业外收入及利润</w:t>
            </w:r>
          </w:p>
          <w:p>
            <w:pPr>
              <w:ind w:firstLine="420" w:firstLineChars="200"/>
              <w:rPr>
                <w:rFonts w:hint="default"/>
                <w:b w:val="0"/>
                <w:bCs w:val="0"/>
              </w:rPr>
            </w:pPr>
            <w:r>
              <w:rPr>
                <w:rFonts w:hint="default"/>
                <w:b w:val="0"/>
                <w:bCs w:val="0"/>
              </w:rPr>
              <w:t>2016 年 3 月 18 日，斯太尔公告《2015 年年度报告》，对外披露 2015 年度营业收入 34,657.52 万元，利润总额-20,490.32 万元，净利润-19,493.88 万元。</w:t>
            </w:r>
          </w:p>
          <w:p>
            <w:pPr>
              <w:ind w:firstLine="420" w:firstLineChars="200"/>
              <w:rPr>
                <w:rFonts w:hint="default"/>
                <w:b w:val="0"/>
                <w:bCs w:val="0"/>
              </w:rPr>
            </w:pPr>
            <w:r>
              <w:rPr>
                <w:rFonts w:hint="default"/>
                <w:b w:val="0"/>
                <w:bCs w:val="0"/>
              </w:rPr>
              <w:t>经查，斯太尔通过变更政府奖励款受益人的方式，将武进高新区管委会应付常州斯太尔的 8,050 万元政府奖励款实际支付给其他公司。斯太尔 2015 年报未披露上述事项，造成虚减 2015 年度营业外收入 8,050 万元，虚减利润总额 8,050</w:t>
            </w:r>
          </w:p>
          <w:p>
            <w:pPr>
              <w:rPr>
                <w:rFonts w:hint="default"/>
                <w:b w:val="0"/>
                <w:bCs w:val="0"/>
              </w:rPr>
            </w:pPr>
            <w:r>
              <w:rPr>
                <w:rFonts w:hint="default"/>
                <w:b w:val="0"/>
                <w:bCs w:val="0"/>
              </w:rPr>
              <w:t>万元。</w:t>
            </w:r>
          </w:p>
          <w:p>
            <w:pPr>
              <w:ind w:firstLine="422" w:firstLineChars="200"/>
              <w:rPr>
                <w:rFonts w:hint="default"/>
                <w:b/>
                <w:bCs/>
              </w:rPr>
            </w:pPr>
            <w:r>
              <w:rPr>
                <w:rFonts w:hint="default"/>
                <w:b/>
                <w:bCs/>
              </w:rPr>
              <w:t>三</w:t>
            </w:r>
            <w:r>
              <w:rPr>
                <w:rFonts w:hint="eastAsia" w:eastAsia="宋体"/>
                <w:b/>
                <w:bCs/>
                <w:lang w:eastAsia="zh-CN"/>
              </w:rPr>
              <w:t>、</w:t>
            </w:r>
            <w:r>
              <w:rPr>
                <w:rFonts w:hint="default"/>
                <w:b/>
                <w:bCs/>
              </w:rPr>
              <w:t>2016 年年度报告虚增营业收入及利润</w:t>
            </w:r>
          </w:p>
          <w:p>
            <w:pPr>
              <w:ind w:firstLine="420" w:firstLineChars="200"/>
              <w:rPr>
                <w:rFonts w:hint="default"/>
                <w:b w:val="0"/>
                <w:bCs w:val="0"/>
              </w:rPr>
            </w:pPr>
            <w:r>
              <w:rPr>
                <w:rFonts w:hint="default"/>
                <w:b w:val="0"/>
                <w:bCs w:val="0"/>
              </w:rPr>
              <w:t>2017 年 4 月 28 日，斯太尔公告《2016 年年度报告》，对外披露 2016 年度营业收入 35,640.67 万元，利润总额 7,680.42 万元，净利润 4,374.78 万元。</w:t>
            </w:r>
          </w:p>
          <w:p>
            <w:pPr>
              <w:ind w:firstLine="420" w:firstLineChars="200"/>
              <w:rPr>
                <w:rFonts w:hint="default"/>
                <w:b w:val="0"/>
                <w:bCs w:val="0"/>
              </w:rPr>
            </w:pPr>
            <w:r>
              <w:rPr>
                <w:rFonts w:hint="default"/>
                <w:b w:val="0"/>
                <w:bCs w:val="0"/>
              </w:rPr>
              <w:t>经查，斯太尔通过虚构技术许可业务，将其从江苏中关村科技产业园管理委员会预收 2 亿元政府奖励资金，包装成子公司江苏斯太尔的三款非道路柴油发动机技术许可收入，虚增 2016 年度营业收入 18,867.92 万元，扣除相关成本后虚增利润总额 18,847.72 万元，虚增净利润 14,135.79 万元，并导致斯太尔在 2016 年年度报告中将亏损披露为盈利。</w:t>
            </w:r>
          </w:p>
          <w:p>
            <w:pPr>
              <w:ind w:firstLine="420" w:firstLineChars="200"/>
              <w:rPr>
                <w:rFonts w:hint="default"/>
                <w:b w:val="0"/>
                <w:bCs w:val="0"/>
              </w:rPr>
            </w:pPr>
          </w:p>
          <w:p>
            <w:pPr>
              <w:ind w:firstLine="422" w:firstLineChars="200"/>
              <w:rPr>
                <w:rFonts w:hint="eastAsia"/>
                <w:b w:val="0"/>
                <w:bCs w:val="0"/>
              </w:rPr>
            </w:pPr>
            <w:r>
              <w:rPr>
                <w:rFonts w:hint="eastAsia" w:ascii="Times New Roman" w:eastAsia="宋体"/>
                <w:b/>
                <w:bCs/>
                <w:lang w:val="en-US" w:eastAsia="zh-CN"/>
              </w:rPr>
              <w:t>四、</w:t>
            </w:r>
            <w:r>
              <w:rPr>
                <w:rFonts w:hint="eastAsia"/>
                <w:b/>
                <w:bCs/>
              </w:rPr>
              <w:t>斯</w:t>
            </w:r>
            <w:r>
              <w:rPr>
                <w:rFonts w:hint="eastAsia" w:ascii="Times New Roman" w:eastAsia="宋体"/>
                <w:b/>
                <w:bCs/>
                <w:lang w:val="en-US" w:eastAsia="zh-CN"/>
              </w:rPr>
              <w:t>尔</w:t>
            </w:r>
            <w:r>
              <w:rPr>
                <w:rFonts w:hint="eastAsia"/>
                <w:b/>
                <w:bCs/>
              </w:rPr>
              <w:t>太对实际控制人披露不当</w:t>
            </w:r>
          </w:p>
          <w:p>
            <w:pPr>
              <w:ind w:firstLine="420" w:firstLineChars="200"/>
              <w:rPr>
                <w:rFonts w:hint="eastAsia"/>
                <w:b w:val="0"/>
                <w:bCs w:val="0"/>
              </w:rPr>
            </w:pPr>
            <w:r>
              <w:rPr>
                <w:rFonts w:hint="eastAsia"/>
                <w:b w:val="0"/>
                <w:bCs w:val="0"/>
              </w:rPr>
              <w:t>据2014年度报告披露，自2013年12月10日起，公司的控股股东变更为山东英达钢结构有限公司（以下简称：英达钢构），实际控制人为英达钢构董事长冯文杰。然而，经证监会立案调查发现，唐万新、唐万川、张业光通过主导*ST斯太非公开发行、与投资人约定收益分成、实际承担业绩补偿、派驻管理团队控制董事会和管理层等方式，取得了公司的经营管理权，能够实际支配公司的行为，是斯太尔的实际控制人。</w:t>
            </w:r>
          </w:p>
          <w:p>
            <w:pPr>
              <w:ind w:firstLine="420" w:firstLineChars="200"/>
              <w:rPr>
                <w:rFonts w:hint="eastAsia"/>
                <w:b w:val="0"/>
                <w:bCs w:val="0"/>
              </w:rPr>
            </w:pPr>
            <w:r>
              <w:rPr>
                <w:rFonts w:hint="eastAsia"/>
                <w:b w:val="0"/>
                <w:bCs w:val="0"/>
              </w:rPr>
              <w:t>令人震惊的是，唐万新、唐万川、张业光三人，如果不是全都同名同姓，那他们就是曾经叱咤中国资本市场的“德隆系”的核心成员。1992年，唐万新成立新疆德隆实业公司（以下简称：新疆德隆），随后参股新疆金融租赁有限公司（以下简称：新疆租赁）作为融资平台。1996年至1997年，新疆德隆相继坐庄新疆屯河（现用名：中粮糖业，证券代码：600737.SH）、合金股份（现用名：合金投资，证券代码：000633.SZ）和湘火炬（已退市，曾用证券代码：000549.SZ）。三年期间内，三只股票价格大涨。其后，新疆德隆进一步控制了金新信托、德恒证券、恒信证券、中富证券等证券公司和昆明商业银行、株洲商业银行、南昌商业银行等商业银行，将其作为提款机，挪用大量资产。</w:t>
            </w:r>
          </w:p>
          <w:p>
            <w:pPr>
              <w:ind w:firstLine="420" w:firstLineChars="200"/>
              <w:rPr>
                <w:rFonts w:hint="eastAsia"/>
                <w:b w:val="0"/>
                <w:bCs w:val="0"/>
              </w:rPr>
            </w:pPr>
            <w:r>
              <w:rPr>
                <w:rFonts w:hint="eastAsia"/>
                <w:b w:val="0"/>
                <w:bCs w:val="0"/>
              </w:rPr>
              <w:t>值得一提的是，当年唐万新就曾以委托控股的隐蔽收购模式躲避监管，即用客户的委托理财资金收购金融机构股权，但实际由新疆德隆持有，似乎与这些年隐居于*ST斯太幕后的做法如出一辙。2004年，随着新疆屯河、合金股份和湘火炬股票全面跌停，“德隆系”的资本神话彻底破灭。2006年，唐万新因非法吸收公众存款罪和操纵证券交易价格罪，被判处有期徒刑8年。</w:t>
            </w:r>
          </w:p>
          <w:p>
            <w:pPr>
              <w:ind w:firstLine="420" w:firstLineChars="200"/>
              <w:rPr>
                <w:b w:val="0"/>
                <w:bCs w:val="0"/>
              </w:rPr>
            </w:pPr>
            <w:r>
              <w:rPr>
                <w:rFonts w:hint="eastAsia"/>
                <w:b w:val="0"/>
                <w:bCs w:val="0"/>
              </w:rPr>
              <w:t>据唐万新入狱前供认，“德隆系”的魔爪还伸向了祁连山（证券代码：600720.SH）、三峡水利（证券代码：600116.SH）、秦丰农业（现用名：延长化建，证券代码：600248.SH）、亚华种业（现用名：嘉凯城，证券代码：000918.SZ）、人福科技（现用名：人福医药，证券代码：600079.SH）、青岛双星（证券代码：000599.SZ）、华北制药（证券代码：600812.SH）等股票。而随着*ST斯太财务造假被揭开，其幕后消失多年的“德隆系”也再度浮出水面。</w:t>
            </w: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pPr>
            <w:r>
              <w:rPr>
                <w:rFonts w:hint="eastAsia"/>
              </w:rPr>
              <w:t>一、对斯太尔动力股份有限公司责令改正，给予警告，并处以60万元罚款；</w:t>
            </w:r>
          </w:p>
          <w:p>
            <w:pPr>
              <w:rPr>
                <w:rFonts w:hint="eastAsia"/>
              </w:rPr>
            </w:pPr>
            <w:r>
              <w:rPr>
                <w:rFonts w:hint="eastAsia"/>
              </w:rPr>
              <w:t>　　二、对刘晓疆、吴晓白给予警告，并分别处以30万元罚款；</w:t>
            </w:r>
          </w:p>
          <w:p>
            <w:pPr>
              <w:rPr>
                <w:rFonts w:hint="eastAsia"/>
              </w:rPr>
            </w:pPr>
            <w:r>
              <w:rPr>
                <w:rFonts w:hint="eastAsia"/>
              </w:rPr>
              <w:t>　　三、对孙琛、姚炯给予警告，并分别处以15万元罚款；</w:t>
            </w:r>
          </w:p>
          <w:p>
            <w:pPr>
              <w:rPr>
                <w:rFonts w:hint="eastAsia"/>
              </w:rPr>
            </w:pPr>
            <w:r>
              <w:rPr>
                <w:rFonts w:hint="eastAsia"/>
              </w:rPr>
              <w:t>　　四、对冯文杰、邹书航、李晓振、高立用、陈序才、王茜、王厚斌、邓娟娟、刘一民、伊浩风、楼新芳给予警告，并分别处以5万元罚款；</w:t>
            </w:r>
          </w:p>
          <w:p>
            <w:pPr>
              <w:rPr>
                <w:rFonts w:hint="eastAsia"/>
              </w:rPr>
            </w:pPr>
            <w:r>
              <w:rPr>
                <w:rFonts w:hint="eastAsia"/>
              </w:rPr>
              <w:t>　　五、对唐万新、张业光、唐万川给予警告，并分别处以60万元罚款。</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中兴财光华会计事务所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rPr>
                <w:rFonts w:hint="eastAsia"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ind w:firstLine="420" w:firstLineChars="200"/>
              <w:rPr>
                <w:rFonts w:hint="eastAsia"/>
              </w:rPr>
            </w:pPr>
            <w:r>
              <w:rPr>
                <w:rFonts w:hint="eastAsia"/>
              </w:rPr>
              <w:t>2019年10月15日，湖北证监局向本所送达了中国证券监督管理委员会《调查通知书》（鄂证调查字2019075号），就本所承做的斯太尔动力股份有限公司2016年年报审计项目因涉嫌违反证券法律法规予以立案调查。本所仅为斯太尔动力股份有限公司提供年报审计服务，未提供重大资产重组、再融资等其他类型服务。且自2018年始不再为其提供任何审计服务。该案件目前正在调查过程之中。涉及此案件的签字注册会计师为杨海龙、王雅栋，未参与发行人审计工作。</w:t>
            </w:r>
          </w:p>
          <w:p>
            <w:pPr>
              <w:ind w:firstLine="420" w:firstLineChars="200"/>
              <w:rPr>
                <w:rFonts w:hint="eastAsia"/>
              </w:rPr>
            </w:pPr>
            <w:r>
              <w:rPr>
                <w:rFonts w:hint="eastAsia"/>
              </w:rPr>
              <w:t>发行人签字注册会计师赵丽红、冯建刚也未参与该立案调查项目的审计工作。</w:t>
            </w:r>
          </w:p>
          <w:p>
            <w:pPr>
              <w:ind w:firstLine="420" w:firstLineChars="200"/>
            </w:pPr>
            <w:r>
              <w:rPr>
                <w:rFonts w:hint="eastAsia"/>
              </w:rPr>
              <w:t>除前述行政处罚、立案调查情况外，自通过发审会后，本所未受到其他行政处罚，也不存在其他被立案调查的情形。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val="en-US" w:eastAsia="zh-CN"/>
              </w:rPr>
            </w:pPr>
            <w:r>
              <w:rPr>
                <w:rFonts w:hint="eastAsia" w:ascii="Times New Roman" w:eastAsia="宋体"/>
                <w:lang w:val="en-US" w:eastAsia="zh-CN"/>
              </w:rPr>
              <w:t>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tc>
      </w:tr>
    </w:tbl>
    <w:p/>
    <w:p>
      <w:pPr>
        <w:pStyle w:val="2"/>
        <w:rPr>
          <w:rFonts w:hint="default" w:eastAsia="宋体"/>
          <w:lang w:val="en-US" w:eastAsia="zh-CN"/>
        </w:rPr>
      </w:pPr>
      <w:bookmarkStart w:id="30" w:name="_Toc8731"/>
      <w:r>
        <w:rPr>
          <w:rFonts w:hint="eastAsia"/>
          <w:lang w:val="en-US" w:eastAsia="zh-CN"/>
        </w:rPr>
        <w:t>1</w:t>
      </w:r>
      <w:r>
        <w:rPr>
          <w:rFonts w:hint="eastAsia"/>
        </w:rPr>
        <w:t>8</w:t>
      </w:r>
      <w:r>
        <w:rPr>
          <w:rFonts w:hint="eastAsia"/>
          <w:lang w:val="en-US" w:eastAsia="zh-CN"/>
        </w:rPr>
        <w:t xml:space="preserve"> 宁波东力</w:t>
      </w:r>
      <w:bookmarkEnd w:id="30"/>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rPr>
              <w:t>20</w:t>
            </w:r>
            <w:r>
              <w:rPr>
                <w:rFonts w:hint="eastAsia" w:ascii="Times New Roman" w:eastAsia="宋体"/>
                <w:lang w:val="en-US" w:eastAsia="zh-CN"/>
              </w:rPr>
              <w:t>16</w:t>
            </w:r>
            <w:r>
              <w:rPr>
                <w:rFonts w:hint="eastAsia"/>
              </w:rPr>
              <w:t>年</w:t>
            </w:r>
            <w:r>
              <w:rPr>
                <w:rFonts w:hint="eastAsia" w:ascii="Times New Roman" w:eastAsia="宋体"/>
                <w:lang w:val="en-US" w:eastAsia="zh-CN"/>
              </w:rPr>
              <w:t>~2018年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宁波东力传动设备股份有限公司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各类高精度工业齿轮箱、电动机、联轴器以及相关大型成套设备研发、设计和制造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r>
              <w:tab/>
            </w:r>
            <w:r>
              <w:rPr>
                <w:rFonts w:hint="eastAsia"/>
              </w:rPr>
              <w:t>公司是一家从事各类高精度工业齿轮箱、电动机、联轴器以及相关大型成套设备研发、设计和制造的国家级重点</w:t>
            </w:r>
            <w:r>
              <w:rPr>
                <w:rFonts w:hint="default"/>
              </w:rPr>
              <w:fldChar w:fldCharType="begin"/>
            </w:r>
            <w:r>
              <w:rPr>
                <w:rFonts w:hint="default"/>
              </w:rPr>
              <w:instrText xml:space="preserve"> HYPERLINK "https://baike.baidu.com/item/%E9%AB%98%E6%96%B0%E6%8A%80%E6%9C%AF%E4%BC%81%E4%B8%9A/3673778" \t "https://baike.baidu.com/item/%E5%AE%81%E6%B3%A2%E4%B8%9C%E5%8A%9B%E4%BC%A0%E5%8A%A8%E8%AE%BE%E5%A4%87%E8%82%A1%E4%BB%BD%E6%9C%89%E9%99%90%E5%85%AC%E5%8F%B8/_blank" </w:instrText>
            </w:r>
            <w:r>
              <w:rPr>
                <w:rFonts w:hint="default"/>
              </w:rPr>
              <w:fldChar w:fldCharType="separate"/>
            </w:r>
            <w:r>
              <w:rPr>
                <w:rFonts w:hint="default"/>
              </w:rPr>
              <w:t>高新技术企业</w:t>
            </w:r>
            <w:r>
              <w:rPr>
                <w:rFonts w:hint="default"/>
              </w:rPr>
              <w:fldChar w:fldCharType="end"/>
            </w:r>
            <w:r>
              <w:rPr>
                <w:rFonts w:hint="default"/>
              </w:rPr>
              <w:t>；公司在宁波拥有19万平米的生产基地，分布于市科技园区、江北投资创业园区及江东仇毕工业园区。</w:t>
            </w:r>
          </w:p>
          <w:p/>
          <w:p/>
          <w:p>
            <w:pPr>
              <w:rPr>
                <w:b/>
              </w:rPr>
            </w:pPr>
            <w:r>
              <w:rPr>
                <w:rFonts w:hint="eastAsia"/>
                <w:b/>
              </w:rPr>
              <w:t>【案情背景</w:t>
            </w:r>
            <w:r>
              <w:rPr>
                <w:b/>
              </w:rPr>
              <w:t>】</w:t>
            </w:r>
          </w:p>
          <w:p>
            <w:pPr>
              <w:rPr>
                <w:b/>
              </w:rPr>
            </w:pPr>
            <w:r>
              <w:rPr>
                <w:b/>
              </w:rPr>
              <w:tab/>
            </w:r>
            <w:r>
              <w:rPr>
                <w:rFonts w:hint="eastAsia"/>
                <w:b w:val="0"/>
                <w:bCs/>
              </w:rPr>
              <w:t>2014年7月至2018年3月，年富供应链存在虚增营业收入、利润，虚增应收款项，隐瞒关联关系及关联交易等行为。年富供应链向宁波东力提供了含有上述虚假信息的财务报表，导致宁波东力2016年12月13日披露的《深圳市年富供应链有限公司审计报告及财务报表（2014年1月1日至 2016年9月30日止）》（以下简称《审计报告及财务报表》）和《交易报告书（草案）》、2017年7月15日披露的《交易报告书（修订稿）》、2018年4月26日披露的2017年年度报告和2018年第一季度报告存在虚假记载，2017年年度报告存在重大遗漏。</w:t>
            </w:r>
          </w:p>
          <w:p>
            <w:pPr>
              <w:rPr>
                <w:b/>
              </w:rPr>
            </w:pPr>
          </w:p>
          <w:p>
            <w:pPr>
              <w:rPr>
                <w:b/>
              </w:rPr>
            </w:pPr>
          </w:p>
          <w:p>
            <w:pPr>
              <w:rPr>
                <w:b/>
              </w:rPr>
            </w:pPr>
            <w:r>
              <w:rPr>
                <w:rFonts w:hint="eastAsia"/>
                <w:b/>
              </w:rPr>
              <w:t>【案情描述】</w:t>
            </w:r>
          </w:p>
          <w:p>
            <w:pPr>
              <w:rPr>
                <w:rFonts w:hint="eastAsia"/>
                <w:b w:val="0"/>
                <w:bCs w:val="0"/>
              </w:rPr>
            </w:pPr>
            <w:r>
              <w:rPr>
                <w:b/>
                <w:bCs/>
              </w:rPr>
              <w:tab/>
            </w:r>
            <w:r>
              <w:rPr>
                <w:rFonts w:hint="eastAsia" w:ascii="Times New Roman" w:eastAsia="宋体"/>
                <w:b/>
                <w:bCs/>
                <w:sz w:val="22"/>
                <w:szCs w:val="24"/>
                <w:lang w:val="en-US" w:eastAsia="zh-CN"/>
              </w:rPr>
              <w:t>一、</w:t>
            </w:r>
            <w:r>
              <w:rPr>
                <w:rFonts w:hint="default"/>
                <w:b/>
                <w:bCs/>
                <w:sz w:val="22"/>
                <w:szCs w:val="24"/>
              </w:rPr>
              <w:t>年富供应链虚增出口代理服务费收入和利润</w:t>
            </w:r>
          </w:p>
          <w:p>
            <w:pPr>
              <w:ind w:firstLine="420" w:firstLineChars="200"/>
              <w:rPr>
                <w:rFonts w:hint="default"/>
                <w:b w:val="0"/>
                <w:bCs w:val="0"/>
              </w:rPr>
            </w:pPr>
            <w:r>
              <w:rPr>
                <w:rFonts w:hint="default"/>
                <w:b w:val="0"/>
                <w:bCs w:val="0"/>
              </w:rPr>
              <w:t>年富供应链总额法计价的出口业务涉及三个环节：一是内贸环节，境内客户将货物以出口委托价出售给年富供应链;二是出口环节，年富供应链将前述货物以报关价出售给年富供应链的香港子公司升达（香港）有限责任公司（以下简称升达）或香港孙公司联富国际发展有限责任公司（以下简称联富）；三是外贸环节，升达或联富再将前述货物以境外销售价销售给客户的境外子公司或关联方。正常的业务模式下,报关价和境外销售价均等于出口委托价，代理服务费按照出口报关金额的一定比例收取。</w:t>
            </w:r>
          </w:p>
          <w:p>
            <w:pPr>
              <w:ind w:firstLine="420" w:firstLineChars="200"/>
              <w:rPr>
                <w:rFonts w:hint="default"/>
                <w:b w:val="0"/>
                <w:bCs w:val="0"/>
              </w:rPr>
            </w:pPr>
            <w:r>
              <w:rPr>
                <w:rFonts w:hint="default"/>
                <w:b w:val="0"/>
                <w:bCs w:val="0"/>
              </w:rPr>
              <w:t>经查，2014年7月至2018年3月，在与锐嘉科集团有限公司（以下简称锐嘉科）的出口业务中，年富供应链虚构《补充协议》和《境外供应链服务协议》，在出口环节以服务费的名义，将货物（仅整机，不含物料）的价格在出口委托价的基础上虚增1%、3%或5%,形成报关价。</w:t>
            </w:r>
          </w:p>
          <w:p>
            <w:pPr>
              <w:ind w:firstLine="420" w:firstLineChars="200"/>
              <w:rPr>
                <w:rFonts w:hint="default"/>
                <w:b w:val="0"/>
                <w:bCs w:val="0"/>
              </w:rPr>
            </w:pPr>
            <w:r>
              <w:rPr>
                <w:rFonts w:hint="default"/>
                <w:b w:val="0"/>
                <w:bCs w:val="0"/>
              </w:rPr>
              <w:t>在外贸环节以服务费的名义，将全部货物的价格在报关价的基础上虚增1.95%,形成境外销售价。境外销售价与出口委托价之差为虚增收入，虚增收入等于虚增利润。其中，2014年虚增营业利润3,627.41万元，2015年虚增营业利润9,114.41万元，2016年虚增营业利润3,181.41万元,2017年虚增营业利润1,352.71万元，2018年1至3月虚增营业利润104.59万元。</w:t>
            </w:r>
          </w:p>
          <w:p>
            <w:pPr>
              <w:ind w:firstLine="420" w:firstLineChars="200"/>
              <w:rPr>
                <w:rFonts w:hint="default"/>
                <w:b w:val="0"/>
                <w:bCs w:val="0"/>
              </w:rPr>
            </w:pPr>
            <w:r>
              <w:rPr>
                <w:rFonts w:hint="default"/>
                <w:b w:val="0"/>
                <w:bCs w:val="0"/>
              </w:rPr>
              <w:t>2016年12月至2018年3月，在与贵州财富之舟科技有限公司（以下简称贵州财富）的出口业务中，年富供应链在外贸环节虚增境外销售价格，其中2017年9月至11月还在出口环节虚增报关价格，由此虚增对贵州财富的出口代理服务收入，虚增收入等于虚增利润。其中，2017年虚增营业利润5,468.21万元，2018年1至3月虚增营业利润1,599.86万元。</w:t>
            </w:r>
          </w:p>
          <w:p>
            <w:pPr>
              <w:ind w:firstLine="420" w:firstLineChars="200"/>
              <w:rPr>
                <w:rFonts w:hint="default"/>
                <w:b w:val="0"/>
                <w:bCs w:val="0"/>
              </w:rPr>
            </w:pPr>
            <w:r>
              <w:rPr>
                <w:rFonts w:hint="default"/>
                <w:b w:val="0"/>
                <w:bCs w:val="0"/>
              </w:rPr>
              <w:t>2016年7月至2018年3月，在与遵义市水世界科技有限公司（以下简称水世界）的出口代理业务中，年富供应链在外贸环节虚增境外销售价格，由此虚增对水世界的出口代理服务收入，虚增收入等于虚增利润。其中，2016年虚增营业利润1,745.52万元，2017年虚增营业利润3,236.17万元，2018年1至3月虚增营业利润928.57万元。</w:t>
            </w:r>
          </w:p>
          <w:p>
            <w:pPr>
              <w:ind w:firstLine="442" w:firstLineChars="200"/>
              <w:rPr>
                <w:rFonts w:hint="default"/>
                <w:b/>
                <w:bCs/>
                <w:sz w:val="22"/>
                <w:szCs w:val="24"/>
              </w:rPr>
            </w:pPr>
            <w:r>
              <w:rPr>
                <w:rFonts w:hint="eastAsia" w:ascii="Times New Roman" w:eastAsia="宋体"/>
                <w:b/>
                <w:bCs/>
                <w:sz w:val="22"/>
                <w:szCs w:val="24"/>
                <w:lang w:val="en-US" w:eastAsia="zh-CN"/>
              </w:rPr>
              <w:t>二、</w:t>
            </w:r>
            <w:r>
              <w:rPr>
                <w:rFonts w:hint="default"/>
                <w:b/>
                <w:bCs/>
                <w:sz w:val="22"/>
                <w:szCs w:val="24"/>
              </w:rPr>
              <w:t>年富供应链虚增境外代采业务收入和利润</w:t>
            </w:r>
          </w:p>
          <w:p>
            <w:pPr>
              <w:ind w:firstLine="420" w:firstLineChars="200"/>
              <w:rPr>
                <w:rFonts w:hint="default"/>
                <w:b w:val="0"/>
                <w:bCs w:val="0"/>
              </w:rPr>
            </w:pPr>
            <w:r>
              <w:rPr>
                <w:rFonts w:hint="default"/>
                <w:b w:val="0"/>
                <w:bCs w:val="0"/>
              </w:rPr>
              <w:t>经查，2017年6月至2018年3月，年富供应链通过虚构与财富之舟科技（香港）有限公司（以下简称香港财富）的境外代采业务虚增境外代釆业务收入。香港财富配合年富供应链进行无实际业务的购销。其中，2017年虚构收入 200,682.96万元，相应虚增营业利润9,528.42万元；2018年 1至3月虚构收入117,175.99万元，相应虚增营业利润 3,726.14 万元。</w:t>
            </w:r>
          </w:p>
          <w:p>
            <w:pPr>
              <w:ind w:firstLine="442" w:firstLineChars="200"/>
              <w:rPr>
                <w:rFonts w:hint="default"/>
                <w:b/>
                <w:bCs/>
                <w:sz w:val="22"/>
                <w:szCs w:val="24"/>
              </w:rPr>
            </w:pPr>
            <w:r>
              <w:rPr>
                <w:rFonts w:hint="eastAsia" w:ascii="Times New Roman" w:eastAsia="宋体"/>
                <w:b/>
                <w:bCs/>
                <w:sz w:val="22"/>
                <w:szCs w:val="24"/>
                <w:lang w:val="en-US" w:eastAsia="zh-CN"/>
              </w:rPr>
              <w:t>三、</w:t>
            </w:r>
            <w:r>
              <w:rPr>
                <w:rFonts w:hint="default"/>
                <w:b/>
                <w:bCs/>
                <w:sz w:val="22"/>
                <w:szCs w:val="24"/>
              </w:rPr>
              <w:t>年富供应链虚增应收款项</w:t>
            </w:r>
          </w:p>
          <w:p>
            <w:pPr>
              <w:ind w:firstLine="420" w:firstLineChars="200"/>
              <w:rPr>
                <w:rFonts w:hint="default"/>
                <w:b w:val="0"/>
                <w:bCs w:val="0"/>
              </w:rPr>
            </w:pPr>
            <w:r>
              <w:rPr>
                <w:rFonts w:hint="default"/>
                <w:b w:val="0"/>
                <w:bCs w:val="0"/>
              </w:rPr>
              <w:t>根据《刑事判决书》（〔2019〕浙02刑初138号）、《刑事裁定书》（〔2020）浙刑终70号）和宁波容达会计师事务所有限公司出具的司法鉴定意见，年富供应链因经营不善，形成对东莞康特尔云终端系统有限公司、山东富宇蓝石轮胎有限公司、PSONS公司共计31,653.62万元的应收款项无法收回。</w:t>
            </w:r>
          </w:p>
          <w:p>
            <w:pPr>
              <w:ind w:firstLine="420" w:firstLineChars="200"/>
              <w:rPr>
                <w:rFonts w:hint="default"/>
                <w:b w:val="0"/>
                <w:bCs w:val="0"/>
              </w:rPr>
            </w:pPr>
            <w:r>
              <w:rPr>
                <w:rFonts w:hint="default"/>
                <w:b w:val="0"/>
                <w:bCs w:val="0"/>
              </w:rPr>
              <w:t>年富供应链未计提坏账准备，而是将上述坏账转为年富供应链对其关联公司的虚假应收款项，由此在2016 年9月30日虚增应收款项31,653.62万元，在2017年和2018年第一季度虚增应收款项31,653.62万元，导致宁波东力披露的《审计报告及财务报表》、2017年年度报告和2018年第一季度报告存在虚假记载。</w:t>
            </w:r>
          </w:p>
          <w:p>
            <w:pPr>
              <w:rPr>
                <w:b/>
                <w:bCs/>
              </w:rPr>
            </w:pP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pPr>
            <w:r>
              <w:t>判处年富供应链原实际控制人李文国无期徒刑，剥夺政治权利终身，并处没收个人全部财产；总裁杨战武有期徒刑11年，并处罚金300万元；财务总监刘斌有期徒刑8年，并处罚金300万元。另外，年富供应链及其原股东富裕仓储(深圳)有限公司分别被处以罚金3000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eastAsia" w:eastAsia="宋体"/>
                <w:lang w:val="en-US" w:eastAsia="zh-CN"/>
              </w:rPr>
            </w:pPr>
            <w:r>
              <w:rPr>
                <w:rFonts w:hint="eastAsia" w:ascii="Times New Roman" w:eastAsia="宋体"/>
                <w:lang w:val="en-US" w:eastAsia="zh-CN"/>
              </w:rPr>
              <w:t>立信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ind w:firstLine="420" w:firstLineChars="200"/>
            </w:pPr>
            <w:r>
              <w:t>1.对客户合同服务费率的审计程序执行不到位。年富供应链客户锐嘉科集团有限公司在签字注册会计师的走访提纲中填写与年富供应链的服务费率为0.42%，但未提及《补充协议》和《境外供应链服务协议》中约定的其他较高费率条款，如出口服务费率为3%和5%的条款、进口服务费率为1.95%的条款。签字注册会计师未充分关注走访记录与所获服务协议之间的差异情况。上述行为不符合《中国注册会计师审计准则第1101号——注册会计师的总体目标和审计工作的基本要求》第二十八条的规定。</w:t>
            </w:r>
          </w:p>
          <w:p>
            <w:pPr>
              <w:ind w:firstLine="420" w:firstLineChars="200"/>
            </w:pPr>
            <w:r>
              <w:rPr>
                <w:rFonts w:hint="default"/>
              </w:rPr>
              <w:t>2.未对询证函与走访记录中的差异情况执行进一步审计程序。签字注册会计师在2016年12月8日出具的《深圳市年富供应链有限公司审计报告（2014年1月1日至2016年9月30日止）》（信会师报字[2016]第610916号）中，已将2016年9月30日年富供应链对其关联公司世博国际集团有限公司、远毅有限公司、威隆国际贸易有限公司的应付账款调整至其他应收款。2017年1月，签字注册会计师对世博国际、远毅公司、威隆国际进行走访时，未将上述应收世博国际、远毅公司、威隆国际的款项列示在其他应收款科目，访谈对象予以确认无误。走访记录中列示的应收应付款金额与函证金额存在差异，签字注册会计师未对差异情况执行进一步审计程序。上述行为不符合《中国注册会计师审计准则第1101号——注册会计师的总体目标和审计工作的基本要求》第二十八条的规定。</w:t>
            </w:r>
          </w:p>
          <w:p>
            <w:pPr>
              <w:ind w:firstLine="420" w:firstLineChars="200"/>
            </w:pPr>
            <w:r>
              <w:rPr>
                <w:rFonts w:hint="default"/>
              </w:rPr>
              <w:t>3.未能识别出年富供应链的关联方。威隆国际周年申报表显示，2016年5月18日，施羊将持有的威隆国际股权转给谢丽丽，施羊为时任年富供应链高级管理人员林文胜的配偶。施羊在重大资产重组基准日（2016年9月30日）过去12个月内持有威隆国际的股权，应当认定威隆国际为年富供应链关联方。签字注册会计师仅获取了商业登记表而未获取威隆国际的周年申报表，执行的审计程序不到位、获取的审计证据不适当，导致未能识别威隆国际与年富供应链存在关联关系。上述行为不符合《中国注册会计师审计准则第1323号——关联方》第十一条的规定。</w:t>
            </w:r>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ind w:firstLine="420" w:firstLineChars="200"/>
            </w:pPr>
            <w:r>
              <w:t>按照《上市公司重大资产重组管理办法》第五十八条的规定，我局决定对你们采取出具警示函的监督管理措施。你们应认真吸取教训，严格遵照相关法律法规和中国注册会计师执业准则的规定，勤勉尽责履行审计义务，确保执业质量。你们应当在收到本决定书30日内向我局提交书面整改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ind w:firstLine="420" w:firstLineChars="200"/>
              <w:rPr>
                <w:rStyle w:val="18"/>
                <w:rFonts w:hint="eastAsia"/>
                <w:i w:val="0"/>
                <w:iCs w:val="0"/>
                <w:color w:val="auto"/>
              </w:rPr>
            </w:pPr>
            <w:r>
              <w:rPr>
                <w:rStyle w:val="18"/>
                <w:rFonts w:hint="eastAsia"/>
                <w:i w:val="0"/>
                <w:iCs w:val="0"/>
                <w:color w:val="auto"/>
                <w:lang w:val="en-US" w:eastAsia="zh-CN"/>
              </w:rPr>
              <w:t>1.</w:t>
            </w:r>
            <w:r>
              <w:rPr>
                <w:rStyle w:val="18"/>
                <w:rFonts w:hint="eastAsia"/>
                <w:i w:val="0"/>
                <w:iCs w:val="0"/>
                <w:color w:val="auto"/>
              </w:rPr>
              <w:t xml:space="preserve"> 事务所提高审计质量</w:t>
            </w:r>
          </w:p>
          <w:p>
            <w:pPr>
              <w:tabs>
                <w:tab w:val="left" w:pos="2160"/>
              </w:tabs>
              <w:ind w:firstLine="420"/>
              <w:rPr>
                <w:rStyle w:val="18"/>
                <w:rFonts w:hint="eastAsia"/>
                <w:i w:val="0"/>
                <w:iCs w:val="0"/>
                <w:color w:val="auto"/>
              </w:rPr>
            </w:pPr>
            <w:r>
              <w:rPr>
                <w:rStyle w:val="18"/>
                <w:rFonts w:hint="eastAsia"/>
                <w:i w:val="0"/>
                <w:iCs w:val="0"/>
                <w:color w:val="auto"/>
              </w:rPr>
              <w:t>提高事务所的审计质量迫在眉睫。 首先，防范特定行业的风险，执行风险评估程序。 其次，执行分析性复核程序，根据上市公司的公开年报数据以及行业标准等分析其数据存在的逻辑矛盾。 再次，健全质量控制制度，会计师事务所应严格遵循审计准则的要求执行审计程序，增强审计人员的专业知识和业务能力，保证会计师事务所的审计质量。</w:t>
            </w:r>
          </w:p>
          <w:p>
            <w:pPr>
              <w:numPr>
                <w:ilvl w:val="0"/>
                <w:numId w:val="0"/>
              </w:numPr>
              <w:tabs>
                <w:tab w:val="left" w:pos="2160"/>
              </w:tabs>
              <w:ind w:firstLine="420" w:firstLineChars="200"/>
              <w:rPr>
                <w:rStyle w:val="18"/>
                <w:rFonts w:hint="default"/>
                <w:i w:val="0"/>
                <w:iCs w:val="0"/>
                <w:color w:val="auto"/>
              </w:rPr>
            </w:pPr>
            <w:r>
              <w:rPr>
                <w:rStyle w:val="18"/>
                <w:rFonts w:hint="eastAsia"/>
                <w:i w:val="0"/>
                <w:iCs w:val="0"/>
                <w:color w:val="auto"/>
                <w:lang w:val="en-US" w:eastAsia="zh-CN"/>
              </w:rPr>
              <w:t>2.</w:t>
            </w:r>
            <w:r>
              <w:rPr>
                <w:rStyle w:val="18"/>
                <w:rFonts w:hint="default"/>
                <w:i w:val="0"/>
                <w:iCs w:val="0"/>
                <w:color w:val="auto"/>
              </w:rPr>
              <w:t>规范中介机构管理</w:t>
            </w:r>
          </w:p>
          <w:p>
            <w:pPr>
              <w:tabs>
                <w:tab w:val="left" w:pos="2160"/>
              </w:tabs>
              <w:ind w:firstLine="420" w:firstLineChars="200"/>
              <w:rPr>
                <w:rStyle w:val="18"/>
                <w:rFonts w:hint="default"/>
                <w:i w:val="0"/>
                <w:iCs w:val="0"/>
                <w:color w:val="auto"/>
              </w:rPr>
            </w:pPr>
            <w:r>
              <w:rPr>
                <w:rStyle w:val="18"/>
                <w:rFonts w:hint="default"/>
                <w:i w:val="0"/>
                <w:iCs w:val="0"/>
                <w:color w:val="auto"/>
              </w:rPr>
              <w:t>公司能进行财务造假，与中介机构脱不了关系，中介机构面对丰厚的利润诱惑，违背自己的职业操守，帮助公司进行造假，严重损害投资者的利益，本文认为，中介机构要自身加强管理，加强诚信意识，遵守自己的职业操守；完善保荐人的业绩考核激励制度和选择项目的标准；</w:t>
            </w:r>
          </w:p>
          <w:p>
            <w:pPr>
              <w:numPr>
                <w:ilvl w:val="0"/>
                <w:numId w:val="0"/>
              </w:numPr>
              <w:tabs>
                <w:tab w:val="left" w:pos="2160"/>
              </w:tabs>
              <w:rPr>
                <w:rStyle w:val="18"/>
                <w:rFonts w:hint="default" w:eastAsia="宋体"/>
                <w:i w:val="0"/>
                <w:iCs w:val="0"/>
                <w:color w:val="auto"/>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val="en-US" w:eastAsia="zh-CN"/>
              </w:rPr>
            </w:pPr>
            <w:r>
              <w:rPr>
                <w:rFonts w:hint="eastAsia" w:ascii="Times New Roman" w:eastAsia="宋体"/>
                <w:lang w:val="en-US" w:eastAsia="zh-CN"/>
              </w:rPr>
              <w:t>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关联方；函证</w:t>
            </w:r>
          </w:p>
        </w:tc>
      </w:tr>
    </w:tbl>
    <w:p>
      <w:pPr>
        <w:tabs>
          <w:tab w:val="left" w:pos="1305"/>
        </w:tabs>
      </w:pPr>
      <w:r>
        <w:tab/>
      </w:r>
    </w:p>
    <w:p>
      <w:pPr>
        <w:pStyle w:val="2"/>
        <w:rPr>
          <w:rFonts w:hint="default" w:eastAsia="宋体"/>
          <w:lang w:val="en-US" w:eastAsia="zh-CN"/>
        </w:rPr>
      </w:pPr>
      <w:bookmarkStart w:id="31" w:name="_Toc19682"/>
      <w:r>
        <w:rPr>
          <w:rFonts w:hint="eastAsia"/>
          <w:lang w:val="en-US" w:eastAsia="zh-CN"/>
        </w:rPr>
        <w:t>1</w:t>
      </w:r>
      <w:r>
        <w:rPr>
          <w:rFonts w:hint="eastAsia"/>
        </w:rPr>
        <w:t>9</w:t>
      </w:r>
      <w:r>
        <w:rPr>
          <w:rFonts w:hint="eastAsia"/>
          <w:lang w:val="en-US" w:eastAsia="zh-CN"/>
        </w:rPr>
        <w:t xml:space="preserve"> 延安必康</w:t>
      </w:r>
      <w:bookmarkEnd w:id="31"/>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rPr>
              <w:t>20</w:t>
            </w:r>
            <w:r>
              <w:rPr>
                <w:rFonts w:hint="eastAsia" w:ascii="Times New Roman" w:eastAsia="宋体"/>
                <w:lang w:val="en-US" w:eastAsia="zh-CN"/>
              </w:rPr>
              <w:t>15</w:t>
            </w:r>
            <w:r>
              <w:rPr>
                <w:rFonts w:hint="eastAsia"/>
              </w:rPr>
              <w:t>年</w:t>
            </w:r>
            <w:r>
              <w:rPr>
                <w:rFonts w:hint="eastAsia" w:ascii="Times New Roman" w:eastAsia="宋体"/>
                <w:lang w:val="en-US" w:eastAsia="zh-CN"/>
              </w:rPr>
              <w:t>~2018年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延安必康制药股份有限公司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宋体" w:hAnsi="宋体" w:cs="宋体"/>
                <w:i w:val="0"/>
                <w:caps w:val="0"/>
                <w:color w:val="222222"/>
                <w:spacing w:val="0"/>
                <w:sz w:val="24"/>
                <w:szCs w:val="24"/>
                <w:shd w:val="clear" w:fill="FFFFFF"/>
                <w:lang w:val="en-US" w:eastAsia="zh-CN"/>
              </w:rPr>
              <w:t>药物、机械设备制造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r>
              <w:tab/>
            </w:r>
            <w:r>
              <w:rPr>
                <w:rFonts w:hint="eastAsia"/>
              </w:rPr>
              <w:t>延安必康制药股份有限公司于2002年12月30日成立。法定代表人谷晓嘉,公司经营范围包括：中药材收购；药品的生产及自产品的销售；7—氨基—3—去</w:t>
            </w:r>
            <w:r>
              <w:rPr>
                <w:rFonts w:hint="default"/>
              </w:rPr>
              <w:fldChar w:fldCharType="begin"/>
            </w:r>
            <w:r>
              <w:rPr>
                <w:rFonts w:hint="default"/>
              </w:rPr>
              <w:instrText xml:space="preserve"> HYPERLINK "https://baike.baidu.com/item/%E4%B9%99%E9%85%B0%E6%B0%A7%E5%9F%BA/1741668" \t "https://baike.baidu.com/item/%E5%BB%B6%E5%AE%89%E5%BF%85%E5%BA%B7%E5%88%B6%E8%8D%AF%E8%82%A1%E4%BB%BD%E6%9C%89%E9%99%90%E5%85%AC%E5%8F%B8/_blank" </w:instrText>
            </w:r>
            <w:r>
              <w:rPr>
                <w:rFonts w:hint="default"/>
              </w:rPr>
              <w:fldChar w:fldCharType="separate"/>
            </w:r>
            <w:r>
              <w:rPr>
                <w:rFonts w:hint="default"/>
              </w:rPr>
              <w:t>乙酰氧基</w:t>
            </w:r>
            <w:r>
              <w:rPr>
                <w:rFonts w:hint="default"/>
              </w:rPr>
              <w:fldChar w:fldCharType="end"/>
            </w:r>
            <w:r>
              <w:rPr>
                <w:rFonts w:hint="default"/>
              </w:rPr>
              <w:t>头孢烷酸（7—ADCA）、5，5—二甲基海因及其衍生产品、</w:t>
            </w:r>
            <w:r>
              <w:rPr>
                <w:rFonts w:hint="default"/>
              </w:rPr>
              <w:fldChar w:fldCharType="begin"/>
            </w:r>
            <w:r>
              <w:rPr>
                <w:rFonts w:hint="default"/>
              </w:rPr>
              <w:instrText xml:space="preserve"> HYPERLINK "https://baike.baidu.com/item/%E4%B8%89%E6%B0%AF%E5%90%A1%E5%95%B6%E9%86%87%E9%92%A0/2417100" \t "https://baike.baidu.com/item/%E5%BB%B6%E5%AE%89%E5%BF%85%E5%BA%B7%E5%88%B6%E8%8D%AF%E8%82%A1%E4%BB%BD%E6%9C%89%E9%99%90%E5%85%AC%E5%8F%B8/_blank" </w:instrText>
            </w:r>
            <w:r>
              <w:rPr>
                <w:rFonts w:hint="default"/>
              </w:rPr>
              <w:fldChar w:fldCharType="separate"/>
            </w:r>
            <w:r>
              <w:rPr>
                <w:rFonts w:hint="default"/>
              </w:rPr>
              <w:t>三氯吡啶醇钠</w:t>
            </w:r>
            <w:r>
              <w:rPr>
                <w:rFonts w:hint="default"/>
              </w:rPr>
              <w:fldChar w:fldCharType="end"/>
            </w:r>
            <w:r>
              <w:rPr>
                <w:rFonts w:hint="default"/>
              </w:rPr>
              <w:t>、</w:t>
            </w:r>
            <w:r>
              <w:rPr>
                <w:rFonts w:hint="default"/>
              </w:rPr>
              <w:fldChar w:fldCharType="begin"/>
            </w:r>
            <w:r>
              <w:rPr>
                <w:rFonts w:hint="default"/>
              </w:rPr>
              <w:instrText xml:space="preserve"> HYPERLINK "https://baike.baidu.com/item/%E5%85%AD%E6%B0%9F%E7%A3%B7%E9%85%B8%E9%94%82/4959548" \t "https://baike.baidu.com/item/%E5%BB%B6%E5%AE%89%E5%BF%85%E5%BA%B7%E5%88%B6%E8%8D%AF%E8%82%A1%E4%BB%BD%E6%9C%89%E9%99%90%E5%85%AC%E5%8F%B8/_blank" </w:instrText>
            </w:r>
            <w:r>
              <w:rPr>
                <w:rFonts w:hint="default"/>
              </w:rPr>
              <w:fldChar w:fldCharType="separate"/>
            </w:r>
            <w:r>
              <w:rPr>
                <w:rFonts w:hint="default"/>
              </w:rPr>
              <w:t>六氟磷酸锂</w:t>
            </w:r>
            <w:r>
              <w:rPr>
                <w:rFonts w:hint="default"/>
              </w:rPr>
              <w:fldChar w:fldCharType="end"/>
            </w:r>
            <w:r>
              <w:rPr>
                <w:rFonts w:hint="default"/>
              </w:rPr>
              <w:t>、</w:t>
            </w:r>
            <w:r>
              <w:rPr>
                <w:rFonts w:hint="default"/>
              </w:rPr>
              <w:fldChar w:fldCharType="begin"/>
            </w:r>
            <w:r>
              <w:rPr>
                <w:rFonts w:hint="default"/>
              </w:rPr>
              <w:instrText xml:space="preserve"> HYPERLINK "https://baike.baidu.com/item/%E9%94%82%E7%94%B5%E6%B1%A0%E9%9A%94%E8%86%9C/1040935" \t "https://baike.baidu.com/item/%E5%BB%B6%E5%AE%89%E5%BF%85%E5%BA%B7%E5%88%B6%E8%8D%AF%E8%82%A1%E4%BB%BD%E6%9C%89%E9%99%90%E5%85%AC%E5%8F%B8/_blank" </w:instrText>
            </w:r>
            <w:r>
              <w:rPr>
                <w:rFonts w:hint="default"/>
              </w:rPr>
              <w:fldChar w:fldCharType="separate"/>
            </w:r>
            <w:r>
              <w:rPr>
                <w:rFonts w:hint="default"/>
              </w:rPr>
              <w:t>锂电池隔膜</w:t>
            </w:r>
            <w:r>
              <w:rPr>
                <w:rFonts w:hint="default"/>
              </w:rPr>
              <w:fldChar w:fldCharType="end"/>
            </w:r>
            <w:r>
              <w:rPr>
                <w:rFonts w:hint="default"/>
              </w:rPr>
              <w:t>、高强高模聚乙烯纤维、无纬布及制品、盐酸、氟化氢（无水）、氢氟酸、苯乙酸、氯化铵、硫酸铵、硫酸吡啶盐、塑料制品的生产及自产品销售（上述产品的生产、销售需按环保审批意见执行）；化工设备（压力容器除外）、机械设备制造、安装；经营本企业自产产品及技术的出口业务和本企业所需的机械设备、零配件、原辅材料及技术的进口业务（国家限定公司经营或禁止进出口的商品及技术除外）等。</w:t>
            </w:r>
          </w:p>
          <w:p/>
          <w:p/>
          <w:p>
            <w:pPr>
              <w:rPr>
                <w:b/>
              </w:rPr>
            </w:pPr>
            <w:r>
              <w:rPr>
                <w:rFonts w:hint="eastAsia"/>
                <w:b/>
              </w:rPr>
              <w:t>【案情背景</w:t>
            </w:r>
            <w:r>
              <w:rPr>
                <w:b/>
              </w:rPr>
              <w:t>】</w:t>
            </w:r>
          </w:p>
          <w:p>
            <w:pPr>
              <w:rPr>
                <w:b/>
              </w:rPr>
            </w:pPr>
            <w:r>
              <w:rPr>
                <w:b/>
              </w:rPr>
              <w:tab/>
            </w:r>
            <w:r>
              <w:rPr>
                <w:rFonts w:hint="eastAsia"/>
                <w:b w:val="0"/>
                <w:bCs/>
              </w:rPr>
              <w:t>延安必康通过虚假财务记账、伪造银行对账单等方式，掩盖上述关联方非经营性占用上市公司资金情况，导致上市公司相关年度报告披露的货币资金账实不符，存在虚增货币资金情形。通过上述方式，延安必康《2015年年度报告》虚增货币资金794,326,924.96元，占当期披露的经审计总资产的8.99%和净资产的15.18%；《2016年年度报告》虚增货币资金2,057,005,338.69元，占当期披露的经审计总资产的11.40%和净资产的24.31%；《2018年年度报告》虚增货币资金811,866,582.26元，占当期披露的经审计总资产的3.94%和净资产的8.47%。</w:t>
            </w:r>
          </w:p>
          <w:p>
            <w:pPr>
              <w:rPr>
                <w:b/>
              </w:rPr>
            </w:pPr>
          </w:p>
          <w:p>
            <w:pPr>
              <w:rPr>
                <w:b/>
              </w:rPr>
            </w:pPr>
          </w:p>
          <w:p>
            <w:pPr>
              <w:rPr>
                <w:b/>
              </w:rPr>
            </w:pPr>
            <w:r>
              <w:rPr>
                <w:rFonts w:hint="eastAsia"/>
                <w:b/>
              </w:rPr>
              <w:t>【案情描述】</w:t>
            </w:r>
          </w:p>
          <w:p>
            <w:pPr>
              <w:rPr>
                <w:rFonts w:hint="eastAsia"/>
                <w:b w:val="0"/>
                <w:bCs w:val="0"/>
              </w:rPr>
            </w:pPr>
            <w:r>
              <w:rPr>
                <w:b/>
                <w:bCs/>
              </w:rPr>
              <w:tab/>
            </w:r>
            <w:r>
              <w:rPr>
                <w:rFonts w:hint="default"/>
                <w:b w:val="0"/>
                <w:bCs w:val="0"/>
              </w:rPr>
              <w:t>经中国证监会陕西监管局查明：2015—2018年延安必康的控股股东及其关联方非经营性占用上市公司资金累计44.97亿元。其中，2015年发生额为7.05亿元，占当期披露净资产的13.42%，期末余额为6.71亿元;2016年發生额为13.72亿元，占当期披露净资产的16.21%，期末余额为18.85亿元;2017年发生额为16.48亿元，占当期披露净资产的17.70%，期末余额为20.73亿元;2018年发生额为7.72亿元，占当期披露净资产的8.06%，期末余额为27.46亿元。</w:t>
            </w:r>
          </w:p>
          <w:p>
            <w:pPr>
              <w:rPr>
                <w:rFonts w:hint="default"/>
                <w:b w:val="0"/>
                <w:bCs w:val="0"/>
              </w:rPr>
            </w:pPr>
            <w:r>
              <w:rPr>
                <w:rFonts w:hint="default"/>
                <w:b w:val="0"/>
                <w:bCs w:val="0"/>
              </w:rPr>
              <w:t>所谓“非经营性资金占用”主要是指控股股东利用其对公司的控制权而侵占中小股东的利益，俗称大股东“掏空”上市公司。这一行为一直是监管机构重点打击的违规行为。</w:t>
            </w:r>
          </w:p>
          <w:p>
            <w:pPr>
              <w:rPr>
                <w:rFonts w:hint="default"/>
                <w:b w:val="0"/>
                <w:bCs w:val="0"/>
              </w:rPr>
            </w:pPr>
            <w:r>
              <w:rPr>
                <w:rFonts w:hint="default"/>
                <w:b w:val="0"/>
                <w:bCs w:val="0"/>
              </w:rPr>
              <w:t>为了掩饰这种违规行为，延安必康采取了虚假财务记账、伪造银行对账单等方式。</w:t>
            </w:r>
          </w:p>
          <w:p>
            <w:pPr>
              <w:ind w:firstLine="420" w:firstLineChars="200"/>
              <w:rPr>
                <w:rFonts w:hint="default"/>
                <w:b w:val="0"/>
                <w:bCs w:val="0"/>
              </w:rPr>
            </w:pPr>
            <w:r>
              <w:rPr>
                <w:rFonts w:hint="default"/>
                <w:b w:val="0"/>
                <w:bCs w:val="0"/>
              </w:rPr>
              <w:t>据上述《行政处罚事先告知书》披露，延安必康在2015年度虚增货币资金7.94亿元，占当期净资产的15.18%;2016年度虚增货币资金20.57亿元，占当期净资产的24.31%;2018年度虚增货币资金8.12亿元，占当期净资产的8.47%。三年合计虚增货币资金36.63亿元。</w:t>
            </w:r>
          </w:p>
          <w:p>
            <w:pPr>
              <w:rPr>
                <w:b/>
                <w:bCs/>
              </w:rPr>
            </w:pP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pPr>
            <w:r>
              <w:t>公司及实控人李宗松因此面临顶格处罚，拟各被罚款60万元，并被给予警告；另有20余名涉事人员拟被罚款3万元到30万元不等。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eastAsia" w:eastAsia="宋体"/>
                <w:lang w:val="en-US" w:eastAsia="zh-CN"/>
              </w:rPr>
            </w:pPr>
            <w:r>
              <w:rPr>
                <w:rFonts w:hint="eastAsia" w:ascii="Times New Roman" w:eastAsia="宋体"/>
                <w:lang w:val="en-US" w:eastAsia="zh-CN"/>
              </w:rPr>
              <w:t>瑞华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rPr>
                <w:rFonts w:hint="eastAsia"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rPr>
                <w:rFonts w:hint="eastAsia"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val="en-US" w:eastAsia="zh-CN"/>
              </w:rPr>
            </w:pPr>
            <w:r>
              <w:rPr>
                <w:rFonts w:hint="eastAsia" w:ascii="Times New Roman" w:eastAsia="宋体"/>
                <w:lang w:val="en-US" w:eastAsia="zh-CN"/>
              </w:rPr>
              <w:t>无保留意见</w:t>
            </w:r>
          </w:p>
        </w:tc>
      </w:tr>
    </w:tbl>
    <w:p/>
    <w:p>
      <w:pPr>
        <w:pStyle w:val="2"/>
        <w:rPr>
          <w:rFonts w:hint="default" w:eastAsia="宋体"/>
          <w:lang w:val="en-US" w:eastAsia="zh-CN"/>
        </w:rPr>
      </w:pPr>
      <w:bookmarkStart w:id="32" w:name="_Toc16874"/>
      <w:r>
        <w:rPr>
          <w:rFonts w:hint="eastAsia"/>
          <w:lang w:val="en-US" w:eastAsia="zh-CN"/>
        </w:rPr>
        <w:t>2</w:t>
      </w:r>
      <w:r>
        <w:rPr>
          <w:rFonts w:hint="eastAsia"/>
        </w:rPr>
        <w:t>0</w:t>
      </w:r>
      <w:r>
        <w:rPr>
          <w:rFonts w:hint="eastAsia"/>
          <w:lang w:val="en-US" w:eastAsia="zh-CN"/>
        </w:rPr>
        <w:t xml:space="preserve"> 东方金钰——姐告宏宁</w:t>
      </w:r>
      <w:bookmarkEnd w:id="32"/>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rPr>
              <w:t>20</w:t>
            </w:r>
            <w:r>
              <w:rPr>
                <w:rFonts w:hint="eastAsia" w:ascii="Times New Roman" w:eastAsia="宋体"/>
                <w:lang w:val="en-US" w:eastAsia="zh-CN"/>
              </w:rPr>
              <w:t>16</w:t>
            </w:r>
            <w:r>
              <w:rPr>
                <w:rFonts w:hint="eastAsia"/>
              </w:rPr>
              <w:t>年</w:t>
            </w:r>
            <w:r>
              <w:rPr>
                <w:rFonts w:hint="eastAsia" w:ascii="Times New Roman" w:eastAsia="宋体"/>
                <w:lang w:val="en-US" w:eastAsia="zh-CN"/>
              </w:rPr>
              <w:t>~2018年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纺织品、服装的制造与销售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t>东方金钰股份有限公司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rPr>
                <w:rFonts w:hint="eastAsia"/>
              </w:rPr>
            </w:pPr>
            <w:r>
              <w:tab/>
            </w:r>
            <w:r>
              <w:rPr>
                <w:rFonts w:hint="default"/>
                <w:lang w:val="en-US" w:eastAsia="zh-CN"/>
              </w:rPr>
              <w:t>东方金钰是1993年4月经湖北省体改委“鄂改[1993]39 号”文件批准，以鄂州市服装总厂为主要发起人，通过定向募集方式成立的股份有限公司，是中国第一家翡翠上市公司，致力成为亚洲一流的翡翠原材料和饰品供应商。</w:t>
            </w:r>
          </w:p>
          <w:p/>
          <w:p/>
          <w:p/>
          <w:p>
            <w:pPr>
              <w:rPr>
                <w:b/>
              </w:rPr>
            </w:pPr>
            <w:r>
              <w:rPr>
                <w:rFonts w:hint="eastAsia"/>
                <w:b/>
              </w:rPr>
              <w:t>【案情背景</w:t>
            </w:r>
            <w:r>
              <w:rPr>
                <w:b/>
              </w:rPr>
              <w:t>】</w:t>
            </w:r>
          </w:p>
          <w:p>
            <w:pPr>
              <w:ind w:firstLine="420" w:firstLineChars="200"/>
              <w:rPr>
                <w:rFonts w:hint="default"/>
              </w:rPr>
            </w:pPr>
            <w:r>
              <w:rPr>
                <w:rFonts w:hint="default"/>
                <w:lang w:val="en-US" w:eastAsia="zh-CN"/>
              </w:rPr>
              <w:t>2018年7月25日晚间，东方金钰公告称，公司及子公司到期未清偿的债务共计9.16亿元 </w:t>
            </w:r>
            <w:bookmarkStart w:id="33" w:name="ref_[1]_20692316"/>
            <w:r>
              <w:rPr>
                <w:rFonts w:hint="default"/>
                <w:lang w:val="en-US" w:eastAsia="zh-CN"/>
              </w:rPr>
              <w:t> </w:t>
            </w:r>
            <w:bookmarkEnd w:id="33"/>
            <w:r>
              <w:rPr>
                <w:rFonts w:hint="default"/>
                <w:lang w:val="en-US" w:eastAsia="zh-CN"/>
              </w:rPr>
              <w:t> 。2019年1月16日，东方金钰收到</w:t>
            </w:r>
            <w:r>
              <w:rPr>
                <w:rFonts w:hint="default"/>
                <w:lang w:val="en-US" w:eastAsia="zh-CN"/>
              </w:rPr>
              <w:fldChar w:fldCharType="begin"/>
            </w:r>
            <w:r>
              <w:rPr>
                <w:rFonts w:hint="default"/>
                <w:lang w:val="en-US" w:eastAsia="zh-CN"/>
              </w:rPr>
              <w:instrText xml:space="preserve"> HYPERLINK "https://baike.baidu.com/item/%E4%B8%AD%E5%9B%BD%E8%AF%81%E5%88%B8%E7%9B%91%E7%9D%A3%E7%AE%A1%E7%90%86%E5%A7%94%E5%91%98%E4%BC%9A/638213" \t "https://baike.baidu.com/item/%E4%B8%9C%E6%96%B9%E9%87%91%E9%92%B0%E8%82%A1%E4%BB%BD%E6%9C%89%E9%99%90%E5%85%AC%E5%8F%B8/_blank" </w:instrText>
            </w:r>
            <w:r>
              <w:rPr>
                <w:rFonts w:hint="default"/>
                <w:lang w:val="en-US" w:eastAsia="zh-CN"/>
              </w:rPr>
              <w:fldChar w:fldCharType="separate"/>
            </w:r>
            <w:r>
              <w:rPr>
                <w:rFonts w:hint="default"/>
              </w:rPr>
              <w:t>中国证券监督管理委员会</w:t>
            </w:r>
            <w:r>
              <w:rPr>
                <w:rFonts w:hint="default"/>
                <w:lang w:val="en-US" w:eastAsia="zh-CN"/>
              </w:rPr>
              <w:fldChar w:fldCharType="end"/>
            </w:r>
            <w:r>
              <w:rPr>
                <w:rFonts w:hint="default"/>
                <w:lang w:val="en-US" w:eastAsia="zh-CN"/>
              </w:rPr>
              <w:t>调查通知书，因涉嫌信息披露违法违规，遭证监会立案调查 。</w:t>
            </w:r>
          </w:p>
          <w:p>
            <w:pPr>
              <w:rPr>
                <w:b/>
              </w:rPr>
            </w:pPr>
          </w:p>
          <w:p>
            <w:pPr>
              <w:rPr>
                <w:b/>
              </w:rPr>
            </w:pPr>
          </w:p>
          <w:p>
            <w:pPr>
              <w:rPr>
                <w:b/>
              </w:rPr>
            </w:pPr>
          </w:p>
          <w:p>
            <w:pPr>
              <w:rPr>
                <w:b/>
              </w:rPr>
            </w:pPr>
            <w:r>
              <w:rPr>
                <w:rFonts w:hint="eastAsia"/>
                <w:b/>
              </w:rPr>
              <w:t>【案情描述】</w:t>
            </w:r>
          </w:p>
          <w:p>
            <w:pPr>
              <w:rPr>
                <w:rFonts w:hint="eastAsia"/>
                <w:b w:val="0"/>
                <w:bCs/>
              </w:rPr>
            </w:pPr>
            <w:r>
              <w:rPr>
                <w:b/>
                <w:bCs/>
              </w:rPr>
              <w:tab/>
            </w:r>
            <w:r>
              <w:rPr>
                <w:rFonts w:hint="default"/>
                <w:b w:val="0"/>
                <w:bCs/>
              </w:rPr>
              <w:t>通过 姐告宏宁珠宝有限公司控制19个银行账户，虚构销售和采购交易资金流，该19个银行账户分为三组：第一组为普某腊、保某、李某青、凤某、自某堵、张某梅等六名名义客户的银行账户；第二组为董某成、邵某丽、木某1、木某2、余某光、方某华、双某石等七名自然人中转方的银行账户；第三组为李某退、蒋某东、宝某明、吴某龙、杨某荣、董某先等六名名义供应商的银行账户。</w:t>
            </w:r>
          </w:p>
          <w:p>
            <w:pPr>
              <w:rPr>
                <w:rFonts w:hint="default"/>
                <w:b w:val="0"/>
                <w:bCs/>
              </w:rPr>
            </w:pPr>
            <w:r>
              <w:rPr>
                <w:rFonts w:hint="default"/>
                <w:b w:val="0"/>
                <w:bCs/>
              </w:rPr>
              <w:t>姐告宏宁通过上述虚构销售合同及现金流等手段，虚构与保某、李某青、自某堵之间的销售交易，合计14,169.09万元，该涉案交易不具有商业实质和真实性，依据《企业会计准则第14号——收入＞（2007年1月1日起实施）第四条第一项、第四项规定，上述涉案交易中的收入不符合收入确认条件，不应予以确认。</w:t>
            </w:r>
          </w:p>
          <w:p>
            <w:pPr>
              <w:ind w:firstLine="420" w:firstLineChars="200"/>
              <w:rPr>
                <w:rFonts w:hint="default"/>
                <w:b w:val="0"/>
                <w:bCs/>
              </w:rPr>
            </w:pPr>
            <w:r>
              <w:rPr>
                <w:rFonts w:hint="default"/>
                <w:b w:val="0"/>
                <w:bCs/>
              </w:rPr>
              <w:t>同时，姐告宏宁通过上述伪造采购合同等方式，虚构与宝某明、董某先、蒋某东之间的采购交易，合计20,104.02万元。</w:t>
            </w:r>
          </w:p>
          <w:p>
            <w:pPr>
              <w:ind w:firstLine="420" w:firstLineChars="200"/>
              <w:rPr>
                <w:rFonts w:hint="default"/>
                <w:b w:val="0"/>
                <w:bCs/>
              </w:rPr>
            </w:pPr>
            <w:r>
              <w:rPr>
                <w:rFonts w:hint="default"/>
                <w:b w:val="0"/>
                <w:bCs/>
              </w:rPr>
              <w:t>通过上述虚构的销售交易和采购交易，东方金钰2016年年度报告虚增营业收入14,169.09万元，虚增营业成本4,665万元，导致虚增利润总额9,504.09万元，占当年合并利润表利润总额的29.60%。</w:t>
            </w:r>
          </w:p>
          <w:p>
            <w:pPr>
              <w:rPr>
                <w:rFonts w:hint="default"/>
                <w:b w:val="0"/>
                <w:bCs/>
              </w:rPr>
            </w:pPr>
            <w:r>
              <w:rPr>
                <w:rFonts w:hint="default"/>
                <w:b w:val="0"/>
                <w:bCs/>
              </w:rPr>
              <w:t>姐告宏宁通过上述虚构销售合同及现金流等手段，虚构与普某腊、保某、李某青、凤某、自某堵之间的销售交易，合计29,487.1万元，该涉案交易不具有商业实质和真实性，依据《企业会计准则第14号——收入》（2007年1月1日起实施）第四条第一项、第四项规定，上述涉案交易中的收入不符合收入确认条件，不应予以确认。通过上述虚构的销售交易，东方金钰控制的姐告宏宁在2017年度形成营业收入29,487.1万元，构成虚增营业收入。</w:t>
            </w:r>
          </w:p>
          <w:p>
            <w:pPr>
              <w:ind w:firstLine="420" w:firstLineChars="200"/>
              <w:rPr>
                <w:rFonts w:hint="default"/>
                <w:b w:val="0"/>
                <w:bCs/>
              </w:rPr>
            </w:pPr>
            <w:r>
              <w:rPr>
                <w:rFonts w:hint="default"/>
                <w:b w:val="0"/>
                <w:bCs/>
              </w:rPr>
              <w:t>同时，姐告宏宁通过上述伪造采购合同等方式，虚构与李某退、吴某龙、宝某明、董某先、蒋某东、杨某荣之间的釆购交易，合计61,714.1万元。</w:t>
            </w:r>
          </w:p>
          <w:p>
            <w:pPr>
              <w:ind w:firstLine="420" w:firstLineChars="200"/>
              <w:rPr>
                <w:rFonts w:hint="default"/>
                <w:b w:val="0"/>
                <w:bCs/>
              </w:rPr>
            </w:pPr>
            <w:r>
              <w:rPr>
                <w:rFonts w:hint="default"/>
                <w:b w:val="0"/>
                <w:bCs/>
              </w:rPr>
              <w:t>通过上述虚构的销售交易和采购交易，东方金钰2017年年度报告虚增营业收入29,487.1万元，虚增营业成本11,038.9万元，导致虚增利润总额18,448.20万元，占当年合并利润表利润总额的59.7%。</w:t>
            </w:r>
          </w:p>
          <w:p>
            <w:pPr>
              <w:rPr>
                <w:rFonts w:hint="default"/>
                <w:b w:val="0"/>
                <w:bCs/>
              </w:rPr>
            </w:pPr>
            <w:r>
              <w:rPr>
                <w:rFonts w:hint="default"/>
                <w:b w:val="0"/>
                <w:bCs/>
              </w:rPr>
              <w:t>姐告宏宁通过上述虚构销售合同及现金流等手段，虚构与普某腊、凤某、张某梅之间的销售交易，合计12,000万元，该涉案交易不具有商业实质和真实性，依据《企业会计准则第14号——收入》（2018年1月1日起实施）第五条规定，上述涉案交易中的收入不符合收入确认条件，不应予以确认。通过上述虚构的销售交易，东方金钰控制的姐告宏宁在2018年1月至6月确认营业收入12,000万元，构成虚增营业收入。通过上述虚构的销售交易，东方金钰2018年3月形成应收账款7,720万元，虚增应收账款余额。</w:t>
            </w:r>
          </w:p>
          <w:p>
            <w:pPr>
              <w:ind w:firstLine="420" w:firstLineChars="200"/>
              <w:rPr>
                <w:rFonts w:hint="default"/>
                <w:b w:val="0"/>
                <w:bCs/>
              </w:rPr>
            </w:pPr>
            <w:r>
              <w:rPr>
                <w:rFonts w:hint="default"/>
                <w:b w:val="0"/>
                <w:bCs/>
              </w:rPr>
              <w:t>通过上述虚构的销售交易，东方金钰2018年半年度报告虚增营业收入12,000万元，虚增营业成本4,100万元，虚增应收账款7,720万元，虚增利润总额7,900万元，占2018年半年度报告利润总额的211.48%。</w:t>
            </w:r>
          </w:p>
          <w:p>
            <w:pPr>
              <w:rPr>
                <w:b/>
                <w:bCs/>
              </w:rPr>
            </w:pP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pPr>
            <w:r>
              <w:rPr>
                <w:rFonts w:hint="eastAsia"/>
              </w:rPr>
              <w:t>东方金钰，现*ST东方，股票代码600086，2020年9月16日公告收到证监会《处罚决定书》及《市场禁入决定书》。上市公司东方金钰以及时任董事长赵宁均被处以顶格处罚，赵宁还被证监会采取10年市场禁入措施。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大信；大华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审计机构案情描述</w:t>
            </w:r>
          </w:p>
        </w:tc>
        <w:tc>
          <w:tcPr>
            <w:tcW w:w="6316" w:type="dxa"/>
          </w:tcPr>
          <w:p>
            <w:pPr>
              <w:rPr>
                <w:rFonts w:hint="eastAsia"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lang w:val="en-US" w:eastAsia="zh-CN"/>
              </w:rPr>
            </w:pPr>
            <w:r>
              <w:rPr>
                <w:rFonts w:hint="eastAsia" w:ascii="Times New Roman" w:eastAsia="宋体"/>
                <w:lang w:val="en-US" w:eastAsia="zh-CN"/>
              </w:rPr>
              <w:t>审计受罚或责任描述</w:t>
            </w:r>
          </w:p>
        </w:tc>
        <w:tc>
          <w:tcPr>
            <w:tcW w:w="6316" w:type="dxa"/>
          </w:tcPr>
          <w:p>
            <w:pPr>
              <w:rPr>
                <w:rFonts w:hint="eastAsia" w:eastAsia="宋体"/>
                <w:lang w:val="en-US" w:eastAsia="zh-CN"/>
              </w:rPr>
            </w:pPr>
            <w:r>
              <w:rPr>
                <w:rFonts w:hint="eastAsia" w:ascii="Times New Roman" w:eastAsia="宋体"/>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rPr>
                <w:rStyle w:val="18"/>
                <w:rFonts w:hint="eastAsia"/>
                <w:i w:val="0"/>
                <w:iCs w:val="0"/>
                <w:color w:val="auto"/>
              </w:rPr>
            </w:pPr>
            <w:r>
              <w:rPr>
                <w:rStyle w:val="18"/>
                <w:rFonts w:hint="default"/>
                <w:i w:val="0"/>
                <w:iCs w:val="0"/>
                <w:color w:val="auto"/>
              </w:rPr>
              <w:t>（1）完善内部控制制度。有效的内部控制制度可以帮助企业发现自身问题并采取解决措施，以保障企业正常运转。上市公司要按照《企业内部控制基本规范》要求，建立完善企业的内部控制制度。如建立规范的公司治理结构和议事规则，明确决策、执行、监督的职责和权限，形成有效的职责分工和制衡机制。</w:t>
            </w:r>
          </w:p>
          <w:p>
            <w:pPr>
              <w:tabs>
                <w:tab w:val="left" w:pos="2160"/>
              </w:tabs>
              <w:rPr>
                <w:rStyle w:val="18"/>
                <w:rFonts w:hint="default"/>
                <w:i w:val="0"/>
                <w:iCs w:val="0"/>
                <w:color w:val="auto"/>
              </w:rPr>
            </w:pPr>
            <w:r>
              <w:rPr>
                <w:rStyle w:val="18"/>
                <w:rFonts w:hint="default"/>
                <w:i w:val="0"/>
                <w:iCs w:val="0"/>
                <w:color w:val="auto"/>
              </w:rPr>
              <w:t>（2）健全公司治理机制。上市公司的实际控制人具有财务造假的动机，往往是上市公司财务造假的策划者和受益人，要健全公司治理机制，充分发挥内部监督作用，防止实际控制人为了一己私利侵害中小股东和债权人的利益。一方面充分发挥审计委员会的作用，通过增加具备财务专业知识的审计委员会人员数量、提高其独立性等防范上市公司财务造假。另一方面强化监事会的监督职能，优化监事会成员构成，限制实际控制人对监事会人选的控制，规范监事的任职资格，如具备财务专业知识的人员进入监事会。</w:t>
            </w:r>
          </w:p>
          <w:p>
            <w:pPr>
              <w:tabs>
                <w:tab w:val="left" w:pos="2160"/>
              </w:tabs>
              <w:rPr>
                <w:rStyle w:val="18"/>
                <w:rFonts w:hint="default"/>
                <w:i w:val="0"/>
                <w:iCs w:val="0"/>
                <w:color w:val="auto"/>
              </w:rPr>
            </w:pPr>
            <w:r>
              <w:rPr>
                <w:rStyle w:val="18"/>
                <w:rFonts w:hint="default"/>
                <w:i w:val="0"/>
                <w:iCs w:val="0"/>
                <w:color w:val="auto"/>
              </w:rPr>
              <w:t>（3）完善法律法规，加大财务造假处罚力度。上市公司财务造假主要受利益驱使，但是目前《证券法》对财务造假的处罚金额最高是60万元，造假的收益要远远高于造假的成本，因此要提高财务造假的经济处罚金额，处罚数额不小于造假带来的收益，造假行为才会减少。另外对于造假的上市公司还可以采取退市、对财务造假的相关人员采取更为严厉的处罚，如参与财务造假必须入刑等，以儆效尤。</w:t>
            </w:r>
          </w:p>
          <w:p>
            <w:pPr>
              <w:tabs>
                <w:tab w:val="left" w:pos="2160"/>
              </w:tabs>
              <w:rPr>
                <w:rStyle w:val="18"/>
                <w:rFonts w:hint="default"/>
                <w:i w:val="0"/>
                <w:iCs w:val="0"/>
                <w:color w:val="auto"/>
              </w:rPr>
            </w:pPr>
            <w:r>
              <w:rPr>
                <w:rStyle w:val="18"/>
                <w:rFonts w:hint="default"/>
                <w:i w:val="0"/>
                <w:iCs w:val="0"/>
                <w:color w:val="auto"/>
              </w:rPr>
              <w:t>（4）加强对注册会计师行业监管，提高注册会计师独立性。注册会计师为了自身利益，出具不实的审计报告，成为财务造假者的帮凶。因此要加强对注册会计师行业的监督管理，建立健全相关监管法律法规，加大处罚力度，使注册会计师能够遵守审计准则和职业道德，客观、公正发表审计意见。</w:t>
            </w:r>
          </w:p>
          <w:p>
            <w:pPr>
              <w:tabs>
                <w:tab w:val="left" w:pos="2160"/>
              </w:tabs>
              <w:rPr>
                <w:rStyle w:val="18"/>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val="en-US" w:eastAsia="zh-CN"/>
              </w:rPr>
            </w:pPr>
            <w:r>
              <w:rPr>
                <w:rFonts w:hint="eastAsia" w:ascii="Times New Roman" w:eastAsia="宋体"/>
                <w:lang w:val="en-US" w:eastAsia="zh-CN"/>
              </w:rPr>
              <w:t>无保留意见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tc>
      </w:tr>
    </w:tbl>
    <w:p>
      <w:pPr>
        <w:rPr>
          <w:rFonts w:hint="eastAsia"/>
        </w:rPr>
      </w:pPr>
    </w:p>
    <w:p>
      <w:pPr>
        <w:rPr>
          <w:rFonts w:hint="default"/>
          <w:lang w:val="en-US" w:eastAsia="zh-CN"/>
        </w:rPr>
      </w:pPr>
    </w:p>
    <w:p>
      <w:pPr>
        <w:pStyle w:val="2"/>
        <w:keepNext/>
        <w:keepLines/>
        <w:pageBreakBefore w:val="0"/>
        <w:widowControl w:val="0"/>
        <w:kinsoku/>
        <w:wordWrap/>
        <w:overflowPunct/>
        <w:topLinePunct w:val="0"/>
        <w:autoSpaceDE/>
        <w:autoSpaceDN/>
        <w:bidi w:val="0"/>
        <w:adjustRightInd/>
        <w:snapToGrid/>
        <w:spacing w:line="312" w:lineRule="auto"/>
        <w:textAlignment w:val="auto"/>
        <w:rPr>
          <w:rFonts w:hint="eastAsia"/>
          <w:lang w:val="en-US" w:eastAsia="zh-CN"/>
        </w:rPr>
        <w:sectPr>
          <w:pgSz w:w="11906" w:h="16838"/>
          <w:pgMar w:top="1440" w:right="1800" w:bottom="1440" w:left="1800" w:header="851" w:footer="992" w:gutter="0"/>
          <w:cols w:space="425" w:num="1"/>
          <w:docGrid w:type="lines" w:linePitch="312" w:charSpace="0"/>
        </w:sectPr>
      </w:pPr>
    </w:p>
    <w:p>
      <w:pPr>
        <w:pStyle w:val="2"/>
        <w:keepNext/>
        <w:keepLines/>
        <w:pageBreakBefore w:val="0"/>
        <w:widowControl w:val="0"/>
        <w:kinsoku/>
        <w:wordWrap/>
        <w:overflowPunct/>
        <w:topLinePunct w:val="0"/>
        <w:autoSpaceDE/>
        <w:autoSpaceDN/>
        <w:bidi w:val="0"/>
        <w:adjustRightInd/>
        <w:snapToGrid/>
        <w:spacing w:line="312" w:lineRule="auto"/>
        <w:textAlignment w:val="auto"/>
        <w:rPr>
          <w:rFonts w:hint="eastAsia"/>
          <w:lang w:val="en-US" w:eastAsia="zh-CN"/>
        </w:rPr>
      </w:pPr>
      <w:bookmarkStart w:id="34" w:name="_Toc24686"/>
      <w:r>
        <w:rPr>
          <w:rFonts w:hint="eastAsia"/>
          <w:lang w:val="en-US" w:eastAsia="zh-CN"/>
        </w:rPr>
        <w:t>21</w:t>
      </w:r>
      <w:r>
        <w:rPr>
          <w:rFonts w:hint="eastAsia"/>
        </w:rPr>
        <w:t>-</w:t>
      </w:r>
      <w:r>
        <w:rPr>
          <w:rFonts w:hint="eastAsia"/>
          <w:lang w:val="en-US" w:eastAsia="zh-CN"/>
        </w:rPr>
        <w:t>30</w:t>
      </w:r>
      <w:r>
        <w:t xml:space="preserve"> </w:t>
      </w:r>
      <w:r>
        <w:rPr>
          <w:rFonts w:hint="eastAsia"/>
        </w:rPr>
        <w:t>主要分析人：</w:t>
      </w:r>
      <w:r>
        <w:rPr>
          <w:rFonts w:hint="eastAsia"/>
          <w:lang w:val="en-US" w:eastAsia="zh-CN"/>
        </w:rPr>
        <w:t>张雨欣</w:t>
      </w:r>
      <w:bookmarkEnd w:id="34"/>
    </w:p>
    <w:p>
      <w:pPr>
        <w:pStyle w:val="2"/>
        <w:pageBreakBefore w:val="0"/>
        <w:kinsoku/>
        <w:wordWrap/>
        <w:overflowPunct/>
        <w:topLinePunct w:val="0"/>
        <w:autoSpaceDE/>
        <w:autoSpaceDN/>
        <w:bidi w:val="0"/>
        <w:adjustRightInd/>
        <w:snapToGrid/>
        <w:spacing w:line="312" w:lineRule="auto"/>
        <w:textAlignment w:val="auto"/>
      </w:pPr>
      <w:bookmarkStart w:id="35" w:name="_Toc13052"/>
      <w:r>
        <w:rPr>
          <w:rFonts w:hint="eastAsia"/>
          <w:lang w:val="en-US" w:eastAsia="zh-CN"/>
        </w:rPr>
        <w:t>21 紫鑫药业</w:t>
      </w:r>
      <w:r>
        <w:rPr>
          <w:rFonts w:hint="eastAsia"/>
        </w:rPr>
        <w:t>事件</w:t>
      </w:r>
      <w:bookmarkEnd w:id="35"/>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eastAsia="宋体"/>
                <w:lang w:val="en-US" w:eastAsia="zh-CN"/>
              </w:rPr>
            </w:pPr>
            <w:r>
              <w:rPr>
                <w:rFonts w:hint="eastAsia"/>
              </w:rPr>
              <w:t>0</w:t>
            </w:r>
            <w:r>
              <w:rPr>
                <w:rFonts w:hint="eastAsia" w:ascii="Times New Roman" w:eastAsia="宋体"/>
                <w:lang w:val="en-US" w:eastAsia="zh-CN"/>
              </w:rPr>
              <w:t>721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20</w:t>
            </w:r>
            <w:r>
              <w:rPr>
                <w:rFonts w:hint="eastAsia" w:ascii="Times New Roman" w:eastAsia="宋体"/>
                <w:lang w:val="en-US" w:eastAsia="zh-CN"/>
              </w:rPr>
              <w:t>11</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紫鑫药业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医药</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b/>
              </w:rPr>
            </w:pPr>
            <w:r>
              <w:rPr>
                <w:rFonts w:hint="eastAsia"/>
                <w:b/>
              </w:rPr>
              <w:t>【企业背景】</w:t>
            </w:r>
          </w:p>
          <w:p>
            <w:pPr>
              <w:pageBreakBefore w:val="0"/>
              <w:kinsoku/>
              <w:wordWrap/>
              <w:overflowPunct/>
              <w:topLinePunct w:val="0"/>
              <w:autoSpaceDE/>
              <w:autoSpaceDN/>
              <w:bidi w:val="0"/>
              <w:adjustRightInd/>
              <w:snapToGrid/>
              <w:spacing w:line="312" w:lineRule="auto"/>
              <w:ind w:firstLine="630" w:firstLineChars="300"/>
              <w:textAlignment w:val="auto"/>
            </w:pPr>
            <w:r>
              <w:fldChar w:fldCharType="begin"/>
            </w:r>
            <w:r>
              <w:instrText xml:space="preserve"> HYPERLINK "https://baike.baidu.com/item/%E5%90%89%E6%9E%97%E7%B4%AB%E9%91%AB%E8%8D%AF%E4%B8%9A%E8%82%A1%E4%BB%BD%E6%9C%89%E9%99%90%E5%85%AC%E5%8F%B8/8755237" \t "https://baike.baidu.com/item/%E7%B4%AB%E9%91%AB%E8%8D%AF%E4%B8%9A/_blank" </w:instrText>
            </w:r>
            <w:r>
              <w:fldChar w:fldCharType="separate"/>
            </w:r>
            <w:r>
              <w:t>吉林紫鑫药业股份有限公司</w:t>
            </w:r>
            <w:r>
              <w:fldChar w:fldCharType="end"/>
            </w:r>
            <w:r>
              <w:t>成立于1998年5月，是一家集科研、开发、生产、销售、药用动植物种养殖为一体的高科技股份制企业。紫鑫药业是一家年轻的企业，吉林省制药生产企业中的后起之秀。公司自成立以来，一直以现代中药和中药现代化为目标，在致力于药品研究与新产品开发的同时，严格按照标准组织生产，并在采购供应、组织生产、药品检验、技术创新、营销网络和</w:t>
            </w:r>
            <w:r>
              <w:fldChar w:fldCharType="begin"/>
            </w:r>
            <w:r>
              <w:instrText xml:space="preserve"> HYPERLINK "https://baike.baidu.com/item/%E4%BA%BA%E5%8A%9B%E8%B5%84%E6%BA%90%E5%BC%80%E5%8F%91" \t "https://baike.baidu.com/item/%E7%B4%AB%E9%91%AB%E8%8D%AF%E4%B8%9A/_blank" </w:instrText>
            </w:r>
            <w:r>
              <w:fldChar w:fldCharType="separate"/>
            </w:r>
            <w:r>
              <w:t>人力资源开发</w:t>
            </w:r>
            <w:r>
              <w:fldChar w:fldCharType="end"/>
            </w:r>
            <w:r>
              <w:t>等方面实现科学化和现代化管理，初步形成了具有一定核心竞争力的中药制药价值链。</w:t>
            </w:r>
            <w:r>
              <w:tab/>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ind w:firstLine="420" w:firstLineChars="200"/>
              <w:textAlignment w:val="auto"/>
              <w:rPr>
                <w:b/>
              </w:rPr>
            </w:pPr>
            <w:r>
              <w:rPr>
                <w:b w:val="0"/>
                <w:bCs/>
              </w:rPr>
              <w:t>吉林</w:t>
            </w:r>
            <w:r>
              <w:rPr>
                <w:b w:val="0"/>
                <w:bCs/>
              </w:rPr>
              <w:fldChar w:fldCharType="begin"/>
            </w:r>
            <w:r>
              <w:rPr>
                <w:b w:val="0"/>
                <w:bCs/>
              </w:rPr>
              <w:instrText xml:space="preserve"> HYPERLINK "http://quote.eastmoney.com/SZ002118.html" </w:instrText>
            </w:r>
            <w:r>
              <w:rPr>
                <w:b w:val="0"/>
                <w:bCs/>
              </w:rPr>
              <w:fldChar w:fldCharType="separate"/>
            </w:r>
            <w:r>
              <w:rPr>
                <w:b w:val="0"/>
                <w:bCs/>
              </w:rPr>
              <w:t>紫鑫药业</w:t>
            </w:r>
            <w:r>
              <w:rPr>
                <w:b w:val="0"/>
                <w:bCs/>
              </w:rPr>
              <w:fldChar w:fldCharType="end"/>
            </w:r>
            <w:r>
              <w:rPr>
                <w:b w:val="0"/>
                <w:bCs/>
              </w:rPr>
              <w:t>股份有限公司于1998年5月成立，是一家集科研、开发、生产、销售、药用动植物种养殖为一体的高科技股份制企业。2007年3月2日在深圳证券交易所上市。</w:t>
            </w:r>
            <w:r>
              <w:rPr>
                <w:b w:val="0"/>
                <w:bCs/>
              </w:rPr>
              <w:fldChar w:fldCharType="begin"/>
            </w:r>
            <w:r>
              <w:rPr>
                <w:b w:val="0"/>
                <w:bCs/>
              </w:rPr>
              <w:instrText xml:space="preserve"> HYPERLINK "http://quote.eastmoney.com/SZ002118.html" </w:instrText>
            </w:r>
            <w:r>
              <w:rPr>
                <w:b w:val="0"/>
                <w:bCs/>
              </w:rPr>
              <w:fldChar w:fldCharType="separate"/>
            </w:r>
            <w:r>
              <w:rPr>
                <w:b w:val="0"/>
                <w:bCs/>
              </w:rPr>
              <w:t>紫鑫药业</w:t>
            </w:r>
            <w:r>
              <w:rPr>
                <w:b w:val="0"/>
                <w:bCs/>
              </w:rPr>
              <w:fldChar w:fldCharType="end"/>
            </w:r>
            <w:r>
              <w:rPr>
                <w:b w:val="0"/>
                <w:bCs/>
              </w:rPr>
              <w:t>自成立到上市以来，一直业绩平平，但在2010年公司发布的年报中，业绩开始</w:t>
            </w:r>
            <w:r>
              <w:rPr>
                <w:rFonts w:hint="eastAsia" w:ascii="Times New Roman" w:eastAsia="宋体"/>
                <w:b w:val="0"/>
                <w:bCs/>
                <w:lang w:val="en-US" w:eastAsia="zh-CN"/>
              </w:rPr>
              <w:t>高速增长。</w:t>
            </w:r>
            <w:r>
              <w:rPr>
                <w:b w:val="0"/>
                <w:bCs/>
              </w:rPr>
              <w:t>实现营业收入6.4亿，同比增长151%，净利润1.73亿，同比增长184% 。2011年上半年，</w:t>
            </w:r>
            <w:r>
              <w:rPr>
                <w:b w:val="0"/>
                <w:bCs/>
              </w:rPr>
              <w:fldChar w:fldCharType="begin"/>
            </w:r>
            <w:r>
              <w:rPr>
                <w:b w:val="0"/>
                <w:bCs/>
              </w:rPr>
              <w:instrText xml:space="preserve"> HYPERLINK "http://quote.eastmoney.com/SZ002118.html" </w:instrText>
            </w:r>
            <w:r>
              <w:rPr>
                <w:b w:val="0"/>
                <w:bCs/>
              </w:rPr>
              <w:fldChar w:fldCharType="separate"/>
            </w:r>
            <w:r>
              <w:rPr>
                <w:b w:val="0"/>
                <w:bCs/>
              </w:rPr>
              <w:t>紫鑫药业</w:t>
            </w:r>
            <w:r>
              <w:rPr>
                <w:b w:val="0"/>
                <w:bCs/>
              </w:rPr>
              <w:fldChar w:fldCharType="end"/>
            </w:r>
            <w:r>
              <w:rPr>
                <w:b w:val="0"/>
                <w:bCs/>
              </w:rPr>
              <w:t>实现营收3.7亿元，净利1.11亿元，分别同比增长226%和325%。紫鑫亦凭借</w:t>
            </w:r>
            <w:r>
              <w:rPr>
                <w:rFonts w:hint="eastAsia" w:ascii="Times New Roman" w:eastAsia="宋体"/>
                <w:b w:val="0"/>
                <w:bCs/>
                <w:lang w:val="en-US" w:eastAsia="zh-CN"/>
              </w:rPr>
              <w:t>高速增长的经营业绩</w:t>
            </w:r>
            <w:r>
              <w:rPr>
                <w:b w:val="0"/>
                <w:bCs/>
              </w:rPr>
              <w:t>为众多券商推荐，股价一路飙升。但</w:t>
            </w:r>
            <w:r>
              <w:rPr>
                <w:b w:val="0"/>
                <w:bCs/>
              </w:rPr>
              <w:fldChar w:fldCharType="begin"/>
            </w:r>
            <w:r>
              <w:rPr>
                <w:b w:val="0"/>
                <w:bCs/>
              </w:rPr>
              <w:instrText xml:space="preserve"> HYPERLINK "http://quote.eastmoney.com/SZ002118.html" </w:instrText>
            </w:r>
            <w:r>
              <w:rPr>
                <w:b w:val="0"/>
                <w:bCs/>
              </w:rPr>
              <w:fldChar w:fldCharType="separate"/>
            </w:r>
            <w:r>
              <w:rPr>
                <w:b w:val="0"/>
                <w:bCs/>
              </w:rPr>
              <w:t>紫鑫药业</w:t>
            </w:r>
            <w:r>
              <w:rPr>
                <w:b w:val="0"/>
                <w:bCs/>
              </w:rPr>
              <w:fldChar w:fldCharType="end"/>
            </w:r>
            <w:r>
              <w:rPr>
                <w:b w:val="0"/>
                <w:bCs/>
              </w:rPr>
              <w:t>经营业绩的爆升使得其被质疑伪造上下游客户，虚构人参相关交易，前五大营业客户均是“影子公司”，成为了投资市场惹人非议的焦点，被质疑是“第二个银广夏”</w:t>
            </w:r>
            <w:r>
              <w:rPr>
                <w:rFonts w:hint="eastAsia" w:eastAsia="宋体"/>
                <w:b w:val="0"/>
                <w:bCs/>
                <w:lang w:eastAsia="zh-CN"/>
              </w:rPr>
              <w:t>。</w:t>
            </w:r>
            <w:r>
              <w:rPr>
                <w:rFonts w:hint="eastAsia"/>
                <w:b w:val="0"/>
                <w:bCs/>
              </w:rPr>
              <w:t>而对紫鑫药业进行审计的中准会计师事务所对其2010年度涉嫌虚假财务报告出具了无保留意见的审计报告</w:t>
            </w:r>
            <w:r>
              <w:rPr>
                <w:b w:val="0"/>
                <w:bCs/>
              </w:rPr>
              <w:t>。2011年10月19日，公司因涉嫌关联交易违法违规行为，最终被证监会立案稽查。</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numPr>
                <w:ilvl w:val="0"/>
                <w:numId w:val="9"/>
              </w:numPr>
              <w:kinsoku/>
              <w:wordWrap/>
              <w:overflowPunct/>
              <w:topLinePunct w:val="0"/>
              <w:autoSpaceDE/>
              <w:autoSpaceDN/>
              <w:bidi w:val="0"/>
              <w:adjustRightInd/>
              <w:snapToGrid/>
              <w:spacing w:line="312" w:lineRule="auto"/>
              <w:textAlignment w:val="auto"/>
              <w:rPr>
                <w:b w:val="0"/>
                <w:bCs w:val="0"/>
              </w:rPr>
            </w:pPr>
            <w:r>
              <w:rPr>
                <w:b w:val="0"/>
                <w:bCs w:val="0"/>
              </w:rPr>
              <w:t>关联方交易舞弊——虚构下游客户　</w:t>
            </w:r>
            <w:r>
              <w:rPr>
                <w:b w:val="0"/>
                <w:bCs w:val="0"/>
              </w:rPr>
              <w:br w:type="textWrapping"/>
            </w:r>
            <w:r>
              <w:rPr>
                <w:b w:val="0"/>
                <w:bCs w:val="0"/>
              </w:rPr>
              <w:t>　　据</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2010 年年报，公司营业收入前五名客户分别为四川平大生物制品有限责任公司、亳州千草药业饮品厂、吉林正德药业有限公司、通化立发人参贸易有限公司、通化文博人参贸易有限公司。这五家公司在2010年一共为</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带来2.3亿的营业收入，占</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当年营业收入的比例为36%。但是根据</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历年的定期报告，上述公司均未曾被披露。而对比2009 年年报，</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前五名客户累计采购金额不足2700 万元，仅占当年营业收入的10%。而同样在业绩暴增的2010年，五大客户“横空出世”，且其背景也颇为“神秘”。　</w:t>
            </w:r>
            <w:r>
              <w:rPr>
                <w:b w:val="0"/>
                <w:bCs w:val="0"/>
              </w:rPr>
              <w:br w:type="textWrapping"/>
            </w:r>
            <w:r>
              <w:rPr>
                <w:b w:val="0"/>
                <w:bCs w:val="0"/>
              </w:rPr>
              <w:t>　　上海证券报的记者经过调查大量信息后发现，这几大客户与</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存在诸多联系。他们在名称、注册时间、地点、注册资金、联系电话等信息上竟然极其相似，令人猜疑。多家公司被证实与</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存在密切的关联关系，而</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的董事长郭春生正是将他们关联到一起的纽带。</w:t>
            </w:r>
          </w:p>
          <w:p>
            <w:pPr>
              <w:pageBreakBefore w:val="0"/>
              <w:numPr>
                <w:ilvl w:val="0"/>
                <w:numId w:val="9"/>
              </w:numPr>
              <w:kinsoku/>
              <w:wordWrap/>
              <w:overflowPunct/>
              <w:topLinePunct w:val="0"/>
              <w:autoSpaceDE/>
              <w:autoSpaceDN/>
              <w:bidi w:val="0"/>
              <w:adjustRightInd/>
              <w:snapToGrid/>
              <w:spacing w:line="312" w:lineRule="auto"/>
              <w:ind w:left="0" w:leftChars="0" w:firstLine="0" w:firstLineChars="0"/>
              <w:textAlignment w:val="auto"/>
              <w:rPr>
                <w:b w:val="0"/>
                <w:bCs w:val="0"/>
              </w:rPr>
            </w:pPr>
            <w:r>
              <w:rPr>
                <w:b w:val="0"/>
                <w:bCs w:val="0"/>
              </w:rPr>
              <w:t>关联方交易舞弊——虚构上游供应商　</w:t>
            </w:r>
            <w:r>
              <w:rPr>
                <w:b w:val="0"/>
                <w:bCs w:val="0"/>
              </w:rPr>
              <w:br w:type="textWrapping"/>
            </w:r>
            <w:r>
              <w:rPr>
                <w:b w:val="0"/>
                <w:bCs w:val="0"/>
              </w:rPr>
              <w:t>　　除了下游客户为</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的关联企业外，其上流供应商与</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也具有千丝万缕的关联关系。</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的上游客户——“延边嘉益”、“延边耀宇”、“延边欣鑫”、“延边劲辉”这4 家人参贸易公司引起了外界的高度怀疑。他们的成立时间、经营范围、公司住所具有很高的相似性：均成立于2010 年，经营范围同为“人参及人参粗加工”，最初的住所也均在延边州新兴工业集中区。最终控制方均为郭春生。这些公司的注册、变更、高管、股东等信息中都很难忽略</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及其关联方的影子，但这些并未在</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的年报中充分披露。　</w:t>
            </w:r>
            <w:r>
              <w:rPr>
                <w:b w:val="0"/>
                <w:bCs w:val="0"/>
              </w:rPr>
              <w:br w:type="textWrapping"/>
            </w:r>
            <w:r>
              <w:rPr>
                <w:b w:val="0"/>
                <w:bCs w:val="0"/>
              </w:rPr>
              <w:t>3、通过生产经营活动舞弊——利用资产购置舞弊　</w:t>
            </w:r>
            <w:r>
              <w:rPr>
                <w:b w:val="0"/>
                <w:bCs w:val="0"/>
              </w:rPr>
              <w:br w:type="textWrapping"/>
            </w:r>
            <w:r>
              <w:rPr>
                <w:b w:val="0"/>
                <w:bCs w:val="0"/>
              </w:rPr>
              <w:t>　　据</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披露，2010年在资本市场融资10亿，6.2亿投资用于采购加工人参原料，在吉林省人参主要产区建立了四个加工基地。公司没有披露这些土地是否适合种植人参。如果这些土地并不适合种植人参，那么很可能是公司把资金放入个人口袋的“出口”。中准会计师事务所出具的审计报告指出：“报告期内</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购入野山参8299.75克，财务报表列报金额13643.9万元，其中9143.9万元的野山参未取得采购发票，该部分存货占期末资产总额的3.28%，由于此部分野山参未获取合规入账凭证，加之野山参货品的特殊性，目前尚未形成公开的令人信服的市场交易报价体系，亦无价值认定权威机构或部门，因此我们无法判定公司对该等存货认定的恰当性。”</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董事会在2012年一季报中说明：“因为野山参货品的特殊性，当地税务部门也在积极寻找野山参公允价值的认定，在取得公司采购野山参价格合理性的认定后将为公司开具</w:t>
            </w:r>
            <w:r>
              <w:rPr>
                <w:b w:val="0"/>
                <w:bCs w:val="0"/>
              </w:rPr>
              <w:fldChar w:fldCharType="begin"/>
            </w:r>
            <w:r>
              <w:rPr>
                <w:b w:val="0"/>
                <w:bCs w:val="0"/>
              </w:rPr>
              <w:instrText xml:space="preserve"> HYPERLINK "http://quote.eastmoney.com/SZ000061.html" </w:instrText>
            </w:r>
            <w:r>
              <w:rPr>
                <w:b w:val="0"/>
                <w:bCs w:val="0"/>
              </w:rPr>
              <w:fldChar w:fldCharType="separate"/>
            </w:r>
            <w:r>
              <w:rPr>
                <w:b w:val="0"/>
                <w:bCs w:val="0"/>
              </w:rPr>
              <w:t>农产品</w:t>
            </w:r>
            <w:r>
              <w:rPr>
                <w:b w:val="0"/>
                <w:bCs w:val="0"/>
              </w:rPr>
              <w:fldChar w:fldCharType="end"/>
            </w:r>
            <w:r>
              <w:rPr>
                <w:b w:val="0"/>
                <w:bCs w:val="0"/>
              </w:rPr>
              <w:t>收购发票。公司董事会已责成公司管理层同野山参客户及需求者联络，尽快完成销售，以实现野山参公允价值的认定。”而对于“公司采购野山参价格合理性”，一季报只字未作解释。对于未取得合规发票而入账的人参存货，其定价除了不公允的可能性之外，唯一的解释是</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通过购置资产进行财务舞弊。 　　</w:t>
            </w:r>
          </w:p>
          <w:p>
            <w:pPr>
              <w:pageBreakBefore w:val="0"/>
              <w:numPr>
                <w:ilvl w:val="0"/>
                <w:numId w:val="0"/>
              </w:numPr>
              <w:kinsoku/>
              <w:wordWrap/>
              <w:overflowPunct/>
              <w:topLinePunct w:val="0"/>
              <w:autoSpaceDE/>
              <w:autoSpaceDN/>
              <w:bidi w:val="0"/>
              <w:adjustRightInd/>
              <w:snapToGrid/>
              <w:spacing w:line="312" w:lineRule="auto"/>
              <w:ind w:leftChars="0"/>
              <w:textAlignment w:val="auto"/>
              <w:rPr>
                <w:b/>
                <w:bCs/>
              </w:rPr>
            </w:pPr>
            <w:r>
              <w:rPr>
                <w:b w:val="0"/>
                <w:bCs w:val="0"/>
              </w:rPr>
              <w:t>4、利润差异失常——操纵会计利润舞弊　</w:t>
            </w:r>
            <w:r>
              <w:rPr>
                <w:b w:val="0"/>
                <w:bCs w:val="0"/>
              </w:rPr>
              <w:br w:type="textWrapping"/>
            </w:r>
            <w:r>
              <w:rPr>
                <w:b w:val="0"/>
                <w:bCs w:val="0"/>
              </w:rPr>
              <w:t>　　</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披露2011年度业绩快报，预计2011年归属于上市公司股东的净利润为2.66亿元。公司披露的2011年年报显示，当年经审计的净利润为2.17亿元。两份报表中归属于上市公司股东的净利润前后竟然出现了近5000万元的差额，数额之巨大，让人无法不与财务造假相联系。为此</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收到深圳证券交易所发出的《关于对吉林</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股份有限公司的监管函》认定</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在年度业绩披露上违反了深交所《股票上市规则》第2.1条和第11.3.7条的规定。在收到《监管函》之后，</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发布《关于2011年度业绩快报存在的问题及整改措施的公告》。而对于出现利润差异的原因，</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在公告中并未做出任何说明。　</w:t>
            </w:r>
            <w:r>
              <w:rPr>
                <w:b w:val="0"/>
                <w:bCs w:val="0"/>
              </w:rPr>
              <w:br w:type="textWrapping"/>
            </w:r>
            <w:r>
              <w:rPr>
                <w:b w:val="0"/>
                <w:bCs w:val="0"/>
              </w:rPr>
              <w:t>　　5、利润增长超常——虚增利润舞弊　</w:t>
            </w:r>
            <w:r>
              <w:rPr>
                <w:b w:val="0"/>
                <w:bCs w:val="0"/>
              </w:rPr>
              <w:br w:type="textWrapping"/>
            </w:r>
            <w:r>
              <w:rPr>
                <w:b w:val="0"/>
                <w:bCs w:val="0"/>
              </w:rPr>
              <w:t>　　</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2011年四个季度利润呈直线上涨趋势，由5000多万猛增至20000多，净利润增长率之大，已远远超过同行业其他公司以及行业均值，如何解释这种增长？通过以上对于</w:t>
            </w:r>
            <w:r>
              <w:rPr>
                <w:b w:val="0"/>
                <w:bCs w:val="0"/>
              </w:rPr>
              <w:fldChar w:fldCharType="begin"/>
            </w:r>
            <w:r>
              <w:rPr>
                <w:b w:val="0"/>
                <w:bCs w:val="0"/>
              </w:rPr>
              <w:instrText xml:space="preserve"> HYPERLINK "http://quote.eastmoney.com/SZ002118.html" </w:instrText>
            </w:r>
            <w:r>
              <w:rPr>
                <w:b w:val="0"/>
                <w:bCs w:val="0"/>
              </w:rPr>
              <w:fldChar w:fldCharType="separate"/>
            </w:r>
            <w:r>
              <w:rPr>
                <w:b w:val="0"/>
                <w:bCs w:val="0"/>
              </w:rPr>
              <w:t>紫鑫药业</w:t>
            </w:r>
            <w:r>
              <w:rPr>
                <w:b w:val="0"/>
                <w:bCs w:val="0"/>
              </w:rPr>
              <w:fldChar w:fldCharType="end"/>
            </w:r>
            <w:r>
              <w:rPr>
                <w:b w:val="0"/>
                <w:bCs w:val="0"/>
              </w:rPr>
              <w:t>与其上游供应商和下游客户的复杂关联关系来看，如此超常的利润增长速度，极有可能是通过公司的自买自卖行为人为操纵。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pPr>
            <w:r>
              <w:rPr>
                <w:rFonts w:hint="eastAsia"/>
                <w:b w:val="0"/>
                <w:bCs/>
              </w:rPr>
              <w:t>中准会计师事务所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ascii="Times New Roman" w:eastAsia="宋体"/>
                <w:lang w:val="en-US" w:eastAsia="zh-CN"/>
              </w:rPr>
              <w:t>审计机构案情描述</w:t>
            </w:r>
          </w:p>
        </w:tc>
        <w:tc>
          <w:tcPr>
            <w:tcW w:w="6316" w:type="dxa"/>
          </w:tcPr>
          <w:p>
            <w:pPr>
              <w:pageBreakBefore w:val="0"/>
              <w:kinsoku/>
              <w:wordWrap/>
              <w:overflowPunct/>
              <w:topLinePunct w:val="0"/>
              <w:autoSpaceDE/>
              <w:autoSpaceDN/>
              <w:bidi w:val="0"/>
              <w:adjustRightInd/>
              <w:snapToGrid/>
              <w:spacing w:line="312" w:lineRule="auto"/>
              <w:textAlignment w:val="auto"/>
            </w:pPr>
            <w:r>
              <w:rPr>
                <w:rFonts w:hint="eastAsia"/>
                <w:b w:val="0"/>
                <w:bCs/>
              </w:rPr>
              <w:t>中准会计师事务所对</w:t>
            </w:r>
            <w:r>
              <w:rPr>
                <w:rFonts w:hint="eastAsia" w:ascii="Times New Roman" w:eastAsia="宋体"/>
                <w:b w:val="0"/>
                <w:bCs/>
                <w:lang w:val="en-US" w:eastAsia="zh-CN"/>
              </w:rPr>
              <w:t>紫鑫药业</w:t>
            </w:r>
            <w:r>
              <w:rPr>
                <w:rFonts w:hint="eastAsia"/>
                <w:b w:val="0"/>
                <w:bCs/>
              </w:rPr>
              <w:t>2010年度涉嫌虚假财务报告出具了无保留意见的审计报告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审计受罚或责任描述</w:t>
            </w:r>
          </w:p>
        </w:tc>
        <w:tc>
          <w:tcPr>
            <w:tcW w:w="6316" w:type="dxa"/>
          </w:tcPr>
          <w:p>
            <w:pPr>
              <w:pageBreakBefore w:val="0"/>
              <w:kinsoku/>
              <w:wordWrap/>
              <w:overflowPunct/>
              <w:topLinePunct w:val="0"/>
              <w:autoSpaceDE/>
              <w:autoSpaceDN/>
              <w:bidi w:val="0"/>
              <w:adjustRightInd/>
              <w:snapToGrid/>
              <w:spacing w:line="312" w:lineRule="auto"/>
              <w:textAlignment w:val="auto"/>
            </w:pPr>
            <w:r>
              <w:rPr>
                <w:rFonts w:hint="eastAsia" w:ascii="Times New Roman" w:eastAsia="宋体"/>
                <w:lang w:val="en-US" w:eastAsia="zh-CN"/>
              </w:rPr>
              <w:t>依据《中国注册会计师协会会员执业违规行为惩戒办法》，</w:t>
            </w:r>
            <w:r>
              <w:rPr>
                <w:lang w:val="en-US" w:eastAsia="zh-CN"/>
              </w:rPr>
              <w:t>中注协惩戒委员会决定</w:t>
            </w:r>
            <w:r>
              <w:rPr>
                <w:rFonts w:hint="eastAsia" w:ascii="Times New Roman" w:eastAsia="宋体"/>
                <w:lang w:val="en-US" w:eastAsia="zh-CN"/>
              </w:rPr>
              <w:t>，</w:t>
            </w:r>
            <w:r>
              <w:rPr>
                <w:lang w:val="en-US" w:eastAsia="zh-CN"/>
              </w:rPr>
              <w:t>给予中准所紫鑫药业审计项目签字注册会计师刘昆、张忠伟通报批</w:t>
            </w:r>
            <w:r>
              <w:rPr>
                <w:rFonts w:hint="default"/>
                <w:lang w:val="en-US" w:eastAsia="zh-CN"/>
              </w:rPr>
              <w:t>评</w:t>
            </w:r>
            <w:r>
              <w:rPr>
                <w:rFonts w:hint="eastAsia" w:ascii="Times New Roman" w:eastAsia="宋体"/>
                <w:lang w:val="en-US" w:eastAsia="zh-CN"/>
              </w:rPr>
              <w:t>。</w:t>
            </w:r>
            <w:r>
              <w:rPr>
                <w:rFonts w:hint="default"/>
                <w:lang w:val="en-US" w:eastAsia="zh-CN"/>
              </w:rPr>
              <w:t>同时</w:t>
            </w:r>
            <w:r>
              <w:rPr>
                <w:rFonts w:hint="eastAsia" w:ascii="Times New Roman" w:eastAsia="宋体"/>
                <w:lang w:val="en-US" w:eastAsia="zh-CN"/>
              </w:rPr>
              <w:t>，</w:t>
            </w:r>
            <w:r>
              <w:rPr>
                <w:rFonts w:hint="default"/>
                <w:lang w:val="en-US" w:eastAsia="zh-CN"/>
              </w:rPr>
              <w:t>针对检查中发现的问题</w:t>
            </w:r>
            <w:r>
              <w:rPr>
                <w:rFonts w:hint="eastAsia" w:ascii="Times New Roman" w:eastAsia="宋体"/>
                <w:lang w:val="en-US" w:eastAsia="zh-CN"/>
              </w:rPr>
              <w:t>，</w:t>
            </w:r>
            <w:r>
              <w:rPr>
                <w:rFonts w:hint="default"/>
                <w:lang w:val="en-US" w:eastAsia="zh-CN"/>
              </w:rPr>
              <w:t>中注协已向中准所发出《整改通知书》</w:t>
            </w:r>
            <w:r>
              <w:rPr>
                <w:rFonts w:hint="eastAsia" w:ascii="Times New Roman" w:eastAsia="宋体"/>
                <w:lang w:val="en-US" w:eastAsia="zh-CN"/>
              </w:rPr>
              <w:t>，</w:t>
            </w:r>
            <w:r>
              <w:rPr>
                <w:rFonts w:hint="default"/>
                <w:lang w:val="en-US" w:eastAsia="zh-CN"/>
              </w:rPr>
              <w:t>责成中准所加强质量控制体系建设</w:t>
            </w:r>
            <w:r>
              <w:rPr>
                <w:rFonts w:hint="eastAsia" w:ascii="Times New Roman" w:eastAsia="宋体"/>
                <w:lang w:val="en-US" w:eastAsia="zh-CN"/>
              </w:rPr>
              <w:t>，</w:t>
            </w:r>
            <w:r>
              <w:rPr>
                <w:rFonts w:hint="default"/>
                <w:lang w:val="en-US" w:eastAsia="zh-CN"/>
              </w:rPr>
              <w:t>强化总所对分所的管理</w:t>
            </w:r>
            <w:r>
              <w:rPr>
                <w:rFonts w:hint="eastAsia" w:ascii="Times New Roman" w:eastAsia="宋体"/>
                <w:lang w:val="en-US" w:eastAsia="zh-CN"/>
              </w:rPr>
              <w:t>，</w:t>
            </w:r>
            <w:r>
              <w:rPr>
                <w:rFonts w:hint="default"/>
                <w:lang w:val="en-US" w:eastAsia="zh-CN"/>
              </w:rPr>
              <w:t>限期进行整改</w:t>
            </w:r>
            <w:r>
              <w:rPr>
                <w:rFonts w:hint="eastAsia" w:ascii="Times New Roman" w:eastAsia="宋体"/>
                <w:lang w:val="en-US" w:eastAsia="zh-CN"/>
              </w:rPr>
              <w:t>，</w:t>
            </w:r>
            <w:r>
              <w:rPr>
                <w:rFonts w:hint="default"/>
                <w:lang w:val="en-US" w:eastAsia="zh-CN"/>
              </w:rPr>
              <w:t>中注协将对其整改情况进行跟踪检查</w:t>
            </w:r>
            <w:r>
              <w:rPr>
                <w:rFonts w:hint="eastAsia" w:ascii="Times New Roman" w:eastAsia="宋体"/>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审计失败的原因</w:t>
            </w:r>
          </w:p>
        </w:tc>
        <w:tc>
          <w:tcPr>
            <w:tcW w:w="6316" w:type="dxa"/>
          </w:tcPr>
          <w:p>
            <w:pPr>
              <w:pageBreakBefore w:val="0"/>
              <w:tabs>
                <w:tab w:val="left" w:pos="2160"/>
              </w:tabs>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1、</w:t>
            </w:r>
            <w:r>
              <w:rPr>
                <w:rFonts w:hint="eastAsia"/>
              </w:rPr>
              <w:t>审计测试流程不到位</w:t>
            </w:r>
          </w:p>
          <w:p>
            <w:pPr>
              <w:pageBreakBefore w:val="0"/>
              <w:numPr>
                <w:ilvl w:val="0"/>
                <w:numId w:val="10"/>
              </w:numPr>
              <w:tabs>
                <w:tab w:val="left" w:pos="2160"/>
              </w:tabs>
              <w:kinsoku/>
              <w:wordWrap/>
              <w:overflowPunct/>
              <w:topLinePunct w:val="0"/>
              <w:autoSpaceDE/>
              <w:autoSpaceDN/>
              <w:bidi w:val="0"/>
              <w:adjustRightInd/>
              <w:snapToGrid/>
              <w:spacing w:line="312" w:lineRule="auto"/>
              <w:textAlignment w:val="auto"/>
              <w:rPr>
                <w:rFonts w:hint="eastAsia"/>
              </w:rPr>
            </w:pPr>
            <w:r>
              <w:rPr>
                <w:rFonts w:hint="eastAsia"/>
              </w:rPr>
              <w:t>风险评估程序不到位。作为舞弊高发领域的关联方及其交易，应是注册会计师的重点关注对象。如果中准对其前五大客户有关的信息进行细致分析，也是可以发现其舞弊的。</w:t>
            </w:r>
          </w:p>
          <w:p>
            <w:pPr>
              <w:pageBreakBefore w:val="0"/>
              <w:numPr>
                <w:ilvl w:val="0"/>
                <w:numId w:val="10"/>
              </w:numPr>
              <w:tabs>
                <w:tab w:val="left" w:pos="2160"/>
              </w:tabs>
              <w:kinsoku/>
              <w:wordWrap/>
              <w:overflowPunct/>
              <w:topLinePunct w:val="0"/>
              <w:autoSpaceDE/>
              <w:autoSpaceDN/>
              <w:bidi w:val="0"/>
              <w:adjustRightInd/>
              <w:snapToGrid/>
              <w:spacing w:line="312" w:lineRule="auto"/>
              <w:textAlignment w:val="auto"/>
            </w:pPr>
            <w:r>
              <w:rPr>
                <w:rFonts w:hint="eastAsia"/>
              </w:rPr>
              <w:t>实质性程序不到位。紫鑫药业进入人参行业不到一年，但是利润却增长的如此之快，中准的实质性程序欠缺，尤其是实质性分析程序。</w:t>
            </w:r>
          </w:p>
          <w:p>
            <w:pPr>
              <w:pageBreakBefore w:val="0"/>
              <w:numPr>
                <w:ilvl w:val="0"/>
                <w:numId w:val="0"/>
              </w:numPr>
              <w:tabs>
                <w:tab w:val="left" w:pos="2160"/>
              </w:tabs>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2、会计师实务所与紫鑫药业存在审计合谋问题。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ascii="Times New Roman" w:eastAsia="宋体"/>
                <w:lang w:val="en-US" w:eastAsia="zh-CN"/>
              </w:rPr>
              <w:t>引发的审计思考</w:t>
            </w:r>
          </w:p>
        </w:tc>
        <w:tc>
          <w:tcPr>
            <w:tcW w:w="6316" w:type="dxa"/>
          </w:tcPr>
          <w:p>
            <w:pPr>
              <w:pageBreakBefore w:val="0"/>
              <w:numPr>
                <w:ilvl w:val="0"/>
                <w:numId w:val="0"/>
              </w:numPr>
              <w:kinsoku/>
              <w:wordWrap/>
              <w:overflowPunct/>
              <w:topLinePunct w:val="0"/>
              <w:autoSpaceDE/>
              <w:autoSpaceDN/>
              <w:bidi w:val="0"/>
              <w:adjustRightInd/>
              <w:snapToGrid/>
              <w:spacing w:line="312" w:lineRule="auto"/>
              <w:textAlignment w:val="auto"/>
              <w:rPr>
                <w:rStyle w:val="18"/>
                <w:i w:val="0"/>
                <w:iCs w:val="0"/>
                <w:color w:val="auto"/>
                <w:lang w:val="en-US" w:eastAsia="zh-CN"/>
              </w:rPr>
            </w:pPr>
            <w:r>
              <w:rPr>
                <w:rStyle w:val="18"/>
                <w:rFonts w:hint="eastAsia"/>
                <w:i w:val="0"/>
                <w:iCs w:val="0"/>
                <w:color w:val="auto"/>
                <w:lang w:val="en-US" w:eastAsia="zh-CN"/>
              </w:rPr>
              <w:t>1.</w:t>
            </w:r>
            <w:r>
              <w:rPr>
                <w:rStyle w:val="18"/>
                <w:i w:val="0"/>
                <w:iCs w:val="0"/>
                <w:color w:val="auto"/>
                <w:lang w:val="en-US" w:eastAsia="zh-CN"/>
              </w:rPr>
              <w:t>在关联方审计</w:t>
            </w:r>
            <w:r>
              <w:rPr>
                <w:rStyle w:val="18"/>
                <w:rFonts w:hint="eastAsia"/>
                <w:i w:val="0"/>
                <w:iCs w:val="0"/>
                <w:color w:val="auto"/>
                <w:lang w:val="en-US" w:eastAsia="zh-CN"/>
              </w:rPr>
              <w:t>中要</w:t>
            </w:r>
            <w:r>
              <w:rPr>
                <w:rStyle w:val="18"/>
                <w:i w:val="0"/>
                <w:iCs w:val="0"/>
                <w:color w:val="auto"/>
                <w:lang w:val="en-US" w:eastAsia="zh-CN"/>
              </w:rPr>
              <w:t>保持职业怀疑态度</w:t>
            </w:r>
          </w:p>
          <w:p>
            <w:pPr>
              <w:pageBreakBefore w:val="0"/>
              <w:numPr>
                <w:ilvl w:val="0"/>
                <w:numId w:val="0"/>
              </w:numPr>
              <w:kinsoku/>
              <w:wordWrap/>
              <w:overflowPunct/>
              <w:topLinePunct w:val="0"/>
              <w:autoSpaceDE/>
              <w:autoSpaceDN/>
              <w:bidi w:val="0"/>
              <w:adjustRightInd/>
              <w:snapToGrid/>
              <w:spacing w:line="312" w:lineRule="auto"/>
              <w:ind w:firstLine="420" w:firstLineChars="200"/>
              <w:textAlignment w:val="auto"/>
              <w:rPr>
                <w:rStyle w:val="18"/>
                <w:i w:val="0"/>
                <w:iCs w:val="0"/>
                <w:color w:val="auto"/>
              </w:rPr>
            </w:pPr>
            <w:r>
              <w:rPr>
                <w:rStyle w:val="18"/>
                <w:rFonts w:hint="default"/>
                <w:i w:val="0"/>
                <w:iCs w:val="0"/>
                <w:color w:val="auto"/>
                <w:lang w:val="en-US" w:eastAsia="zh-CN"/>
              </w:rPr>
              <w:t xml:space="preserve">某些关联方交易具有更大的重大错报风险,未按正常的市场交易条款进行,通过广泛而复杂的关系和组织结构进行运作,增加关联方交易复杂程度,信息系统无法有效识别或者汇总被审计单位与关 </w:t>
            </w:r>
          </w:p>
          <w:p>
            <w:pPr>
              <w:pageBreakBefore w:val="0"/>
              <w:kinsoku/>
              <w:wordWrap/>
              <w:overflowPunct/>
              <w:topLinePunct w:val="0"/>
              <w:autoSpaceDE/>
              <w:autoSpaceDN/>
              <w:bidi w:val="0"/>
              <w:adjustRightInd/>
              <w:snapToGrid/>
              <w:spacing w:line="312" w:lineRule="auto"/>
              <w:textAlignment w:val="auto"/>
              <w:rPr>
                <w:rStyle w:val="18"/>
                <w:i w:val="0"/>
                <w:iCs w:val="0"/>
                <w:color w:val="auto"/>
              </w:rPr>
            </w:pPr>
            <w:r>
              <w:rPr>
                <w:rStyle w:val="18"/>
                <w:rFonts w:hint="default"/>
                <w:i w:val="0"/>
                <w:iCs w:val="0"/>
                <w:color w:val="auto"/>
                <w:lang w:val="en-US" w:eastAsia="zh-CN"/>
              </w:rPr>
              <w:t xml:space="preserve">联方交易的金额.因此保持职业怀疑态度有助于降低审计失败的概率. </w:t>
            </w:r>
          </w:p>
          <w:p>
            <w:pPr>
              <w:pageBreakBefore w:val="0"/>
              <w:kinsoku/>
              <w:wordWrap/>
              <w:overflowPunct/>
              <w:topLinePunct w:val="0"/>
              <w:autoSpaceDE/>
              <w:autoSpaceDN/>
              <w:bidi w:val="0"/>
              <w:adjustRightInd/>
              <w:snapToGrid/>
              <w:spacing w:line="312" w:lineRule="auto"/>
              <w:textAlignment w:val="auto"/>
              <w:rPr>
                <w:rStyle w:val="18"/>
                <w:i w:val="0"/>
                <w:iCs w:val="0"/>
                <w:color w:val="auto"/>
              </w:rPr>
            </w:pPr>
            <w:r>
              <w:rPr>
                <w:rStyle w:val="18"/>
                <w:rFonts w:hint="default"/>
                <w:i w:val="0"/>
                <w:iCs w:val="0"/>
                <w:color w:val="auto"/>
                <w:lang w:val="en-US" w:eastAsia="zh-CN"/>
              </w:rPr>
              <w:t>2.</w:t>
            </w:r>
            <w:r>
              <w:rPr>
                <w:rStyle w:val="18"/>
                <w:rFonts w:hint="eastAsia"/>
                <w:i w:val="0"/>
                <w:iCs w:val="0"/>
                <w:color w:val="auto"/>
                <w:lang w:val="en-US" w:eastAsia="zh-CN"/>
              </w:rPr>
              <w:t>要</w:t>
            </w:r>
            <w:r>
              <w:rPr>
                <w:rStyle w:val="18"/>
                <w:rFonts w:hint="default"/>
                <w:i w:val="0"/>
                <w:iCs w:val="0"/>
                <w:color w:val="auto"/>
                <w:lang w:val="en-US" w:eastAsia="zh-CN"/>
              </w:rPr>
              <w:t xml:space="preserve">正确实施关联方交易的审计程序 </w:t>
            </w:r>
          </w:p>
          <w:p>
            <w:pPr>
              <w:pageBreakBefore w:val="0"/>
              <w:kinsoku/>
              <w:wordWrap/>
              <w:overflowPunct/>
              <w:topLinePunct w:val="0"/>
              <w:autoSpaceDE/>
              <w:autoSpaceDN/>
              <w:bidi w:val="0"/>
              <w:adjustRightInd/>
              <w:snapToGrid/>
              <w:spacing w:line="312" w:lineRule="auto"/>
              <w:ind w:firstLine="420" w:firstLineChars="200"/>
              <w:textAlignment w:val="auto"/>
              <w:rPr>
                <w:rStyle w:val="18"/>
                <w:i w:val="0"/>
                <w:iCs w:val="0"/>
                <w:color w:val="auto"/>
              </w:rPr>
            </w:pPr>
            <w:r>
              <w:rPr>
                <w:rStyle w:val="18"/>
                <w:rFonts w:hint="default"/>
                <w:i w:val="0"/>
                <w:iCs w:val="0"/>
                <w:color w:val="auto"/>
                <w:lang w:val="en-US" w:eastAsia="zh-CN"/>
              </w:rPr>
              <w:t>应当了解被审计单位及其环境,对被审计单位面临的重大错报风险进行评估,同时采取相应措施, 如关联方交易的内部控制测试、实质性程序</w:t>
            </w:r>
            <w:r>
              <w:rPr>
                <w:rStyle w:val="18"/>
                <w:rFonts w:hint="eastAsia"/>
                <w:i w:val="0"/>
                <w:iCs w:val="0"/>
                <w:color w:val="auto"/>
                <w:lang w:val="en-US" w:eastAsia="zh-CN"/>
              </w:rPr>
              <w:t>来</w:t>
            </w:r>
            <w:r>
              <w:rPr>
                <w:rStyle w:val="18"/>
                <w:rFonts w:hint="default"/>
                <w:i w:val="0"/>
                <w:iCs w:val="0"/>
                <w:color w:val="auto"/>
                <w:lang w:val="en-US" w:eastAsia="zh-CN"/>
              </w:rPr>
              <w:t xml:space="preserve">应对关联方交易中重大错报风险 </w:t>
            </w:r>
          </w:p>
          <w:p>
            <w:pPr>
              <w:pageBreakBefore w:val="0"/>
              <w:kinsoku/>
              <w:wordWrap/>
              <w:overflowPunct/>
              <w:topLinePunct w:val="0"/>
              <w:autoSpaceDE/>
              <w:autoSpaceDN/>
              <w:bidi w:val="0"/>
              <w:adjustRightInd/>
              <w:snapToGrid/>
              <w:spacing w:line="312" w:lineRule="auto"/>
              <w:textAlignment w:val="auto"/>
              <w:rPr>
                <w:rStyle w:val="18"/>
                <w:i w:val="0"/>
                <w:iCs w:val="0"/>
                <w:color w:val="auto"/>
              </w:rPr>
            </w:pPr>
            <w:r>
              <w:rPr>
                <w:rStyle w:val="18"/>
                <w:rFonts w:hint="default"/>
                <w:i w:val="0"/>
                <w:iCs w:val="0"/>
                <w:color w:val="auto"/>
                <w:lang w:val="en-US" w:eastAsia="zh-CN"/>
              </w:rPr>
              <w:t>3.加强</w:t>
            </w:r>
            <w:r>
              <w:rPr>
                <w:rStyle w:val="18"/>
                <w:rFonts w:hint="eastAsia"/>
                <w:i w:val="0"/>
                <w:iCs w:val="0"/>
                <w:color w:val="auto"/>
                <w:lang w:val="en-US" w:eastAsia="zh-CN"/>
              </w:rPr>
              <w:t>注册会计师的职业道德修养</w:t>
            </w:r>
          </w:p>
          <w:p>
            <w:pPr>
              <w:pageBreakBefore w:val="0"/>
              <w:kinsoku/>
              <w:wordWrap/>
              <w:overflowPunct/>
              <w:topLinePunct w:val="0"/>
              <w:autoSpaceDE/>
              <w:autoSpaceDN/>
              <w:bidi w:val="0"/>
              <w:adjustRightInd/>
              <w:snapToGrid/>
              <w:spacing w:line="312" w:lineRule="auto"/>
              <w:ind w:firstLine="420" w:firstLineChars="200"/>
              <w:textAlignment w:val="auto"/>
              <w:rPr>
                <w:rStyle w:val="18"/>
                <w:rFonts w:hint="default"/>
                <w:i w:val="0"/>
                <w:iCs w:val="0"/>
                <w:color w:val="auto"/>
                <w:lang w:val="en-US"/>
              </w:rPr>
            </w:pPr>
            <w:r>
              <w:rPr>
                <w:rStyle w:val="18"/>
                <w:rFonts w:hint="eastAsia"/>
                <w:i w:val="0"/>
                <w:iCs w:val="0"/>
                <w:color w:val="auto"/>
                <w:lang w:val="en-US" w:eastAsia="zh-CN"/>
              </w:rPr>
              <w:t>注册会计师在对被审计单位进行审计时要保持相对独立性，注册会计师要加强职业道德修养，不要与被审计单位合谋。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关联方交易</w:t>
            </w:r>
          </w:p>
          <w:p>
            <w:pPr>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关联方交易是指关联方指关联方之间转移资源、劳务或义务的行为，而不论是否收取价款，例如，购买或销售商品，提供或接受劳务等。</w:t>
            </w:r>
          </w:p>
        </w:tc>
      </w:tr>
    </w:tbl>
    <w:p>
      <w:pPr>
        <w:pStyle w:val="2"/>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bookmarkStart w:id="36" w:name="_Toc31799"/>
      <w:r>
        <w:rPr>
          <w:rFonts w:hint="eastAsia"/>
          <w:lang w:val="en-US" w:eastAsia="zh-CN"/>
        </w:rPr>
        <w:t>22 ST国药事件</w:t>
      </w:r>
      <w:bookmarkEnd w:id="36"/>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eastAsia="宋体"/>
                <w:lang w:val="en-US" w:eastAsia="zh-CN"/>
              </w:rPr>
            </w:pPr>
            <w:r>
              <w:rPr>
                <w:rFonts w:hint="eastAsia" w:ascii="Times New Roman" w:eastAsia="宋体"/>
                <w:lang w:val="en-US" w:eastAsia="zh-CN"/>
              </w:rPr>
              <w:t>0722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2</w:t>
            </w:r>
            <w:r>
              <w:rPr>
                <w:rFonts w:hint="eastAsia" w:ascii="Times New Roman" w:eastAsia="宋体"/>
                <w:lang w:val="en-US" w:eastAsia="zh-CN"/>
              </w:rPr>
              <w:t>012</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eastAsia="宋体"/>
                <w:lang w:val="en-US" w:eastAsia="zh-CN"/>
              </w:rPr>
            </w:pPr>
            <w:r>
              <w:rPr>
                <w:rFonts w:hint="eastAsia" w:ascii="Times New Roman" w:eastAsia="宋体"/>
                <w:lang w:val="en-US" w:eastAsia="zh-CN"/>
              </w:rPr>
              <w:t>ST国药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医药</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b/>
              </w:rPr>
            </w:pPr>
            <w:r>
              <w:rPr>
                <w:rFonts w:hint="eastAsia"/>
                <w:b/>
              </w:rPr>
              <w:t>【企业背景】</w:t>
            </w:r>
          </w:p>
          <w:p>
            <w:pPr>
              <w:pageBreakBefore w:val="0"/>
              <w:kinsoku/>
              <w:wordWrap/>
              <w:overflowPunct/>
              <w:topLinePunct w:val="0"/>
              <w:autoSpaceDE/>
              <w:autoSpaceDN/>
              <w:bidi w:val="0"/>
              <w:adjustRightInd/>
              <w:snapToGrid/>
              <w:spacing w:line="312" w:lineRule="auto"/>
              <w:textAlignment w:val="auto"/>
            </w:pPr>
            <w:r>
              <w:rPr>
                <w:rFonts w:hint="eastAsia"/>
              </w:rPr>
              <w:fldChar w:fldCharType="begin"/>
            </w:r>
            <w:r>
              <w:rPr>
                <w:rFonts w:hint="eastAsia"/>
              </w:rPr>
              <w:instrText xml:space="preserve"> HYPERLINK "https://baike.baidu.com/item/%E6%AD%A6%E6%B1%89%E5%9B%BD%E8%8D%AF%E7%A7%91%E6%8A%80%E8%82%A1%E4%BB%BD%E6%9C%89%E9%99%90%E5%85%AC%E5%8F%B8/2016775" \t "https://baike.baidu.com/item/_blank" </w:instrText>
            </w:r>
            <w:r>
              <w:rPr>
                <w:rFonts w:hint="eastAsia"/>
              </w:rPr>
              <w:fldChar w:fldCharType="separate"/>
            </w:r>
            <w:r>
              <w:rPr>
                <w:rFonts w:hint="default"/>
              </w:rPr>
              <w:t>武汉国药科技股份有限公司</w:t>
            </w:r>
            <w:r>
              <w:rPr>
                <w:rFonts w:hint="default"/>
              </w:rPr>
              <w:fldChar w:fldCharType="end"/>
            </w:r>
            <w:r>
              <w:rPr>
                <w:rFonts w:hint="default"/>
              </w:rPr>
              <w:t>的前身为武汉春天生物工程有限公司，1997 年11 月11 日，经湖北省经济体制改革委员会批准，由武汉比药欣生物工程有限公司(现更名为“</w:t>
            </w:r>
            <w:r>
              <w:rPr>
                <w:rFonts w:hint="default"/>
              </w:rPr>
              <w:fldChar w:fldCharType="begin"/>
            </w:r>
            <w:r>
              <w:rPr>
                <w:rFonts w:hint="default"/>
              </w:rPr>
              <w:instrText xml:space="preserve"> HYPERLINK "https://baike.baidu.com/item/%E6%AD%A6%E6%B1%89%E6%96%B0%E4%B8%80%E4%BB%A3%E7%A7%91%E6%8A%80%E6%9C%89%E9%99%90%E5%85%AC%E5%8F%B8/20505618" \t "https://baike.baidu.com/item/_blank" </w:instrText>
            </w:r>
            <w:r>
              <w:rPr>
                <w:rFonts w:hint="default"/>
              </w:rPr>
              <w:fldChar w:fldCharType="separate"/>
            </w:r>
            <w:r>
              <w:rPr>
                <w:rFonts w:hint="default"/>
              </w:rPr>
              <w:t>武汉新一代科技有限公司</w:t>
            </w:r>
            <w:r>
              <w:rPr>
                <w:rFonts w:hint="default"/>
              </w:rPr>
              <w:fldChar w:fldCharType="end"/>
            </w:r>
            <w:r>
              <w:rPr>
                <w:rFonts w:hint="default"/>
              </w:rPr>
              <w:t>”) 、</w:t>
            </w:r>
            <w:r>
              <w:rPr>
                <w:rFonts w:hint="default"/>
              </w:rPr>
              <w:fldChar w:fldCharType="begin"/>
            </w:r>
            <w:r>
              <w:rPr>
                <w:rFonts w:hint="default"/>
              </w:rPr>
              <w:instrText xml:space="preserve"> HYPERLINK "https://baike.baidu.com/item/%E6%AD%A6%E6%B1%89%E4%B8%9C%E6%B9%96%E6%96%B0%E6%8A%80%E6%9C%AF%E5%BC%80%E5%8F%91%E5%8C%BA%E5%8F%91%E5%B1%95%E6%80%BB%E5%85%AC%E5%8F%B8/19990518" \t "https://baike.baidu.com/item/_blank" </w:instrText>
            </w:r>
            <w:r>
              <w:rPr>
                <w:rFonts w:hint="default"/>
              </w:rPr>
              <w:fldChar w:fldCharType="separate"/>
            </w:r>
            <w:r>
              <w:rPr>
                <w:rFonts w:hint="default"/>
              </w:rPr>
              <w:t>武汉东湖新技术开发区发展总公司</w:t>
            </w:r>
            <w:r>
              <w:rPr>
                <w:rFonts w:hint="default"/>
              </w:rPr>
              <w:fldChar w:fldCharType="end"/>
            </w:r>
            <w:r>
              <w:rPr>
                <w:rFonts w:hint="default"/>
              </w:rPr>
              <w:t>、武汉香烟伴侣生物工程有限公司(现更名为“</w:t>
            </w:r>
            <w:r>
              <w:rPr>
                <w:rFonts w:hint="default"/>
              </w:rPr>
              <w:fldChar w:fldCharType="begin"/>
            </w:r>
            <w:r>
              <w:rPr>
                <w:rFonts w:hint="default"/>
              </w:rPr>
              <w:instrText xml:space="preserve"> HYPERLINK "https://baike.baidu.com/item/%E4%B8%8A%E6%B5%B7%E6%97%A5%E5%85%B4%E5%BA%B7%E7%94%9F%E7%89%A9%E5%B7%A5%E7%A8%8B%E6%9C%89%E9%99%90%E5%85%AC%E5%8F%B8/20017068" \t "https://baike.baidu.com/item/_blank" </w:instrText>
            </w:r>
            <w:r>
              <w:rPr>
                <w:rFonts w:hint="default"/>
              </w:rPr>
              <w:fldChar w:fldCharType="separate"/>
            </w:r>
            <w:r>
              <w:rPr>
                <w:rFonts w:hint="default"/>
              </w:rPr>
              <w:t>上海日兴康生物工程有限公司</w:t>
            </w:r>
            <w:r>
              <w:rPr>
                <w:rFonts w:hint="default"/>
              </w:rPr>
              <w:fldChar w:fldCharType="end"/>
            </w:r>
            <w:r>
              <w:rPr>
                <w:rFonts w:hint="default"/>
              </w:rPr>
              <w:t>”)、</w:t>
            </w:r>
            <w:r>
              <w:rPr>
                <w:rFonts w:hint="default"/>
              </w:rPr>
              <w:fldChar w:fldCharType="begin"/>
            </w:r>
            <w:r>
              <w:rPr>
                <w:rFonts w:hint="default"/>
              </w:rPr>
              <w:instrText xml:space="preserve"> HYPERLINK "https://baike.baidu.com/item/%E6%B9%96%E5%8C%97%E4%B8%AD%E5%8C%BB%E5%AD%A6%E9%99%A2/327641" \t "https://baike.baidu.com/item/_blank" </w:instrText>
            </w:r>
            <w:r>
              <w:rPr>
                <w:rFonts w:hint="default"/>
              </w:rPr>
              <w:fldChar w:fldCharType="separate"/>
            </w:r>
            <w:r>
              <w:rPr>
                <w:rFonts w:hint="default"/>
              </w:rPr>
              <w:t>湖北中医学院</w:t>
            </w:r>
            <w:r>
              <w:rPr>
                <w:rFonts w:hint="default"/>
              </w:rPr>
              <w:fldChar w:fldCharType="end"/>
            </w:r>
            <w:r>
              <w:rPr>
                <w:rFonts w:hint="default"/>
              </w:rPr>
              <w:t>、同济医科大学和复旦大学(湖北)</w:t>
            </w:r>
            <w:r>
              <w:rPr>
                <w:rFonts w:hint="default"/>
              </w:rPr>
              <w:fldChar w:fldCharType="begin"/>
            </w:r>
            <w:r>
              <w:rPr>
                <w:rFonts w:hint="default"/>
              </w:rPr>
              <w:instrText xml:space="preserve"> HYPERLINK "https://baike.baidu.com/item/%E7%94%9F%E5%91%BD%E7%A7%91%E5%AD%A6/80506" \t "https://baike.baidu.com/item/_blank" </w:instrText>
            </w:r>
            <w:r>
              <w:rPr>
                <w:rFonts w:hint="default"/>
              </w:rPr>
              <w:fldChar w:fldCharType="separate"/>
            </w:r>
            <w:r>
              <w:rPr>
                <w:rFonts w:hint="default"/>
              </w:rPr>
              <w:t>生命科学</w:t>
            </w:r>
            <w:r>
              <w:rPr>
                <w:rFonts w:hint="default"/>
              </w:rPr>
              <w:fldChar w:fldCharType="end"/>
            </w:r>
            <w:r>
              <w:rPr>
                <w:rFonts w:hint="default"/>
              </w:rPr>
              <w:t>实验基地共同发起，以武汉春天生物工程有限公司整体改制设立。2004 年5 月，经中国证券监督管理委员会批准，公司向社会公开发行4500 万股A 股，并于2004 年6 月7 日在上海证券交易所上市。</w:t>
            </w:r>
            <w:r>
              <w:tab/>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textAlignment w:val="auto"/>
              <w:rPr>
                <w:rFonts w:hint="default"/>
                <w:b w:val="0"/>
                <w:bCs/>
                <w:lang w:val="en-US" w:eastAsia="zh-CN"/>
              </w:rPr>
            </w:pPr>
            <w:r>
              <w:rPr>
                <w:b/>
              </w:rPr>
              <w:tab/>
            </w:r>
            <w:r>
              <w:rPr>
                <w:b w:val="0"/>
                <w:bCs/>
              </w:rPr>
              <w:t>2010年、</w:t>
            </w:r>
            <w:r>
              <w:rPr>
                <w:rFonts w:hint="default"/>
                <w:b w:val="0"/>
                <w:bCs/>
              </w:rPr>
              <w:t>2011年</w:t>
            </w:r>
            <w:r>
              <w:rPr>
                <w:b w:val="0"/>
                <w:bCs/>
              </w:rPr>
              <w:t>，</w:t>
            </w:r>
            <w:r>
              <w:rPr>
                <w:rFonts w:hint="default"/>
                <w:b w:val="0"/>
                <w:bCs/>
              </w:rPr>
              <w:t>*ST国药连续两年亏损</w:t>
            </w:r>
            <w:r>
              <w:rPr>
                <w:b w:val="0"/>
                <w:bCs/>
              </w:rPr>
              <w:t>，</w:t>
            </w:r>
            <w:r>
              <w:rPr>
                <w:rFonts w:hint="default"/>
                <w:b w:val="0"/>
                <w:bCs/>
              </w:rPr>
              <w:t>公司股票交易被证券交易所实行退市风险警示</w:t>
            </w:r>
            <w:r>
              <w:rPr>
                <w:b w:val="0"/>
                <w:bCs/>
              </w:rPr>
              <w:t>。</w:t>
            </w:r>
            <w:r>
              <w:rPr>
                <w:rFonts w:hint="default"/>
                <w:b w:val="0"/>
                <w:bCs/>
              </w:rPr>
              <w:t>为避免退市</w:t>
            </w:r>
            <w:r>
              <w:rPr>
                <w:b w:val="0"/>
                <w:bCs/>
              </w:rPr>
              <w:t>，</w:t>
            </w:r>
            <w:r>
              <w:rPr>
                <w:rFonts w:hint="default"/>
                <w:b w:val="0"/>
                <w:bCs/>
              </w:rPr>
              <w:t>满足维持上市地位所需的营业收入等财务条件</w:t>
            </w:r>
            <w:r>
              <w:rPr>
                <w:b w:val="0"/>
                <w:bCs/>
              </w:rPr>
              <w:t>，</w:t>
            </w:r>
            <w:r>
              <w:rPr>
                <w:rFonts w:hint="default"/>
                <w:b w:val="0"/>
                <w:bCs/>
              </w:rPr>
              <w:t>*ST国药准备采取措施增加公司营业收入</w:t>
            </w:r>
            <w:r>
              <w:rPr>
                <w:b w:val="0"/>
                <w:bCs/>
              </w:rPr>
              <w:t>。</w:t>
            </w:r>
            <w:r>
              <w:rPr>
                <w:rFonts w:hint="eastAsia" w:ascii="Times New Roman" w:eastAsia="宋体"/>
                <w:b w:val="0"/>
                <w:bCs/>
                <w:lang w:val="en-US" w:eastAsia="zh-CN"/>
              </w:rPr>
              <w:t>这也是财务造假的最常见动机之一。</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lang w:val="en-US" w:eastAsia="zh-CN"/>
              </w:rPr>
            </w:pPr>
            <w:r>
              <w:rPr>
                <w:rFonts w:hint="eastAsia" w:ascii="Times New Roman" w:eastAsia="宋体"/>
                <w:b w:val="0"/>
                <w:bCs w:val="0"/>
                <w:lang w:val="en-US" w:eastAsia="zh-CN"/>
              </w:rPr>
              <w:t>造假方式：*ST国药控股股东武汉新一代科技有限公司的母公司仰帆公司系上海市城镇工业合作联社成员单位。2012年3、4月份，*ST国药董事滕祖昌、朱忠良与联社主任丁某某联系，请丁某某帮*ST国药增加营业收入。丁某某安排联社下属公司上海公合实业有限公司（以下简称公合实业）帮助*ST国药开展钢材贸易以增加营业收入。</w:t>
            </w:r>
          </w:p>
          <w:p>
            <w:pPr>
              <w:pageBreakBefore w:val="0"/>
              <w:kinsoku/>
              <w:wordWrap/>
              <w:overflowPunct/>
              <w:topLinePunct w:val="0"/>
              <w:autoSpaceDE/>
              <w:autoSpaceDN/>
              <w:bidi w:val="0"/>
              <w:adjustRightInd/>
              <w:snapToGrid/>
              <w:spacing w:line="312" w:lineRule="auto"/>
              <w:ind w:firstLine="420" w:firstLineChars="200"/>
              <w:textAlignment w:val="auto"/>
              <w:rPr>
                <w:b/>
                <w:bCs/>
              </w:rPr>
            </w:pPr>
            <w:r>
              <w:rPr>
                <w:rFonts w:hint="default" w:ascii="Times New Roman" w:hAnsi="Times New Roman" w:eastAsia="宋体" w:cs="Times New Roman"/>
                <w:b w:val="0"/>
                <w:bCs w:val="0"/>
                <w:kern w:val="2"/>
                <w:sz w:val="21"/>
                <w:szCs w:val="22"/>
                <w:lang w:val="en-US" w:eastAsia="zh-CN" w:bidi="ar-SA"/>
              </w:rPr>
              <w:t>财务报表错报情况</w:t>
            </w:r>
            <w:r>
              <w:rPr>
                <w:rFonts w:hint="eastAsia" w:ascii="Times New Roman" w:hAnsi="Times New Roman" w:eastAsia="宋体" w:cs="Times New Roman"/>
                <w:b w:val="0"/>
                <w:bCs w:val="0"/>
                <w:kern w:val="2"/>
                <w:sz w:val="21"/>
                <w:szCs w:val="22"/>
                <w:lang w:val="en-US" w:eastAsia="zh-CN" w:bidi="ar-SA"/>
              </w:rPr>
              <w:t>：</w:t>
            </w:r>
            <w:r>
              <w:rPr>
                <w:rFonts w:hint="default" w:ascii="Times New Roman" w:hAnsi="Times New Roman" w:eastAsia="宋体" w:cs="Times New Roman"/>
                <w:b w:val="0"/>
                <w:bCs w:val="0"/>
                <w:kern w:val="2"/>
                <w:sz w:val="21"/>
                <w:szCs w:val="22"/>
                <w:lang w:val="en-US" w:eastAsia="zh-CN" w:bidi="ar-SA"/>
              </w:rPr>
              <w:t>*ST国药在2012年财务报表中虚假记载与上海公合实业有限公司（以下简称公合实业）等客户钢材贸易业务收入约4,115.20万元，占当年营业收入的83.66%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eastAsia="宋体"/>
                <w:lang w:val="en-US" w:eastAsia="zh-CN"/>
              </w:rPr>
            </w:pPr>
            <w:r>
              <w:rPr>
                <w:rFonts w:hint="eastAsia" w:ascii="Times New Roman" w:eastAsia="宋体"/>
                <w:lang w:val="en-US" w:eastAsia="zh-CN"/>
              </w:rPr>
              <w:t>立信会计事务所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审计机构案情描述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pPr>
            <w:r>
              <w:rPr>
                <w:rFonts w:hint="default"/>
                <w:b w:val="0"/>
                <w:bCs/>
                <w:lang w:val="en-US" w:eastAsia="zh-CN"/>
              </w:rPr>
              <w:t>2013年2月3日，立信所对*ST国药2012年财务报表出具了“信会师报字〔2013〕第110056号”审计报告。审计意见为：“我们认为，贵公司财务报表在所有重大方面按照企业会计准则的规定编制，公允反映了贵公司2012年12月31日的财务状况以及2012年度的经营成果和现金流量”。强调事项为：“我们提醒财务报表使用者关注，如财务报表附注十（一）所述，以上会计报表是基于持续经营的原则而编制的。贵公司截止2012年12月31日的资产总额约为人民币1.72亿元，负债总额约为人民币2.20亿元，累计亏损约为人民币4.30亿元。虽然贵公司已在会计报表附注十（一）中充分披露了拟采取的改善措施，但其持续经营能力仍然存在重大不确定性。本段内容不影响已发表的审计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审计受罚或责任描述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rPr>
              <w:t>证监会发布的行政处罚决定书称，立信所在对*ST国药2012年、2013年年度财务报表审计时，未勤勉尽责，出具了存在虚假记载的审计报告。证监会决定没收立信所业务收入95万元，并处以95万元的罚款；对注册会计师周铮文、陶奇给予警告，并分别处以10万元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eastAsia" w:eastAsia="宋体"/>
                <w:lang w:eastAsia="zh-CN"/>
              </w:rPr>
            </w:pPr>
            <w:r>
              <w:rPr>
                <w:rFonts w:hint="eastAsia" w:ascii="Times New Roman" w:eastAsia="宋体"/>
                <w:lang w:val="en-US" w:eastAsia="zh-CN"/>
              </w:rPr>
              <w:t>审计失败的原因</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1、</w:t>
            </w:r>
            <w:r>
              <w:rPr>
                <w:rFonts w:hint="eastAsia"/>
              </w:rPr>
              <w:t>关联方审计程序不到位</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经查，公合实业时任总经理、现任董事长龚某系*ST国药主管会计工作负责人（财务总监）黄某华配偶，龚某、黄某华均承认以上事实。根据《上市公司信息披露管理办法》（证监会令第40号）第七十一条规定，龚某为*ST国药关联自然人，公合实业为*ST国药关联法人。</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中国证监会在《会计监管风险提示第2号——通过未披露关联方实施的舞弊风险》（证监办发〔2012〕22号）中明确指出，“与同一客户同时发生销售和采购业务”是未披露关联方交易的主要特征之一。2012年，审计人员在明知*ST国药子公司上海鄂欣实业有限公司（以下简称鄂欣实业）与公合实业同时发生钢材销售和采购业务的情况下，忽视明显的未披露关联方特征，未保持职业怀疑，未作为异常处理，未实施进一步审计程序。</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ascii="Times New Roman" w:eastAsia="宋体"/>
                <w:lang w:val="en-US" w:eastAsia="zh-CN"/>
              </w:rPr>
              <w:t>在审计时</w:t>
            </w:r>
            <w:r>
              <w:rPr>
                <w:rFonts w:hint="eastAsia"/>
              </w:rPr>
              <w:t>获取的审计证据不足，均没有获取*ST国药董事、监事、高级管理人员的直系亲属名单、工作单位、职务等情况，未能发现公合实业和*ST国药之间存在的关联关系。</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2、</w:t>
            </w:r>
            <w:r>
              <w:rPr>
                <w:rFonts w:hint="eastAsia"/>
              </w:rPr>
              <w:t>钢材贸易收入审计程序不到位</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穿行测试审计证据获取不充分，且未记录测试结论。在2012年财务报表审计过程中，对鄂欣实业钢材销售进行穿行测试时，未取得“销售合同审批单”；上海淙远实业有限公司开具的0004126、0004127、0004128和0004130号提货单要求凭发货码单结账，审计人员未关注、未收集发货码单；穿行测试审计底稿未记录测试结论。</w:t>
            </w:r>
          </w:p>
          <w:p>
            <w:pPr>
              <w:pageBreakBefore w:val="0"/>
              <w:numPr>
                <w:ilvl w:val="0"/>
                <w:numId w:val="11"/>
              </w:numPr>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风险评估程序存在遗漏</w:t>
            </w:r>
          </w:p>
          <w:p>
            <w:pPr>
              <w:pageBreakBefore w:val="0"/>
              <w:numPr>
                <w:ilvl w:val="0"/>
                <w:numId w:val="0"/>
              </w:numPr>
              <w:kinsoku/>
              <w:wordWrap/>
              <w:overflowPunct/>
              <w:topLinePunct w:val="0"/>
              <w:autoSpaceDE/>
              <w:autoSpaceDN/>
              <w:bidi w:val="0"/>
              <w:adjustRightInd/>
              <w:snapToGrid/>
              <w:spacing w:line="312" w:lineRule="auto"/>
              <w:ind w:firstLine="420" w:firstLineChars="200"/>
              <w:textAlignment w:val="auto"/>
              <w:rPr>
                <w:rStyle w:val="18"/>
                <w:i w:val="0"/>
                <w:iCs w:val="0"/>
                <w:color w:val="auto"/>
              </w:rPr>
            </w:pPr>
            <w:r>
              <w:rPr>
                <w:rFonts w:hint="eastAsia" w:ascii="Times New Roman" w:eastAsia="宋体"/>
                <w:lang w:val="en-US" w:eastAsia="zh-CN"/>
              </w:rPr>
              <w:t>在</w:t>
            </w:r>
            <w:r>
              <w:rPr>
                <w:rFonts w:hint="eastAsia"/>
              </w:rPr>
              <w:t>2012年财务报表审计时，风险评估遗漏相关信息。审计工作底稿中描述资本性投资时，遗漏“鄂欣实业”；描述主要子公司和联营企业时，遗漏“鄂欣实业”。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引发的审计思考</w:t>
            </w:r>
          </w:p>
        </w:tc>
        <w:tc>
          <w:tcPr>
            <w:tcW w:w="6316" w:type="dxa"/>
          </w:tcPr>
          <w:p>
            <w:pPr>
              <w:pageBreakBefore w:val="0"/>
              <w:numPr>
                <w:ilvl w:val="0"/>
                <w:numId w:val="12"/>
              </w:numPr>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在开始审计时，首先要对企业的经营状态进行了解，保持职业怀疑。例如，ST国药，ST国药已经连续两年经营亏损，如果第三年还是经营亏损，那么就有可能被退市，那么企业造假的可能性是非常大的。</w:t>
            </w:r>
          </w:p>
          <w:p>
            <w:pPr>
              <w:pageBreakBefore w:val="0"/>
              <w:numPr>
                <w:ilvl w:val="0"/>
                <w:numId w:val="12"/>
              </w:numPr>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在审计时，要着重关注关联方交易。关联方交易是企业造假的最常用方法之一。</w:t>
            </w:r>
          </w:p>
          <w:p>
            <w:pPr>
              <w:pageBreakBefore w:val="0"/>
              <w:numPr>
                <w:ilvl w:val="0"/>
                <w:numId w:val="12"/>
              </w:numPr>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审计人员要保值职业道德，保持相对独立型。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财务造假，关联方交易、穿行测试</w:t>
            </w:r>
          </w:p>
          <w:p>
            <w:pPr>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default"/>
                <w:lang w:val="en-US" w:eastAsia="zh-CN"/>
              </w:rPr>
              <w:t>中国证监会于2001年2月23日发布了《亏损公司暂停上市和终止上市实施办法》，之后又于2001年11月30日在原有办法基础上加以修订据交易所的相关规定，三年亏损暂停上市。就是净利润为负，连续两年亏损是风险警示。</w:t>
            </w:r>
          </w:p>
        </w:tc>
      </w:tr>
    </w:tbl>
    <w:p>
      <w:pPr>
        <w:pageBreakBefore w:val="0"/>
        <w:widowControl/>
        <w:kinsoku/>
        <w:wordWrap/>
        <w:overflowPunct/>
        <w:topLinePunct w:val="0"/>
        <w:autoSpaceDE/>
        <w:autoSpaceDN/>
        <w:bidi w:val="0"/>
        <w:adjustRightInd/>
        <w:snapToGrid/>
        <w:spacing w:line="312" w:lineRule="auto"/>
        <w:jc w:val="left"/>
        <w:textAlignment w:val="auto"/>
      </w:pPr>
    </w:p>
    <w:p>
      <w:pPr>
        <w:pStyle w:val="2"/>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bookmarkStart w:id="37" w:name="_Toc15430"/>
      <w:r>
        <w:rPr>
          <w:rFonts w:hint="eastAsia"/>
          <w:lang w:val="en-US" w:eastAsia="zh-CN"/>
        </w:rPr>
        <w:t>23 抚顺特钢事件</w:t>
      </w:r>
      <w:bookmarkEnd w:id="37"/>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lang w:val="en-US"/>
              </w:rPr>
            </w:pPr>
            <w:r>
              <w:rPr>
                <w:rFonts w:hint="eastAsia"/>
              </w:rPr>
              <w:t>0</w:t>
            </w:r>
            <w:r>
              <w:rPr>
                <w:rFonts w:hint="eastAsia" w:ascii="Times New Roman" w:eastAsia="宋体"/>
                <w:lang w:val="en-US" w:eastAsia="zh-CN"/>
              </w:rPr>
              <w:t>723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eastAsia="宋体"/>
                <w:lang w:val="en-US" w:eastAsia="zh-CN"/>
              </w:rPr>
            </w:pPr>
            <w:r>
              <w:rPr>
                <w:rFonts w:hint="eastAsia" w:ascii="Times New Roman" w:eastAsia="宋体"/>
                <w:lang w:val="en-US" w:eastAsia="zh-CN"/>
              </w:rPr>
              <w:t>2010-2017连续8年财务造假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抚顺特钢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钢新材料</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b/>
              </w:rPr>
            </w:pPr>
            <w:r>
              <w:rPr>
                <w:rFonts w:hint="eastAsia"/>
                <w:b/>
              </w:rPr>
              <w:t>【企业背景】</w:t>
            </w:r>
          </w:p>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rPr>
              <w:t>抚顺特钢（股票代码：600399）隶属于东北特钢集团。公司具备雄厚的技术基础，拥有国内规模最大、国际领先的特冶炉群，配套的锻造、轧制、精轧、冷拔、板材生产线组距齐全，后部精整、热处理、质量检测设备、设施完善，长期承担国家特殊钢新材料的研发任务。目前，抚顺特钢以“三高一特”（高温合金、超高强度钢、高档工模具钢、特种不锈钢）为核心产品，其产品被广泛应用于航空、航天、兵器、核电、石油石化、交通运输、工程机械、医疗等行业和领域，覆盖六大洲、30多个国家和地区。</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2017年，在国家发改委，辽宁省委、省政府大力支持和推动下，东北特钢集团实施了混合所有制改革，中国最大的民营钢铁企业——沙钢集团的实际控制人成为东北特钢集团的控股股东，并间接成为抚顺特钢的控股股东。</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ind w:firstLine="420" w:firstLineChars="200"/>
              <w:textAlignment w:val="auto"/>
              <w:rPr>
                <w:b w:val="0"/>
                <w:bCs/>
              </w:rPr>
            </w:pPr>
            <w:r>
              <w:rPr>
                <w:b w:val="0"/>
                <w:bCs/>
              </w:rPr>
              <w:t>在2010年至 2017年期间，抚顺抚钢对部分年份的存货余额、在建工程余额、固定资产余额、固定资产折旧、 主营业务成本、利润总额等数据都存在虚假记载，8年间抚顺特钢虚增利润近20亿元、虚增资产 40亿元。</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kinsoku/>
              <w:wordWrap/>
              <w:overflowPunct/>
              <w:topLinePunct w:val="0"/>
              <w:autoSpaceDE/>
              <w:autoSpaceDN/>
              <w:bidi w:val="0"/>
              <w:adjustRightInd/>
              <w:snapToGrid/>
              <w:spacing w:line="312" w:lineRule="auto"/>
              <w:textAlignment w:val="auto"/>
              <w:rPr>
                <w:b/>
                <w:bCs/>
              </w:rPr>
            </w:pPr>
            <w:r>
              <w:rPr>
                <w:rFonts w:hint="eastAsia" w:ascii="Times New Roman" w:eastAsia="宋体"/>
                <w:b w:val="0"/>
                <w:bCs w:val="0"/>
                <w:lang w:val="en-US" w:eastAsia="zh-CN"/>
              </w:rPr>
              <w:t>1、</w:t>
            </w:r>
            <w:r>
              <w:rPr>
                <w:rFonts w:hint="eastAsia"/>
                <w:b w:val="0"/>
                <w:bCs w:val="0"/>
              </w:rPr>
              <w:t>2010年至2016年度、2017年1月至9月，抚顺特钢滥用特殊钢原料投炉报废可作普通钢原料的特点，通过伪造、变造原始凭证及记账凭证、修改物供系统、成本核算系统、财务系统数据等方式伪造“返回钢”入库，虚增涉案期间各定期报告期末存货。</w:t>
            </w:r>
            <w:r>
              <w:drawing>
                <wp:inline distT="0" distB="0" distL="114300" distR="114300">
                  <wp:extent cx="3504565" cy="2348865"/>
                  <wp:effectExtent l="0" t="0" r="635"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rcRect l="9571" t="7964" r="7486"/>
                          <a:stretch>
                            <a:fillRect/>
                          </a:stretch>
                        </pic:blipFill>
                        <pic:spPr>
                          <a:xfrm>
                            <a:off x="0" y="0"/>
                            <a:ext cx="3504565" cy="234886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rPr>
                <w:rFonts w:hint="eastAsia"/>
                <w:b/>
                <w:bCs/>
                <w:lang w:val="en-US" w:eastAsia="zh-CN"/>
              </w:rPr>
            </w:pPr>
            <w:r>
              <w:rPr>
                <w:rFonts w:hint="eastAsia" w:ascii="Times New Roman" w:eastAsia="宋体"/>
                <w:b w:val="0"/>
                <w:bCs w:val="0"/>
                <w:lang w:val="en-US" w:eastAsia="zh-CN"/>
              </w:rPr>
              <w:t>2、2010年至2016年度、2017年1月至9月，抚顺特钢通过伪造、变造记账凭证及原始凭证、修改物供系统、成本核算系统、财务系统数据等方式调整存货中“返回钢”数量、金额，将应计入当期成本的原材料计入存货，如表6所示，涉案期间少结转主营业务成本19.90亿元。其中2010年少计0.71亿元，2011年少计4.88亿元，2012年少计5.60亿元，2013年少计1.84亿元，2014年少计1.85亿元，2015年少计1.63亿元，2016年少计1.87亿元，2017年1月至9月少计1.51亿元</w:t>
            </w:r>
            <w:r>
              <w:rPr>
                <w:rFonts w:hint="eastAsia" w:ascii="Times New Roman" w:eastAsia="宋体"/>
                <w:b/>
                <w:bCs/>
                <w:lang w:val="en-US" w:eastAsia="zh-CN"/>
              </w:rPr>
              <w:t>。</w:t>
            </w:r>
          </w:p>
          <w:p>
            <w:pPr>
              <w:pageBreakBefore w:val="0"/>
              <w:kinsoku/>
              <w:wordWrap/>
              <w:overflowPunct/>
              <w:topLinePunct w:val="0"/>
              <w:autoSpaceDE/>
              <w:autoSpaceDN/>
              <w:bidi w:val="0"/>
              <w:adjustRightInd/>
              <w:snapToGrid/>
              <w:spacing w:line="312" w:lineRule="auto"/>
              <w:textAlignment w:val="auto"/>
              <w:rPr>
                <w:rFonts w:hint="eastAsia"/>
                <w:b/>
                <w:bCs/>
                <w:lang w:val="en-US" w:eastAsia="zh-CN"/>
              </w:rPr>
            </w:pPr>
            <w:r>
              <w:drawing>
                <wp:inline distT="0" distB="0" distL="114300" distR="114300">
                  <wp:extent cx="3869055" cy="2688590"/>
                  <wp:effectExtent l="0" t="0" r="17145" b="165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3869055" cy="2688590"/>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t>3、2010年至2016年度、2017年1月至9月，抚顺特钢通过虚增存货、减少生产成本、将部分虚增存货转入在建工程和固定资产进行资本化等方式，如表7所示，累计虚增利润总额19.2亿元，并在相关财务报告中将亏损披露为盈利。</w:t>
            </w:r>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3872865" cy="2395855"/>
                  <wp:effectExtent l="0" t="0" r="1333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3872865" cy="239585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rPr>
                <w:rFonts w:hint="default"/>
                <w:b/>
                <w:bCs/>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企业受罚或责任描述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rPr>
              <w:t>抚顺特钢自2010年至2017年持续8年财务造假，证监会拟对公司罚款60万元，对其他45名责任人拟处以5万元-30万元不等的罚款，合计罚款575万元。3名董事长被市场禁入。2019年5月21日，抚顺特钢及17名责任人因不及时披露 2017 年年度报告和 2018 年第一季度报告而被合计罚款102万元。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中准会计师事务所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eastAsia" w:eastAsia="宋体"/>
                <w:lang w:eastAsia="zh-CN"/>
              </w:rPr>
            </w:pPr>
            <w:r>
              <w:rPr>
                <w:rFonts w:hint="eastAsia" w:ascii="Times New Roman" w:eastAsia="宋体"/>
                <w:lang w:val="en-US" w:eastAsia="zh-CN"/>
              </w:rPr>
              <w:t>财务造假的原因</w:t>
            </w:r>
          </w:p>
        </w:tc>
        <w:tc>
          <w:tcPr>
            <w:tcW w:w="6316" w:type="dxa"/>
          </w:tcPr>
          <w:p>
            <w:pPr>
              <w:pageBreakBefore w:val="0"/>
              <w:tabs>
                <w:tab w:val="left" w:pos="2160"/>
              </w:tabs>
              <w:kinsoku/>
              <w:wordWrap/>
              <w:overflowPunct/>
              <w:topLinePunct w:val="0"/>
              <w:autoSpaceDE/>
              <w:autoSpaceDN/>
              <w:bidi w:val="0"/>
              <w:adjustRightInd/>
              <w:snapToGrid/>
              <w:spacing w:line="312" w:lineRule="auto"/>
              <w:textAlignment w:val="auto"/>
              <w:rPr>
                <w:rStyle w:val="18"/>
                <w:rFonts w:hint="eastAsia"/>
                <w:i w:val="0"/>
                <w:iCs w:val="0"/>
                <w:color w:val="auto"/>
                <w:lang w:val="en-US" w:eastAsia="zh-CN"/>
              </w:rPr>
            </w:pPr>
            <w:r>
              <w:rPr>
                <w:rStyle w:val="18"/>
                <w:rFonts w:hint="eastAsia"/>
                <w:i w:val="0"/>
                <w:iCs w:val="0"/>
                <w:color w:val="auto"/>
                <w:lang w:val="en-US" w:eastAsia="zh-CN"/>
              </w:rPr>
              <w:t>1、为了实现盈利，避免退市</w:t>
            </w:r>
          </w:p>
          <w:p>
            <w:pPr>
              <w:pageBreakBefore w:val="0"/>
              <w:tabs>
                <w:tab w:val="left" w:pos="2160"/>
              </w:tabs>
              <w:kinsoku/>
              <w:wordWrap/>
              <w:overflowPunct/>
              <w:topLinePunct w:val="0"/>
              <w:autoSpaceDE/>
              <w:autoSpaceDN/>
              <w:bidi w:val="0"/>
              <w:adjustRightInd/>
              <w:snapToGrid/>
              <w:spacing w:line="312" w:lineRule="auto"/>
              <w:ind w:firstLine="420" w:firstLineChars="200"/>
              <w:textAlignment w:val="auto"/>
              <w:rPr>
                <w:rStyle w:val="18"/>
                <w:rFonts w:hint="default"/>
                <w:i w:val="0"/>
                <w:iCs w:val="0"/>
                <w:color w:val="auto"/>
                <w:lang w:val="en-US" w:eastAsia="zh-CN"/>
              </w:rPr>
            </w:pPr>
            <w:r>
              <w:rPr>
                <w:rStyle w:val="18"/>
                <w:rFonts w:hint="default"/>
                <w:i w:val="0"/>
                <w:iCs w:val="0"/>
                <w:color w:val="auto"/>
                <w:lang w:val="en-US" w:eastAsia="zh-CN"/>
              </w:rPr>
              <w:t>公司从2010年年就开始从虚增存货下手开始了虚增利润的历程，要不然上市公司早就连续</w:t>
            </w:r>
            <w:r>
              <w:rPr>
                <w:rStyle w:val="18"/>
                <w:rFonts w:hint="eastAsia"/>
                <w:i w:val="0"/>
                <w:iCs w:val="0"/>
                <w:color w:val="auto"/>
                <w:lang w:val="en-US" w:eastAsia="zh-CN"/>
              </w:rPr>
              <w:t>三年</w:t>
            </w:r>
            <w:r>
              <w:rPr>
                <w:rStyle w:val="18"/>
                <w:rFonts w:hint="default"/>
                <w:i w:val="0"/>
                <w:iCs w:val="0"/>
                <w:color w:val="auto"/>
                <w:lang w:val="en-US" w:eastAsia="zh-CN"/>
              </w:rPr>
              <w:t>亏损而被退市了。2010年至2014年发行人通过虚构利润的方式避免了年报的亏损，而将历史上虚增资产的情况又在2014年至2016年做了清理，而2014年至2016年是上市公司业绩看起来还不错的年景。尤其是2015年，发行人还是难得实现了盈利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引发的思考</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rPr>
                <w:rFonts w:hint="default" w:eastAsia="宋体"/>
                <w:lang w:val="en-US" w:eastAsia="zh-CN"/>
              </w:rPr>
            </w:pPr>
            <w:r>
              <w:rPr>
                <w:rFonts w:hint="eastAsia" w:ascii="Times New Roman" w:eastAsia="宋体"/>
                <w:lang w:val="en-US" w:eastAsia="zh-CN"/>
              </w:rPr>
              <w:t>财务造假的最主要原因就是为了使企业扭亏为盈，避免退市。因此在审计已经连续两年经营亏损的公司时，一定要格外注意财务造假问题。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存货—在建工程—固定资产—折旧（造假方法）</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存货—成本—利润总额（造假结果）</w:t>
            </w:r>
          </w:p>
        </w:tc>
      </w:tr>
    </w:tbl>
    <w:p>
      <w:pPr>
        <w:pageBreakBefore w:val="0"/>
        <w:kinsoku/>
        <w:wordWrap/>
        <w:overflowPunct/>
        <w:topLinePunct w:val="0"/>
        <w:autoSpaceDE/>
        <w:autoSpaceDN/>
        <w:bidi w:val="0"/>
        <w:adjustRightInd/>
        <w:snapToGrid/>
        <w:spacing w:line="312" w:lineRule="auto"/>
        <w:textAlignment w:val="auto"/>
      </w:pPr>
    </w:p>
    <w:p>
      <w:pPr>
        <w:pStyle w:val="2"/>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bookmarkStart w:id="38" w:name="_Toc19843"/>
      <w:r>
        <w:rPr>
          <w:rFonts w:hint="eastAsia"/>
          <w:lang w:val="en-US" w:eastAsia="zh-CN"/>
        </w:rPr>
        <w:t>24  康尼机电收购龙昕科技事件</w:t>
      </w:r>
      <w:bookmarkEnd w:id="38"/>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eastAsia="宋体"/>
                <w:lang w:val="en-US" w:eastAsia="zh-CN"/>
              </w:rPr>
            </w:pPr>
            <w:r>
              <w:rPr>
                <w:rFonts w:hint="eastAsia"/>
              </w:rPr>
              <w:t>0</w:t>
            </w:r>
            <w:r>
              <w:rPr>
                <w:rFonts w:hint="eastAsia" w:ascii="Times New Roman" w:eastAsia="宋体"/>
                <w:lang w:val="en-US" w:eastAsia="zh-CN"/>
              </w:rPr>
              <w:t>724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Times New Roman" w:eastAsia="宋体"/>
                <w:lang w:val="en-US" w:eastAsia="zh-CN"/>
              </w:rPr>
              <w:t>2020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康尼机电、</w:t>
            </w:r>
            <w:r>
              <w:rPr>
                <w:b w:val="0"/>
                <w:bCs/>
              </w:rPr>
              <w:t>龙昕科技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轨道交通</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b/>
              </w:rPr>
            </w:pPr>
            <w:r>
              <w:rPr>
                <w:rFonts w:hint="eastAsia"/>
                <w:b/>
              </w:rPr>
              <w:t>【企业背景】</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rPr>
            </w:pPr>
            <w:r>
              <w:rPr>
                <w:rFonts w:hint="eastAsia" w:ascii="Times New Roman" w:eastAsia="宋体"/>
                <w:b w:val="0"/>
                <w:bCs/>
                <w:lang w:val="en-US" w:eastAsia="zh-CN"/>
              </w:rPr>
              <w:t>南京康尼机电股份有限公司是一家专注于机电核心技术研究和应用的创新型企业。公司成立于2000年10月，于 2014年8月1日在上交所首发上市（股票代码603111）。</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rPr>
            </w:pPr>
            <w:r>
              <w:rPr>
                <w:rFonts w:hint="eastAsia" w:ascii="Times New Roman" w:eastAsia="宋体"/>
                <w:b w:val="0"/>
                <w:bCs/>
                <w:lang w:val="en-US" w:eastAsia="zh-CN"/>
              </w:rPr>
              <w:t>公司主营业务为轨道交通门系统和新能源汽车零部件的研发、制造、销售与技术服务，主要产品包括城市轨道车辆门系统、干线铁路车辆门系统、站台安全门系统、新能源汽车高压配电系统等。其中，城轨车辆门系统作为公司的核心产品，国内市占率已持续十多年保持50%以上；根据SCI报告，2019年公司门系统全球细分市场市占率排名第一，上升至34%。公司产品出口美国、法国、加拿大等十多个国家，是中国中车、庞巴迪、阿尔斯通等国际著名轨道车辆制造商战略合作伙伴和供应商。康尼商标被认定为中国驰名商标，并已在德国、法国、英国、奥地利等国家和地区成功注册。</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textAlignment w:val="auto"/>
              <w:rPr>
                <w:rFonts w:hint="eastAsia"/>
                <w:b w:val="0"/>
                <w:bCs/>
                <w:lang w:eastAsia="zh-CN"/>
              </w:rPr>
            </w:pPr>
            <w:r>
              <w:rPr>
                <w:b/>
              </w:rPr>
              <w:tab/>
            </w:r>
            <w:r>
              <w:rPr>
                <w:b w:val="0"/>
                <w:bCs/>
              </w:rPr>
              <w:t>康尼机电（603111.SH）高溢价跨界收购龙昕科技、事后商誉</w:t>
            </w:r>
            <w:r>
              <w:rPr>
                <w:rFonts w:hint="eastAsia" w:ascii="Times New Roman" w:eastAsia="宋体"/>
                <w:b w:val="0"/>
                <w:bCs/>
                <w:lang w:val="en-US" w:eastAsia="zh-CN"/>
              </w:rPr>
              <w:t>暴跌</w:t>
            </w:r>
            <w:r>
              <w:rPr>
                <w:b w:val="0"/>
                <w:bCs/>
              </w:rPr>
              <w:t>、</w:t>
            </w:r>
            <w:r>
              <w:rPr>
                <w:rFonts w:hint="eastAsia" w:ascii="Times New Roman" w:eastAsia="宋体"/>
                <w:b w:val="0"/>
                <w:bCs/>
                <w:lang w:val="en-US" w:eastAsia="zh-CN"/>
              </w:rPr>
              <w:t>康尼机电</w:t>
            </w:r>
            <w:r>
              <w:rPr>
                <w:b w:val="0"/>
                <w:bCs/>
              </w:rPr>
              <w:t>自曝龙昕科技实控人廖良茂违规，并对龙昕科技可能通过潜在关联方进行财务造假提出了质疑</w:t>
            </w:r>
            <w:r>
              <w:rPr>
                <w:rFonts w:hint="eastAsia" w:eastAsia="宋体"/>
                <w:b w:val="0"/>
                <w:bCs/>
                <w:lang w:eastAsia="zh-CN"/>
              </w:rPr>
              <w:t>。</w:t>
            </w:r>
          </w:p>
          <w:p>
            <w:pPr>
              <w:pageBreakBefore w:val="0"/>
              <w:kinsoku/>
              <w:wordWrap/>
              <w:overflowPunct/>
              <w:topLinePunct w:val="0"/>
              <w:autoSpaceDE/>
              <w:autoSpaceDN/>
              <w:bidi w:val="0"/>
              <w:adjustRightInd/>
              <w:snapToGrid/>
              <w:spacing w:line="312" w:lineRule="auto"/>
              <w:textAlignment w:val="auto"/>
              <w:rPr>
                <w:rFonts w:hint="default"/>
                <w:b w:val="0"/>
                <w:bCs/>
                <w:lang w:val="en-US" w:eastAsia="zh-CN"/>
              </w:rPr>
            </w:pPr>
            <w:r>
              <w:rPr>
                <w:rFonts w:hint="eastAsia" w:ascii="Times New Roman" w:eastAsia="宋体"/>
                <w:b w:val="0"/>
                <w:bCs/>
                <w:lang w:val="en-US" w:eastAsia="zh-CN"/>
              </w:rPr>
              <w:t xml:space="preserve">   2018年6月22日，康尼机电向上交所“自曝”，发现子公司龙昕科技董事长兼总经理廖良茂，涉嫌存在利用职务便利以龙昕科技名义违规对外担保等事项。同时，廖良茂持有康尼机电3320万股限售流通股已经被司法冻结，占其所持股份总数的65.62%。6月23日，上市公司披露上述信息，上交所同时下发问询函。</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t>1、过高的毛利</w:t>
            </w:r>
          </w:p>
          <w:p>
            <w:pPr>
              <w:pageBreakBefore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t>重组报告期内，龙昕科技贡献了康尼机电的40%以上的收入。后两期营收较15年均有大幅增长，数据很好看，尤其是销售毛利率，收入占比最高的结构件表面处理及全制程毛利率一直保持在33%的高位，就连综合毛利率也高达27%以上。</w:t>
            </w:r>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3870325" cy="2032635"/>
                  <wp:effectExtent l="0" t="0" r="15875"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3870325" cy="203263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drawing>
                <wp:inline distT="0" distB="0" distL="114300" distR="114300">
                  <wp:extent cx="3866515" cy="1764665"/>
                  <wp:effectExtent l="0" t="0" r="63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2"/>
                          <a:stretch>
                            <a:fillRect/>
                          </a:stretch>
                        </pic:blipFill>
                        <pic:spPr>
                          <a:xfrm>
                            <a:off x="0" y="0"/>
                            <a:ext cx="3866515" cy="176466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lang w:val="en-US" w:eastAsia="zh-CN"/>
              </w:rPr>
            </w:pPr>
            <w:r>
              <w:rPr>
                <w:rFonts w:hint="eastAsia" w:ascii="Times New Roman" w:eastAsia="宋体"/>
                <w:lang w:val="en-US" w:eastAsia="zh-CN"/>
              </w:rPr>
              <w:t>2、关联方交易</w:t>
            </w:r>
          </w:p>
          <w:p>
            <w:pPr>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lang w:val="en-US" w:eastAsia="zh-CN"/>
              </w:rPr>
            </w:pPr>
            <w:r>
              <w:rPr>
                <w:rFonts w:hint="eastAsia" w:ascii="Times New Roman" w:eastAsia="宋体"/>
                <w:lang w:val="en-US" w:eastAsia="zh-CN"/>
              </w:rPr>
              <w:t>重组报告期中，龙昕科技的主要客户中有两家公司特别引人注目，它们分别是广东泽兴进出口贸易有限公司（以下简称“泽兴”）和东莞市润兴进出口有限公司（以下简称“润兴”）。自2015年起，润兴和泽兴在龙昕科技营收占比中由30.72%上升至48%，且润兴在前五大客户中的排位和营收占比中逐年上升，并在2017年1-6月跃升为龙昕科技的第一大客户，几乎占据龙昕科技营业收入的50%，与之相反，泽兴在前五大客户中的排位和营收占比中逐年下降，2017年1-6月干脆从前五大客户中消失了。</w:t>
            </w:r>
          </w:p>
          <w:p>
            <w:pPr>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lang w:val="en-US" w:eastAsia="zh-CN"/>
              </w:rPr>
            </w:pPr>
            <w:r>
              <w:drawing>
                <wp:inline distT="0" distB="0" distL="114300" distR="114300">
                  <wp:extent cx="3871595" cy="1659255"/>
                  <wp:effectExtent l="0" t="0" r="14605" b="171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3871595" cy="1659255"/>
                          </a:xfrm>
                          <a:prstGeom prst="rect">
                            <a:avLst/>
                          </a:prstGeom>
                          <a:noFill/>
                          <a:ln>
                            <a:noFill/>
                          </a:ln>
                        </pic:spPr>
                      </pic:pic>
                    </a:graphicData>
                  </a:graphic>
                </wp:inline>
              </w:drawing>
            </w:r>
          </w:p>
          <w:p>
            <w:pPr>
              <w:pageBreakBefore w:val="0"/>
              <w:numPr>
                <w:ilvl w:val="0"/>
                <w:numId w:val="12"/>
              </w:numPr>
              <w:kinsoku/>
              <w:wordWrap/>
              <w:overflowPunct/>
              <w:topLinePunct w:val="0"/>
              <w:autoSpaceDE/>
              <w:autoSpaceDN/>
              <w:bidi w:val="0"/>
              <w:adjustRightInd/>
              <w:snapToGrid/>
              <w:spacing w:line="312" w:lineRule="auto"/>
              <w:ind w:left="0" w:leftChars="0" w:firstLine="0" w:firstLineChars="0"/>
              <w:textAlignment w:val="auto"/>
              <w:rPr>
                <w:rFonts w:hint="eastAsia"/>
                <w:lang w:val="en-US" w:eastAsia="zh-CN"/>
              </w:rPr>
            </w:pPr>
            <w:r>
              <w:rPr>
                <w:rFonts w:hint="eastAsia" w:ascii="Times New Roman" w:eastAsia="宋体"/>
                <w:lang w:val="en-US" w:eastAsia="zh-CN"/>
              </w:rPr>
              <w:t>公司高管</w:t>
            </w:r>
          </w:p>
          <w:p>
            <w:pPr>
              <w:pageBreakBefore w:val="0"/>
              <w:numPr>
                <w:ilvl w:val="0"/>
                <w:numId w:val="0"/>
              </w:numPr>
              <w:kinsoku/>
              <w:wordWrap/>
              <w:overflowPunct/>
              <w:topLinePunct w:val="0"/>
              <w:autoSpaceDE/>
              <w:autoSpaceDN/>
              <w:bidi w:val="0"/>
              <w:adjustRightInd/>
              <w:snapToGrid/>
              <w:spacing w:line="312" w:lineRule="auto"/>
              <w:ind w:leftChars="0" w:firstLine="420" w:firstLineChars="200"/>
              <w:textAlignment w:val="auto"/>
              <w:rPr>
                <w:rFonts w:hint="default"/>
                <w:lang w:val="en-US" w:eastAsia="zh-CN"/>
              </w:rPr>
            </w:pPr>
            <w:r>
              <w:rPr>
                <w:rFonts w:hint="default"/>
                <w:lang w:val="en-US" w:eastAsia="zh-CN"/>
              </w:rPr>
              <w:t>2011年4月，刘晓辉出资900万元和刘欣共同设立了润兴</w:t>
            </w:r>
            <w:r>
              <w:rPr>
                <w:rFonts w:hint="eastAsia" w:ascii="Times New Roman" w:eastAsia="宋体"/>
                <w:lang w:val="en-US" w:eastAsia="zh-CN"/>
              </w:rPr>
              <w:t>；</w:t>
            </w:r>
            <w:r>
              <w:rPr>
                <w:rFonts w:hint="default"/>
                <w:lang w:val="en-US" w:eastAsia="zh-CN"/>
              </w:rPr>
              <w:t>从2014年9月起，刘晓辉通过货币出资、受让股权成为龙昕科技的持股股东之一，并于2015年5月开始担任龙昕科技监事</w:t>
            </w:r>
            <w:r>
              <w:rPr>
                <w:rFonts w:hint="eastAsia" w:ascii="Times New Roman" w:eastAsia="宋体"/>
                <w:lang w:val="en-US" w:eastAsia="zh-CN"/>
              </w:rPr>
              <w:t>，</w:t>
            </w:r>
            <w:r>
              <w:rPr>
                <w:rFonts w:hint="default"/>
                <w:lang w:val="en-US" w:eastAsia="zh-CN"/>
              </w:rPr>
              <w:t>截至2017年3月22日，龙昕科技第四次股权转让（重组间最后一次股权转让）工商手续变更完成，刘晓辉持股占比为2.9691%。同时，刘晓辉也是2017年康尼机电收购龙昕科技时16位自然人交易对方之一。2018年9月，时任润兴法人的刘晓辉从股东名单中消失</w:t>
            </w:r>
          </w:p>
          <w:p>
            <w:pPr>
              <w:pageBreakBefore w:val="0"/>
              <w:numPr>
                <w:ilvl w:val="0"/>
                <w:numId w:val="0"/>
              </w:numPr>
              <w:kinsoku/>
              <w:wordWrap/>
              <w:overflowPunct/>
              <w:topLinePunct w:val="0"/>
              <w:autoSpaceDE/>
              <w:autoSpaceDN/>
              <w:bidi w:val="0"/>
              <w:adjustRightInd/>
              <w:snapToGrid/>
              <w:spacing w:line="312" w:lineRule="auto"/>
              <w:ind w:leftChars="0" w:firstLine="420" w:firstLineChars="200"/>
              <w:textAlignment w:val="auto"/>
              <w:rPr>
                <w:b/>
                <w:bCs/>
              </w:rPr>
            </w:pPr>
            <w:r>
              <w:rPr>
                <w:rFonts w:hint="eastAsia" w:ascii="Times New Roman" w:eastAsia="宋体"/>
                <w:lang w:val="en-US" w:eastAsia="zh-CN"/>
              </w:rPr>
              <w:t>猜测：2015~2017年，龙昕科技高管刘晓辉疑似通过东莞市润兴进出口有限公司，协助龙昕科技虚增收入，拉高毛利，从而影响重组估值，2017年底将龙昕科技提高作价卖给康尼机电，从中获益，操作完这波2018年隐身而退；由于刘晓辉持股比例未达5%，未达到重组草案和反馈披露标准，关联交易隐蔽性较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企业受罚或责任描述</w:t>
            </w:r>
          </w:p>
        </w:tc>
        <w:tc>
          <w:tcPr>
            <w:tcW w:w="6316" w:type="dxa"/>
          </w:tcPr>
          <w:p>
            <w:pPr>
              <w:pageBreakBefore w:val="0"/>
              <w:kinsoku/>
              <w:wordWrap/>
              <w:overflowPunct/>
              <w:topLinePunct w:val="0"/>
              <w:autoSpaceDE/>
              <w:autoSpaceDN/>
              <w:bidi w:val="0"/>
              <w:adjustRightInd/>
              <w:snapToGrid/>
              <w:spacing w:line="312" w:lineRule="auto"/>
              <w:ind w:firstLine="210" w:firstLineChars="100"/>
              <w:textAlignment w:val="auto"/>
              <w:rPr>
                <w:rFonts w:hint="eastAsia" w:eastAsia="宋体"/>
                <w:lang w:eastAsia="zh-CN"/>
              </w:rPr>
            </w:pPr>
            <w:r>
              <w:rPr>
                <w:rFonts w:hint="eastAsia"/>
              </w:rPr>
              <w:t>中国证监会《行政处罚事先告知书》（处罚字【2020】28号）</w:t>
            </w:r>
            <w:r>
              <w:rPr>
                <w:rFonts w:hint="eastAsia" w:eastAsia="宋体"/>
                <w:lang w:eastAsia="zh-CN"/>
              </w:rPr>
              <w:t>：</w:t>
            </w:r>
            <w:r>
              <w:rPr>
                <w:rFonts w:hint="eastAsia"/>
              </w:rPr>
              <w:t>“经查明，康尼机电涉嫌违法的事实如下：广东龙昕科技有限公司（下称龙昕科技）将3.045亿元定期存单质押，导致康尼机电披露的《重组报告书》、《2017年年度报告》存在重大遗漏；2015年至2017年，龙昕科技存在虚增收入、利润等财务造假行为，康尼机电披露的《重组报告书（草案）》、《重组报告书》存在虚假记载。龙昕科技存在财务造假行为，康尼机电《重组报告书（草案）》《重组报告书》多次披露了上述虚假财务信息，构成《证券法》第一百九十三条第一款所述行为。中国证监会拟决定：对康尼机电给予警告，并处以30万元的罚款；对相关责任人员给予警告并分别处以3万元至30万元罚款。</w:t>
            </w:r>
            <w:r>
              <w:rPr>
                <w:rFonts w:hint="eastAsia" w:eastAsia="宋体"/>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pPr>
            <w:r>
              <w:rPr>
                <w:rFonts w:ascii="宋体" w:hAnsi="宋体" w:eastAsia="宋体" w:cs="宋体"/>
                <w:sz w:val="24"/>
                <w:szCs w:val="24"/>
              </w:rPr>
              <w:t>苏亚金诚会计师事务所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引发的思考</w:t>
            </w:r>
          </w:p>
        </w:tc>
        <w:tc>
          <w:tcPr>
            <w:tcW w:w="6316" w:type="dxa"/>
          </w:tcPr>
          <w:p>
            <w:pPr>
              <w:pageBreakBefore w:val="0"/>
              <w:numPr>
                <w:ilvl w:val="0"/>
                <w:numId w:val="13"/>
              </w:numPr>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在对被审计单位进行审计时要注重关联方交易，关联方交易是企业造假的重要手段之一。</w:t>
            </w:r>
          </w:p>
          <w:p>
            <w:pPr>
              <w:pageBreakBefore w:val="0"/>
              <w:numPr>
                <w:ilvl w:val="0"/>
                <w:numId w:val="13"/>
              </w:numPr>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在审计被审计单位时，要注意企业是否将相关信息在报表附注中进行披露。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1、收购</w:t>
            </w:r>
          </w:p>
          <w:p>
            <w:pPr>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收购</w:t>
            </w:r>
            <w:r>
              <w:rPr>
                <w:rFonts w:hint="default"/>
                <w:lang w:val="en-US" w:eastAsia="zh-CN"/>
              </w:rPr>
              <w:t>是指一个企业以购买全部或部分股票（或称为股份收购）的方式购买了另一企业的全部或部分所有权，或者以购买全部或部分资产（或称资产收购）的方式购买另一企业的全部或部分所有权。是透过取得控制性股权而成为一个公司的大股东的过程。一般是指一个公司通过产权交易取得其他公司一定程度的控制权，以实现一定经济目标的经济行为。</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2、</w:t>
            </w:r>
            <w:r>
              <w:rPr>
                <w:rFonts w:hint="eastAsia"/>
              </w:rPr>
              <w:t>关联方交易</w:t>
            </w:r>
          </w:p>
          <w:p>
            <w:pPr>
              <w:pageBreakBefore w:val="0"/>
              <w:kinsoku/>
              <w:wordWrap/>
              <w:overflowPunct/>
              <w:topLinePunct w:val="0"/>
              <w:autoSpaceDE/>
              <w:autoSpaceDN/>
              <w:bidi w:val="0"/>
              <w:adjustRightInd/>
              <w:snapToGrid/>
              <w:spacing w:line="312" w:lineRule="auto"/>
              <w:textAlignment w:val="auto"/>
            </w:pPr>
            <w:r>
              <w:rPr>
                <w:rFonts w:hint="eastAsia"/>
              </w:rPr>
              <w:t>关联方交易是指关联方指关联方之间转移资源、劳务或义务的行为，而不论是否收取价款，例如，购买或销售商品，提供或接受劳务等。</w:t>
            </w:r>
          </w:p>
        </w:tc>
      </w:tr>
    </w:tbl>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p>
    <w:p>
      <w:pPr>
        <w:pStyle w:val="2"/>
        <w:pageBreakBefore w:val="0"/>
        <w:kinsoku/>
        <w:wordWrap/>
        <w:overflowPunct/>
        <w:topLinePunct w:val="0"/>
        <w:autoSpaceDE/>
        <w:autoSpaceDN/>
        <w:bidi w:val="0"/>
        <w:adjustRightInd/>
        <w:snapToGrid/>
        <w:spacing w:line="312" w:lineRule="auto"/>
        <w:textAlignment w:val="auto"/>
        <w:rPr>
          <w:rFonts w:hint="default" w:eastAsia="宋体"/>
          <w:shd w:val="clear" w:color="auto" w:fill="FFFFFF"/>
          <w:lang w:val="en-US" w:eastAsia="zh-CN"/>
        </w:rPr>
      </w:pPr>
      <w:bookmarkStart w:id="39" w:name="_Toc30585"/>
      <w:r>
        <w:rPr>
          <w:rFonts w:hint="eastAsia"/>
          <w:lang w:val="en-US" w:eastAsia="zh-CN"/>
        </w:rPr>
        <w:t>25</w:t>
      </w:r>
      <w:r>
        <w:t xml:space="preserve"> </w:t>
      </w:r>
      <w:r>
        <w:rPr>
          <w:rFonts w:hint="eastAsia"/>
          <w:lang w:val="en-US" w:eastAsia="zh-CN"/>
        </w:rPr>
        <w:t xml:space="preserve"> </w:t>
      </w:r>
      <w:r>
        <w:rPr>
          <w:rFonts w:hint="eastAsia"/>
          <w:shd w:val="clear" w:color="auto" w:fill="FFFFFF"/>
          <w:lang w:val="en-US" w:eastAsia="zh-CN"/>
        </w:rPr>
        <w:t>东旭光电事件</w:t>
      </w:r>
      <w:bookmarkEnd w:id="39"/>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w:t>
            </w:r>
            <w:r>
              <w:rPr>
                <w:rFonts w:hint="eastAsia"/>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Times New Roman" w:eastAsia="宋体"/>
                <w:lang w:val="en-US" w:eastAsia="zh-CN"/>
              </w:rPr>
              <w:t>2019</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东旭光电科技股份有限公司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光电</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b/>
              </w:rPr>
            </w:pPr>
            <w:r>
              <w:rPr>
                <w:rFonts w:hint="eastAsia"/>
                <w:b/>
              </w:rPr>
              <w:t>【企业背景】</w:t>
            </w:r>
          </w:p>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rPr>
              <w:t>东旭光电科技股份有限公司（证券代码：东旭光电000413</w:t>
            </w:r>
            <w:bookmarkStart w:id="40" w:name="ref_[5]_14526163"/>
            <w:r>
              <w:rPr>
                <w:rFonts w:hint="default"/>
              </w:rPr>
              <w:t> ）成立于1992年，1996年在</w:t>
            </w:r>
            <w:r>
              <w:rPr>
                <w:rFonts w:hint="default"/>
              </w:rPr>
              <w:fldChar w:fldCharType="begin"/>
            </w:r>
            <w:r>
              <w:rPr>
                <w:rFonts w:hint="default"/>
              </w:rPr>
              <w:instrText xml:space="preserve"> HYPERLINK "https://baike.baidu.com/item/%E6%B7%B1%E5%9C%B3%E8%AF%81%E5%88%B8%E4%BA%A4%E6%98%93%E6%89%80/1248022" \t "https://baike.baidu.com/item/%E4%B8%9C%E6%97%AD%E5%85%89%E7%94%B5%E7%A7%91%E6%8A%80%E8%82%A1%E4%BB%BD%E6%9C%89%E9%99%90%E5%85%AC%E5%8F%B8/_blank" </w:instrText>
            </w:r>
            <w:r>
              <w:rPr>
                <w:rFonts w:hint="default"/>
              </w:rPr>
              <w:fldChar w:fldCharType="separate"/>
            </w:r>
            <w:r>
              <w:rPr>
                <w:rFonts w:hint="default"/>
              </w:rPr>
              <w:t>深圳证券交易所</w:t>
            </w:r>
            <w:r>
              <w:rPr>
                <w:rFonts w:hint="default"/>
              </w:rPr>
              <w:fldChar w:fldCharType="end"/>
            </w:r>
            <w:r>
              <w:rPr>
                <w:rFonts w:hint="default"/>
              </w:rPr>
              <w:t>挂牌上市。</w:t>
            </w:r>
            <w:bookmarkEnd w:id="40"/>
            <w:r>
              <w:rPr>
                <w:rFonts w:hint="default"/>
              </w:rPr>
              <w:t> 是中国本土最大、世界排名第四的液晶玻璃基板生产商，也是全球领先的光电显示材料供应商。近年来，该企业在产业整合与转型升级战略推动下，从光电显示产业起步，逐渐发展成为集液晶玻璃基板、盖板玻璃、偏光片、</w:t>
            </w:r>
            <w:r>
              <w:rPr>
                <w:rFonts w:hint="default"/>
              </w:rPr>
              <w:fldChar w:fldCharType="begin"/>
            </w:r>
            <w:r>
              <w:rPr>
                <w:rFonts w:hint="default"/>
              </w:rPr>
              <w:instrText xml:space="preserve"> HYPERLINK "https://baike.baidu.com/item/%E5%BD%A9%E8%89%B2%E6%BB%A4%E5%85%89%E7%89%87/491956" \t "https://baike.baidu.com/item/%E4%B8%9C%E6%97%AD%E5%85%89%E7%94%B5%E7%A7%91%E6%8A%80%E8%82%A1%E4%BB%BD%E6%9C%89%E9%99%90%E5%85%AC%E5%8F%B8/_blank" </w:instrText>
            </w:r>
            <w:r>
              <w:rPr>
                <w:rFonts w:hint="default"/>
              </w:rPr>
              <w:fldChar w:fldCharType="separate"/>
            </w:r>
            <w:r>
              <w:rPr>
                <w:rFonts w:hint="default"/>
              </w:rPr>
              <w:t>彩色滤光片</w:t>
            </w:r>
            <w:r>
              <w:rPr>
                <w:rFonts w:hint="default"/>
              </w:rPr>
              <w:fldChar w:fldCharType="end"/>
            </w:r>
            <w:r>
              <w:rPr>
                <w:rFonts w:hint="default"/>
              </w:rPr>
              <w:t>、蓝宝石等光电显示材料、高端装备制造及系统集成、石墨烯产业化应用、新能源汽车研发及制造、智慧城市建设等业务为一体的综合性高新技术企业，产业上下游纵向布局及横向联动不断深化，逐渐形成了具有综合竞争力的新兴产业集群。2010年，公司战略引进</w:t>
            </w:r>
            <w:r>
              <w:rPr>
                <w:rFonts w:hint="default"/>
              </w:rPr>
              <w:fldChar w:fldCharType="begin"/>
            </w:r>
            <w:r>
              <w:rPr>
                <w:rFonts w:hint="default"/>
              </w:rPr>
              <w:instrText xml:space="preserve"> HYPERLINK "https://baike.baidu.com/item/%E4%B8%9C%E6%97%AD%E9%9B%86%E5%9B%A2%E6%9C%89%E9%99%90%E5%85%AC%E5%8F%B8" \t "https://baike.baidu.com/item/%E4%B8%9C%E6%97%AD%E5%85%89%E7%94%B5%E7%A7%91%E6%8A%80%E8%82%A1%E4%BB%BD%E6%9C%89%E9%99%90%E5%85%AC%E5%8F%B8/_blank" </w:instrText>
            </w:r>
            <w:r>
              <w:rPr>
                <w:rFonts w:hint="default"/>
              </w:rPr>
              <w:fldChar w:fldCharType="separate"/>
            </w:r>
            <w:r>
              <w:rPr>
                <w:rFonts w:hint="default"/>
              </w:rPr>
              <w:t>东旭集团有限公司</w:t>
            </w:r>
            <w:r>
              <w:rPr>
                <w:rFonts w:hint="default"/>
              </w:rPr>
              <w:fldChar w:fldCharType="end"/>
            </w:r>
            <w:r>
              <w:rPr>
                <w:rFonts w:hint="default"/>
              </w:rPr>
              <w:t>（东旭集团 ），顺利实现了产业转型 ，从传统</w:t>
            </w:r>
            <w:r>
              <w:rPr>
                <w:rFonts w:hint="default"/>
              </w:rPr>
              <w:fldChar w:fldCharType="begin"/>
            </w:r>
            <w:r>
              <w:rPr>
                <w:rFonts w:hint="default"/>
              </w:rPr>
              <w:instrText xml:space="preserve"> HYPERLINK "https://baike.baidu.com/item/CRT/105420" \t "https://baike.baidu.com/item/%E4%B8%9C%E6%97%AD%E5%85%89%E7%94%B5%E7%A7%91%E6%8A%80%E8%82%A1%E4%BB%BD%E6%9C%89%E9%99%90%E5%85%AC%E5%8F%B8/_blank" </w:instrText>
            </w:r>
            <w:r>
              <w:rPr>
                <w:rFonts w:hint="default"/>
              </w:rPr>
              <w:fldChar w:fldCharType="separate"/>
            </w:r>
            <w:r>
              <w:rPr>
                <w:rFonts w:hint="default"/>
              </w:rPr>
              <w:t>CRT</w:t>
            </w:r>
            <w:r>
              <w:rPr>
                <w:rFonts w:hint="default"/>
              </w:rPr>
              <w:fldChar w:fldCharType="end"/>
            </w:r>
            <w:r>
              <w:rPr>
                <w:rFonts w:hint="default"/>
              </w:rPr>
              <w:t>行业一跃升级为</w:t>
            </w:r>
            <w:r>
              <w:rPr>
                <w:rFonts w:hint="default"/>
              </w:rPr>
              <w:fldChar w:fldCharType="begin"/>
            </w:r>
            <w:r>
              <w:rPr>
                <w:rFonts w:hint="default"/>
              </w:rPr>
              <w:instrText xml:space="preserve"> HYPERLINK "https://baike.baidu.com/item/%E5%B9%B3%E6%9D%BF" \t "https://baike.baidu.com/item/%E4%B8%9C%E6%97%AD%E5%85%89%E7%94%B5%E7%A7%91%E6%8A%80%E8%82%A1%E4%BB%BD%E6%9C%89%E9%99%90%E5%85%AC%E5%8F%B8/_blank" </w:instrText>
            </w:r>
            <w:r>
              <w:rPr>
                <w:rFonts w:hint="default"/>
              </w:rPr>
              <w:fldChar w:fldCharType="separate"/>
            </w:r>
            <w:r>
              <w:rPr>
                <w:rFonts w:hint="default"/>
              </w:rPr>
              <w:t>平板</w:t>
            </w:r>
            <w:r>
              <w:rPr>
                <w:rFonts w:hint="default"/>
              </w:rPr>
              <w:fldChar w:fldCharType="end"/>
            </w:r>
            <w:r>
              <w:rPr>
                <w:rFonts w:hint="default"/>
              </w:rPr>
              <w:t>显示行业 ，进入了国家新兴产业，同时实现了从国企到民营管理体制的转换 。2013年公司成功</w:t>
            </w:r>
            <w:r>
              <w:rPr>
                <w:rFonts w:hint="default"/>
              </w:rPr>
              <w:fldChar w:fldCharType="begin"/>
            </w:r>
            <w:r>
              <w:rPr>
                <w:rFonts w:hint="default"/>
              </w:rPr>
              <w:instrText xml:space="preserve"> HYPERLINK "https://baike.baidu.com/item/%E5%AE%9A%E5%90%91%E5%A2%9E%E5%8F%91" \t "https://baike.baidu.com/item/%E4%B8%9C%E6%97%AD%E5%85%89%E7%94%B5%E7%A7%91%E6%8A%80%E8%82%A1%E4%BB%BD%E6%9C%89%E9%99%90%E5%85%AC%E5%8F%B8/_blank" </w:instrText>
            </w:r>
            <w:r>
              <w:rPr>
                <w:rFonts w:hint="default"/>
              </w:rPr>
              <w:fldChar w:fldCharType="separate"/>
            </w:r>
            <w:r>
              <w:rPr>
                <w:rFonts w:hint="default"/>
              </w:rPr>
              <w:t>定向增发</w:t>
            </w:r>
            <w:r>
              <w:rPr>
                <w:rFonts w:hint="default"/>
              </w:rPr>
              <w:fldChar w:fldCharType="end"/>
            </w:r>
            <w:r>
              <w:rPr>
                <w:rFonts w:hint="default"/>
              </w:rPr>
              <w:t>5.2亿股，募集资金50亿建设10条6代  </w:t>
            </w:r>
            <w:r>
              <w:rPr>
                <w:rFonts w:hint="default"/>
              </w:rPr>
              <w:fldChar w:fldCharType="begin"/>
            </w:r>
            <w:r>
              <w:rPr>
                <w:rFonts w:hint="default"/>
              </w:rPr>
              <w:instrText xml:space="preserve"> HYPERLINK "https://baike.baidu.com/item/%E7%8E%BB%E7%92%83%E5%9F%BA%E6%9D%BF" \t "https://baike.baidu.com/item/%E4%B8%9C%E6%97%AD%E5%85%89%E7%94%B5%E7%A7%91%E6%8A%80%E8%82%A1%E4%BB%BD%E6%9C%89%E9%99%90%E5%85%AC%E5%8F%B8/_blank" </w:instrText>
            </w:r>
            <w:r>
              <w:rPr>
                <w:rFonts w:hint="default"/>
              </w:rPr>
              <w:fldChar w:fldCharType="separate"/>
            </w:r>
            <w:r>
              <w:rPr>
                <w:rFonts w:hint="default"/>
              </w:rPr>
              <w:t>玻璃基板</w:t>
            </w:r>
            <w:r>
              <w:rPr>
                <w:rFonts w:hint="default"/>
              </w:rPr>
              <w:fldChar w:fldCharType="end"/>
            </w:r>
            <w:r>
              <w:rPr>
                <w:rFonts w:hint="default"/>
              </w:rPr>
              <w:t>生产线，产品良率稳定在80%以上，已经打入大陆和台湾市场，替代进口。2014年1月，公司名称变更为“</w:t>
            </w:r>
            <w:r>
              <w:rPr>
                <w:rFonts w:hint="default"/>
              </w:rPr>
              <w:fldChar w:fldCharType="begin"/>
            </w:r>
            <w:r>
              <w:rPr>
                <w:rFonts w:hint="default"/>
              </w:rPr>
              <w:instrText xml:space="preserve"> HYPERLINK "https://baike.baidu.com/item/%E4%B8%9C%E6%97%AD%E5%85%89%E7%94%B5%E7%A7%91%E6%8A%80%E8%82%A1%E4%BB%BD%E6%9C%89%E9%99%90%E5%85%AC%E5%8F%B8" \t "https://baike.baidu.com/item/%E4%B8%9C%E6%97%AD%E5%85%89%E7%94%B5%E7%A7%91%E6%8A%80%E8%82%A1%E4%BB%BD%E6%9C%89%E9%99%90%E5%85%AC%E5%8F%B8/_blank" </w:instrText>
            </w:r>
            <w:r>
              <w:rPr>
                <w:rFonts w:hint="default"/>
              </w:rPr>
              <w:fldChar w:fldCharType="separate"/>
            </w:r>
            <w:r>
              <w:rPr>
                <w:rFonts w:hint="default"/>
              </w:rPr>
              <w:t>东旭光电科技股份有限公司</w:t>
            </w:r>
            <w:r>
              <w:rPr>
                <w:rFonts w:hint="default"/>
              </w:rPr>
              <w:fldChar w:fldCharType="end"/>
            </w:r>
            <w:r>
              <w:rPr>
                <w:rFonts w:hint="default"/>
              </w:rPr>
              <w:t>”。2014年5月公司实施2013年年度</w:t>
            </w:r>
            <w:r>
              <w:rPr>
                <w:rFonts w:hint="default"/>
              </w:rPr>
              <w:fldChar w:fldCharType="begin"/>
            </w:r>
            <w:r>
              <w:rPr>
                <w:rFonts w:hint="default"/>
              </w:rPr>
              <w:instrText xml:space="preserve"> HYPERLINK "https://baike.baidu.com/item/%E8%B5%84%E6%9C%AC%E5%85%AC%E7%A7%AF%E9%87%91%E8%BD%AC%E5%A2%9E%E8%82%A1%E6%9C%AC/8924005" \t "https://baike.baidu.com/item/%E4%B8%9C%E6%97%AD%E5%85%89%E7%94%B5%E7%A7%91%E6%8A%80%E8%82%A1%E4%BB%BD%E6%9C%89%E9%99%90%E5%85%AC%E5%8F%B8/_blank" </w:instrText>
            </w:r>
            <w:r>
              <w:rPr>
                <w:rFonts w:hint="default"/>
              </w:rPr>
              <w:fldChar w:fldCharType="separate"/>
            </w:r>
            <w:r>
              <w:rPr>
                <w:rFonts w:hint="default"/>
              </w:rPr>
              <w:t>资本公积金转增股本</w:t>
            </w:r>
            <w:r>
              <w:rPr>
                <w:rFonts w:hint="default"/>
              </w:rPr>
              <w:fldChar w:fldCharType="end"/>
            </w:r>
            <w:r>
              <w:rPr>
                <w:rFonts w:hint="default"/>
              </w:rPr>
              <w:t>方案。截至2014年12月30日，公司股本总额26.62亿，下属3个全资子公司，3个控股子公司，3个控股孙公司，托管三家5代玻璃基板、一家PDP</w:t>
            </w:r>
            <w:r>
              <w:rPr>
                <w:rFonts w:hint="default"/>
              </w:rPr>
              <w:fldChar w:fldCharType="begin"/>
            </w:r>
            <w:r>
              <w:rPr>
                <w:rFonts w:hint="default"/>
              </w:rPr>
              <w:instrText xml:space="preserve"> HYPERLINK "https://baike.baidu.com/item/%E7%8E%BB%E7%92%83%E5%9F%BA%E6%9D%BF" \t "https://baike.baidu.com/item/%E4%B8%9C%E6%97%AD%E5%85%89%E7%94%B5%E7%A7%91%E6%8A%80%E8%82%A1%E4%BB%BD%E6%9C%89%E9%99%90%E5%85%AC%E5%8F%B8/_blank" </w:instrText>
            </w:r>
            <w:r>
              <w:rPr>
                <w:rFonts w:hint="default"/>
              </w:rPr>
              <w:fldChar w:fldCharType="separate"/>
            </w:r>
            <w:r>
              <w:rPr>
                <w:rFonts w:hint="default"/>
              </w:rPr>
              <w:t>玻璃基板</w:t>
            </w:r>
            <w:r>
              <w:rPr>
                <w:rFonts w:hint="default"/>
              </w:rPr>
              <w:fldChar w:fldCharType="end"/>
            </w:r>
            <w:r>
              <w:rPr>
                <w:rFonts w:hint="default"/>
              </w:rPr>
              <w:t>、盖板玻璃生产企业，是国内最大的集</w:t>
            </w:r>
            <w:r>
              <w:rPr>
                <w:rFonts w:hint="default"/>
              </w:rPr>
              <w:fldChar w:fldCharType="begin"/>
            </w:r>
            <w:r>
              <w:rPr>
                <w:rFonts w:hint="default"/>
              </w:rPr>
              <w:instrText xml:space="preserve"> HYPERLINK "https://baike.baidu.com/item/%E6%B6%B2%E6%99%B6%E7%8E%BB%E7%92%83%E5%9F%BA%E6%9D%BF" \t "https://baike.baidu.com/item/%E4%B8%9C%E6%97%AD%E5%85%89%E7%94%B5%E7%A7%91%E6%8A%80%E8%82%A1%E4%BB%BD%E6%9C%89%E9%99%90%E5%85%AC%E5%8F%B8/_blank" </w:instrText>
            </w:r>
            <w:r>
              <w:rPr>
                <w:rFonts w:hint="default"/>
              </w:rPr>
              <w:fldChar w:fldCharType="separate"/>
            </w:r>
            <w:r>
              <w:rPr>
                <w:rFonts w:hint="default"/>
              </w:rPr>
              <w:t>液晶玻璃基板</w:t>
            </w:r>
            <w:r>
              <w:rPr>
                <w:rFonts w:hint="default"/>
              </w:rPr>
              <w:fldChar w:fldCharType="end"/>
            </w:r>
            <w:r>
              <w:rPr>
                <w:rFonts w:hint="default"/>
              </w:rPr>
              <w:t>装备制造、技术研发及生产销售于一体的</w:t>
            </w:r>
            <w:r>
              <w:rPr>
                <w:rFonts w:hint="default"/>
              </w:rPr>
              <w:fldChar w:fldCharType="begin"/>
            </w:r>
            <w:r>
              <w:rPr>
                <w:rFonts w:hint="default"/>
              </w:rPr>
              <w:instrText xml:space="preserve"> HYPERLINK "https://baike.baidu.com/item/%E9%AB%98%E6%96%B0%E6%8A%80%E6%9C%AF%E4%BC%81%E4%B8%9A" \t "https://baike.baidu.com/item/%E4%B8%9C%E6%97%AD%E5%85%89%E7%94%B5%E7%A7%91%E6%8A%80%E8%82%A1%E4%BB%BD%E6%9C%89%E9%99%90%E5%85%AC%E5%8F%B8/_blank" </w:instrText>
            </w:r>
            <w:r>
              <w:rPr>
                <w:rFonts w:hint="default"/>
              </w:rPr>
              <w:fldChar w:fldCharType="separate"/>
            </w:r>
            <w:r>
              <w:rPr>
                <w:rFonts w:hint="default"/>
              </w:rPr>
              <w:t>高新技术企业</w:t>
            </w:r>
            <w:r>
              <w:rPr>
                <w:rFonts w:hint="default"/>
              </w:rPr>
              <w:fldChar w:fldCharType="end"/>
            </w:r>
            <w:r>
              <w:rPr>
                <w:rFonts w:hint="default"/>
              </w:rPr>
              <w:t>。</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lang w:eastAsia="zh-CN"/>
              </w:rPr>
            </w:pPr>
            <w:r>
              <w:rPr>
                <w:rFonts w:hint="eastAsia"/>
                <w:b w:val="0"/>
                <w:bCs/>
              </w:rPr>
              <w:t>市值275亿元的东旭光电一纸公告称两个中期债券品种无法按期兑付，合计应付本息20.1亿元。值得注意的是，三季报东旭光电还显示货币资金余额高达183.16亿元。手握183亿元资金却还不了20亿元债务</w:t>
            </w:r>
            <w:r>
              <w:rPr>
                <w:rFonts w:hint="eastAsia" w:eastAsia="宋体"/>
                <w:b/>
                <w:lang w:eastAsia="zh-CN"/>
              </w:rPr>
              <w:t>。</w:t>
            </w:r>
          </w:p>
          <w:p>
            <w:pPr>
              <w:pageBreakBefore w:val="0"/>
              <w:kinsoku/>
              <w:wordWrap/>
              <w:overflowPunct/>
              <w:topLinePunct w:val="0"/>
              <w:autoSpaceDE/>
              <w:autoSpaceDN/>
              <w:bidi w:val="0"/>
              <w:adjustRightInd/>
              <w:snapToGrid/>
              <w:spacing w:line="312" w:lineRule="auto"/>
              <w:textAlignment w:val="auto"/>
              <w:rPr>
                <w:rFonts w:hint="eastAsia"/>
                <w:b/>
              </w:rPr>
            </w:pPr>
            <w:r>
              <w:rPr>
                <w:rFonts w:hint="eastAsia"/>
                <w:b/>
              </w:rPr>
              <w:t>【案情描述】</w:t>
            </w:r>
          </w:p>
          <w:p>
            <w:pPr>
              <w:pageBreakBefore w:val="0"/>
              <w:kinsoku/>
              <w:wordWrap/>
              <w:overflowPunct/>
              <w:topLinePunct w:val="0"/>
              <w:autoSpaceDE/>
              <w:autoSpaceDN/>
              <w:bidi w:val="0"/>
              <w:adjustRightInd/>
              <w:snapToGrid/>
              <w:spacing w:line="312" w:lineRule="auto"/>
              <w:textAlignment w:val="auto"/>
              <w:rPr>
                <w:rFonts w:hint="eastAsia"/>
                <w:b w:val="0"/>
                <w:bCs/>
                <w:lang w:val="en-US" w:eastAsia="zh-CN"/>
              </w:rPr>
            </w:pPr>
            <w:r>
              <w:rPr>
                <w:rFonts w:hint="eastAsia" w:ascii="Times New Roman" w:eastAsia="宋体"/>
                <w:b w:val="0"/>
                <w:bCs/>
                <w:lang w:val="en-US" w:eastAsia="zh-CN"/>
              </w:rPr>
              <w:t>1、内部控制：东旭光电6月24日披露，一些部门负责人与子公司，因为急于开拓市场，未经允许，擅自为上海赫丹国际贸易有限公司（以下简称“上海赫丹”）等8家非关联公司的银行承兑汇票业务及信托贷款业务提供担保，累计金额高达38亿，占公司最近一期经审计净资产的12.57%。</w:t>
            </w:r>
          </w:p>
          <w:p>
            <w:pPr>
              <w:pageBreakBefore w:val="0"/>
              <w:kinsoku/>
              <w:wordWrap/>
              <w:overflowPunct/>
              <w:topLinePunct w:val="0"/>
              <w:autoSpaceDE/>
              <w:autoSpaceDN/>
              <w:bidi w:val="0"/>
              <w:adjustRightInd/>
              <w:snapToGrid/>
              <w:spacing w:line="312" w:lineRule="auto"/>
              <w:textAlignment w:val="auto"/>
              <w:rPr>
                <w:rFonts w:hint="eastAsia"/>
                <w:b w:val="0"/>
                <w:bCs/>
                <w:lang w:val="en-US" w:eastAsia="zh-CN"/>
              </w:rPr>
            </w:pPr>
            <w:r>
              <w:drawing>
                <wp:inline distT="0" distB="0" distL="114300" distR="114300">
                  <wp:extent cx="3872230" cy="3585845"/>
                  <wp:effectExtent l="0" t="0" r="13970" b="146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tretch>
                            <a:fillRect/>
                          </a:stretch>
                        </pic:blipFill>
                        <pic:spPr>
                          <a:xfrm>
                            <a:off x="0" y="0"/>
                            <a:ext cx="3872230" cy="358584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t>2、2019年11月18日，上清所连发两份公告称，未收到东旭光电发行的中期票据付息兑付资金，暂无法代理发行人进行本期债券的付息工作。涉及债券分别为“16东旭光电MTN001A”以及“16东旭光电MTN001B”。</w:t>
            </w:r>
          </w:p>
          <w:p>
            <w:pPr>
              <w:pageBreakBefore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drawing>
                <wp:inline distT="0" distB="0" distL="114300" distR="114300">
                  <wp:extent cx="3300095" cy="1146175"/>
                  <wp:effectExtent l="0" t="0" r="14605" b="15875"/>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25"/>
                          <a:stretch>
                            <a:fillRect/>
                          </a:stretch>
                        </pic:blipFill>
                        <pic:spPr>
                          <a:xfrm>
                            <a:off x="0" y="0"/>
                            <a:ext cx="3300095" cy="1146175"/>
                          </a:xfrm>
                          <a:prstGeom prst="rect">
                            <a:avLst/>
                          </a:prstGeom>
                          <a:noFill/>
                          <a:ln w="9525">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t>3、东旭集团有息负债超800亿元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lang w:val="en-US" w:eastAsia="zh-CN"/>
              </w:rPr>
            </w:pPr>
            <w:r>
              <w:rPr>
                <w:rFonts w:hint="eastAsia" w:ascii="Times New Roman" w:eastAsia="宋体"/>
                <w:b w:val="0"/>
                <w:bCs w:val="0"/>
                <w:lang w:val="en-US" w:eastAsia="zh-CN"/>
              </w:rPr>
              <w:t>东旭集团目前在存续期的债券有15只、合计债券余额196.39亿元，其中一年以内到期的债券余额超过89亿元。东旭集团2019年公司债券半年度报告显示，公司短期借款高达151.85亿元，一年内到期的非流动负债218.64亿元；有息借款情况显示，2019年上半年末，东旭集团借款总额为823.92亿元，上年末借款总额845.41亿元，借款总额总比变动-2.54%。</w:t>
            </w:r>
          </w:p>
          <w:p>
            <w:pPr>
              <w:pageBreakBefore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drawing>
                <wp:inline distT="0" distB="0" distL="114300" distR="114300">
                  <wp:extent cx="3703320" cy="868680"/>
                  <wp:effectExtent l="0" t="0" r="11430" b="7620"/>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26"/>
                          <a:stretch>
                            <a:fillRect/>
                          </a:stretch>
                        </pic:blipFill>
                        <pic:spPr>
                          <a:xfrm>
                            <a:off x="0" y="0"/>
                            <a:ext cx="3703320" cy="868680"/>
                          </a:xfrm>
                          <a:prstGeom prst="rect">
                            <a:avLst/>
                          </a:prstGeom>
                          <a:noFill/>
                          <a:ln w="9525">
                            <a:noFill/>
                          </a:ln>
                        </pic:spPr>
                      </pic:pic>
                    </a:graphicData>
                  </a:graphic>
                </wp:inline>
              </w:drawing>
            </w:r>
          </w:p>
          <w:p>
            <w:pPr>
              <w:pageBreakBefore w:val="0"/>
              <w:kinsoku/>
              <w:wordWrap/>
              <w:overflowPunct/>
              <w:topLinePunct w:val="0"/>
              <w:autoSpaceDE/>
              <w:autoSpaceDN/>
              <w:bidi w:val="0"/>
              <w:adjustRightInd/>
              <w:snapToGrid/>
              <w:spacing w:line="312" w:lineRule="auto"/>
              <w:ind w:firstLine="420" w:firstLineChars="200"/>
              <w:textAlignment w:val="auto"/>
              <w:rPr>
                <w:b/>
                <w:bCs/>
              </w:rPr>
            </w:pPr>
            <w:r>
              <w:rPr>
                <w:rFonts w:hint="eastAsia" w:ascii="Times New Roman" w:eastAsia="宋体"/>
                <w:b w:val="0"/>
                <w:bCs w:val="0"/>
                <w:lang w:val="en-US" w:eastAsia="zh-CN"/>
              </w:rPr>
              <w:t>东旭集团所持有的三家上市公司股权均被大比例质押，累计质押东旭光电7.99亿股，质押数量占其持股比列的87.39％；累计质押东旭蓝天5.77亿股，占其持股比例的99.35％；质押嘉麟杰股数占其持股比例为75.49%。值得注意的是，2016年11月，东旭集团与东旭光电分别出资6亿元和4亿元共同设立东旭财务公司。财务公司在企业集团内部进行资金的集中管理调配和财务管理服务，并可从事集团内企业的存贷款业务。因此，东旭光电、东旭蓝天将闲置资金存入东旭财务公司，而东旭集团内企业可以通过东旭财务公司申请使用上述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中兴财光华会计师事务所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审计机构案情描述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rPr>
              <w:t>负责东旭光电年报财务审计的中兴财光华会计师事务所对公司2019年度内部控制出具了否定意见的内控审计报告（中兴财光华审会字（2020）第105035号）。东旭光电“关于出具否定意见的内部控制审计报告的专项说明”显示，审计意见认为，“上述事项未按东旭光电《公司章程规定》履行决策程序，不符合《内部控制制度》关于对外担保的规定，同时未按照《上市公司信息披露管理办法》及时披露上述对外担保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引发的思考</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企业出现存贷双高的情况</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集团型公司在合并报表层面可能出现存贷双高。对于子公司较多的集团型公司，可能存在的情况是有的子公司产生现金流的能力较强，账面资金较为充裕，而有的子公司则更多的依赖外部融资满足日常经营需求，从而负债率较高。合并报表层面就可能出现存贷双高的情况。这种情况反映出企业资金配置效率低。</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2、虚增利润的同时虚增货币资金。虚增货币资金的情形可能涉及财务造假。通常而言财务粉饰的目的多出于做大利润或资产，以支撑股价和获得资本市场青睐。</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3、提取货币资金充时点数，因为资产负债表反映的是时点上的存量数据，则公司有可能在披露报表的时间节点附近提取现金放在账面上，之后再转出。</w:t>
            </w:r>
          </w:p>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4、货币资金中存在未披露的大额受限资金。受限资金未披露可能的情况一是被关联方或者大股东占用，二是为大股东或关联方提供贷款质押、担保，如与银行签订抽屉协议，质押存单从而放款给大股东或者关联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1、财务造假原因：保壳、避免退市或被ST、再融资圈钱，增发、配股、骗取银行贷款、大股东或一致行动人、高管、战略投资者减持等。还要从企业所处于的经营状态进行分析。</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2、存贷双高是指一家公司存款余额和贷款余额都非常高，在财务管理者眼里，这种情况是对资金的巨大浪费，一边需要支付高额的财务费用，一边账上还保留大量的现金，不符合商业逻辑。</w:t>
            </w:r>
          </w:p>
        </w:tc>
      </w:tr>
    </w:tbl>
    <w:p>
      <w:pPr>
        <w:pageBreakBefore w:val="0"/>
        <w:kinsoku/>
        <w:wordWrap/>
        <w:overflowPunct/>
        <w:topLinePunct w:val="0"/>
        <w:autoSpaceDE/>
        <w:autoSpaceDN/>
        <w:bidi w:val="0"/>
        <w:adjustRightInd/>
        <w:snapToGrid/>
        <w:spacing w:line="312" w:lineRule="auto"/>
        <w:textAlignment w:val="auto"/>
      </w:pPr>
    </w:p>
    <w:p>
      <w:pPr>
        <w:pStyle w:val="2"/>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bookmarkStart w:id="41" w:name="_Toc10946"/>
      <w:r>
        <w:rPr>
          <w:rFonts w:hint="eastAsia"/>
          <w:lang w:val="en-US" w:eastAsia="zh-CN"/>
        </w:rPr>
        <w:t>2</w:t>
      </w:r>
      <w:r>
        <w:rPr>
          <w:rFonts w:hint="eastAsia"/>
        </w:rPr>
        <w:t>6</w:t>
      </w:r>
      <w:r>
        <w:rPr>
          <w:rFonts w:hint="eastAsia"/>
          <w:lang w:val="en-US" w:eastAsia="zh-CN"/>
        </w:rPr>
        <w:t xml:space="preserve">  盈方微事件</w:t>
      </w:r>
      <w:bookmarkEnd w:id="41"/>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eastAsia="宋体"/>
                <w:lang w:val="en-US" w:eastAsia="zh-CN"/>
              </w:rPr>
            </w:pPr>
            <w:r>
              <w:rPr>
                <w:rFonts w:hint="eastAsia"/>
              </w:rPr>
              <w:t>0</w:t>
            </w:r>
            <w:r>
              <w:rPr>
                <w:rFonts w:hint="eastAsia" w:ascii="Times New Roman" w:eastAsia="宋体"/>
                <w:lang w:val="en-US" w:eastAsia="zh-CN"/>
              </w:rPr>
              <w:t>726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Times New Roman" w:eastAsia="宋体"/>
                <w:lang w:val="en-US" w:eastAsia="zh-CN"/>
              </w:rPr>
              <w:t>2016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t> </w:t>
            </w:r>
            <w:r>
              <w:rPr>
                <w:rFonts w:hint="eastAsia"/>
              </w:rPr>
              <w:t> 盈方微电子股份有限公司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集成电路</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b/>
              </w:rPr>
            </w:pPr>
            <w:r>
              <w:rPr>
                <w:rFonts w:hint="eastAsia"/>
                <w:b/>
              </w:rPr>
              <w:t>【企业背景】</w:t>
            </w:r>
          </w:p>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rPr>
              <w:t>盈方微电子股份有限公司是以集成电路设计研发为核心，通过供应链整合优化智能终端，以大数据运营为支撑提供系统服务的智能系统运营商。在专业集成电路设计领域，公司以智能处理器SOC芯片研发与应用为基础，根据需求推出细分市场芯片，并提供一揽子终端产品方案。在智能系统运营领域，整合移动互联网、物联网、北斗系统、智能终端以及后台大数据，提供智慧城市、数据运营、数字牧场和智能家居等系统服务。</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rPr>
              <w:t>       2014年公司正式完成了股权分置改革，并于2014年8月在深圳证券交易所证券简称正式更名为“盈方微”，证券代码“000670”。公司运营总部位于上海张江，同时在深圳、香港、台北、美国休斯顿、旧金山和以色列特拉维夫设有分支机构。</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textAlignment w:val="auto"/>
              <w:rPr>
                <w:b w:val="0"/>
                <w:bCs/>
              </w:rPr>
            </w:pPr>
            <w:r>
              <w:rPr>
                <w:rFonts w:hint="eastAsia"/>
                <w:b w:val="0"/>
                <w:bCs/>
              </w:rPr>
              <w:t>*ST</w:t>
            </w:r>
            <w:r>
              <w:rPr>
                <w:rFonts w:hint="eastAsia" w:ascii="Times New Roman" w:eastAsia="宋体"/>
                <w:b w:val="0"/>
                <w:bCs/>
                <w:lang w:val="en-US" w:eastAsia="zh-CN"/>
              </w:rPr>
              <w:t>盈方微2015年年报</w:t>
            </w:r>
            <w:r>
              <w:rPr>
                <w:rFonts w:hint="eastAsia"/>
                <w:b w:val="0"/>
                <w:bCs/>
              </w:rPr>
              <w:t>：</w:t>
            </w:r>
          </w:p>
          <w:p>
            <w:pPr>
              <w:pageBreakBefore w:val="0"/>
              <w:kinsoku/>
              <w:wordWrap/>
              <w:overflowPunct/>
              <w:topLinePunct w:val="0"/>
              <w:autoSpaceDE/>
              <w:autoSpaceDN/>
              <w:bidi w:val="0"/>
              <w:adjustRightInd/>
              <w:snapToGrid/>
              <w:spacing w:line="312" w:lineRule="auto"/>
              <w:textAlignment w:val="auto"/>
              <w:rPr>
                <w:rFonts w:hint="eastAsia"/>
                <w:b w:val="0"/>
                <w:bCs/>
              </w:rPr>
            </w:pPr>
            <w:r>
              <w:rPr>
                <w:rFonts w:hint="eastAsia"/>
                <w:b w:val="0"/>
                <w:bCs/>
              </w:rPr>
              <w:t>“报告期内，公司实现营业收入和净利润‘双增长’。公司实现营业收入3.75亿，同比增长114.8%；实现净利润1914.36万元同比增长291.89，其中归属母公司股东的净利润2101万元，同比增长305%。”</w:t>
            </w:r>
          </w:p>
          <w:p>
            <w:pPr>
              <w:pageBreakBefore w:val="0"/>
              <w:kinsoku/>
              <w:wordWrap/>
              <w:overflowPunct/>
              <w:topLinePunct w:val="0"/>
              <w:autoSpaceDE/>
              <w:autoSpaceDN/>
              <w:bidi w:val="0"/>
              <w:adjustRightInd/>
              <w:snapToGrid/>
              <w:spacing w:line="312" w:lineRule="auto"/>
              <w:textAlignment w:val="auto"/>
              <w:rPr>
                <w:b/>
              </w:rPr>
            </w:pPr>
            <w:r>
              <w:rPr>
                <w:rFonts w:hint="eastAsia" w:ascii="Times New Roman" w:eastAsia="宋体"/>
                <w:b w:val="0"/>
                <w:bCs/>
                <w:lang w:val="en-US" w:eastAsia="zh-CN"/>
              </w:rPr>
              <w:t>盈方微的审计单位对盈方微2015的报表出具了无法表示意见。</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kinsoku/>
              <w:wordWrap/>
              <w:overflowPunct/>
              <w:topLinePunct w:val="0"/>
              <w:autoSpaceDE/>
              <w:autoSpaceDN/>
              <w:bidi w:val="0"/>
              <w:adjustRightInd/>
              <w:snapToGrid/>
              <w:spacing w:line="312" w:lineRule="auto"/>
              <w:textAlignment w:val="auto"/>
              <w:rPr>
                <w:b w:val="0"/>
                <w:bCs w:val="0"/>
              </w:rPr>
            </w:pPr>
            <w:r>
              <w:rPr>
                <w:rFonts w:hint="eastAsia" w:ascii="Times New Roman" w:eastAsia="宋体"/>
                <w:b w:val="0"/>
                <w:bCs w:val="0"/>
                <w:lang w:val="en-US" w:eastAsia="zh-CN"/>
              </w:rPr>
              <w:t>1、</w:t>
            </w:r>
            <w:r>
              <w:rPr>
                <w:rFonts w:hint="eastAsia"/>
                <w:b w:val="0"/>
                <w:bCs w:val="0"/>
              </w:rPr>
              <w:t>盈方微未实际履行相关义务</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2015年开始，盈方微在美国开展数据中心服务业务，为High Sharp Electronic Limited（中文名为高锐电子有限公司，以下简称高锐电子）提供场地租赁及数据运营维护服务。盈方微全资子公司Infotm.Inc.（以下简称美国盈方微）与高锐电子签订了《场地租赁服务合同》（以下简称《场租合同》），全资子公司上海盈方微电子有限公司(以下简称上海盈方微）与高锐电子签订了《资料中心数据运营维护管理委托服务合同》（以下简称《运维合同》）。</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场租合同》约定的合作期限为2015年7月10日至2017年7月31日，并约定自2015年9月1日起每月固定收取租赁服务费90万美元。《运维合同》约定的合作期限为2015年7月10日至2017年7月31日，其中，2015年8月收取运营管理费60万美元，自2015年9月1日起每月固定收取运营管理费220万美元。根据约定，盈方微应在自有产权的土地上建设符合要求的设施，主要包括完成土建工程、配备用于放置服务器的机柜及大于45MW容量的供电设施，并提供日常运营维护服务。</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由于盈方微未能如期在自有土地上完成土建工程，2015年8月，美国盈方微与高锐电子签订补充合同，约定美国盈方微可通过租赁土地提供服务。之后美国盈方微另租土地为高锐电子提供数据中心服务。</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事实上，2015年8月、9月，盈方微没有条件、实际上也未履行相关合同义务。具体如下：第一，盈方微实际租赁土地的起始日为2015年10月1日，在此之前，盈方微没有可供数据中心使用的场地。第二，所需供电设备于2015年10月购买并投入使用，在此之前，盈方微不能提供数据中心所需电力。第三，租用土地上的基础工程建设及日常维护于2015年10月开始。第四，2015年8月、9月，数据中心机柜实际运行数量为零。第五，盈方微未提供数据中心服务器的运营服务，也未向客户提供过服务器的运行报告。</w:t>
            </w:r>
          </w:p>
          <w:p>
            <w:pPr>
              <w:pageBreakBefore w:val="0"/>
              <w:kinsoku/>
              <w:wordWrap/>
              <w:overflowPunct/>
              <w:topLinePunct w:val="0"/>
              <w:autoSpaceDE/>
              <w:autoSpaceDN/>
              <w:bidi w:val="0"/>
              <w:adjustRightInd/>
              <w:snapToGrid/>
              <w:spacing w:line="312" w:lineRule="auto"/>
              <w:textAlignment w:val="auto"/>
              <w:rPr>
                <w:rFonts w:hint="eastAsia"/>
                <w:b w:val="0"/>
                <w:bCs w:val="0"/>
              </w:rPr>
            </w:pPr>
            <w:r>
              <w:rPr>
                <w:rFonts w:hint="eastAsia" w:ascii="Times New Roman" w:eastAsia="宋体"/>
                <w:b w:val="0"/>
                <w:bCs w:val="0"/>
                <w:lang w:val="en-US" w:eastAsia="zh-CN"/>
              </w:rPr>
              <w:t>2、</w:t>
            </w:r>
            <w:r>
              <w:rPr>
                <w:rFonts w:hint="eastAsia"/>
                <w:b w:val="0"/>
                <w:bCs w:val="0"/>
              </w:rPr>
              <w:t>盈方微披露的信息存在虚假记载</w:t>
            </w:r>
          </w:p>
          <w:p>
            <w:pPr>
              <w:pageBreakBefore w:val="0"/>
              <w:kinsoku/>
              <w:wordWrap/>
              <w:overflowPunct/>
              <w:topLinePunct w:val="0"/>
              <w:autoSpaceDE/>
              <w:autoSpaceDN/>
              <w:bidi w:val="0"/>
              <w:adjustRightInd/>
              <w:snapToGrid/>
              <w:spacing w:line="312" w:lineRule="auto"/>
              <w:ind w:firstLine="420" w:firstLineChars="200"/>
              <w:textAlignment w:val="auto"/>
              <w:rPr>
                <w:b/>
                <w:bCs/>
              </w:rPr>
            </w:pPr>
            <w:r>
              <w:rPr>
                <w:rFonts w:hint="eastAsia"/>
                <w:b w:val="0"/>
                <w:bCs w:val="0"/>
              </w:rPr>
              <w:t>盈方微2015年8月、9月未开展美国数据中心服务业务，却根据合同约定的付款金额确认收入，不符合《企业会计准则—基本准则》第十二条“企业应当以实际发生的交易或者事项为依据进行会计确认、计量和报告，如实反映符合确认和计量要求的各项会计要素及其他相关信息，保证会计信息真实可靠、内容完整”、第十八条“企业对交易或者事项进行会计确认、计量和报告应当保持应有的谨慎，不应高估资产或者收益、低估负债或者费用”的规定，也不符合《企业会计准则第14号—收入准则》（2006）第十条、第十二条、第十四条关于确认提供劳务收入的规定和《企业会计准则第21号—租赁》（2006）第二条关于租赁的规定。相关会计确认导致上海盈方微2015年财务报表虚增营业收入17,890,040.00元，虚增营业成本381,729.61元，虚减期间费用381,729.61元，虚增利润总额17,890,040.00元；美国盈方微2015年财务报表虚增营业收入900,000.00美元，虚增营业成本33,406.25美元，虚减期间费用33,406.25美元，虚增利润总额900,000.00美元。根据盈方微期末外币报表折算的说明，折算后，美国盈方微2015年财务报表虚增利润总额5,675,670.00元。前述情况导致盈方微2015年年度报告合并报表虚增利润总额23,565,710.00元，占当期披露利润总额的245.08%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企业受罚或责任描述</w:t>
            </w:r>
          </w:p>
        </w:tc>
        <w:tc>
          <w:tcPr>
            <w:tcW w:w="6316" w:type="dxa"/>
          </w:tcPr>
          <w:p>
            <w:pPr>
              <w:pageBreakBefore w:val="0"/>
              <w:kinsoku/>
              <w:wordWrap/>
              <w:overflowPunct/>
              <w:topLinePunct w:val="0"/>
              <w:autoSpaceDE/>
              <w:autoSpaceDN/>
              <w:bidi w:val="0"/>
              <w:adjustRightInd/>
              <w:snapToGrid/>
              <w:spacing w:line="312" w:lineRule="auto"/>
              <w:textAlignment w:val="auto"/>
            </w:pPr>
            <w:r>
              <w:rPr>
                <w:rFonts w:hint="eastAsia"/>
              </w:rPr>
              <w:t>对盈方微电子股份有限公司责令改正，给予警告，并处以60万元罚款；对陈志成给予警告，并处以30万元罚款；对赵海峰给予警告，并处以10万元罚款；对史浩樑、李元、唐忠民、丁强、张怡给予警告，并分别处以5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pPr>
            <w:r>
              <w:t>致同会计师事务所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审计机构案情描述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rPr>
                <w:rFonts w:hint="eastAsia" w:eastAsia="宋体"/>
                <w:lang w:eastAsia="zh-CN"/>
              </w:rPr>
            </w:pPr>
            <w:r>
              <w:t>致同会计师事务所</w:t>
            </w:r>
            <w:r>
              <w:rPr>
                <w:rFonts w:hint="eastAsia"/>
              </w:rPr>
              <w:t>出具了“无法表示意见”的审计报告，并解释导致无法表示意见的原因有三点</w:t>
            </w:r>
            <w:r>
              <w:rPr>
                <w:rFonts w:hint="eastAsia" w:eastAsia="宋体"/>
                <w:lang w:eastAsia="zh-CN"/>
              </w:rPr>
              <w:t>：</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rPr>
              <w:t>1、对公司的技术服务和芯片业务中的部分业务，对部分业务我们无法实施满意的审计程序，对部分业务也无法获取充分、适当的审计证据以判断交易实质；</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rPr>
              <w:t>2、因未获得有效的函证回函，也无法实施满意的替代审计程序，我们对盈方微公司截至2015年12月31日的应收款项无法获取充分、适当的审计证据；</w:t>
            </w:r>
          </w:p>
          <w:p>
            <w:pPr>
              <w:pageBreakBefore w:val="0"/>
              <w:kinsoku/>
              <w:wordWrap/>
              <w:overflowPunct/>
              <w:topLinePunct w:val="0"/>
              <w:autoSpaceDE/>
              <w:autoSpaceDN/>
              <w:bidi w:val="0"/>
              <w:adjustRightInd/>
              <w:snapToGrid/>
              <w:spacing w:line="312" w:lineRule="auto"/>
              <w:textAlignment w:val="auto"/>
            </w:pPr>
            <w:r>
              <w:rPr>
                <w:rFonts w:hint="eastAsia"/>
              </w:rPr>
              <w:t>3、对盈方微公司的在建工程、无形资产、开发支出的确认和计量，我们实施的审计程序及所取得的审计证据未能令人满意。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eastAsia" w:eastAsia="宋体"/>
                <w:lang w:eastAsia="zh-CN"/>
              </w:rPr>
            </w:pPr>
            <w:r>
              <w:rPr>
                <w:rFonts w:hint="eastAsia" w:ascii="Times New Roman" w:eastAsia="宋体"/>
                <w:lang w:val="en-US" w:eastAsia="zh-CN"/>
              </w:rPr>
              <w:t>引发的思考</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ascii="Times New Roman" w:eastAsia="宋体"/>
                <w:lang w:val="en-US" w:eastAsia="zh-CN"/>
              </w:rPr>
              <w:t>盈方微财务造假是</w:t>
            </w:r>
            <w:r>
              <w:rPr>
                <w:rFonts w:hint="eastAsia"/>
              </w:rPr>
              <w:t>上市公司利用境外业务实施财务造假的典型案件。</w:t>
            </w:r>
            <w:r>
              <w:rPr>
                <w:rFonts w:hint="eastAsia" w:eastAsia="宋体"/>
                <w:lang w:eastAsia="zh-CN"/>
              </w:rPr>
              <w:t>（</w:t>
            </w:r>
            <w:r>
              <w:rPr>
                <w:rFonts w:hint="eastAsia"/>
              </w:rPr>
              <w:t>盈方微电子股份有限公司（简称盈方微）以在境外开展数据中心业务为名，在不具备业务开展条件、不能提供合同约定服务的情况下确认收入，虚增2015年度利润2300余万元。</w:t>
            </w:r>
            <w:r>
              <w:rPr>
                <w:rFonts w:hint="eastAsia" w:eastAsia="宋体"/>
                <w:lang w:eastAsia="zh-CN"/>
              </w:rPr>
              <w:t>）</w:t>
            </w:r>
          </w:p>
          <w:p>
            <w:pPr>
              <w:pageBreakBefore w:val="0"/>
              <w:kinsoku/>
              <w:wordWrap/>
              <w:overflowPunct/>
              <w:topLinePunct w:val="0"/>
              <w:autoSpaceDE/>
              <w:autoSpaceDN/>
              <w:bidi w:val="0"/>
              <w:adjustRightInd/>
              <w:snapToGrid/>
              <w:spacing w:line="312" w:lineRule="auto"/>
              <w:ind w:firstLine="420" w:firstLineChars="200"/>
              <w:textAlignment w:val="auto"/>
              <w:rPr>
                <w:rFonts w:hint="default" w:eastAsia="宋体"/>
                <w:lang w:val="en-US" w:eastAsia="zh-CN"/>
              </w:rPr>
            </w:pPr>
            <w:r>
              <w:rPr>
                <w:rFonts w:hint="eastAsia" w:ascii="Times New Roman" w:eastAsia="宋体"/>
                <w:lang w:val="en-US" w:eastAsia="zh-CN"/>
              </w:rPr>
              <w:t>公司在运营过程中的海外业务是容易造假的，并且很难被审计人员发现，因此。在审计过程中，发现公司存在境外业务，要格外关注。</w:t>
            </w:r>
          </w:p>
          <w:p>
            <w:pPr>
              <w:pageBreakBefore w:val="0"/>
              <w:tabs>
                <w:tab w:val="left" w:pos="2160"/>
              </w:tabs>
              <w:kinsoku/>
              <w:wordWrap/>
              <w:overflowPunct/>
              <w:topLinePunct w:val="0"/>
              <w:autoSpaceDE/>
              <w:autoSpaceDN/>
              <w:bidi w:val="0"/>
              <w:adjustRightInd/>
              <w:snapToGrid/>
              <w:spacing w:line="312" w:lineRule="auto"/>
              <w:textAlignment w:val="auto"/>
              <w:rPr>
                <w:rStyle w:val="18"/>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关联方交易，境外业务、无法表示意见的审计报告。</w:t>
            </w:r>
          </w:p>
        </w:tc>
      </w:tr>
    </w:tbl>
    <w:p>
      <w:pPr>
        <w:pageBreakBefore w:val="0"/>
        <w:kinsoku/>
        <w:wordWrap/>
        <w:overflowPunct/>
        <w:topLinePunct w:val="0"/>
        <w:autoSpaceDE/>
        <w:autoSpaceDN/>
        <w:bidi w:val="0"/>
        <w:adjustRightInd/>
        <w:snapToGrid/>
        <w:spacing w:line="312" w:lineRule="auto"/>
        <w:textAlignment w:val="auto"/>
      </w:pPr>
    </w:p>
    <w:p>
      <w:pPr>
        <w:pStyle w:val="2"/>
        <w:pageBreakBefore w:val="0"/>
        <w:kinsoku/>
        <w:wordWrap/>
        <w:overflowPunct/>
        <w:topLinePunct w:val="0"/>
        <w:autoSpaceDE/>
        <w:autoSpaceDN/>
        <w:bidi w:val="0"/>
        <w:adjustRightInd/>
        <w:snapToGrid/>
        <w:spacing w:line="312" w:lineRule="auto"/>
        <w:textAlignment w:val="auto"/>
        <w:rPr>
          <w:rFonts w:hint="default" w:eastAsia="宋体"/>
          <w:shd w:val="clear" w:color="auto" w:fill="FDFDFD"/>
          <w:lang w:val="en-US" w:eastAsia="zh-CN"/>
        </w:rPr>
      </w:pPr>
      <w:bookmarkStart w:id="42" w:name="_Toc24283"/>
      <w:r>
        <w:rPr>
          <w:rFonts w:hint="eastAsia"/>
          <w:lang w:val="en-US" w:eastAsia="zh-CN"/>
        </w:rPr>
        <w:t xml:space="preserve">27  </w:t>
      </w:r>
      <w:r>
        <w:rPr>
          <w:rFonts w:hint="eastAsia"/>
          <w:shd w:val="clear" w:color="auto" w:fill="FDFDFD"/>
          <w:lang w:val="en-US" w:eastAsia="zh-CN"/>
        </w:rPr>
        <w:t>雅本化学事件</w:t>
      </w:r>
      <w:bookmarkEnd w:id="42"/>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w:t>
            </w:r>
            <w:r>
              <w:rPr>
                <w:rFonts w:hint="eastAsia"/>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b w:val="0"/>
                <w:bCs/>
              </w:rPr>
              <w:t>雅本化学股份有限公司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医药</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b/>
              </w:rPr>
            </w:pPr>
            <w:r>
              <w:rPr>
                <w:rFonts w:hint="eastAsia"/>
                <w:b/>
              </w:rPr>
              <w:t>【企业背景】</w:t>
            </w:r>
          </w:p>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b w:val="0"/>
                <w:bCs/>
              </w:rPr>
              <w:t>雅本化学股份有限公司成立于2006年，2011年国内A股上市。公司是一家国内领先的医药及农药精细化学品定制生产商。公司致力于高端化学技术的研发，目前在手性技术、含氮杂环衍生物、生物酶技术领域 内的研究成果已达到国际先进水平。雅本在环保产业领域也颇有影响，公司独有的厌氧消化和工业废物处理技术处于国际领先水平！ “2018中国精细化学制造百强企业”公司荣获第36位，中国医药保健品进出口2017年原料药出口公司排名前50，并荣获过上海科技进步一等奖等。研发中心共申请发明专利授权数68件，实用新型专利授权数42，发明专利申请数65，PCT专利授权数6，PCT专利申请数5。</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ind w:firstLine="420" w:firstLineChars="200"/>
              <w:textAlignment w:val="auto"/>
              <w:rPr>
                <w:b w:val="0"/>
                <w:bCs/>
              </w:rPr>
            </w:pPr>
            <w:r>
              <w:rPr>
                <w:rFonts w:hint="eastAsia" w:ascii="Times New Roman" w:eastAsia="宋体"/>
                <w:b w:val="0"/>
                <w:bCs/>
                <w:lang w:val="en-US" w:eastAsia="zh-CN"/>
              </w:rPr>
              <w:t>雅本化学在</w:t>
            </w:r>
            <w:r>
              <w:rPr>
                <w:b w:val="0"/>
                <w:bCs/>
              </w:rPr>
              <w:t>新冠疫情期间“蹭热点”，违规披露信息。2020年2月，雅本化学股份有限公司多次披露子公司为抗疫相关医药中间体主要供应商，并虚构境内外销售客户7家，2017年至2019年相关销售收入实为968万元，夸大为11,548万元，市场份额15%-20%。</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kinsoku/>
              <w:wordWrap/>
              <w:overflowPunct/>
              <w:topLinePunct w:val="0"/>
              <w:autoSpaceDE/>
              <w:autoSpaceDN/>
              <w:bidi w:val="0"/>
              <w:adjustRightInd/>
              <w:snapToGrid/>
              <w:spacing w:line="312" w:lineRule="auto"/>
              <w:textAlignment w:val="auto"/>
              <w:rPr>
                <w:b w:val="0"/>
                <w:bCs w:val="0"/>
              </w:rPr>
            </w:pPr>
            <w:r>
              <w:rPr>
                <w:rFonts w:hint="eastAsia" w:ascii="Times New Roman" w:eastAsia="宋体"/>
                <w:b w:val="0"/>
                <w:bCs w:val="0"/>
                <w:lang w:val="en-US" w:eastAsia="zh-CN"/>
              </w:rPr>
              <w:t>1、</w:t>
            </w:r>
            <w:r>
              <w:rPr>
                <w:rFonts w:hint="eastAsia"/>
                <w:b w:val="0"/>
                <w:bCs w:val="0"/>
              </w:rPr>
              <w:t>新冠疫情期间雅本化学关于达芦那韦医药中间体业务信息的披露情况</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2020年2月3日、2月4日，雅本化学在深圳证券交易所（以下简称深交所）投资者关系互动平台（以下简称互动易）对投资者关于“公司是否生产用于肺炎疫情相关抗病毒药物的医药中间体”等提问回复中表示，子公司朴颐化学是抗病毒药阿扎那韦及达芦那韦关键中间体的主要供应商。</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2月5日，深交所发出《关注函》（创业板关注函〔2020〕第102号），要求雅本化学对达芦那韦医药中间体销售金额、收入占比、产量和客户等情况进行详细说明并公告。雅本化学《关于收到深圳证券交易所关注函的回复》（以下简称《关注函回复》）2月6日在深交所官网公开。</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2月7日，雅本化学披露《关于股价异动的公告》，其中称“2020年2月5日，公司收到深交所创业板公司管理部出具的《关于对雅本化学股份有限公司的关注函》（创业板关注函〔2020〕第102号）。公司管理层高度重视，在接到关注函的第一时间组织部门进行回复，并于2020年2月6日早间在深交所官网披露”。</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2月14日，按照深交所要求，《关注函回复》在指定信息披露媒体巨潮资讯网上公告。</w:t>
            </w:r>
          </w:p>
          <w:p>
            <w:pPr>
              <w:pageBreakBefore w:val="0"/>
              <w:kinsoku/>
              <w:wordWrap/>
              <w:overflowPunct/>
              <w:topLinePunct w:val="0"/>
              <w:autoSpaceDE/>
              <w:autoSpaceDN/>
              <w:bidi w:val="0"/>
              <w:adjustRightInd/>
              <w:snapToGrid/>
              <w:spacing w:line="312" w:lineRule="auto"/>
              <w:textAlignment w:val="auto"/>
              <w:rPr>
                <w:rFonts w:hint="eastAsia"/>
                <w:b w:val="0"/>
                <w:bCs w:val="0"/>
              </w:rPr>
            </w:pPr>
            <w:r>
              <w:rPr>
                <w:rFonts w:hint="eastAsia" w:ascii="Times New Roman" w:eastAsia="宋体"/>
                <w:b w:val="0"/>
                <w:bCs w:val="0"/>
                <w:lang w:val="en-US" w:eastAsia="zh-CN"/>
              </w:rPr>
              <w:t>2、</w:t>
            </w:r>
            <w:r>
              <w:rPr>
                <w:rFonts w:hint="eastAsia"/>
                <w:b w:val="0"/>
                <w:bCs w:val="0"/>
              </w:rPr>
              <w:t>雅本化学披露的达芦那韦医药中间体业务信息存在误导性陈述</w:t>
            </w:r>
          </w:p>
          <w:p>
            <w:pPr>
              <w:pageBreakBefore w:val="0"/>
              <w:kinsoku/>
              <w:wordWrap/>
              <w:overflowPunct/>
              <w:topLinePunct w:val="0"/>
              <w:autoSpaceDE/>
              <w:autoSpaceDN/>
              <w:bidi w:val="0"/>
              <w:adjustRightInd/>
              <w:snapToGrid/>
              <w:spacing w:line="312" w:lineRule="auto"/>
              <w:ind w:firstLine="630" w:firstLineChars="300"/>
              <w:textAlignment w:val="auto"/>
              <w:rPr>
                <w:rFonts w:hint="eastAsia"/>
                <w:b w:val="0"/>
                <w:bCs w:val="0"/>
              </w:rPr>
            </w:pPr>
            <w:r>
              <w:rPr>
                <w:rFonts w:hint="eastAsia"/>
                <w:b w:val="0"/>
                <w:bCs w:val="0"/>
              </w:rPr>
              <w:t>雅本化学在互动易回复、《关注函回复》和《关于股价异动的公告》中多次披露，朴颐化学是达芦那韦关键中间体的主要供应商。《关注函回复》披露朴颐化学2017年至2019年达芦那韦医药中间体的销售收入分别为3,059.18万元、5,296.34万元和3,193.76万元，销量分别为44吨、70吨、47吨，产能均为80吨/年，产能利用率分别为55%、88%、59%。《关注函回复》和《关于股价异动的公告》披露，朴颐化学市场份额大约为15%-20%；目前印度客户有 Emucure、Mylan、Cipla、Sun、Laures，国内客户有博腾股份、迪赛诺等制药公司。</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事实上，雅本化学2017年至2019年销售或提供达芦那韦医药中间体产品和服务取得的收入金额为245.69万元、483.76万元、506.13万元，其中朴颐化学和其控股子公司湖州颐辉生物科技有限公司（以下简称颐辉生物）的收入金额分别为111.22万元、351.76万元和506.13万元，较《关注函回复》披露金额分别少2,947.96万元、4,944.58万元和2,687.63万元。雅本化学披露的上述销售收入将下游客户江苏八巨药业有限公司（以下简称八巨药业）生产销售的氯醇和BOC环氧物等达卢那韦医药中间体统计成自己的收入。</w:t>
            </w:r>
          </w:p>
          <w:p>
            <w:pPr>
              <w:pageBreakBefore w:val="0"/>
              <w:kinsoku/>
              <w:wordWrap/>
              <w:overflowPunct/>
              <w:topLinePunct w:val="0"/>
              <w:autoSpaceDE/>
              <w:autoSpaceDN/>
              <w:bidi w:val="0"/>
              <w:adjustRightInd/>
              <w:snapToGrid/>
              <w:spacing w:line="312" w:lineRule="auto"/>
              <w:textAlignment w:val="auto"/>
              <w:rPr>
                <w:rFonts w:hint="eastAsia"/>
                <w:b w:val="0"/>
                <w:bCs w:val="0"/>
              </w:rPr>
            </w:pPr>
            <w:r>
              <w:rPr>
                <w:rFonts w:hint="eastAsia"/>
                <w:b w:val="0"/>
                <w:bCs w:val="0"/>
              </w:rPr>
              <w:t>雅本化学、朴颐化学和颐辉生物未与印度客户Emucure、Mylan、Cipla、Sun、Laures以及国内客户迪赛诺直接签署业务合同和供货，只是根据朴颐化学与八巨药业签订的《技术服务和客户保护协议》，由朴颐化学独家负责与上述客户的谈判、报价和成交，八巨药业按照与上述客户销售金额的一定比例向朴颐化学支付佣金。雅本化学披露的上述产品的销量、产能及利用率，是根据八巨药业的产能和订单情况估计并倒算出各年度销量。</w:t>
            </w:r>
          </w:p>
          <w:p>
            <w:pPr>
              <w:pageBreakBefore w:val="0"/>
              <w:kinsoku/>
              <w:wordWrap/>
              <w:overflowPunct/>
              <w:topLinePunct w:val="0"/>
              <w:autoSpaceDE/>
              <w:autoSpaceDN/>
              <w:bidi w:val="0"/>
              <w:adjustRightInd/>
              <w:snapToGrid/>
              <w:spacing w:line="312" w:lineRule="auto"/>
              <w:ind w:firstLine="420" w:firstLineChars="200"/>
              <w:textAlignment w:val="auto"/>
              <w:rPr>
                <w:b/>
                <w:bCs/>
              </w:rPr>
            </w:pPr>
            <w:r>
              <w:rPr>
                <w:rFonts w:hint="eastAsia"/>
                <w:b w:val="0"/>
                <w:bCs w:val="0"/>
              </w:rPr>
              <w:t>雅本化学上述信息披露未能客观、准确、完整地反映涉及达芦那韦医药中间体业务的实际情况，夸大了公司该业务的收入、产量、销量和市场地位，具有较大误导性。2020年2月4 日至2月10日，雅本化学的股票累计上涨42.32%，其中2月5日至2月10日连续4个交易日涨停，同期创业板指数累计上涨13.72%，偏离值达到28.60个百分点。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企业受罚或责任描述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rPr>
              <w:t>对雅本化学股份有限公司责令改正，给予警告，并处以40万元罚款；对蔡彤给予警告，并处以20万元罚款；对王卓颖、王博给予警告，并分别处以15万元罚款。</w:t>
            </w:r>
            <w:r>
              <w:rPr>
                <w:rFonts w:hint="eastAsia" w:eastAsia="宋体"/>
                <w:lang w:eastAsia="zh-CN"/>
              </w:rPr>
              <w:t>（雅本化学时任董事长、总经理蔡彤，雅本化学时任董事、董事会秘书王卓颖是直接负责的主管人员。雅本化学时任董事、朴颐化学总经理王博是上述主要信息的提供者，是其他直接责任人员。）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pPr>
            <w:r>
              <w:rPr>
                <w:rFonts w:hint="eastAsia"/>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引发的思考</w:t>
            </w:r>
          </w:p>
        </w:tc>
        <w:tc>
          <w:tcPr>
            <w:tcW w:w="6316" w:type="dxa"/>
          </w:tcPr>
          <w:p>
            <w:pPr>
              <w:pageBreakBefore w:val="0"/>
              <w:kinsoku/>
              <w:wordWrap/>
              <w:overflowPunct/>
              <w:topLinePunct w:val="0"/>
              <w:autoSpaceDE/>
              <w:autoSpaceDN/>
              <w:bidi w:val="0"/>
              <w:adjustRightInd/>
              <w:snapToGrid/>
              <w:spacing w:line="312" w:lineRule="auto"/>
              <w:ind w:firstLine="210" w:firstLineChars="100"/>
              <w:textAlignment w:val="auto"/>
              <w:rPr>
                <w:rFonts w:hint="default" w:eastAsia="宋体"/>
                <w:lang w:val="en-US" w:eastAsia="zh-CN"/>
              </w:rPr>
            </w:pPr>
            <w:r>
              <w:rPr>
                <w:rFonts w:hint="eastAsia" w:ascii="Times New Roman" w:eastAsia="宋体"/>
                <w:lang w:val="en-US" w:eastAsia="zh-CN"/>
              </w:rPr>
              <w:t>在对被审计单位进行审计时，要关注被审计单位是否将重要信息进行披露，以及信息披露的真实性；在审计时还要关注被审计单位的社会反馈。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eastAsia="宋体"/>
                <w:lang w:val="en-US" w:eastAsia="zh-CN"/>
              </w:rPr>
            </w:pPr>
            <w:r>
              <w:rPr>
                <w:rFonts w:hint="eastAsia" w:ascii="Times New Roman" w:eastAsia="宋体"/>
                <w:lang w:val="en-US" w:eastAsia="zh-CN"/>
              </w:rPr>
              <w:t>信息披露</w:t>
            </w:r>
          </w:p>
        </w:tc>
      </w:tr>
    </w:tbl>
    <w:p>
      <w:pPr>
        <w:pageBreakBefore w:val="0"/>
        <w:kinsoku/>
        <w:wordWrap/>
        <w:overflowPunct/>
        <w:topLinePunct w:val="0"/>
        <w:autoSpaceDE/>
        <w:autoSpaceDN/>
        <w:bidi w:val="0"/>
        <w:adjustRightInd/>
        <w:snapToGrid/>
        <w:spacing w:line="312" w:lineRule="auto"/>
        <w:textAlignment w:val="auto"/>
      </w:pPr>
    </w:p>
    <w:p>
      <w:pPr>
        <w:pStyle w:val="2"/>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bookmarkStart w:id="43" w:name="_Toc29798"/>
      <w:r>
        <w:rPr>
          <w:rFonts w:hint="eastAsia"/>
          <w:lang w:val="en-US" w:eastAsia="zh-CN"/>
        </w:rPr>
        <w:t>28  长园集团事件</w:t>
      </w:r>
      <w:bookmarkEnd w:id="43"/>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lang w:val="en-US"/>
              </w:rPr>
            </w:pPr>
            <w:r>
              <w:rPr>
                <w:rFonts w:hint="eastAsia"/>
              </w:rPr>
              <w:t>0</w:t>
            </w:r>
            <w:r>
              <w:rPr>
                <w:rFonts w:hint="eastAsia" w:ascii="Times New Roman" w:eastAsia="宋体"/>
                <w:lang w:val="en-US" w:eastAsia="zh-CN"/>
              </w:rPr>
              <w:t>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eastAsia="宋体"/>
                <w:lang w:val="en-US" w:eastAsia="zh-CN"/>
              </w:rPr>
            </w:pPr>
            <w:r>
              <w:rPr>
                <w:rFonts w:hint="eastAsia" w:ascii="Times New Roman" w:eastAsia="宋体"/>
                <w:lang w:val="en-US" w:eastAsia="zh-CN"/>
              </w:rPr>
              <w:t>2016年、2017</w:t>
            </w:r>
            <w:r>
              <w:rPr>
                <w:rFonts w:hint="eastAsia"/>
              </w:rPr>
              <w:t>年</w:t>
            </w:r>
            <w:r>
              <w:rPr>
                <w:rFonts w:hint="eastAsia" w:eastAsia="宋体"/>
                <w:lang w:eastAsia="zh-CN"/>
              </w:rPr>
              <w:t>、</w:t>
            </w:r>
            <w:r>
              <w:rPr>
                <w:rFonts w:hint="eastAsia" w:ascii="Times New Roman" w:eastAsia="宋体"/>
                <w:lang w:val="en-US" w:eastAsia="zh-CN"/>
              </w:rPr>
              <w:t>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default"/>
                <w:lang w:val="en-US" w:eastAsia="zh-CN"/>
              </w:rPr>
              <w:t>长园集团股份有限公司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b/>
              </w:rPr>
            </w:pPr>
            <w:r>
              <w:rPr>
                <w:rFonts w:hint="eastAsia"/>
                <w:b/>
              </w:rPr>
              <w:t>【企业背景】</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default"/>
                <w:lang w:val="en-US" w:eastAsia="zh-CN"/>
              </w:rPr>
              <w:t>长园集团股份有限公司（股票代码：600525）是1986年由中科院创立的科技型产业集团，主要从事工业与电力系统智能化数字化的研发、制造与服务。</w:t>
            </w:r>
          </w:p>
          <w:p>
            <w:pPr>
              <w:pageBreakBefore w:val="0"/>
              <w:kinsoku/>
              <w:wordWrap/>
              <w:overflowPunct/>
              <w:topLinePunct w:val="0"/>
              <w:autoSpaceDE/>
              <w:autoSpaceDN/>
              <w:bidi w:val="0"/>
              <w:adjustRightInd/>
              <w:snapToGrid/>
              <w:spacing w:line="312" w:lineRule="auto"/>
              <w:ind w:firstLine="420" w:firstLineChars="200"/>
              <w:textAlignment w:val="auto"/>
              <w:rPr>
                <w:rFonts w:hint="default"/>
              </w:rPr>
            </w:pPr>
            <w:r>
              <w:rPr>
                <w:rFonts w:hint="default"/>
                <w:lang w:val="en-US" w:eastAsia="zh-CN"/>
              </w:rPr>
              <w:t>长园集团总部位于深圳市南山区，在深圳、珠海、东莞、苏州、黄冈等城市拥有12个产业园区。智能工厂装备产业主要包含测试系统和自动化装备两大产品系列，为电子、汽车、医疗、新能源、服装、照明等行业提供全面解决方案；智能电网设备产业覆盖了从发电、输电、变电、配电到用电的全网各领域。</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textAlignment w:val="auto"/>
              <w:rPr>
                <w:b/>
              </w:rPr>
            </w:pPr>
            <w:r>
              <w:rPr>
                <w:b/>
              </w:rPr>
              <w:t>　</w:t>
            </w:r>
            <w:r>
              <w:rPr>
                <w:rFonts w:hint="eastAsia" w:ascii="Times New Roman" w:eastAsia="宋体"/>
                <w:b/>
                <w:lang w:val="en-US" w:eastAsia="zh-CN"/>
              </w:rPr>
              <w:t xml:space="preserve"> </w:t>
            </w:r>
            <w:r>
              <w:rPr>
                <w:b w:val="0"/>
                <w:bCs/>
              </w:rPr>
              <w:t>2016年6月7日，长园集团与上海和鹰实业发展有限公司等16名股东签订《股份转让协议》，购买上海和鹰机电科技股份有限公司(后更名为“长园和鹰”)80%股权。2016年7月28日，长园和鹰成为长园集团控股子公司。自2016年8月起，长园集团将长园和鹰纳入合并报表范围。长园和鹰通过虚构海外销售、提前确认收入、重复确认收入、签订“阴阳合同”、项目核算不符合会计准则等多种方式虚增业绩，导致长园集团2016年、2017年年度报告中披露的财务数据存在虚假记载</w:t>
            </w:r>
            <w:r>
              <w:rPr>
                <w:rFonts w:hint="eastAsia" w:eastAsia="宋体"/>
                <w:b w:val="0"/>
                <w:bCs/>
                <w:lang w:eastAsia="zh-CN"/>
              </w:rPr>
              <w:t>。</w:t>
            </w:r>
            <w:r>
              <w:rPr>
                <w:b/>
              </w:rPr>
              <w:tab/>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numPr>
                <w:ilvl w:val="0"/>
                <w:numId w:val="14"/>
              </w:numPr>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t>长园集团2016年年报显示，公司报告期内营收为58.49亿元，同比增长40.54%；归母净利润我6.40亿元，同比增长32.53%；扣非净利润为5.50亿元，同比增长41.51%；经营活动产生的现金流量净额4.45亿元，同比下降2.39%。</w:t>
            </w:r>
          </w:p>
          <w:p>
            <w:pPr>
              <w:pageBreakBefore w:val="0"/>
              <w:numPr>
                <w:ilvl w:val="0"/>
                <w:numId w:val="0"/>
              </w:numPr>
              <w:kinsoku/>
              <w:wordWrap/>
              <w:overflowPunct/>
              <w:topLinePunct w:val="0"/>
              <w:autoSpaceDE/>
              <w:autoSpaceDN/>
              <w:bidi w:val="0"/>
              <w:adjustRightInd/>
              <w:snapToGrid/>
              <w:spacing w:line="312" w:lineRule="auto"/>
              <w:textAlignment w:val="auto"/>
              <w:rPr>
                <w:rFonts w:hint="eastAsia"/>
                <w:b w:val="0"/>
                <w:bCs w:val="0"/>
                <w:lang w:val="en-US" w:eastAsia="zh-CN"/>
              </w:rPr>
            </w:pPr>
            <w:r>
              <w:drawing>
                <wp:inline distT="0" distB="0" distL="114300" distR="114300">
                  <wp:extent cx="3871595" cy="1417320"/>
                  <wp:effectExtent l="0" t="0" r="14605" b="1143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3871595" cy="1417320"/>
                          </a:xfrm>
                          <a:prstGeom prst="rect">
                            <a:avLst/>
                          </a:prstGeom>
                          <a:noFill/>
                          <a:ln>
                            <a:noFill/>
                          </a:ln>
                        </pic:spPr>
                      </pic:pic>
                    </a:graphicData>
                  </a:graphic>
                </wp:inline>
              </w:drawing>
            </w:r>
          </w:p>
          <w:p>
            <w:pPr>
              <w:pageBreakBefore w:val="0"/>
              <w:numPr>
                <w:ilvl w:val="0"/>
                <w:numId w:val="14"/>
              </w:numPr>
              <w:kinsoku/>
              <w:wordWrap/>
              <w:overflowPunct/>
              <w:topLinePunct w:val="0"/>
              <w:autoSpaceDE/>
              <w:autoSpaceDN/>
              <w:bidi w:val="0"/>
              <w:adjustRightInd/>
              <w:snapToGrid/>
              <w:spacing w:line="312" w:lineRule="auto"/>
              <w:ind w:left="0" w:leftChars="0" w:firstLine="0" w:firstLineChars="0"/>
              <w:textAlignment w:val="auto"/>
              <w:rPr>
                <w:rFonts w:hint="eastAsia"/>
                <w:b w:val="0"/>
                <w:bCs w:val="0"/>
                <w:lang w:val="en-US" w:eastAsia="zh-CN"/>
              </w:rPr>
            </w:pPr>
            <w:r>
              <w:rPr>
                <w:rFonts w:hint="eastAsia" w:ascii="Times New Roman" w:eastAsia="宋体"/>
                <w:b w:val="0"/>
                <w:bCs w:val="0"/>
                <w:lang w:val="en-US" w:eastAsia="zh-CN"/>
              </w:rPr>
              <w:t>长园集团2017年年报(修订版)显示，公司报告期内营收为74.33亿元，同比增长27.08%；归母净利润我11.36亿元，同比增长77.55%；扣非净利润为6.37亿元，同比增长15.76%；经营活动产生的现金流量净额1.41亿元，同比下降68.38%。</w:t>
            </w:r>
          </w:p>
          <w:p>
            <w:pPr>
              <w:pageBreakBefore w:val="0"/>
              <w:numPr>
                <w:ilvl w:val="0"/>
                <w:numId w:val="0"/>
              </w:numPr>
              <w:kinsoku/>
              <w:wordWrap/>
              <w:overflowPunct/>
              <w:topLinePunct w:val="0"/>
              <w:autoSpaceDE/>
              <w:autoSpaceDN/>
              <w:bidi w:val="0"/>
              <w:adjustRightInd/>
              <w:snapToGrid/>
              <w:spacing w:line="312" w:lineRule="auto"/>
              <w:ind w:leftChars="0"/>
              <w:textAlignment w:val="auto"/>
            </w:pPr>
            <w:r>
              <w:drawing>
                <wp:inline distT="0" distB="0" distL="114300" distR="114300">
                  <wp:extent cx="3870960" cy="1346835"/>
                  <wp:effectExtent l="0" t="0" r="1524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3870960" cy="1346835"/>
                          </a:xfrm>
                          <a:prstGeom prst="rect">
                            <a:avLst/>
                          </a:prstGeom>
                          <a:noFill/>
                          <a:ln>
                            <a:noFill/>
                          </a:ln>
                        </pic:spPr>
                      </pic:pic>
                    </a:graphicData>
                  </a:graphic>
                </wp:inline>
              </w:drawing>
            </w:r>
          </w:p>
          <w:p>
            <w:pPr>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eastAsia="宋体"/>
                <w:lang w:val="en-US" w:eastAsia="zh-CN"/>
              </w:rPr>
            </w:pPr>
            <w:r>
              <w:rPr>
                <w:rFonts w:hint="eastAsia" w:ascii="Times New Roman" w:eastAsia="宋体"/>
                <w:lang w:val="en-US" w:eastAsia="zh-CN"/>
              </w:rPr>
              <w:t>3、长园集团2018年年报显示，公司和长园和鹰于2019年3月19日向上海市公安局闵行分局控告长园和鹰原董事长尹智勇挪用资金、职务侵占，并已经刑事立案。截至2018年年度报告公告之日，立案调查事项尚未有最终结论。此外，公司2018年11月聘请北京德恒(深圳)律师事务所对长园和鹰的问题进行全面核查，公司与律师、会计师一道持续走访智能工厂客户、东南亚出口客户以及国内销售疑点客户，了解业务真实性、项目的实施情况以及客户的付款意愿，根据掌握的情况，决定对2016、2017年业绩进行追溯调整。</w:t>
            </w:r>
          </w:p>
          <w:p>
            <w:pPr>
              <w:pageBreakBefore w:val="0"/>
              <w:kinsoku/>
              <w:wordWrap/>
              <w:overflowPunct/>
              <w:topLinePunct w:val="0"/>
              <w:autoSpaceDE/>
              <w:autoSpaceDN/>
              <w:bidi w:val="0"/>
              <w:adjustRightInd/>
              <w:snapToGrid/>
              <w:spacing w:line="312" w:lineRule="auto"/>
              <w:textAlignment w:val="auto"/>
              <w:rPr>
                <w:rFonts w:hint="eastAsia"/>
                <w:b w:val="0"/>
                <w:bCs w:val="0"/>
                <w:lang w:val="en-US" w:eastAsia="zh-CN"/>
              </w:rPr>
            </w:pPr>
            <w:r>
              <w:rPr>
                <w:rFonts w:hint="eastAsia" w:ascii="Times New Roman" w:eastAsia="宋体"/>
                <w:b w:val="0"/>
                <w:bCs w:val="0"/>
                <w:lang w:val="en-US" w:eastAsia="zh-CN"/>
              </w:rPr>
              <w:t>4、2018年下半年，上交所两发问询函，长园集团在回复公告中承认子公司长园和鹰财务造假，后长园和鹰原董事长尹智勇因挪用资金、职务侵占被刑事立案，由该事件引发的后续影响仍在继续扩散。</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lang w:val="en-US" w:eastAsia="zh-CN"/>
              </w:rPr>
            </w:pPr>
            <w:r>
              <w:rPr>
                <w:rFonts w:hint="eastAsia" w:ascii="Times New Roman" w:eastAsia="宋体"/>
                <w:b w:val="0"/>
                <w:bCs w:val="0"/>
                <w:lang w:val="en-US" w:eastAsia="zh-CN"/>
              </w:rPr>
              <w:t>长园集团在4月26日晚间发布《长园集团监事会关于前期会计差错更正及追溯调整的说明》（下称《说明》），该公告中称，长园和鹰以签订虚假合同、提前确认收入、虚增收入、重复确认收入等多种手段，共虚增2016年与2017年净利润0.85亿元与2.63亿元，即早在2016年长园集团收购长园和鹰时，长园和鹰已经造假，而当时的评估机构立信评估认为收购前长园和鹰的账面股东权益为3.14亿元，全部股东权益为23.63亿元，增值率为652.02%，后长园集团现金收购长园和鹰80%的股权，增值率达 652.02%，形成商誉16.07亿元，至今长园和鹰已资不抵债。</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lang w:val="en-US" w:eastAsia="zh-CN"/>
              </w:rPr>
            </w:pPr>
            <w:r>
              <w:rPr>
                <w:rFonts w:hint="eastAsia" w:ascii="Times New Roman" w:eastAsia="宋体"/>
                <w:b w:val="0"/>
                <w:bCs w:val="0"/>
                <w:lang w:val="en-US" w:eastAsia="zh-CN"/>
              </w:rPr>
              <w:t>在收购时，审计机构众华在审计报告中称，和鹰股份财务报表在所有重大方面符合企业会计准则的规定，公允反映了和鹰股份2015年12月31日的经营成果及现金流量。</w:t>
            </w:r>
          </w:p>
          <w:p>
            <w:pPr>
              <w:pageBreakBefore w:val="0"/>
              <w:kinsoku/>
              <w:wordWrap/>
              <w:overflowPunct/>
              <w:topLinePunct w:val="0"/>
              <w:autoSpaceDE/>
              <w:autoSpaceDN/>
              <w:bidi w:val="0"/>
              <w:adjustRightInd/>
              <w:snapToGrid/>
              <w:spacing w:line="312" w:lineRule="auto"/>
              <w:ind w:firstLine="420" w:firstLineChars="200"/>
              <w:textAlignment w:val="auto"/>
              <w:rPr>
                <w:b/>
                <w:bCs/>
              </w:rPr>
            </w:pPr>
            <w:r>
              <w:rPr>
                <w:rFonts w:hint="eastAsia" w:ascii="Times New Roman" w:eastAsia="宋体"/>
                <w:b w:val="0"/>
                <w:bCs w:val="0"/>
                <w:lang w:val="en-US" w:eastAsia="zh-CN"/>
              </w:rPr>
              <w:t>上交所在公告发布后下发问询函问称，前任会计师大华在对长园集团执行2016年、2017年审计工作中，长园和鹰业绩审计工作是否遵守审计准则和职业道德规范的要求，对财务报表的真实性是否获取了合理保证，问询函要求大华对此发表意见。另外，对于长园集团在收购时审计机构、评估师执行相应审计、评估工作是否勤勉尽责、遵守审计评估准则和职业道德规范，上交所要求众华与立信评估发表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企业受罚或责任描述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对长园集团给予警告，并处以50万元的罚款</w:t>
            </w:r>
            <w:r>
              <w:rPr>
                <w:rFonts w:hint="eastAsia" w:eastAsia="宋体"/>
                <w:lang w:eastAsia="zh-CN"/>
              </w:rPr>
              <w:t>；</w:t>
            </w:r>
            <w:r>
              <w:rPr>
                <w:rFonts w:hint="eastAsia"/>
              </w:rPr>
              <w:t>对尹智勇给予警告，并处以30万元罚款；对史忻、刘瑞、许晓文、鲁尔兵、黄永维、倪昭华给予警告，并分别处以20万元罚款； 对徐成斌给予警告，并处以5万元罚款。 对隋淑静、姚太平、贺勇给予警告，并分别处以3万元罚款。</w:t>
            </w:r>
          </w:p>
          <w:p>
            <w:pPr>
              <w:pageBreakBefore w:val="0"/>
              <w:kinsoku/>
              <w:wordWrap/>
              <w:overflowPunct/>
              <w:topLinePunct w:val="0"/>
              <w:autoSpaceDE/>
              <w:autoSpaceDN/>
              <w:bidi w:val="0"/>
              <w:adjustRightInd/>
              <w:snapToGrid/>
              <w:spacing w:line="312" w:lineRule="auto"/>
              <w:textAlignment w:val="auto"/>
              <w:rPr>
                <w:rFonts w:hint="eastAsia" w:eastAsia="宋体"/>
                <w:lang w:eastAsia="zh-CN"/>
              </w:rPr>
            </w:pPr>
            <w:r>
              <w:rPr>
                <w:rFonts w:hint="eastAsia" w:eastAsia="宋体"/>
                <w:lang w:eastAsia="zh-CN"/>
              </w:rPr>
              <w:t>（尹智勇时任长园和鹰董事长、总裁，长园集团收购长园和鹰的业绩承诺补偿义务人由其实际控制，涉案期间承担长园和鹰全面管理职责，是涉案信息披露违法行为的主要策划者、组织实施者，系对违法行为直接负责的主管人员；史忻时任长园集团监事会主席、长园和鹰财务总监，负责长园和鹰财务管理工作，了解并参与相关财务信息形成过程，是提前确认收入、重复确认收入、项目核算不符合会计准则等行为的执行者；监事会审核长园集团2017年年度报告未提出异议，其本人签字保证信息披露真实、准确、完整，系对违法行为直接负责的主管人员；刘瑞时任长园和鹰常务副总裁、长园和鹰子公司上海欧泰科智能科技股份有限公司总经理，涉案期间，组织其分管的吊挂事业部虚构海外销售业务，参与实施信息披露违法行为，系对违法行为直接负责的主管人员；许晓文时任长园集团董事长，鲁尔兵时任长园集团总裁、董事，黄永维时任长园集团财务负责人，倪昭华时任长园集团董事、董事会秘书，在长园集团2016年、2017年年度报告上签字，保证信息披露真实、准确、完整，但未能勤勉尽责，系对违法行为直接负责的主管人员；徐成斌时任长园集团董事、审计委员会委员，隋淑静时任长园集团董事，姚太平、贺勇时任长园集团监事，在长园集团2016年、2017年年度报告上签字，保证上市公司信息披露真实、准确、完整，但未能勤勉尽责，系对违法行为负责的其他直接责任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大华会计师事务所、众华会计师事务所、立信会计师事务所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审计机构案情描述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rPr>
                <w:rFonts w:hint="default"/>
              </w:rPr>
            </w:pPr>
            <w:r>
              <w:rPr>
                <w:rFonts w:hint="eastAsia" w:ascii="Times New Roman" w:eastAsia="宋体"/>
                <w:lang w:val="en-US" w:eastAsia="zh-CN"/>
              </w:rPr>
              <w:t>长园集团</w:t>
            </w:r>
            <w:r>
              <w:rPr>
                <w:rFonts w:hint="default"/>
              </w:rPr>
              <w:t>实现营业收入71.37亿元，同比增长0.09%，净利润1.11亿元，但销售净利率从16.33%降至-0.20%，扣非净利润仅有-11.9亿元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default"/>
              </w:rPr>
              <w:t>对长园集团2018年年报出具了保留意见的审计报告，对长园集团内部控制审计报告出具了否定意见。</w:t>
            </w:r>
            <w:r>
              <w:rPr>
                <w:rFonts w:hint="eastAsia" w:ascii="Times New Roman" w:eastAsia="宋体"/>
                <w:lang w:val="en-US" w:eastAsia="zh-CN"/>
              </w:rPr>
              <w:t>注册会计师</w:t>
            </w:r>
            <w:r>
              <w:rPr>
                <w:rFonts w:hint="default"/>
              </w:rPr>
              <w:t>会计师认为长园和鹰存在重大虚假销售、提前确认收入及管理层截留补贴款等情况，且存货账实不符、成本核算不准确，以及公司对重要子公司商誉减值准备不恰当，导致公司对2016、2017年度财务报表进行了重大会计差错更正。</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eastAsia="宋体"/>
                <w:lang w:eastAsia="zh-CN"/>
              </w:rPr>
            </w:pPr>
            <w:r>
              <w:rPr>
                <w:rFonts w:hint="default"/>
              </w:rPr>
              <w:t>对于存货账实不符、成本核算不准确、子公司商誉减值准备不当等会计师提出的问题，以及行业与经营问题、财务数据纰漏等诸多问题，上交所一并下发问询函，要求长园集团、大华、众华与立信评估作出回复</w:t>
            </w:r>
            <w:r>
              <w:rPr>
                <w:rFonts w:hint="eastAsia" w:eastAsia="宋体"/>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具体财务造假行为</w:t>
            </w:r>
          </w:p>
        </w:tc>
        <w:tc>
          <w:tcPr>
            <w:tcW w:w="6316" w:type="dxa"/>
          </w:tcPr>
          <w:p>
            <w:pPr>
              <w:pageBreakBefore w:val="0"/>
              <w:kinsoku/>
              <w:wordWrap/>
              <w:overflowPunct/>
              <w:topLinePunct w:val="0"/>
              <w:autoSpaceDE/>
              <w:autoSpaceDN/>
              <w:bidi w:val="0"/>
              <w:adjustRightInd/>
              <w:snapToGrid/>
              <w:spacing w:line="312" w:lineRule="auto"/>
              <w:textAlignment w:val="auto"/>
            </w:pPr>
            <w:r>
              <w:rPr>
                <w:rFonts w:hint="eastAsia" w:ascii="Times New Roman" w:eastAsia="宋体"/>
                <w:lang w:val="en-US" w:eastAsia="zh-CN"/>
              </w:rPr>
              <w:t>1、</w:t>
            </w:r>
            <w:r>
              <w:rPr>
                <w:rFonts w:hint="eastAsia"/>
              </w:rPr>
              <w:t>2015年12月，长园和鹰向泰国M.T.SEWING MACHINE CENTER CO.,LTD.出口站吊挂产品，并于2016年3月确认销售收入；双方仅口头约定将货物卖出以后再付款，未销售不用付款。该批货物报关出口后，存放于长园和鹰在泰国租赁的仓库中；直至2018年8月1日，长园和鹰将上述吊挂产品运回国内。长园和鹰以此虚增2016年、2017年期末应收账款870.41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2、</w:t>
            </w:r>
            <w:r>
              <w:rPr>
                <w:rFonts w:hint="eastAsia"/>
              </w:rPr>
              <w:t>2016年6月至11月，长园和鹰及其子公司分别与JD&amp;TOYOSHIMA CO.,LTD.等6家柬埔寨公司签订销售合同，合同金额共计819.09万美元，并于同年按合同金额确认收入。经查，长园和鹰及其子公司与上述6家柬埔寨公司签署了对应的备忘录、承诺函或声明，表示柬埔寨公司只协助免税清关，不存在付款义务。长园和鹰以此虚增2016年度营业收入5662.91万元，虚增2016年度利润总额3954.7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3、</w:t>
            </w:r>
            <w:r>
              <w:rPr>
                <w:rFonts w:hint="eastAsia"/>
              </w:rPr>
              <w:t>2016年10月至12月，长园和鹰及其子公司分别与LADOGROUP CORP等4家越南代理商签订吊挂产品销售合同，合同金额共计438.3万美元。2017年12月，长园和鹰与越南代理商STRENGTH SHARP CORPORATION签订吊挂产品销售合同，合同金额97.78万美元。上述合同均约定，代理商将产品销售给终端客户后才产生付款义务。经查，业绩承诺期内上述5家代理商仅于2017年向终端客户销售了183.44万美元的吊挂产品，但长园和鹰在合同签订当年提前全额确认了收入。长园和鹰以此虚增2016年度营业收入3233.44万元，虚增2016年度利润总额2270.76万元；虚减2017年度营业收入565.96万元，虚减2017年度利润总额432.37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4、</w:t>
            </w:r>
            <w:r>
              <w:rPr>
                <w:rFonts w:hint="eastAsia"/>
              </w:rPr>
              <w:t>2017年11月，长园和鹰全资子公司和鹰国际有限公司与柬埔寨客户DAS XING GARMENT签订金额为93万美元的吊挂产品销售合同。和鹰国际于2017年12月在未发货情况下按照合同金额确认收入，未结转销售成本。2018年3月，双方协议解除该合同，DAS XING GARMENT一直未就该合同付款。长园和鹰以此虚增2017年度营业收入614.12万元，虚增2017年度利润总额614.12万元。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5、</w:t>
            </w:r>
            <w:r>
              <w:rPr>
                <w:rFonts w:hint="eastAsia"/>
              </w:rPr>
              <w:t>2017年，长园和鹰智能设备有限公司(系长园和鹰控股子公司上海欧泰科智能科技股份有限公司的全资子公司)在与南昌中绵实业发展有限公司签订的吊挂系统销售合同中约定，货交承运人后视为完成交付；在与际华三五三九制鞋有限公司签订的产品销售合同中约定，裁剪机等设备到货后试用期满未提出退货视为对方同意购买。经查，相关商品实际并未销售出库，但和鹰设备仍确认收入。长园和鹰以此虚增2017年度营业收入15.64万元，虚增2017年度利润总额15.64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6、</w:t>
            </w:r>
            <w:r>
              <w:rPr>
                <w:rFonts w:hint="eastAsia"/>
              </w:rPr>
              <w:t>2017年，和鹰设备向慈溪市曼嘉服饰有限公司等13家国内客户销售裁床、铺布机、吊挂等产品。经查，在上述销售中，和鹰设备重复开具发票，继而重复确认收入。长园和鹰以此虚增2017年度营业收入287.51万元，虚增2017年度利润总额287.51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7、</w:t>
            </w:r>
            <w:r>
              <w:rPr>
                <w:rFonts w:hint="eastAsia"/>
              </w:rPr>
              <w:t>2017年，和鹰设备与阜新市福雅服装有限公司等8家国内客户签订了9份销售合同。经查，对于上述合同中已开发票确认收入的产品，和鹰设备在2017年底编制财务报表时再次作为已发货但未开票项目调增收入，重复确认收入。长园和鹰以此虚增2017年度营业收入202.31万元，虚增2017年度利润总额202.31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8、</w:t>
            </w:r>
            <w:r>
              <w:rPr>
                <w:rFonts w:hint="eastAsia"/>
              </w:rPr>
              <w:t>长园和鹰子公司上海和鹰融资租赁有限公司向和鹰设备购买吊挂产品和裁床设备，并为客户中蔼万家服装股份有限公司提供相应的融资租赁服务。2017年8月至11月，和鹰租赁与中蔼万家先后签订21份《融资租赁合同》，每份合同均有高价、低价两个版本，除价格外其它合同内容完全相同。长园和鹰依据高价版合同，按照合同全部商品已发货确认2017年销售商品收入。经查，和鹰租赁与中蔼万家实际按照低价版合同结算支付，且合同约定商品并未全部发货。长园和鹰以此虚增2017年度营业收入5259.17万元，虚增2017年度利润总额3059.17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9、</w:t>
            </w:r>
            <w:r>
              <w:rPr>
                <w:rFonts w:hint="eastAsia"/>
              </w:rPr>
              <w:t>2016年6月，长园和鹰与山东昊宝服饰有限公司签订金额为1.5亿元销售合同，向山东昊宝提供服装不落地智能工厂系统项目整厂解决方案。2017年2月，山东昊宝在智能工厂项目中的全部权利义务转由山东伊甸缘服饰有限公司承担。长园和鹰按照完工百分比法确认了2016年度、2017年度该项建造合同收入。经查，该建造合同结果不能可靠估计，不应采用完工百分比法确认合同收入。长园和鹰以此虚增2016年度、2017年度营业收入分别为4531.16万元、1538.26万元，虚增2016年度、2017年度利润总额分别为4531.16万元、635.72万元。</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10、</w:t>
            </w:r>
            <w:r>
              <w:rPr>
                <w:rFonts w:hint="eastAsia"/>
              </w:rPr>
              <w:t>2016年11月，和鹰设备与上海峰龙科技有限公司签订金额为1.72亿元的总包合同，向上海峰龙提供女装智能柔性生产线系统集成项目总体解决方案，其中包括500万元的方案设计。同期，长园和鹰又与上海峰龙签订金额为500万元的设计服务合同，约定由长园和鹰提供智能工厂及智能物联网系统设计服务。长园和鹰确认2016年度提供劳务收入500万元，采用完工百分比法确认2017年度建造合同收入1.33亿元。经查，上述设计服务合同在2016年未实际履行，长园和鹰以此虚增2016年度营业收入500万元、利润总额500万元。上海峰龙项目建造合同结果不能可靠估计，不应采用完工百分比法确认合同收入，长园和鹰以此虚增2017年度营业收入6291.57万元、利润总额6291.57万元。</w:t>
            </w:r>
          </w:p>
          <w:p>
            <w:pPr>
              <w:pageBreakBefore w:val="0"/>
              <w:kinsoku/>
              <w:wordWrap/>
              <w:overflowPunct/>
              <w:topLinePunct w:val="0"/>
              <w:autoSpaceDE/>
              <w:autoSpaceDN/>
              <w:bidi w:val="0"/>
              <w:adjustRightInd/>
              <w:snapToGrid/>
              <w:spacing w:line="312" w:lineRule="auto"/>
              <w:textAlignment w:val="auto"/>
            </w:pPr>
            <w:r>
              <w:rPr>
                <w:rFonts w:hint="eastAsia" w:ascii="Times New Roman" w:eastAsia="宋体"/>
                <w:lang w:val="en-US" w:eastAsia="zh-CN"/>
              </w:rPr>
              <w:t>11、</w:t>
            </w:r>
            <w:r>
              <w:rPr>
                <w:rFonts w:hint="eastAsia"/>
              </w:rPr>
              <w:t>2016年12月5日，长园和鹰与安徽红爱实业股份有限公司签订金额为4亿元合同，约定向安徽红爱提供智能工厂全面解决方案。2016年12月26日，双方又签订了金额为7470万元的销售合同，约定就智能工厂项目向安徽红爱销售智能裁剪系统、服装吊挂系统及183套智能三维人体扫描仪。2016年12月29日，和鹰设备与安徽红爱签订金额为3.4亿元的合同，约定向安徽红爱提供智能工厂系统全面解决方案，该合同取代以往达成的各项协议。长园和鹰依据合同和ERP系统销售出库单,确认2016年度销售商品收入；采用完工百分比法确认2017年度建造合同收入。经查，上述合同效力实际已于2016年12月29日终止，为后续合同所取代，相关商品应当纳入安徽红爱智能工厂项目整体按照建造合同进行核算，不应单独按照产品销售合同进行核算。长园和鹰以此虚增2016年度营业收入1043.76万元、利润总额1043.76万元。安徽红爱智能工厂项目建造合同的结果不能可靠估计，不应采用完工百分比法确认合同收入，长园和鹰以此虚增2017年度营业收入7316.16万元、利润总额7316.16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引发的思考</w:t>
            </w:r>
          </w:p>
        </w:tc>
        <w:tc>
          <w:tcPr>
            <w:tcW w:w="6316" w:type="dxa"/>
          </w:tcPr>
          <w:p>
            <w:pPr>
              <w:pageBreakBefore w:val="0"/>
              <w:numPr>
                <w:ilvl w:val="0"/>
                <w:numId w:val="15"/>
              </w:numPr>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在对被审计进行审计中，要关注审计单位的关联方交易、与母公司、子公司之间的交易。</w:t>
            </w:r>
          </w:p>
          <w:p>
            <w:pPr>
              <w:pageBreakBefore w:val="0"/>
              <w:numPr>
                <w:ilvl w:val="0"/>
                <w:numId w:val="15"/>
              </w:numPr>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关注企业运用的会计政策是否正确</w:t>
            </w:r>
          </w:p>
          <w:p>
            <w:pPr>
              <w:pageBreakBefore w:val="0"/>
              <w:numPr>
                <w:ilvl w:val="0"/>
                <w:numId w:val="15"/>
              </w:numPr>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关注企业对交易活动的入账记账时间，特别是本月底、下月初；本年底、下年初。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财务造假的方式手段：</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1、“应收账款”与“其他应收款”</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2、与“应收账款”相连的“坏账准备金”</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3、固定资产投资</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4、“其他业务利润”</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5、债务偿还能力</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6、虚构收入</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（白条出库，作销售入账；对开发票，确认收入；虚开发票，确认收入）</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7、提前确认收入</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8、推迟确认收入</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9、转移费用</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10、费用资本化、递延费用及推迟确认费用</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11、多提或少提资产减值准备以调控利润</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12、制造非经常性损益事项</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13、虚增资产和漏列负债</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（多计存货价值、多计应收帐款、多计固定资产、漏列负债）</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14、潜亏挂账</w:t>
            </w:r>
          </w:p>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15、资产重组创造利润</w:t>
            </w:r>
          </w:p>
        </w:tc>
      </w:tr>
    </w:tbl>
    <w:p>
      <w:pPr>
        <w:pageBreakBefore w:val="0"/>
        <w:tabs>
          <w:tab w:val="left" w:pos="1305"/>
        </w:tabs>
        <w:kinsoku/>
        <w:wordWrap/>
        <w:overflowPunct/>
        <w:topLinePunct w:val="0"/>
        <w:autoSpaceDE/>
        <w:autoSpaceDN/>
        <w:bidi w:val="0"/>
        <w:adjustRightInd/>
        <w:snapToGrid/>
        <w:spacing w:line="312" w:lineRule="auto"/>
        <w:textAlignment w:val="auto"/>
      </w:pPr>
      <w:r>
        <w:tab/>
      </w:r>
    </w:p>
    <w:p>
      <w:pPr>
        <w:pStyle w:val="2"/>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bookmarkStart w:id="44" w:name="_Toc2866"/>
      <w:r>
        <w:rPr>
          <w:rFonts w:hint="eastAsia"/>
          <w:lang w:val="en-US" w:eastAsia="zh-CN"/>
        </w:rPr>
        <w:t>29  亚太药业事件</w:t>
      </w:r>
      <w:bookmarkEnd w:id="44"/>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rPr>
                <w:rFonts w:hint="default" w:eastAsia="宋体"/>
                <w:lang w:val="en-US" w:eastAsia="zh-CN"/>
              </w:rPr>
            </w:pPr>
            <w:r>
              <w:rPr>
                <w:rFonts w:hint="eastAsia"/>
              </w:rPr>
              <w:t>0</w:t>
            </w:r>
            <w:r>
              <w:rPr>
                <w:rFonts w:hint="eastAsia" w:ascii="Times New Roman" w:eastAsia="宋体"/>
                <w:lang w:val="en-US" w:eastAsia="zh-CN"/>
              </w:rPr>
              <w:t>729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2009年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b w:val="0"/>
                <w:bCs/>
              </w:rPr>
              <w:t>浙江亚太药业股份有限公司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医药</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b/>
              </w:rPr>
            </w:pPr>
            <w:r>
              <w:rPr>
                <w:rFonts w:hint="eastAsia"/>
                <w:b/>
              </w:rPr>
              <w:t>【企业背景】</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rPr>
            </w:pPr>
            <w:r>
              <w:rPr>
                <w:rFonts w:hint="eastAsia"/>
                <w:b w:val="0"/>
                <w:bCs/>
              </w:rPr>
              <w:t>浙江亚太药业股份有限公司前身为浙江亚太制药厂,创办于1989 年，位于浙江省绍兴县云集路1152 号。2001年完成股份制改造，并于2010年3月16日在深交所正式挂牌上市（股票代码为002370）。公司厂房总占地面积12万余平方米，注册资本2.04亿元，现有总资产8.2 亿元，员工900 多人，其中大专及以上学历300 余人。</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rPr>
            </w:pPr>
            <w:r>
              <w:rPr>
                <w:rFonts w:hint="eastAsia"/>
                <w:b w:val="0"/>
                <w:bCs/>
              </w:rPr>
              <w:t>公司是一家集科研、生产、销售于一体的专业化、规模化的国家高新技术企业和国家火炬计划重点高新技术企业，公司拥有片剂（含青霉素类）、硬胶囊剂（含头孢菌素类、青霉素类）、透皮贴剂（激素类）、冻干粉针剂、粉针剂（头孢菌素类）、阿奇霉素、罗红霉素等11个通过国家GMP质量体系认证的现代化制药生产车间，共拥有药品批准文号97个。目前公司是“国家高新技术企业”、“国家火炬计划重点高新技术企业”、“浙江省工商企业信用A 级守合同重信用单位”。公司药物研发中心是“浙江省省级高新技术研究开发中心”、“浙江省省级企业技术中心”和“浙江省博士后科研工作站”。“雅泰” 商标被评为“浙江省著名商标”。</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ind w:firstLine="420" w:firstLineChars="200"/>
              <w:textAlignment w:val="auto"/>
              <w:rPr>
                <w:b w:val="0"/>
                <w:bCs/>
              </w:rPr>
            </w:pPr>
            <w:r>
              <w:rPr>
                <w:rFonts w:hint="eastAsia"/>
                <w:b w:val="0"/>
                <w:bCs/>
              </w:rPr>
              <w:t>2016年，上海新高峰合计虚增营业收入10053.27万元，虚增营业成本6470.94万元，虚增利润总额3351.73万元，分别占亚太药业同期披露营业收入、营业成本、利润总额的11.65%、 12.37%和23.29%。2017年，上海新高峰合计虚增营业收入17608.24万元，虚增营业成本10186.04万元，虚增利润总额7370.78万元，分别占亚太药业同期披露营业收入、营业成本、利润总额的16.26%、16.96%和 31.08%。2018年，上海新高峰合计虚增营业收入17731.65 万元，虚增营业成本10817.32万元，虚增利润总额6687.03万元，分别占亚太药业同期披露营业收入、营业成本、利润总额的13.54%、14.73%和27.70%。</w:t>
            </w:r>
          </w:p>
          <w:p>
            <w:pPr>
              <w:pageBreakBefore w:val="0"/>
              <w:kinsoku/>
              <w:wordWrap/>
              <w:overflowPunct/>
              <w:topLinePunct w:val="0"/>
              <w:autoSpaceDE/>
              <w:autoSpaceDN/>
              <w:bidi w:val="0"/>
              <w:adjustRightInd/>
              <w:snapToGrid/>
              <w:spacing w:line="312" w:lineRule="auto"/>
              <w:textAlignment w:val="auto"/>
              <w:rPr>
                <w:b w:val="0"/>
                <w:bCs/>
              </w:rPr>
            </w:pPr>
            <w:r>
              <w:rPr>
                <w:rFonts w:hint="eastAsia"/>
                <w:b w:val="0"/>
                <w:bCs/>
              </w:rPr>
              <w:t>　　综上，2016年-2018年期间，上海新高峰累计虚增营业收入约4.54亿元，累计虚增营业成本2.75亿元，累计虚增利润总额1.74亿元。</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kinsoku/>
              <w:wordWrap/>
              <w:overflowPunct/>
              <w:topLinePunct w:val="0"/>
              <w:autoSpaceDE/>
              <w:autoSpaceDN/>
              <w:bidi w:val="0"/>
              <w:adjustRightInd/>
              <w:snapToGrid/>
              <w:spacing w:line="312" w:lineRule="auto"/>
              <w:textAlignment w:val="auto"/>
              <w:rPr>
                <w:b w:val="0"/>
                <w:bCs w:val="0"/>
              </w:rPr>
            </w:pPr>
            <w:r>
              <w:rPr>
                <w:b/>
                <w:bCs/>
              </w:rPr>
              <w:tab/>
            </w:r>
            <w:r>
              <w:rPr>
                <w:rFonts w:hint="eastAsia"/>
                <w:b w:val="0"/>
                <w:bCs w:val="0"/>
              </w:rPr>
              <w:t>2016年至2018年期间，上海新高峰在未开展真实业务的情况下，确认来自安徽贤林生物科技有限公司、上海咏胜医药科技有限公司、上海浦临西循健康咨询有限公司、乐清迈博生物工程有限公司、江苏三和生物工程股份有限公司、海安葛莱森生物科技有限公司、上海昊健医疗科技有限公司、上海五睦医疗科技有限公司、上海茁涵医疗科技有限公司、南京文澜医疗科技有限公司等客户的销售收入，并通过武汉光谷临床医学科技有限公司、佛山市科临医学研究管理有限公司、乐清市医临健康医疗基金会等第三方主体实现资金流转。</w:t>
            </w:r>
          </w:p>
          <w:p>
            <w:pPr>
              <w:pageBreakBefore w:val="0"/>
              <w:kinsoku/>
              <w:wordWrap/>
              <w:overflowPunct/>
              <w:topLinePunct w:val="0"/>
              <w:autoSpaceDE/>
              <w:autoSpaceDN/>
              <w:bidi w:val="0"/>
              <w:adjustRightInd/>
              <w:snapToGrid/>
              <w:spacing w:line="312" w:lineRule="auto"/>
              <w:textAlignment w:val="auto"/>
              <w:rPr>
                <w:rFonts w:hint="eastAsia"/>
                <w:b w:val="0"/>
                <w:bCs w:val="0"/>
              </w:rPr>
            </w:pPr>
            <w:r>
              <w:rPr>
                <w:rFonts w:hint="eastAsia"/>
                <w:b w:val="0"/>
                <w:bCs w:val="0"/>
              </w:rPr>
              <w:t>　　2016年，上海新高峰合计虚增营业收入10053.27万元，虚增营业成本6470.94万元，虚增利润总额3351.73万元，分别占亚太药业同期披露营业收入、营业成本、利润总额的11.65%、12.37%和23.29%。</w:t>
            </w:r>
          </w:p>
          <w:p>
            <w:pPr>
              <w:pageBreakBefore w:val="0"/>
              <w:kinsoku/>
              <w:wordWrap/>
              <w:overflowPunct/>
              <w:topLinePunct w:val="0"/>
              <w:autoSpaceDE/>
              <w:autoSpaceDN/>
              <w:bidi w:val="0"/>
              <w:adjustRightInd/>
              <w:snapToGrid/>
              <w:spacing w:line="312" w:lineRule="auto"/>
              <w:textAlignment w:val="auto"/>
              <w:rPr>
                <w:rFonts w:hint="eastAsia"/>
                <w:b w:val="0"/>
                <w:bCs w:val="0"/>
              </w:rPr>
            </w:pPr>
            <w:r>
              <w:rPr>
                <w:rFonts w:hint="eastAsia"/>
                <w:b w:val="0"/>
                <w:bCs w:val="0"/>
              </w:rPr>
              <w:t>　　2017年，上海新高峰合计虚增营业收入17608.24万元，虚增营业成本10186.04万元，虚增利润总额7370.78万元，分别占亚太药业同期披露营业收入、营业成本、利润总额的16.26%、16.96%和31.08%。</w:t>
            </w:r>
          </w:p>
          <w:p>
            <w:pPr>
              <w:pageBreakBefore w:val="0"/>
              <w:kinsoku/>
              <w:wordWrap/>
              <w:overflowPunct/>
              <w:topLinePunct w:val="0"/>
              <w:autoSpaceDE/>
              <w:autoSpaceDN/>
              <w:bidi w:val="0"/>
              <w:adjustRightInd/>
              <w:snapToGrid/>
              <w:spacing w:line="312" w:lineRule="auto"/>
              <w:textAlignment w:val="auto"/>
              <w:rPr>
                <w:rFonts w:hint="eastAsia"/>
                <w:b w:val="0"/>
                <w:bCs w:val="0"/>
              </w:rPr>
            </w:pPr>
            <w:r>
              <w:rPr>
                <w:rFonts w:hint="eastAsia"/>
                <w:b w:val="0"/>
                <w:bCs w:val="0"/>
              </w:rPr>
              <w:t>　　2018年，上海新高峰合计虚增营业收入17731.65万元，虚增营业成本10817.32万元，虚增利润总额6687.03万元，分别占亚太药业同期披露营业收入、营业成本、利润总额的13.54%、14.73%和27.70%。</w:t>
            </w:r>
          </w:p>
          <w:p>
            <w:pPr>
              <w:pageBreakBefore w:val="0"/>
              <w:kinsoku/>
              <w:wordWrap/>
              <w:overflowPunct/>
              <w:topLinePunct w:val="0"/>
              <w:autoSpaceDE/>
              <w:autoSpaceDN/>
              <w:bidi w:val="0"/>
              <w:adjustRightInd/>
              <w:snapToGrid/>
              <w:spacing w:line="312" w:lineRule="auto"/>
              <w:textAlignment w:val="auto"/>
              <w:rPr>
                <w:b/>
                <w:bCs/>
              </w:rPr>
            </w:pPr>
            <w:r>
              <w:rPr>
                <w:rFonts w:hint="eastAsia"/>
                <w:b w:val="0"/>
                <w:bCs w:val="0"/>
              </w:rPr>
              <w:t>　　上述财务数据纳入亚太药业合并报表后，导致亚太药业2016年、2017年、2018年年度报告的财务数据及相关披露信息存在虚假记载。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企业受罚或责任描述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对亚太药业责令改正，给予警告，并处以60万元罚款；对任军、陈尧根给予警告，并分别处以30万元罚款；对吕旭幸、何珍、沈依伊给予警告，并分别处以15万元罚款；对孙黎明、胡宝坤、王丽云、谭钦水给予警告，并分别处以8万元罚款；对钟婉珍、平华标、陈枢青、姚先国、章勇坚、詹金彪、何大安、莫国萍、成华强、赵科学、王国贤给予警告，并分别处以3万元罚款。</w:t>
            </w:r>
          </w:p>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rPr>
              <w:t>此外，任军、陈尧根的违法行为情节严重，依据2005年《证券法》第二百三十三条及《证券市场禁入规定》(证监会令第115号)第三条、第五条的规定，中国证监会浙江监管局拟对任军、陈尧根分别采取 5 年证券市场禁入。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pPr>
            <w:r>
              <w:t>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审计机构案情描述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pPr>
            <w:r>
              <w:t>天健会计师事务所(特殊普通合伙)审计了亚太药业财务报表，包括2016年12月31日、2017年12月31日、2018年12月31日合并及母公司资产负债表，2016年度、2017年度、2018年度的合并及母公司利润表、合并及母公司现金流量表、合并及母公司所有者权益变动表，以及相关财务报表附注。天健会计师事务所(特殊普通合伙)认为，后附的财务报表在所有重大方面按照企业会计准则的规定编制，公允反映了亚太药业合并及母公司财务状况，以及合并及母公司经营成果和现金流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lang w:val="en-US" w:eastAsia="zh-CN"/>
              </w:rPr>
            </w:pPr>
            <w:r>
              <w:rPr>
                <w:rFonts w:hint="eastAsia" w:ascii="Times New Roman" w:eastAsia="宋体"/>
                <w:lang w:val="en-US" w:eastAsia="zh-CN"/>
              </w:rPr>
              <w:t>引发的思考</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财务造假的主要关注点：</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1、高于同行的毛利率</w:t>
            </w:r>
          </w:p>
          <w:p>
            <w:pPr>
              <w:pageBreakBefore w:val="0"/>
              <w:kinsoku/>
              <w:wordWrap/>
              <w:overflowPunct/>
              <w:topLinePunct w:val="0"/>
              <w:autoSpaceDE/>
              <w:autoSpaceDN/>
              <w:bidi w:val="0"/>
              <w:adjustRightInd/>
              <w:snapToGrid/>
              <w:spacing w:line="312" w:lineRule="auto"/>
              <w:ind w:firstLine="210" w:firstLineChars="100"/>
              <w:textAlignment w:val="auto"/>
              <w:rPr>
                <w:rFonts w:hint="eastAsia"/>
                <w:lang w:val="en-US" w:eastAsia="zh-CN"/>
              </w:rPr>
            </w:pPr>
            <w:r>
              <w:rPr>
                <w:rFonts w:hint="eastAsia" w:ascii="Times New Roman" w:eastAsia="宋体"/>
                <w:lang w:val="en-US" w:eastAsia="zh-CN"/>
              </w:rPr>
              <w:t>毛利率异常会分为以下三种情况：</w:t>
            </w:r>
          </w:p>
          <w:p>
            <w:pPr>
              <w:pageBreakBefore w:val="0"/>
              <w:kinsoku/>
              <w:wordWrap/>
              <w:overflowPunct/>
              <w:topLinePunct w:val="0"/>
              <w:autoSpaceDE/>
              <w:autoSpaceDN/>
              <w:bidi w:val="0"/>
              <w:adjustRightInd/>
              <w:snapToGrid/>
              <w:spacing w:line="312" w:lineRule="auto"/>
              <w:ind w:firstLine="210" w:firstLineChars="100"/>
              <w:textAlignment w:val="auto"/>
              <w:rPr>
                <w:rFonts w:hint="eastAsia"/>
                <w:lang w:val="en-US" w:eastAsia="zh-CN"/>
              </w:rPr>
            </w:pPr>
            <w:r>
              <w:rPr>
                <w:rFonts w:hint="eastAsia" w:ascii="Times New Roman" w:eastAsia="宋体"/>
                <w:lang w:val="en-US" w:eastAsia="zh-CN"/>
              </w:rPr>
              <w:t>1）毛利率明显高于或者低于同行业公司的平均水平，或者变动趋势不符合行业的常态；</w:t>
            </w:r>
          </w:p>
          <w:p>
            <w:pPr>
              <w:pageBreakBefore w:val="0"/>
              <w:kinsoku/>
              <w:wordWrap/>
              <w:overflowPunct/>
              <w:topLinePunct w:val="0"/>
              <w:autoSpaceDE/>
              <w:autoSpaceDN/>
              <w:bidi w:val="0"/>
              <w:adjustRightInd/>
              <w:snapToGrid/>
              <w:spacing w:line="312" w:lineRule="auto"/>
              <w:ind w:firstLine="210" w:firstLineChars="100"/>
              <w:textAlignment w:val="auto"/>
              <w:rPr>
                <w:rFonts w:hint="eastAsia"/>
                <w:lang w:val="en-US" w:eastAsia="zh-CN"/>
              </w:rPr>
            </w:pPr>
            <w:r>
              <w:rPr>
                <w:rFonts w:hint="eastAsia" w:ascii="Times New Roman" w:eastAsia="宋体"/>
                <w:lang w:val="en-US" w:eastAsia="zh-CN"/>
              </w:rPr>
              <w:t>2）毛利率增长过于平稳，未受到正常经济周期的影响；</w:t>
            </w:r>
          </w:p>
          <w:p>
            <w:pPr>
              <w:pageBreakBefore w:val="0"/>
              <w:kinsoku/>
              <w:wordWrap/>
              <w:overflowPunct/>
              <w:topLinePunct w:val="0"/>
              <w:autoSpaceDE/>
              <w:autoSpaceDN/>
              <w:bidi w:val="0"/>
              <w:adjustRightInd/>
              <w:snapToGrid/>
              <w:spacing w:line="312" w:lineRule="auto"/>
              <w:ind w:firstLine="210" w:firstLineChars="100"/>
              <w:textAlignment w:val="auto"/>
              <w:rPr>
                <w:rFonts w:hint="eastAsia"/>
                <w:lang w:val="en-US" w:eastAsia="zh-CN"/>
              </w:rPr>
            </w:pPr>
            <w:r>
              <w:rPr>
                <w:rFonts w:hint="eastAsia" w:ascii="Times New Roman" w:eastAsia="宋体"/>
                <w:lang w:val="en-US" w:eastAsia="zh-CN"/>
              </w:rPr>
              <w:t>3）存货周转变缓，表现为当毛利率上升时应收的账款大增</w:t>
            </w:r>
          </w:p>
          <w:p>
            <w:pPr>
              <w:pageBreakBefore w:val="0"/>
              <w:kinsoku/>
              <w:wordWrap/>
              <w:overflowPunct/>
              <w:topLinePunct w:val="0"/>
              <w:autoSpaceDE/>
              <w:autoSpaceDN/>
              <w:bidi w:val="0"/>
              <w:adjustRightInd/>
              <w:snapToGrid/>
              <w:spacing w:line="312" w:lineRule="auto"/>
              <w:textAlignment w:val="auto"/>
              <w:rPr>
                <w:rFonts w:ascii="微软雅黑" w:hAnsi="微软雅黑" w:eastAsia="微软雅黑" w:cs="微软雅黑"/>
                <w:i w:val="0"/>
                <w:iCs w:val="0"/>
                <w:caps w:val="0"/>
                <w:color w:val="333333"/>
                <w:spacing w:val="0"/>
                <w:sz w:val="16"/>
                <w:szCs w:val="16"/>
              </w:rPr>
            </w:pPr>
            <w:r>
              <w:rPr>
                <w:rFonts w:hint="eastAsia" w:ascii="Times New Roman" w:eastAsia="宋体"/>
                <w:lang w:val="en-US" w:eastAsia="zh-CN"/>
              </w:rPr>
              <w:t>2、虚构收入</w:t>
            </w:r>
          </w:p>
          <w:p>
            <w:pPr>
              <w:pageBreakBefore w:val="0"/>
              <w:kinsoku/>
              <w:wordWrap/>
              <w:overflowPunct/>
              <w:topLinePunct w:val="0"/>
              <w:autoSpaceDE/>
              <w:autoSpaceDN/>
              <w:bidi w:val="0"/>
              <w:adjustRightInd/>
              <w:snapToGrid/>
              <w:spacing w:line="312" w:lineRule="auto"/>
              <w:ind w:firstLine="210" w:firstLineChars="100"/>
              <w:textAlignment w:val="auto"/>
              <w:rPr>
                <w:rFonts w:hint="eastAsia"/>
                <w:lang w:val="en-US" w:eastAsia="zh-CN"/>
              </w:rPr>
            </w:pPr>
            <w:r>
              <w:rPr>
                <w:rFonts w:hint="eastAsia" w:ascii="Times New Roman" w:eastAsia="宋体"/>
                <w:lang w:val="en-US" w:eastAsia="zh-CN"/>
              </w:rPr>
              <w:t>白条出库，作销售入账；对开发票，确认收入；虚开发票，确认收入</w:t>
            </w:r>
          </w:p>
          <w:p>
            <w:pPr>
              <w:pageBreakBefore w:val="0"/>
              <w:numPr>
                <w:ilvl w:val="0"/>
                <w:numId w:val="0"/>
              </w:numPr>
              <w:kinsoku/>
              <w:wordWrap/>
              <w:overflowPunct/>
              <w:topLinePunct w:val="0"/>
              <w:autoSpaceDE/>
              <w:autoSpaceDN/>
              <w:bidi w:val="0"/>
              <w:adjustRightInd/>
              <w:snapToGrid/>
              <w:spacing w:line="312" w:lineRule="auto"/>
              <w:ind w:leftChars="0"/>
              <w:textAlignment w:val="auto"/>
              <w:rPr>
                <w:rFonts w:hint="eastAsia"/>
                <w:lang w:val="en-US" w:eastAsia="zh-CN"/>
              </w:rPr>
            </w:pPr>
            <w:r>
              <w:rPr>
                <w:rFonts w:hint="eastAsia" w:ascii="Times New Roman" w:eastAsia="宋体"/>
                <w:lang w:val="en-US" w:eastAsia="zh-CN"/>
              </w:rPr>
              <w:t>3、大存大贷，存贷双高</w:t>
            </w:r>
          </w:p>
          <w:p>
            <w:pPr>
              <w:pageBreakBefore w:val="0"/>
              <w:numPr>
                <w:ilvl w:val="0"/>
                <w:numId w:val="0"/>
              </w:numPr>
              <w:kinsoku/>
              <w:wordWrap/>
              <w:overflowPunct/>
              <w:topLinePunct w:val="0"/>
              <w:autoSpaceDE/>
              <w:autoSpaceDN/>
              <w:bidi w:val="0"/>
              <w:adjustRightInd/>
              <w:snapToGrid/>
              <w:spacing w:line="312" w:lineRule="auto"/>
              <w:ind w:leftChars="0"/>
              <w:textAlignment w:val="auto"/>
              <w:rPr>
                <w:rFonts w:hint="default"/>
                <w:lang w:val="en-US" w:eastAsia="zh-CN"/>
              </w:rPr>
            </w:pPr>
            <w:r>
              <w:rPr>
                <w:rFonts w:hint="eastAsia" w:ascii="Times New Roman" w:eastAsia="宋体"/>
                <w:lang w:val="en-US" w:eastAsia="zh-CN"/>
              </w:rPr>
              <w:t>4、结合非财务信息分析财务信息的合理性；客户和供应商的分析；新增资产的分析；资金进出情况分析；其他非财务信息分析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关联方交易</w:t>
            </w:r>
          </w:p>
          <w:p>
            <w:pPr>
              <w:pageBreakBefore w:val="0"/>
              <w:kinsoku/>
              <w:wordWrap/>
              <w:overflowPunct/>
              <w:topLinePunct w:val="0"/>
              <w:autoSpaceDE/>
              <w:autoSpaceDN/>
              <w:bidi w:val="0"/>
              <w:adjustRightInd/>
              <w:snapToGrid/>
              <w:spacing w:line="312" w:lineRule="auto"/>
              <w:textAlignment w:val="auto"/>
              <w:rPr>
                <w:rFonts w:hint="eastAsia"/>
                <w:lang w:val="en-US" w:eastAsia="zh-CN"/>
              </w:rPr>
            </w:pPr>
            <w:r>
              <w:rPr>
                <w:rFonts w:hint="eastAsia" w:ascii="Times New Roman" w:eastAsia="宋体"/>
                <w:lang w:val="en-US" w:eastAsia="zh-CN"/>
              </w:rPr>
              <w:t>关联方交易是指关联方指关联方之间转移资源、劳务或义务的行为，而不论是否收取价款，例如，购买或销售商品，提供或接受劳务等。</w:t>
            </w:r>
          </w:p>
        </w:tc>
      </w:tr>
    </w:tbl>
    <w:p>
      <w:pPr>
        <w:pageBreakBefore w:val="0"/>
        <w:kinsoku/>
        <w:wordWrap/>
        <w:overflowPunct/>
        <w:topLinePunct w:val="0"/>
        <w:autoSpaceDE/>
        <w:autoSpaceDN/>
        <w:bidi w:val="0"/>
        <w:adjustRightInd/>
        <w:snapToGrid/>
        <w:spacing w:line="312" w:lineRule="auto"/>
        <w:textAlignment w:val="auto"/>
      </w:pPr>
    </w:p>
    <w:p>
      <w:pPr>
        <w:pStyle w:val="2"/>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bookmarkStart w:id="45" w:name="_Toc14777"/>
      <w:r>
        <w:rPr>
          <w:rFonts w:hint="eastAsia"/>
          <w:lang w:val="en-US" w:eastAsia="zh-CN"/>
        </w:rPr>
        <w:t>30 新纶科技事件</w:t>
      </w:r>
      <w:bookmarkEnd w:id="45"/>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案例数据</w:t>
            </w:r>
            <w:r>
              <w:t>编号</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w:t>
            </w:r>
            <w:r>
              <w:rPr>
                <w:rFonts w:hint="eastAsia"/>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w:t>
            </w:r>
            <w:r>
              <w:t>行业类别</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案例发生时间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20</w:t>
            </w:r>
            <w:r>
              <w:rPr>
                <w:rFonts w:hint="eastAsia" w:ascii="Times New Roman" w:eastAsia="宋体"/>
                <w:lang w:val="en-US" w:eastAsia="zh-CN"/>
              </w:rPr>
              <w:t>1</w:t>
            </w:r>
            <w:r>
              <w:rPr>
                <w:rFonts w:hint="eastAsia"/>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案例企业名称</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rPr>
              <w:t>深圳市新纶科技股份有限公司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案例企业经营范围</w:t>
            </w:r>
          </w:p>
        </w:tc>
        <w:tc>
          <w:tcPr>
            <w:tcW w:w="6316" w:type="dxa"/>
          </w:tcPr>
          <w:p>
            <w:pPr>
              <w:pageBreakBefore w:val="0"/>
              <w:kinsoku/>
              <w:wordWrap/>
              <w:overflowPunct/>
              <w:topLinePunct w:val="0"/>
              <w:autoSpaceDE/>
              <w:autoSpaceDN/>
              <w:bidi w:val="0"/>
              <w:adjustRightInd/>
              <w:snapToGrid/>
              <w:spacing w:line="312" w:lineRule="auto"/>
              <w:jc w:val="center"/>
              <w:textAlignment w:val="auto"/>
            </w:pPr>
            <w:r>
              <w:rPr>
                <w:rFonts w:hint="eastAsia" w:ascii="宋体" w:hAnsi="宋体" w:cs="宋体"/>
                <w:i w:val="0"/>
                <w:caps w:val="0"/>
                <w:color w:val="222222"/>
                <w:spacing w:val="0"/>
                <w:sz w:val="24"/>
                <w:szCs w:val="24"/>
                <w:shd w:val="clear" w:fill="FFFFFF"/>
                <w:lang w:val="en-US" w:eastAsia="zh-CN"/>
              </w:rPr>
              <w:t>高分子材料</w:t>
            </w:r>
            <w:r>
              <w:rPr>
                <w:rFonts w:hint="default" w:ascii="宋体" w:hAnsi="宋体" w:eastAsia="宋体" w:cs="宋体"/>
                <w:i w:val="0"/>
                <w:caps w:val="0"/>
                <w:color w:val="222222"/>
                <w:spacing w:val="0"/>
                <w:sz w:val="24"/>
                <w:szCs w:val="24"/>
                <w:shd w:val="clear" w:fill="FFFFFF"/>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企业</w:t>
            </w:r>
            <w:r>
              <w:rPr>
                <w:rFonts w:hint="eastAsia" w:ascii="Times New Roman" w:eastAsia="宋体"/>
                <w:lang w:val="en-US" w:eastAsia="zh-CN"/>
              </w:rPr>
              <w:t>企业</w:t>
            </w:r>
            <w:r>
              <w:rPr>
                <w:rFonts w:hint="eastAsia"/>
              </w:rPr>
              <w:t>案情描述</w:t>
            </w:r>
          </w:p>
        </w:tc>
        <w:tc>
          <w:tcPr>
            <w:tcW w:w="6316" w:type="dxa"/>
          </w:tcPr>
          <w:p>
            <w:pPr>
              <w:pageBreakBefore w:val="0"/>
              <w:kinsoku/>
              <w:wordWrap/>
              <w:overflowPunct/>
              <w:topLinePunct w:val="0"/>
              <w:autoSpaceDE/>
              <w:autoSpaceDN/>
              <w:bidi w:val="0"/>
              <w:adjustRightInd/>
              <w:snapToGrid/>
              <w:spacing w:line="312" w:lineRule="auto"/>
              <w:textAlignment w:val="auto"/>
              <w:rPr>
                <w:b/>
              </w:rPr>
            </w:pPr>
            <w:r>
              <w:rPr>
                <w:rFonts w:hint="eastAsia"/>
                <w:b/>
              </w:rPr>
              <w:t>【企业背景】</w:t>
            </w:r>
          </w:p>
          <w:p>
            <w:pPr>
              <w:pageBreakBefore w:val="0"/>
              <w:kinsoku/>
              <w:wordWrap/>
              <w:overflowPunct/>
              <w:topLinePunct w:val="0"/>
              <w:autoSpaceDE/>
              <w:autoSpaceDN/>
              <w:bidi w:val="0"/>
              <w:adjustRightInd/>
              <w:snapToGrid/>
              <w:spacing w:line="312" w:lineRule="auto"/>
              <w:ind w:firstLine="630" w:firstLineChars="300"/>
              <w:textAlignment w:val="auto"/>
            </w:pPr>
            <w:r>
              <w:rPr>
                <w:rFonts w:hint="eastAsia"/>
              </w:rPr>
              <w:t>深圳市新纶科技股份有限公司经营范围包括一般经营项目是：有机高分子材料及制品的技术开发、销售、售后服务及其他国内商业、物资供销业（不含专营、专控、专卖商品及限制项目）；</w:t>
            </w:r>
            <w:r>
              <w:rPr>
                <w:rFonts w:hint="default"/>
              </w:rPr>
              <w:fldChar w:fldCharType="begin"/>
            </w:r>
            <w:r>
              <w:rPr>
                <w:rFonts w:hint="default"/>
              </w:rPr>
              <w:instrText xml:space="preserve"> HYPERLINK "https://baike.baidu.com/item/%E6%96%B0%E5%9E%8B%E6%9D%90%E6%96%99/1490834" \t "https://baike.baidu.com/item/%E6%B7%B1%E5%9C%B3%E5%B8%82%E6%96%B0%E7%BA%B6%E7%A7%91%E6%8A%80%E8%82%A1%E4%BB%BD%E6%9C%89%E9%99%90%E5%85%AC%E5%8F%B8/_blank" </w:instrText>
            </w:r>
            <w:r>
              <w:rPr>
                <w:rFonts w:hint="default"/>
              </w:rPr>
              <w:fldChar w:fldCharType="separate"/>
            </w:r>
            <w:r>
              <w:rPr>
                <w:rFonts w:hint="default"/>
              </w:rPr>
              <w:t>新型材料</w:t>
            </w:r>
            <w:r>
              <w:rPr>
                <w:rFonts w:hint="default"/>
              </w:rPr>
              <w:fldChar w:fldCharType="end"/>
            </w:r>
            <w:r>
              <w:rPr>
                <w:rFonts w:hint="default"/>
              </w:rPr>
              <w:t>及其衍生产品的研发；光学胶带、高净化胶带、高净化保护膜、散热膜的制造；显示行业、锂电池行业用功能性薄膜材料及其衍生产品，高分子、</w:t>
            </w:r>
            <w:r>
              <w:rPr>
                <w:rFonts w:hint="default"/>
              </w:rPr>
              <w:fldChar w:fldCharType="begin"/>
            </w:r>
            <w:r>
              <w:rPr>
                <w:rFonts w:hint="default"/>
              </w:rPr>
              <w:instrText xml:space="preserve"> HYPERLINK "https://baike.baidu.com/item/%E9%AB%98%E6%80%A7%E8%83%BD%E5%A4%8D%E5%90%88%E6%9D%90%E6%96%99/10200237" \t "https://baike.baidu.com/item/%E6%B7%B1%E5%9C%B3%E5%B8%82%E6%96%B0%E7%BA%B6%E7%A7%91%E6%8A%80%E8%82%A1%E4%BB%BD%E6%9C%89%E9%99%90%E5%85%AC%E5%8F%B8/_blank" </w:instrText>
            </w:r>
            <w:r>
              <w:rPr>
                <w:rFonts w:hint="default"/>
              </w:rPr>
              <w:fldChar w:fldCharType="separate"/>
            </w:r>
            <w:r>
              <w:rPr>
                <w:rFonts w:hint="default"/>
              </w:rPr>
              <w:t>高性能复合材料</w:t>
            </w:r>
            <w:r>
              <w:rPr>
                <w:rFonts w:hint="default"/>
              </w:rPr>
              <w:fldChar w:fldCharType="end"/>
            </w:r>
            <w:r>
              <w:rPr>
                <w:rFonts w:hint="default"/>
              </w:rPr>
              <w:t>、</w:t>
            </w:r>
            <w:r>
              <w:rPr>
                <w:rFonts w:hint="default"/>
              </w:rPr>
              <w:fldChar w:fldCharType="begin"/>
            </w:r>
            <w:r>
              <w:rPr>
                <w:rFonts w:hint="default"/>
              </w:rPr>
              <w:instrText xml:space="preserve"> HYPERLINK "https://baike.baidu.com/item/%E5%85%89%E5%AD%A6%E8%96%84%E8%86%9C/1254592" \t "https://baike.baidu.com/item/%E6%B7%B1%E5%9C%B3%E5%B8%82%E6%96%B0%E7%BA%B6%E7%A7%91%E6%8A%80%E8%82%A1%E4%BB%BD%E6%9C%89%E9%99%90%E5%85%AC%E5%8F%B8/_blank" </w:instrText>
            </w:r>
            <w:r>
              <w:rPr>
                <w:rFonts w:hint="default"/>
              </w:rPr>
              <w:fldChar w:fldCharType="separate"/>
            </w:r>
            <w:r>
              <w:rPr>
                <w:rFonts w:hint="default"/>
              </w:rPr>
              <w:t>光学薄膜</w:t>
            </w:r>
            <w:r>
              <w:rPr>
                <w:rFonts w:hint="default"/>
              </w:rPr>
              <w:fldChar w:fldCharType="end"/>
            </w:r>
            <w:r>
              <w:rPr>
                <w:rFonts w:hint="default"/>
              </w:rPr>
              <w:t>、功能性薄膜、碳类材料技术及其制品的研发与制造；净化工程设计及安装，纯水工程的设计、施工与咨询；工程项目的咨询、管理；机电装饰、</w:t>
            </w:r>
            <w:r>
              <w:rPr>
                <w:rFonts w:hint="default"/>
              </w:rPr>
              <w:fldChar w:fldCharType="begin"/>
            </w:r>
            <w:r>
              <w:rPr>
                <w:rFonts w:hint="default"/>
              </w:rPr>
              <w:instrText xml:space="preserve"> HYPERLINK "https://baike.baidu.com/item/%E4%B8%AD%E5%A4%AE%E7%A9%BA%E8%B0%83/25664" \t "https://baike.baidu.com/item/%E6%B7%B1%E5%9C%B3%E5%B8%82%E6%96%B0%E7%BA%B6%E7%A7%91%E6%8A%80%E8%82%A1%E4%BB%BD%E6%9C%89%E9%99%90%E5%85%AC%E5%8F%B8/_blank" </w:instrText>
            </w:r>
            <w:r>
              <w:rPr>
                <w:rFonts w:hint="default"/>
              </w:rPr>
              <w:fldChar w:fldCharType="separate"/>
            </w:r>
            <w:r>
              <w:rPr>
                <w:rFonts w:hint="default"/>
              </w:rPr>
              <w:t>中央空调</w:t>
            </w:r>
            <w:r>
              <w:rPr>
                <w:rFonts w:hint="default"/>
              </w:rPr>
              <w:fldChar w:fldCharType="end"/>
            </w:r>
            <w:r>
              <w:rPr>
                <w:rFonts w:hint="default"/>
              </w:rPr>
              <w:t>、弱电自控、压力容器工程及设备的设计、施工、安装及咨询；实验室设备、家具及通风系统安装；投资兴办实业（具体项目另行申报，具体由分支机构经营）；销售无纺布制品、日化产品（不含危险化学品）、劳保及防护用品。，许可经营项目是：普通货运、超净清洗；纯水工程设备的生产；防尘、防静电服装及鞋的生产；特种</w:t>
            </w:r>
            <w:r>
              <w:rPr>
                <w:rFonts w:hint="default"/>
              </w:rPr>
              <w:fldChar w:fldCharType="begin"/>
            </w:r>
            <w:r>
              <w:rPr>
                <w:rFonts w:hint="default"/>
              </w:rPr>
              <w:instrText xml:space="preserve"> HYPERLINK "https://baike.baidu.com/item/%E5%8A%B3%E5%8A%A8%E9%98%B2%E6%8A%A4%E7%94%A8%E5%93%81/4601594" \t "https://baike.baidu.com/item/%E6%B7%B1%E5%9C%B3%E5%B8%82%E6%96%B0%E7%BA%B6%E7%A7%91%E6%8A%80%E8%82%A1%E4%BB%BD%E6%9C%89%E9%99%90%E5%85%AC%E5%8F%B8/_blank" </w:instrText>
            </w:r>
            <w:r>
              <w:rPr>
                <w:rFonts w:hint="default"/>
              </w:rPr>
              <w:fldChar w:fldCharType="separate"/>
            </w:r>
            <w:r>
              <w:rPr>
                <w:rFonts w:hint="default"/>
              </w:rPr>
              <w:t>劳动防护用品</w:t>
            </w:r>
            <w:r>
              <w:rPr>
                <w:rFonts w:hint="default"/>
              </w:rPr>
              <w:fldChar w:fldCharType="end"/>
            </w:r>
            <w:r>
              <w:rPr>
                <w:rFonts w:hint="default"/>
              </w:rPr>
              <w:t>产品的生产和销售。</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【案情背景</w:t>
            </w:r>
            <w:r>
              <w:rPr>
                <w:b/>
              </w:rPr>
              <w:t>】</w:t>
            </w:r>
          </w:p>
          <w:p>
            <w:pPr>
              <w:pageBreakBefore w:val="0"/>
              <w:kinsoku/>
              <w:wordWrap/>
              <w:overflowPunct/>
              <w:topLinePunct w:val="0"/>
              <w:autoSpaceDE/>
              <w:autoSpaceDN/>
              <w:bidi w:val="0"/>
              <w:adjustRightInd/>
              <w:snapToGrid/>
              <w:spacing w:line="312" w:lineRule="auto"/>
              <w:ind w:firstLine="420" w:firstLineChars="200"/>
              <w:textAlignment w:val="auto"/>
              <w:rPr>
                <w:b w:val="0"/>
                <w:bCs/>
              </w:rPr>
            </w:pPr>
            <w:r>
              <w:rPr>
                <w:rFonts w:hint="eastAsia"/>
                <w:b w:val="0"/>
                <w:bCs/>
              </w:rPr>
              <w:t>新纶科技</w:t>
            </w:r>
            <w:r>
              <w:rPr>
                <w:rFonts w:hint="default"/>
                <w:b w:val="0"/>
                <w:bCs/>
              </w:rPr>
              <w:t>2016年至2018年期间财务造假，2020年新纶科技受到证监会的行政处罚。新纶科技2016年虚增营业收入3.36亿、虚增采购成本2.49亿、虚增利润0.76万元，2017年虚增营业收入3.38亿、虚增采购成本2.44亿、虚增利润0.93万元，2018年虚增营业收入0.62亿、虚增采购成本0.44亿、虚增利润0.11万元。</w:t>
            </w:r>
          </w:p>
          <w:p>
            <w:pPr>
              <w:pageBreakBefore w:val="0"/>
              <w:kinsoku/>
              <w:wordWrap/>
              <w:overflowPunct/>
              <w:topLinePunct w:val="0"/>
              <w:autoSpaceDE/>
              <w:autoSpaceDN/>
              <w:bidi w:val="0"/>
              <w:adjustRightInd/>
              <w:snapToGrid/>
              <w:spacing w:line="312" w:lineRule="auto"/>
              <w:textAlignment w:val="auto"/>
              <w:rPr>
                <w:b/>
              </w:rPr>
            </w:pPr>
            <w:r>
              <w:rPr>
                <w:rFonts w:hint="eastAsia"/>
                <w:b/>
              </w:rPr>
              <w:t>【案情描述】</w:t>
            </w:r>
          </w:p>
          <w:p>
            <w:pPr>
              <w:pageBreakBefore w:val="0"/>
              <w:kinsoku/>
              <w:wordWrap/>
              <w:overflowPunct/>
              <w:topLinePunct w:val="0"/>
              <w:autoSpaceDE/>
              <w:autoSpaceDN/>
              <w:bidi w:val="0"/>
              <w:adjustRightInd/>
              <w:snapToGrid/>
              <w:spacing w:line="312" w:lineRule="auto"/>
              <w:textAlignment w:val="auto"/>
              <w:rPr>
                <w:rFonts w:hint="eastAsia"/>
                <w:b w:val="0"/>
                <w:bCs w:val="0"/>
              </w:rPr>
            </w:pPr>
            <w:r>
              <w:rPr>
                <w:rFonts w:hint="eastAsia" w:ascii="Times New Roman" w:eastAsia="宋体"/>
                <w:b w:val="0"/>
                <w:bCs w:val="0"/>
                <w:lang w:val="en-US" w:eastAsia="zh-CN"/>
              </w:rPr>
              <w:t>1、</w:t>
            </w:r>
            <w:r>
              <w:rPr>
                <w:rFonts w:hint="eastAsia"/>
                <w:b w:val="0"/>
                <w:bCs w:val="0"/>
              </w:rPr>
              <w:t>连续三年虚增超7.3亿营收</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2019年6月25日，新纶科技收到中国证监会《立案调查通知书》。因新纶科技涉嫌信息披露违法违规，中国证监会决定对新纶科技立案调查。9个多月后，中国证监会最终向新纶科技下发了行政处罚事先告知书。</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公告显示，2016年至2018年，新纶科技通过全资子公司新纶科技（常州）有限公司（以下简称常州新纶）与自然人张和春控制的多家公司虚构贸易业务方式，虚增收入、成本及利润。</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从数据上看，2016年、2017年的虚增情况最为严重。其中2016年虚增营业收入3.37亿元，占当年收入的20.29%，虚增采购成本2.49亿元，虚增利润7643.34万元，占当年利润总额的142.73%；2017年虚增营业收入3.38亿元，占当年收入的16.39%，虚增采购成本2.44亿元，虚增利润9330.50万元，占当年利润总额的50.67%；2018年虚增营业收入6233.97万元，占当年收入的1.94%，虚增采购成本4425.41万元，虚增利润1072.30万元，占当年利润总额的3.03%。</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三年合算下来，新纶科技总计虚增收入超过7.3亿元，虚增利润达1.8亿元。《每日经济新闻》记者注意到，新纶科技2016年利润总额才5355.09万元，去除虚增利润，新纶科技2016年的利润总额将由盈利变亏损。</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行政处罚事先告知书还详细列举了新纶科技虚构贸易业务的操作手法。常州新纶主要是从张春和控制的公司采购保护膜产品，再销售给张春和控制的东莞市麦克斯韦电子材料有限公司、东莞市智凝光学科技有限公司、深圳市维克哈德科技有限公司等多家公司。</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以东莞市麦克斯韦电子材料有限公司为例，2016 年至 2018 年期间, 常州新纶向张和春控制的东莞市麦克斯韦电子材料有限公司销售保护膜产品，确认主营业务收入共计1.38亿元，结转主营业务成本共计1.01亿元；销售回款共计1.11亿元，其中9547.72万元在回款当日或近日由新纶科技实际控制的银行账户向张和春相关银行账户转账相同金额，形成资金闭环；扣除相应计提的坏账准备后，形成利润总额共计3350.84万元。而上述保护膜产品全部采购自张和春控制的7家供应商。</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公告显示，上述业务没有物流发生，新纶科技伪造相应的出库和入库单，并按采购金额的15%计算税费和采购金额的3%计算手续费支付给张和春控制的公司，同时再将同一批货物销售给张和春控制的相关公司，整个贸易业务的物料购销形成闭环，对应的收付款形成资金闭环；上述贸易物料循环、资金闭环均可追溯至财务账，且资金闭环与贸易物料销售产生的应收账款存在对应关系。上述业务没有商业实质，为虚构业务。</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公开资料显示，常州新纶从事新材料及其衍生产品的研发、生产与销售。2016-2018年，常州新纶分别实现营业收入7.12亿元、7.88亿元和6.10亿元，分别实现净利润5794万元、1.31亿元和1.43亿元。以业绩增幅计，2017年，常州新纶营业收入同比增长10.67%，净利润同比大增126.24%。而按照行政处罚事先告知书的说法，常州新纶2016年、2017年营收可以说是有近半的“水分”。</w:t>
            </w:r>
          </w:p>
          <w:p>
            <w:pPr>
              <w:pageBreakBefore w:val="0"/>
              <w:kinsoku/>
              <w:wordWrap/>
              <w:overflowPunct/>
              <w:topLinePunct w:val="0"/>
              <w:autoSpaceDE/>
              <w:autoSpaceDN/>
              <w:bidi w:val="0"/>
              <w:adjustRightInd/>
              <w:snapToGrid/>
              <w:spacing w:line="312" w:lineRule="auto"/>
              <w:textAlignment w:val="auto"/>
              <w:rPr>
                <w:rFonts w:hint="eastAsia"/>
                <w:b w:val="0"/>
                <w:bCs w:val="0"/>
              </w:rPr>
            </w:pPr>
            <w:r>
              <w:rPr>
                <w:rFonts w:hint="eastAsia" w:ascii="Times New Roman" w:eastAsia="宋体"/>
                <w:b w:val="0"/>
                <w:bCs w:val="0"/>
                <w:lang w:val="en-US" w:eastAsia="zh-CN"/>
              </w:rPr>
              <w:t>2、</w:t>
            </w:r>
            <w:r>
              <w:rPr>
                <w:rFonts w:hint="eastAsia"/>
                <w:b w:val="0"/>
                <w:bCs w:val="0"/>
              </w:rPr>
              <w:t>未按规定披露关联交易</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除了虚构贸易业务虚增收入及利润外，新纶科技还未按规定披露关联交易、未按规定披露对外担保。</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公告显示，广州宏辉电子科技有限公司（以下简称宏辉电子）为新纶科技关联方。宏辉电子成立于2011年，原始股东为卢志辉及罗洪。卢志辉还是新纶科技员工。2016 年，卢志辉持有宏辉电子部分股权且系公司实际控制人。2016年7月，新纶科技发现卢志辉私下违规从公司采购产品通过宏辉电子对外销售。2016年12月，新纶科技对卢志辉作出处理并要求其停止运行宏辉电子。</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2017年4月，经新纶科技介绍，马素清堂弟马素成之妻周婷受让了宏辉电子100%股权并成为法定代表人。自2017年1月至2018年9月，宏辉电子日常经营活动由新纶科技控制，所有做账所需的原始凭证及单据由新纶科技出纳提供给税务服务机构，工商、税务、银行等手续均为新纶科技人员办理，宏辉电子的各类印章、网银盾由新纶科技保管并使用，宏辉电子名下银行账户内资金主要来源于银行贷款，宏辉电子银行贷款事项均由新纶科技及其子公司提供存单质押担保，宏辉电子银行账户的资金均为新纶科技办理业务合作使用。可以说，宏辉电子2017年至调查截止日实际由新纶科技控制，为新纶科技的关联方。</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b w:val="0"/>
                <w:bCs w:val="0"/>
              </w:rPr>
            </w:pPr>
            <w:r>
              <w:rPr>
                <w:rFonts w:hint="eastAsia"/>
                <w:b w:val="0"/>
                <w:bCs w:val="0"/>
              </w:rPr>
              <w:t>马素清自2015年6月25日起任新纶科技财务总监。经计算，2017年度，新纶科技与宏辉电子发生关联交易合计3.85亿元，占新纶科技最近一期经审计净资产的11.62%；2018年度，新纶科技与宏辉电子发生关联交易合计7.01亿元，占新纶科技最近一期经审计净资产的20.98%。</w:t>
            </w:r>
          </w:p>
          <w:p>
            <w:pPr>
              <w:pageBreakBefore w:val="0"/>
              <w:kinsoku/>
              <w:wordWrap/>
              <w:overflowPunct/>
              <w:topLinePunct w:val="0"/>
              <w:autoSpaceDE/>
              <w:autoSpaceDN/>
              <w:bidi w:val="0"/>
              <w:adjustRightInd/>
              <w:snapToGrid/>
              <w:spacing w:line="312" w:lineRule="auto"/>
              <w:ind w:firstLine="420" w:firstLineChars="200"/>
              <w:textAlignment w:val="auto"/>
              <w:rPr>
                <w:b/>
                <w:bCs/>
              </w:rPr>
            </w:pPr>
            <w:r>
              <w:rPr>
                <w:rFonts w:hint="eastAsia"/>
                <w:b w:val="0"/>
                <w:bCs w:val="0"/>
              </w:rPr>
              <w:t>此外，2017年5月至2017年12月期间，新纶科技及其全资子公司金耀辉使用自身在银行的定期存款，为宏辉电子和深圳市前海贝斯曼科技有限公司两家公司的银行贷款提供存单质押担保，2017年度担保额度为4亿元。新纶科技应在2017年年报中披露相关担保情况，但新纶科技未在2017年年报中披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企业受罚或责任描述</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pPr>
            <w:r>
              <w:rPr>
                <w:rFonts w:hint="eastAsia"/>
                <w:b w:val="0"/>
                <w:bCs w:val="0"/>
              </w:rPr>
              <w:t>新纶科技</w:t>
            </w:r>
            <w:r>
              <w:rPr>
                <w:rFonts w:hint="eastAsia"/>
              </w:rPr>
              <w:t>因虚构贸易业务虚增收入及利润、未按规定披露关联交易、未按规定披露对外担保，新纶科技被处以60万元罚款，多位高管也被处以3万-30万不等的罚款。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关联审计机构</w:t>
            </w:r>
            <w:r>
              <w:t>名称</w:t>
            </w:r>
          </w:p>
        </w:tc>
        <w:tc>
          <w:tcPr>
            <w:tcW w:w="6316" w:type="dxa"/>
          </w:tcPr>
          <w:p>
            <w:pPr>
              <w:pageBreakBefore w:val="0"/>
              <w:kinsoku/>
              <w:wordWrap/>
              <w:overflowPunct/>
              <w:topLinePunct w:val="0"/>
              <w:autoSpaceDE/>
              <w:autoSpaceDN/>
              <w:bidi w:val="0"/>
              <w:adjustRightInd/>
              <w:snapToGrid/>
              <w:spacing w:line="312" w:lineRule="auto"/>
              <w:textAlignment w:val="auto"/>
            </w:pPr>
            <w:r>
              <w:t>亚太(集团)</w:t>
            </w:r>
            <w:r>
              <w:rPr>
                <w:rFonts w:hint="eastAsia"/>
              </w:rPr>
              <w:fldChar w:fldCharType="begin"/>
            </w:r>
            <w:r>
              <w:rPr>
                <w:rFonts w:hint="eastAsia"/>
              </w:rPr>
              <w:instrText xml:space="preserve"> HYPERLINK "http://baike.eastmoney.com/item/%E4%BC%9A%E8%AE%A1" \t "http://finance.eastmoney.com/a/_blank" </w:instrText>
            </w:r>
            <w:r>
              <w:rPr>
                <w:rFonts w:hint="eastAsia"/>
              </w:rPr>
              <w:fldChar w:fldCharType="separate"/>
            </w:r>
            <w:r>
              <w:rPr>
                <w:rFonts w:hint="eastAsia"/>
              </w:rPr>
              <w:t>会计</w:t>
            </w:r>
            <w:r>
              <w:rPr>
                <w:rFonts w:hint="eastAsia"/>
              </w:rPr>
              <w:fldChar w:fldCharType="end"/>
            </w:r>
            <w:r>
              <w:rPr>
                <w:rFonts w:hint="eastAsia"/>
              </w:rPr>
              <w:t>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引发的思考</w:t>
            </w:r>
          </w:p>
        </w:tc>
        <w:tc>
          <w:tcPr>
            <w:tcW w:w="6316" w:type="dxa"/>
          </w:tcPr>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新纶科技2016年虚增营业收入3.36亿、虚增采购成本2.49亿、虚增利润0.76万元，2017年虚增营业收入3.38亿、虚增采购成本2.44亿、虚增利润0.93万元，2018年虚增营业收入0.62亿、虚增采购成本0.44亿、虚增利润0.11万元。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手段：通过全资子公司新纶科技（常州）有限公司与自然人张某控制的多家公司虚构贸易业务，虚增收入、成本及利润。合同及其他证据流：采购端与张某控制的多家供应商签订采购合同，新纶科技伪造相应的入库单；销售端与张某控制的几家企业签订销售合同，并伪造相应的出库单；形成合同及出入库单据闭环。资金流：新纶科技以采购的名义转出一笔款项（这笔款项的金额以支撑未来造假利润，转入账户由新纶科技实际控制），销售回款当日或近日由新纶科技实际控制的银行账户转到张某相关银行账户，形成资金闭环。用一年的指标异常可以支撑以后1-2年造假，还能保持指标的相对合理，与财务洗澡手法相似。</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动机：2015年度亏损12,030.03万元，原占营业收入近半的净化产品销售业务大幅下滑45%；功能材料销售毛利率大幅下降；销售毛利率不高20%多，盈亏平衡点较高。</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1、</w:t>
            </w:r>
            <w:r>
              <w:rPr>
                <w:rFonts w:hint="eastAsia"/>
              </w:rPr>
              <w:t>2016年度造假情况</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2016年度原报表净利润4,942.80万元，通过虚构交易虚增净利润7,804.75万元，实际净利润-2,861.97万元。虚构营业收入33,655.12万元、虚构营业成本24,935.67万元；虚构销售活动现金流入9,252.21万元、虚构采购现金流出26,855.90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前提：2016年回款情况较好、筹资筹措大量资金，现金流相对充足；毛利率相对较低，不会对应收账款、存货等承载体造成大的影响，相应对财务指标不会明显异常。比如一家企业真实营收1亿、成本4000万、毛利率60%。如果虚增5000万收入、对应成本2000万、毛利3000万。企业就需要转出资金3000万，以供现金流完成闭环，当期盈利产生的经营活动现金流入都不一定有3000万。其次转出去的3000万途径有两条，要么挂预付要么挂存货，对采购端指标影响大。所以预付款和存货的变动要放一起综合评估。</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背离指标：经营活动现金净流量与净利润背离。2016年度净利润4,942.80万元，较2015年度增加16,972.83万元，经营活动现金净流入10,667.22万元，较2015年度减少2,304.86万元。营业收入各季度占比突然变动（2017年、2018年有经验了分布较正常）。</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rPr>
              <w:t>转出资金量：以预付采购款的名义转出资金1,920.23万元、以采购存货（做虚假销售结转为营业成本）的名义转出资金24,935.67万元，合计转出资金26,855.90万元。对应虚增预付款项1,920.23万元、虚增营业成本24,935.67万元、虚增购买商品接受劳务支付的现金26,855.90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销售回款转入资金：以销售回款的名义转回9,252.21万元，实际净转出资金17,603.69万元。虚增销售商品提供劳务收到的现金9,252.21万元，回款率27%左右，低于整体回款率。</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经营活动现金净流量：如果不发生虚构业务和现金流，2016年实际经营活动现金净流量28,270.91万元，由于虚构业务的需要资金净转出17,603.69万元，造成经营活动现金净流量为10,667.22万元。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营业收入：根据2015年亏损金额以及毛利率来看，2016年度若达到盈利水平，按照2015年的费用水平，营业收入的增量需要4个多亿，2016年费用存在增量、产品毛利率下降，企业规划了16个亿的收入，即增量6个亿。实际营业收入132,189.84万元，较2015年增长29.08%。虚增后营业收入大幅增长60%。其中虚增营业收入33,655.12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营业成本：虚增营业成本24,935.67万元，虚增毛利8,719.45万元，对应毛利率25.91%。虚构业务毛利率与2015年综合毛利率基本相同，以降低对整体毛利率的影响。</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净利润：2016年实际净利润-2,861.97万元，通过虚增毛利额8,719.45万元、资产减值损失1,076.10万元、所得税费用-161.42万元，虚增净利润7,804.75万元，虚增后净利润4,942.78万元。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应收账款：2016年末应收账款净值实际金额80,104.26万元，2015年末77,524.14万元，增量2,580.12万元，增长率仅3.33%。在2016年实际营业收入增长率30%的情况下，应收账款仅增长3.33%，当期回款率非常高，为应收账款虚增提供了空间，同时为下一年度虚增回款提供了空间。2016年末虚增应收账款余额24,402.90万元，虚增后应收账款净值103,431.06万元，较2015年末增长33.42%。在营业收入增长60%的情况下，应收账款的回款率没有明显下降，看起来比较合理。</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预付款项：2016年末实际预付款项10,439.32万元，虚增预付款项1,920.23万元，虚增后预付款项12,359.54万元。虚增后较2015年末大幅增长165.86%。虚增预付款项没有放在存货里考量因素主要在于2016年末本身存货增长较快、放在存货里跨年度结转成本比较麻烦。另一方面放预付款里有合同和资金流支撑容易应付审计。</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rPr>
              <w:t>特别关注：2016年筹资活动现金净流入215,644.77万元，这也是2016年转出17,603.69万元备用的底气。但并未大幅偿还应付账款，主要出于2016年度经营活动现金净流量已经是负数，很不好看了，若再大幅偿还经营欠款经营活动现金流数据就更不好看了。没有给以后年度现金流的转好流出足够的空间。关注筹资当年经营活动现金流情况。</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2、</w:t>
            </w:r>
            <w:r>
              <w:rPr>
                <w:rFonts w:hint="eastAsia"/>
              </w:rPr>
              <w:t>2017年度造假情况</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2017年度原报表净利润16,493.03万元，通过虚构交易虚增净利润9,337.97万元，实际净利润7,155.05万元。虚构营业收入33,828.24万元、虚构营业成本24,447.92万元；虚构销售活动现金流入35,712.79万元、虚构采购现金流出27,219.24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背离指标：1）2017年营业收入规模持续增长金额204,011.99万元，增长率24.48%；净利润16,493.03万元；经营活动现金净流量持续下降，2017年度经营活动现金净流出959.35万元。2）应收账款期末净值109,653.32万元，较2016年末增长6.02%。企业毛利率较低、盈亏平衡点高达16亿左右，经营活动产生现金的能力相对较弱，需要在报表项目之间腾挪，造成各报表项目存在异常的可能。</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rPr>
              <w:t>转出资金量：以预付采购款的名义转出资金2,771.32万元、以采购存货（做虚假销售结转为营业成本）的名义转出资金24,447.92万元，合计转出资金27,219.24万元。对应虚增预付款项2,771.32万元、虚增营业成本24,447.92万元、虚增购买商品接受劳务支付的现金27,219.24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销售回款转入资金：以销售回款的名义转回35,712.79万元，虚增销售商品提供劳务收到的现金35,712.79万元。实际净转入资金8,493.55万元，虚增经营活动现金净流入8,493.55万元。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经营活动现金净流量：如果不发生虚构业务和现金流，2017年实际经营活动现金净流量-9,452.91万元，由于虚构业务净转入资金8,493.55万元，造成经营活动现金净流量为-959.35万元。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营业收入：根据2016年营业收入大幅增长60%左右，2017年虚增收入以维持相对合理的营业收入增长水平。实际营业收入163,184.91万元，较2016年增长9.45%。虚增后营业收入增长24.48%。其中虚增营业收入33,828.24万元。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营业成本：虚增营业成本24,447.92万元，虚增毛利9,380.32万元。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净利润：2017年实际净利润7,155.05万元，通过虚增毛利额9,380.32万元、资产减值损失及所得税费用，虚增净利润9,337.97万元，虚增后净利润16,493.03万元。</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应收账款：2017年末应收账款净值实际金额88,260.89万元，2015年末80,104.26万元，增量8,156.63万元，增长率仅3.33%。在2016年实际营业收入增长率30%的情况下，应收账款增长10.18%，当期回款率相对高。2017年末虚增应收账款余额22,518.35万元，虚增后应收账款净值109,653.33万元，较2016年末增长6.02%。在营业收入增长24.48%的情况下，应收账款增长6.02%，看起来比较合理。</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预付款项：2017年末实际预付款项9,319.59万元，虚增预付款项4,691.55万元，虚增后预付款项14,011.14万元。虚增后较2016年末大幅增长13.36%。</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特别关注：2017年末应付账款较2016年末减少19,976.61万元，主要出于2016年融资有可用资金，另一方面因为2016年经营活动现金流不好，没有在2016年大幅偿还经营欠款给2017年腾出空间。</w:t>
            </w:r>
          </w:p>
          <w:p>
            <w:pPr>
              <w:pageBreakBefore w:val="0"/>
              <w:kinsoku/>
              <w:wordWrap/>
              <w:overflowPunct/>
              <w:topLinePunct w:val="0"/>
              <w:autoSpaceDE/>
              <w:autoSpaceDN/>
              <w:bidi w:val="0"/>
              <w:adjustRightInd/>
              <w:snapToGrid/>
              <w:spacing w:line="312" w:lineRule="auto"/>
              <w:textAlignment w:val="auto"/>
              <w:rPr>
                <w:rFonts w:hint="eastAsia"/>
              </w:rPr>
            </w:pPr>
            <w:r>
              <w:rPr>
                <w:rFonts w:hint="eastAsia" w:ascii="Times New Roman" w:eastAsia="宋体"/>
                <w:lang w:val="en-US" w:eastAsia="zh-CN"/>
              </w:rPr>
              <w:t>3、</w:t>
            </w:r>
            <w:r>
              <w:rPr>
                <w:rFonts w:hint="eastAsia"/>
              </w:rPr>
              <w:t>2018年度造假情况</w:t>
            </w:r>
          </w:p>
          <w:p>
            <w:pPr>
              <w:pageBreakBefore w:val="0"/>
              <w:kinsoku/>
              <w:wordWrap/>
              <w:overflowPunct/>
              <w:topLinePunct w:val="0"/>
              <w:autoSpaceDE/>
              <w:autoSpaceDN/>
              <w:bidi w:val="0"/>
              <w:adjustRightInd/>
              <w:snapToGrid/>
              <w:spacing w:line="312" w:lineRule="auto"/>
              <w:ind w:firstLine="420" w:firstLineChars="200"/>
              <w:textAlignment w:val="auto"/>
              <w:rPr>
                <w:rFonts w:hint="eastAsia"/>
              </w:rPr>
            </w:pPr>
            <w:r>
              <w:rPr>
                <w:rFonts w:hint="eastAsia"/>
              </w:rPr>
              <w:t>2016年度、2017年度消化后剩余9,110.14待消化（转回），2018年度收购了千洪电子，带来了营业收入和利润的大幅增长。没有业绩压力，因此2018年主要在消化2016年度转出的资金。2018年度虚增营业收入6,233.97万元、虚增营业成本4,425.41万元、虚增净利润1,182.73万元。通过虚增销售商品提供劳务收到的现金及购买商品接受劳务支付的现金转回资金6,249.83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pageBreakBefore w:val="0"/>
              <w:kinsoku/>
              <w:wordWrap/>
              <w:overflowPunct/>
              <w:topLinePunct w:val="0"/>
              <w:autoSpaceDE/>
              <w:autoSpaceDN/>
              <w:bidi w:val="0"/>
              <w:adjustRightInd/>
              <w:snapToGrid/>
              <w:spacing w:line="312" w:lineRule="auto"/>
              <w:textAlignment w:val="auto"/>
            </w:pPr>
            <w:r>
              <w:rPr>
                <w:rFonts w:hint="eastAsia"/>
              </w:rPr>
              <w:t>关联</w:t>
            </w:r>
            <w:r>
              <w:t>的审计术语与审计方法</w:t>
            </w:r>
          </w:p>
        </w:tc>
        <w:tc>
          <w:tcPr>
            <w:tcW w:w="6316" w:type="dxa"/>
          </w:tcPr>
          <w:p>
            <w:pPr>
              <w:pageBreakBefore w:val="0"/>
              <w:kinsoku/>
              <w:wordWrap/>
              <w:overflowPunct/>
              <w:topLinePunct w:val="0"/>
              <w:autoSpaceDE/>
              <w:autoSpaceDN/>
              <w:bidi w:val="0"/>
              <w:adjustRightInd/>
              <w:snapToGrid/>
              <w:spacing w:line="312" w:lineRule="auto"/>
              <w:textAlignment w:val="auto"/>
              <w:rPr>
                <w:rFonts w:hint="default" w:eastAsia="宋体"/>
                <w:lang w:val="en-US" w:eastAsia="zh-CN"/>
              </w:rPr>
            </w:pPr>
            <w:r>
              <w:rPr>
                <w:rFonts w:hint="eastAsia" w:ascii="Times New Roman" w:eastAsia="宋体"/>
                <w:lang w:val="en-US" w:eastAsia="zh-CN"/>
              </w:rPr>
              <w:t>财务造假（</w:t>
            </w:r>
            <w:r>
              <w:rPr>
                <w:rFonts w:hint="eastAsia"/>
                <w:b w:val="0"/>
                <w:bCs w:val="0"/>
              </w:rPr>
              <w:t>虚增收入、成本及利润</w:t>
            </w:r>
            <w:r>
              <w:rPr>
                <w:rFonts w:hint="eastAsia" w:ascii="Times New Roman" w:eastAsia="宋体"/>
                <w:lang w:val="en-US" w:eastAsia="zh-CN"/>
              </w:rPr>
              <w:t>）、关联方交易、对外担保</w:t>
            </w:r>
          </w:p>
        </w:tc>
      </w:tr>
    </w:tbl>
    <w:p>
      <w:pPr>
        <w:pageBreakBefore w:val="0"/>
        <w:kinsoku/>
        <w:wordWrap/>
        <w:overflowPunct/>
        <w:topLinePunct w:val="0"/>
        <w:autoSpaceDE/>
        <w:autoSpaceDN/>
        <w:bidi w:val="0"/>
        <w:adjustRightInd/>
        <w:snapToGrid/>
        <w:spacing w:line="312" w:lineRule="auto"/>
        <w:textAlignment w:val="auto"/>
        <w:rPr>
          <w:rFonts w:hint="eastAsia"/>
        </w:rPr>
      </w:pPr>
    </w:p>
    <w:p>
      <w:pPr>
        <w:pageBreakBefore w:val="0"/>
        <w:kinsoku/>
        <w:wordWrap/>
        <w:overflowPunct/>
        <w:topLinePunct w:val="0"/>
        <w:autoSpaceDE/>
        <w:autoSpaceDN/>
        <w:bidi w:val="0"/>
        <w:adjustRightInd/>
        <w:snapToGrid/>
        <w:spacing w:line="312" w:lineRule="auto"/>
        <w:textAlignment w:val="auto"/>
      </w:pPr>
    </w:p>
    <w:p>
      <w:pPr>
        <w:rPr>
          <w:rFonts w:hint="eastAsia" w:ascii="宋体" w:hAnsi="宋体" w:eastAsia="宋体" w:cs="宋体"/>
        </w:rPr>
        <w:sectPr>
          <w:pgSz w:w="11906" w:h="16838"/>
          <w:pgMar w:top="1440" w:right="1800" w:bottom="1440" w:left="1800" w:header="851" w:footer="992" w:gutter="0"/>
          <w:cols w:space="425" w:num="1"/>
          <w:docGrid w:type="lines" w:linePitch="312" w:charSpace="0"/>
        </w:sectPr>
      </w:pPr>
    </w:p>
    <w:p>
      <w:pPr>
        <w:pStyle w:val="2"/>
        <w:rPr>
          <w:rFonts w:hint="eastAsia" w:eastAsia="宋体"/>
          <w:lang w:val="en-US" w:eastAsia="zh-CN"/>
        </w:rPr>
      </w:pPr>
      <w:bookmarkStart w:id="46" w:name="_Toc10707"/>
      <w:r>
        <w:rPr>
          <w:rFonts w:hint="eastAsia"/>
          <w:lang w:val="en-US" w:eastAsia="zh-CN"/>
        </w:rPr>
        <w:t>3</w:t>
      </w:r>
      <w:r>
        <w:rPr>
          <w:rFonts w:hint="eastAsia"/>
        </w:rPr>
        <w:t>1-</w:t>
      </w:r>
      <w:r>
        <w:rPr>
          <w:rFonts w:hint="eastAsia"/>
          <w:lang w:val="en-US" w:eastAsia="zh-CN"/>
        </w:rPr>
        <w:t>4</w:t>
      </w:r>
      <w:r>
        <w:t xml:space="preserve">0 </w:t>
      </w:r>
      <w:r>
        <w:rPr>
          <w:rFonts w:hint="eastAsia"/>
        </w:rPr>
        <w:t>主要分析人：</w:t>
      </w:r>
      <w:r>
        <w:rPr>
          <w:rFonts w:hint="eastAsia"/>
          <w:lang w:val="en-US" w:eastAsia="zh-CN"/>
        </w:rPr>
        <w:t>朱新宇</w:t>
      </w:r>
      <w:bookmarkEnd w:id="46"/>
    </w:p>
    <w:p>
      <w:pPr>
        <w:pStyle w:val="2"/>
      </w:pPr>
      <w:bookmarkStart w:id="47" w:name="_Toc10529"/>
      <w:r>
        <w:rPr>
          <w:rFonts w:hint="eastAsia"/>
          <w:lang w:val="en-US" w:eastAsia="zh-CN"/>
        </w:rPr>
        <w:t>31 富控互动</w:t>
      </w:r>
      <w:r>
        <w:rPr>
          <w:rFonts w:hint="eastAsia"/>
        </w:rPr>
        <w:t>事件</w:t>
      </w:r>
      <w:bookmarkEnd w:id="47"/>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ascii="Times New Roman" w:eastAsia="宋体"/>
                <w:lang w:val="en-US" w:eastAsia="zh-CN"/>
              </w:rPr>
              <w:t>上海富控互动娱乐股份有限公司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lang w:val="en-US"/>
              </w:rPr>
            </w:pPr>
            <w:r>
              <w:rPr>
                <w:rFonts w:hint="eastAsia" w:ascii="Times New Roman" w:eastAsia="宋体"/>
                <w:lang w:val="en-US" w:eastAsia="zh-CN"/>
              </w:rPr>
              <w:t>计算机、软件及辅助设备、电子产品、数码产品的销售、制作等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jc w:val="left"/>
              <w:rPr>
                <w:rFonts w:hint="eastAsia"/>
              </w:rPr>
            </w:pPr>
            <w:r>
              <w:rPr>
                <w:rFonts w:hint="eastAsia"/>
              </w:rPr>
              <w:t>【企业背景】</w:t>
            </w:r>
          </w:p>
          <w:p>
            <w:pPr>
              <w:jc w:val="center"/>
              <w:rPr>
                <w:rFonts w:hint="eastAsia"/>
                <w:lang w:eastAsia="zh-CN"/>
              </w:rPr>
            </w:pPr>
            <w:r>
              <w:rPr>
                <w:rFonts w:hint="eastAsia"/>
              </w:rPr>
              <w:tab/>
            </w:r>
            <w:r>
              <w:rPr>
                <w:rFonts w:hint="eastAsia"/>
              </w:rPr>
              <w:t>上海富控互动娱乐股份有限公司于1993年12月09日成立。法定代表人叶建华</w:t>
            </w:r>
            <w:r>
              <w:rPr>
                <w:rFonts w:hint="eastAsia" w:eastAsia="宋体"/>
                <w:lang w:eastAsia="zh-CN"/>
              </w:rPr>
              <w:t>。上海富控互动娱乐股份有限公司是A股上市公司（简称富控互动，SH600634），是一家专注于游戏研发、发行与运营业务的专业网络游戏公司，办公地点位于风景优美的上海外滩。</w:t>
            </w:r>
          </w:p>
          <w:p>
            <w:pPr>
              <w:jc w:val="left"/>
              <w:rPr>
                <w:rFonts w:hint="eastAsia"/>
              </w:rPr>
            </w:pPr>
            <w:r>
              <w:rPr>
                <w:rFonts w:hint="eastAsia" w:eastAsia="宋体"/>
                <w:lang w:eastAsia="zh-CN"/>
              </w:rPr>
              <w:t>公司海外核心资产为英国较大游戏公司Jagex Limited，位于英国剑桥，团队规模300多人，主营游戏Runescape已上线16年，累计用户约2.5亿；国内游戏业务则立足上海，构建集研发、运营、发行于一体的团队，目前已有5个工作室，规模200多人，已开展多款自有IP研发以及IP合作。</w:t>
            </w:r>
          </w:p>
          <w:p>
            <w:pPr>
              <w:jc w:val="center"/>
              <w:rPr>
                <w:rFonts w:hint="eastAsia"/>
              </w:rPr>
            </w:pPr>
          </w:p>
          <w:p>
            <w:pPr>
              <w:jc w:val="both"/>
              <w:rPr>
                <w:rFonts w:hint="eastAsia"/>
              </w:rPr>
            </w:pPr>
            <w:r>
              <w:rPr>
                <w:rFonts w:hint="eastAsia"/>
              </w:rPr>
              <w:t>【案情背景】</w:t>
            </w:r>
          </w:p>
          <w:p>
            <w:pPr>
              <w:jc w:val="both"/>
              <w:rPr>
                <w:rFonts w:hint="eastAsia"/>
                <w:lang w:eastAsia="zh-CN"/>
              </w:rPr>
            </w:pPr>
            <w:r>
              <w:rPr>
                <w:rFonts w:hint="eastAsia" w:eastAsia="宋体"/>
                <w:lang w:eastAsia="zh-CN"/>
              </w:rPr>
              <w:t>富控互动通过虚增子公司上海中技桩业股份有限公司（以下简称中技桩业）对温岭市宏茂金属制品有限公司等32家公司的专利使用费和技术服务费收入的方式，2013年虚增利润总额27,676,356.32元，2014年虚增利润总额109,247,855.43元，2015年虚增利润总额140,246,009.53元，2016年1至9月虚增利润总额73,607,010.01元。</w:t>
            </w:r>
          </w:p>
          <w:p>
            <w:pPr>
              <w:jc w:val="center"/>
              <w:rPr>
                <w:rFonts w:hint="eastAsia"/>
              </w:rPr>
            </w:pPr>
          </w:p>
          <w:p>
            <w:pPr>
              <w:jc w:val="both"/>
              <w:rPr>
                <w:rFonts w:hint="eastAsia"/>
              </w:rPr>
            </w:pPr>
            <w:r>
              <w:rPr>
                <w:rFonts w:hint="eastAsia"/>
              </w:rPr>
              <w:t>【案情描述】</w:t>
            </w:r>
          </w:p>
          <w:p>
            <w:pPr>
              <w:jc w:val="left"/>
              <w:rPr>
                <w:rFonts w:hint="eastAsia"/>
                <w:lang w:eastAsia="zh-CN"/>
              </w:rPr>
            </w:pPr>
            <w:r>
              <w:rPr>
                <w:rFonts w:hint="eastAsia"/>
              </w:rPr>
              <w:tab/>
            </w:r>
            <w:r>
              <w:rPr>
                <w:rFonts w:hint="eastAsia" w:eastAsia="宋体"/>
                <w:lang w:eastAsia="zh-CN"/>
              </w:rPr>
              <w:t>富控互动通过虚增子公司中技桩业对滨州卓信建材有限公司等11家公司的专利使用费和商标使用费收入的方式，2015年虚增利润总额48,093,613.21元，2016年1至9月虚增利润总额44,995,694.07元。</w:t>
            </w:r>
          </w:p>
          <w:p>
            <w:pPr>
              <w:jc w:val="left"/>
              <w:rPr>
                <w:rFonts w:hint="eastAsia"/>
                <w:lang w:eastAsia="zh-CN"/>
              </w:rPr>
            </w:pPr>
            <w:r>
              <w:rPr>
                <w:rFonts w:hint="eastAsia" w:eastAsia="宋体"/>
                <w:lang w:eastAsia="zh-CN"/>
              </w:rPr>
              <w:t>2016年10月，富控互动将其持有的中技桩业股份转让给上海中技企业集团有限公司（以下简称中技集团）子公司上海轶鹏投资管理有限公司。</w:t>
            </w:r>
          </w:p>
          <w:p>
            <w:pPr>
              <w:ind w:firstLine="420" w:firstLineChars="200"/>
              <w:jc w:val="both"/>
              <w:rPr>
                <w:rFonts w:hint="eastAsia"/>
              </w:rPr>
            </w:pPr>
            <w:r>
              <w:rPr>
                <w:rFonts w:hint="eastAsia" w:eastAsia="宋体"/>
                <w:lang w:eastAsia="zh-CN"/>
              </w:rPr>
              <w:t>富控互动披露的《2013年年度报告》虚增利润总额27,676,356.32元，占当期披露利润总额的17.14%；《2014年年度报告》虚增利润总额109,247,855.43元，占当期披露利润总额的55.09%；《2015年年度报告》虚增利润总额188,339,622.74元，占当期披露利润总额的104.90%；《2016年年度报告》虚增营业收入118,602,704.08元，虚减投资收益118,602,704.08元，占当期披露利润总额的54.70%。上述行为导致富控互动相关年度报告财务数据存在虚假记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rPr>
                <w:rFonts w:hint="eastAsia"/>
                <w:lang w:val="en-US" w:eastAsia="zh-CN"/>
              </w:rPr>
            </w:pPr>
            <w:r>
              <w:rPr>
                <w:rFonts w:hint="eastAsia" w:ascii="Times New Roman" w:eastAsia="宋体"/>
                <w:lang w:val="en-US" w:eastAsia="zh-CN"/>
              </w:rPr>
              <w:t>11月13日，*ST富控披露收到证监会上海监管局的《关于对上海富控互动娱乐股份有限公司采取责令改正措施的决定》（下称《责令改正决定》）。其中明确指出，*ST富控有关会计处理不恰当，在按《企业会计准则》相关规定纠正会计处理事项后，公司2019年末净资产将由正转负；公司存在定期报告信息披露不准确的情况，违反了《上市公司信息披露管理办法》第二条的相关规定。责令公司在收到决定书之日起 30 日内修正并披露 2019 年年度报告并提交书面整改报告。</w:t>
            </w:r>
          </w:p>
          <w:p>
            <w:pPr>
              <w:rPr>
                <w:rFonts w:hint="eastAsia"/>
                <w:lang w:val="en-US" w:eastAsia="zh-CN"/>
              </w:rPr>
            </w:pPr>
            <w:r>
              <w:rPr>
                <w:rFonts w:hint="eastAsia" w:ascii="Times New Roman" w:eastAsia="宋体"/>
                <w:lang w:val="en-US" w:eastAsia="zh-CN"/>
              </w:rPr>
              <w:t>11月15日，上交所再发问询函指出，*ST富控如未严格按《责令改正决定》要求改正或未在规定期限内改正，上交所将对公司股票依序实施停牌、退市风险警示、暂停上市和终止上市程序。至今，改正尚未有结果。</w:t>
            </w:r>
          </w:p>
          <w:p>
            <w:pPr>
              <w:rPr>
                <w:rFonts w:hint="default" w:eastAsia="宋体"/>
                <w:lang w:val="en-US" w:eastAsia="zh-CN"/>
              </w:rPr>
            </w:pPr>
            <w:r>
              <w:rPr>
                <w:rFonts w:hint="eastAsia" w:ascii="Times New Roman" w:eastAsia="宋体"/>
                <w:lang w:val="en-US" w:eastAsia="zh-CN"/>
              </w:rPr>
              <w:t>11月18日，针对*ST富控恶意规避退市的行为，上交所给予顶格处分。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中审亚太会计师事务所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ind w:firstLine="420" w:firstLineChars="200"/>
              <w:rPr>
                <w:rStyle w:val="18"/>
                <w:rFonts w:hint="eastAsia"/>
                <w:i w:val="0"/>
                <w:iCs w:val="0"/>
                <w:color w:val="auto"/>
              </w:rPr>
            </w:pPr>
            <w:r>
              <w:rPr>
                <w:rStyle w:val="18"/>
                <w:rFonts w:hint="eastAsia"/>
                <w:i w:val="0"/>
                <w:iCs w:val="0"/>
                <w:color w:val="auto"/>
              </w:rPr>
              <w:t>年报审计会计师对公司的财务会计报告出具了否定意见，并明确指出，按会计准则核算，公司净资产应为-22.41亿元。</w:t>
            </w:r>
          </w:p>
          <w:p>
            <w:pPr>
              <w:tabs>
                <w:tab w:val="left" w:pos="2160"/>
              </w:tabs>
              <w:rPr>
                <w:rStyle w:val="18"/>
                <w:rFonts w:hint="eastAsia"/>
                <w:i w:val="0"/>
                <w:iCs w:val="0"/>
                <w:color w:val="auto"/>
              </w:rPr>
            </w:pPr>
            <w:r>
              <w:rPr>
                <w:rStyle w:val="18"/>
                <w:rFonts w:hint="eastAsia"/>
                <w:i w:val="0"/>
                <w:iCs w:val="0"/>
                <w:color w:val="auto"/>
              </w:rPr>
              <w:t>实际上，如果不操纵净资产转正的话，*ST富控将触发“连续两年净资产为负”的暂停上市指标，因为在2018年公司净资产已经为-35亿元。因此，*ST富控此番操作逃避暂停上市的意图昭然若揭。</w:t>
            </w:r>
          </w:p>
          <w:p>
            <w:pPr>
              <w:tabs>
                <w:tab w:val="left" w:pos="2160"/>
              </w:tabs>
              <w:rPr>
                <w:rStyle w:val="18"/>
                <w:rFonts w:hint="default" w:eastAsia="宋体"/>
                <w:i w:val="0"/>
                <w:iCs w:val="0"/>
                <w:color w:val="auto"/>
                <w:lang w:val="en-US" w:eastAsia="zh-CN"/>
              </w:rPr>
            </w:pPr>
            <w:r>
              <w:rPr>
                <w:rStyle w:val="18"/>
                <w:rFonts w:hint="eastAsia"/>
                <w:i w:val="0"/>
                <w:iCs w:val="0"/>
                <w:color w:val="auto"/>
                <w:lang w:val="en-US" w:eastAsia="zh-CN"/>
              </w:rPr>
              <w:t xml:space="preserve">   富控互动不应因为逃避退市而选择不正当手段，公司应采取周密的措施保证各项治理制度严格执行,确保公司治理规范、内部崆控制严格、管理科学、风险可控。</w:t>
            </w:r>
          </w:p>
          <w:p>
            <w:pPr>
              <w:tabs>
                <w:tab w:val="left" w:pos="2160"/>
              </w:tabs>
              <w:rPr>
                <w:rStyle w:val="18"/>
                <w:rFonts w:hint="eastAsia"/>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eastAsia="宋体"/>
                <w:lang w:eastAsia="zh-CN"/>
              </w:rPr>
            </w:pPr>
            <w:r>
              <w:rPr>
                <w:rFonts w:hint="eastAsia"/>
              </w:rPr>
              <w:t>我们审计了上海富控互动娱乐股份有限公司(以下简称“富控互动”)的财务报表,包括2019年12月31日的合并及公司资产负债表,2019年度的合并及公司利润表、合并及公司现金流量表、合并及公司股东权益变动表以及相关财务报表附注</w:t>
            </w:r>
            <w:r>
              <w:rPr>
                <w:rFonts w:hint="eastAsia" w:eastAsia="宋体"/>
                <w:lang w:eastAsia="zh-CN"/>
              </w:rPr>
              <w:t>。</w:t>
            </w:r>
            <w:r>
              <w:rPr>
                <w:rFonts w:hint="eastAsia"/>
              </w:rPr>
              <w:t>我们认为,由于“形成否定意见的基础”部分所述事项的重要性,后附的财务报表没有在所有重大方面按照企业会计准则的规定编制,未能公允反映富控互动2019年12月31日的合并及公司财务状况以及2019年度的合并及公司经营</w:t>
            </w:r>
            <w:r>
              <w:rPr>
                <w:rFonts w:hint="eastAsia" w:ascii="Times New Roman" w:eastAsia="宋体"/>
                <w:lang w:val="en-US" w:eastAsia="zh-CN"/>
              </w:rPr>
              <w:t>成</w:t>
            </w:r>
            <w:r>
              <w:rPr>
                <w:rFonts w:hint="eastAsia"/>
              </w:rPr>
              <w:t>果和合并及公司现金流量</w:t>
            </w:r>
            <w:r>
              <w:rPr>
                <w:rFonts w:hint="eastAsia" w:eastAsia="宋体"/>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函证，实质性测试，否定意见</w:t>
            </w:r>
          </w:p>
        </w:tc>
      </w:tr>
    </w:tbl>
    <w:p>
      <w:pPr>
        <w:pStyle w:val="2"/>
        <w:rPr>
          <w:rFonts w:hint="default" w:eastAsia="宋体"/>
          <w:lang w:val="en-US" w:eastAsia="zh-CN"/>
        </w:rPr>
      </w:pPr>
      <w:bookmarkStart w:id="48" w:name="_Toc13392"/>
      <w:r>
        <w:rPr>
          <w:rFonts w:hint="eastAsia"/>
          <w:lang w:val="en-US" w:eastAsia="zh-CN"/>
        </w:rPr>
        <w:t>3</w:t>
      </w:r>
      <w:r>
        <w:rPr>
          <w:rFonts w:hint="eastAsia"/>
        </w:rPr>
        <w:t>2</w:t>
      </w:r>
      <w:r>
        <w:rPr>
          <w:rFonts w:hint="eastAsia"/>
          <w:lang w:val="en-US" w:eastAsia="zh-CN"/>
        </w:rPr>
        <w:t xml:space="preserve"> 香溢融通</w:t>
      </w:r>
      <w:bookmarkEnd w:id="48"/>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w:t>
            </w:r>
            <w:r>
              <w:rPr>
                <w:rFonts w:hint="eastAsia" w:ascii="Times New Roman" w:eastAsia="宋体"/>
                <w:lang w:val="en-US" w:eastAsia="zh-CN"/>
              </w:rPr>
              <w:t>020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ascii="Times New Roman" w:eastAsia="宋体"/>
                <w:lang w:val="en-US" w:eastAsia="zh-CN"/>
              </w:rPr>
              <w:t>香溢融通控股集团股份有限公司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left"/>
              <w:rPr>
                <w:rFonts w:hint="default"/>
                <w:lang w:val="en-US"/>
              </w:rPr>
            </w:pPr>
            <w:r>
              <w:rPr>
                <w:rFonts w:hint="eastAsia" w:ascii="Times New Roman" w:eastAsia="宋体"/>
                <w:lang w:val="en-US" w:eastAsia="zh-CN"/>
              </w:rPr>
              <w:t>百货、建筑装潢材料、纺织品及原料、五金、交电、化工、机电设备、金属材料、工艺品、日用杂品、食品、其他食品(含烟)、滋补品、土产畜产品的批发、零售、代购代销等。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r>
              <w:tab/>
            </w:r>
            <w:r>
              <w:rPr>
                <w:rFonts w:hint="eastAsia"/>
              </w:rPr>
              <w:t>香溢融通控股集团股份有限公司组建于1992年，1994年初在上海证券交易所上市，股票代码600830，股票简称香溢融通（曾用名：宁波城隍庙实业股份有限公司，简称甬城隍庙；宁波大红鹰实业投资股份有限公司，简称大红鹰），实际控制人为中国烟草总公司浙江省公司。注册资本4.54亿元，总资产30.8亿元，净资产18.7亿元。</w:t>
            </w:r>
          </w:p>
          <w:p/>
          <w:p>
            <w:pPr>
              <w:rPr>
                <w:b/>
              </w:rPr>
            </w:pPr>
            <w:r>
              <w:rPr>
                <w:rFonts w:hint="eastAsia"/>
                <w:b/>
              </w:rPr>
              <w:t>【案情背景</w:t>
            </w:r>
            <w:r>
              <w:rPr>
                <w:b/>
              </w:rPr>
              <w:t>】</w:t>
            </w:r>
          </w:p>
          <w:p>
            <w:pPr>
              <w:rPr>
                <w:rFonts w:hint="eastAsia"/>
              </w:rPr>
            </w:pPr>
            <w:r>
              <w:rPr>
                <w:b/>
              </w:rPr>
              <w:tab/>
            </w:r>
            <w:r>
              <w:rPr>
                <w:rFonts w:hint="eastAsia"/>
              </w:rPr>
              <w:t>香溢融通1994年2月上市，是宁波最早的一批上市公司之一，主营范围有典当、担保、融资租赁、财富管理、贸易等。该公司特殊的经营业务，也为其2015年开始的财务造假提供了便利。2015年12月，为完成香溢融通董事会对下属事业部的利润考核指标，提高管理层薪酬，时任公司总经理邱樟海，决策转让子公司香溢投资持有的东海瑞京-瑞龙7号资管计划（下称“瑞龙7号”）和子公司香溢金联持有的君证投资1号资管计划（下称“君证1号”）产品份额的收益权共1.03亿元。</w:t>
            </w:r>
          </w:p>
          <w:p>
            <w:pPr>
              <w:ind w:firstLine="420" w:firstLineChars="200"/>
              <w:rPr>
                <w:rFonts w:hint="eastAsia"/>
              </w:rPr>
            </w:pPr>
            <w:r>
              <w:rPr>
                <w:rFonts w:hint="eastAsia"/>
              </w:rPr>
              <w:t>同时，子公司香溢担保与两个产品的受让方分别签订《担保服务合同》，并约定，产品到期清算后，若实际收益低于上述各自收益权转让款加年化12%的收益，不足部分由香溢担保和香溢融通补足。</w:t>
            </w:r>
          </w:p>
          <w:p>
            <w:pPr>
              <w:rPr>
                <w:b/>
              </w:rPr>
            </w:pPr>
          </w:p>
          <w:p>
            <w:pPr>
              <w:rPr>
                <w:b/>
              </w:rPr>
            </w:pPr>
            <w:r>
              <w:rPr>
                <w:rFonts w:hint="eastAsia"/>
                <w:b/>
              </w:rPr>
              <w:t>【案情描述】</w:t>
            </w:r>
          </w:p>
          <w:p>
            <w:pPr>
              <w:ind w:firstLine="422" w:firstLineChars="200"/>
              <w:rPr>
                <w:rFonts w:hint="eastAsia"/>
              </w:rPr>
            </w:pPr>
            <w:r>
              <w:rPr>
                <w:b/>
                <w:bCs/>
              </w:rPr>
              <w:tab/>
            </w:r>
            <w:r>
              <w:rPr>
                <w:rFonts w:hint="eastAsia"/>
              </w:rPr>
              <w:t>2015年12月，为提升考核利润和管理层薪酬，时任香溢融通董事、总经理邱樟海决策转让香溢融通子公司持有的资管产品收益权。</w:t>
            </w:r>
          </w:p>
          <w:p>
            <w:pPr>
              <w:ind w:firstLine="420" w:firstLineChars="200"/>
              <w:rPr>
                <w:rFonts w:hint="eastAsia"/>
              </w:rPr>
            </w:pPr>
            <w:r>
              <w:rPr>
                <w:rFonts w:hint="eastAsia"/>
              </w:rPr>
              <w:t>2015年12月下旬，香溢融通子公司香溢融通（浙江）投资有限公司（以下简称香溢投资）将其持有的东海瑞京——瑞龙7号专项资产管理计划（以下简称瑞龙7号）的收益权转让给宁波开泰投资合伙企业（有限合作）（以下简称开泰投资），转让价款6,000万元。香溢融通子公司浙江香溢金联有限公司（以下简称香溢金联）将其持有的浦银安盛—浦发银行—君证1号资产管理计划（以下简称君证1号）的收益权转让给宁波超宏投资咨询有限公司（以下简称超宏投资）和宁波九牛投资咨询有限公司（以下简称九牛投资），转让价款共计4,300万元。收益权转让同时，香溢融通子公司浙江香溢担保有限公司（2018年9月变更企业名称为浙江香溢融资担保有限公司，以下简称香溢担保）与开泰投资、超宏投资、九牛投资签订担保合同，香溢融通向超宏投资、九牛投资出具承诺函，约定对转让价款和年化12%的收益（税前）承担差额补足义务。2015年12月28日至29日，香溢投资分2笔收到开泰投资汇入的转让价款合计6,000万元，并于当月29日确认投资收益6,000万元。2015年12月30日，香溢金联分别收到超宏投资、九牛投资汇入的转让价款合计4,300万元，并于当日确认投资收益4,300万元。</w:t>
            </w:r>
          </w:p>
          <w:p>
            <w:pPr>
              <w:ind w:firstLine="420" w:firstLineChars="200"/>
              <w:rPr>
                <w:rFonts w:hint="eastAsia"/>
              </w:rPr>
            </w:pPr>
            <w:r>
              <w:rPr>
                <w:rFonts w:hint="eastAsia"/>
              </w:rPr>
              <w:t>2016年3月，瑞龙7号清算后，实际收益不足以覆盖转让价款和约定收益。2016年5月，香溢融通子公司浙江香溢租赁有限责任公司（以下简称香溢租赁）虚构融资租赁业务，将3550万元以支付融资租赁款的形式转至开泰投资指定的公司，履行了瑞龙7号的差额补足义务。2018年1月，香溢投资虚构投资项目，将资金转回香溢租赁以掩盖此前虚构的融资租赁业务。2016年6月，君证1号清算后，实际收益也不足以覆盖转让价款和约定收益，嗣后香溢担保与超宏投资、九牛投资签订了担保补充协议，香溢融通开具承诺函，对剩余转让款和约定收益进行担保。2017年7月，香溢投资虚构投资项目，将2606万元转至超宏投资和九牛投资指定的公司，履行了君证1号的差额补足义务。</w:t>
            </w:r>
          </w:p>
          <w:p>
            <w:pPr>
              <w:ind w:firstLine="420" w:firstLineChars="200"/>
              <w:rPr>
                <w:b/>
                <w:bCs/>
              </w:rPr>
            </w:pPr>
            <w:r>
              <w:rPr>
                <w:rFonts w:hint="eastAsia"/>
              </w:rPr>
              <w:t>根据《企业会计准则第23号——金融资产转移（2006）》第七条、第八条、第十五条规定，因瑞龙7号和君证1号收益权转让附带担保，香溢融通当期不得确认投资收益，但香溢融通隐瞒担保事项，提前确定投资收益，并为了履行担保义务，虚构投资业务，导致香溢融通2015年虚增利润总额1.03亿元，占2015年更正前利润总额的48.76%，虚增净利润77,580,324.37元，占2015年更正前净利润的49.96%；2016年虚减利润总额40,976,005.77元，占2016年更正前利润总额的26.54%，虚减净利润29,278,006.30元，占2016年更正前净利润的24.97%。</w:t>
            </w: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rPr>
                <w:rFonts w:hint="eastAsia" w:eastAsia="宋体"/>
                <w:lang w:eastAsia="zh-CN"/>
              </w:rPr>
            </w:pPr>
            <w:r>
              <w:rPr>
                <w:rFonts w:hint="eastAsia"/>
              </w:rPr>
              <w:t>2019年1月,证监会对香溢融通进行立案调查。目前,该案已进入行政处罚事先告知阶段,证监会拟对香溢融通作出处罚,对此</w:t>
            </w:r>
            <w:r>
              <w:rPr>
                <w:rFonts w:hint="eastAsia" w:ascii="Times New Roman" w:eastAsia="宋体"/>
                <w:lang w:val="en-US" w:eastAsia="zh-CN"/>
              </w:rPr>
              <w:t>财</w:t>
            </w:r>
            <w:r>
              <w:rPr>
                <w:rFonts w:hint="eastAsia"/>
              </w:rPr>
              <w:t>务造假的主要组织者和决策者邱樟海等人分别处以罚款和证券市场禁入措施</w:t>
            </w:r>
            <w:r>
              <w:rPr>
                <w:rFonts w:hint="eastAsia" w:eastAsia="宋体"/>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中汇会计师事务所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rPr>
                <w:rStyle w:val="18"/>
                <w:rFonts w:hint="default" w:eastAsia="宋体"/>
                <w:i w:val="0"/>
                <w:iCs w:val="0"/>
                <w:color w:val="auto"/>
                <w:lang w:val="en-US" w:eastAsia="zh-CN"/>
              </w:rPr>
            </w:pPr>
            <w:r>
              <w:rPr>
                <w:rStyle w:val="18"/>
                <w:rFonts w:hint="eastAsia"/>
                <w:i w:val="0"/>
                <w:iCs w:val="0"/>
                <w:color w:val="auto"/>
              </w:rPr>
              <w:t>香溢融通(600830.SH)造假案,源自公司部分高管的牟取不正当业绩奖励动机。公司</w:t>
            </w:r>
            <w:r>
              <w:rPr>
                <w:rStyle w:val="18"/>
                <w:rFonts w:hint="eastAsia"/>
                <w:i w:val="0"/>
                <w:iCs w:val="0"/>
                <w:color w:val="auto"/>
                <w:lang w:val="en-US" w:eastAsia="zh-CN"/>
              </w:rPr>
              <w:t>的内部控制制度上存在问题，奖励机制不合理。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ind w:firstLine="420" w:firstLineChars="200"/>
              <w:rPr>
                <w:rFonts w:hint="eastAsia"/>
              </w:rPr>
            </w:pPr>
            <w:r>
              <w:rPr>
                <w:rFonts w:hint="eastAsia"/>
              </w:rPr>
              <w:t>我们审计了香溢融通控股集团股份有限公司(以下简称“香溢融通控股集团”)财务报表,包括2019年12月31日的合并及母公司资产负债表,2019年度的合并及母公司利润表、合并及母公司现金流量表、合并及母公司所有者权益变动表以及我们认为,后附的财务报表在所有重大方面按照企业会计准则的规定编制公允反映了香溢融通控股集团2019年12月31日的合并及母公司财务状况以及2019</w:t>
            </w:r>
          </w:p>
          <w:p>
            <w:pPr>
              <w:rPr>
                <w:rFonts w:hint="eastAsia" w:eastAsia="宋体"/>
                <w:lang w:eastAsia="zh-CN"/>
              </w:rPr>
            </w:pPr>
            <w:r>
              <w:rPr>
                <w:rFonts w:hint="eastAsia"/>
              </w:rPr>
              <w:t>年度的合并及母公司经营成果和现金流量</w:t>
            </w:r>
            <w:r>
              <w:rPr>
                <w:rFonts w:hint="eastAsia" w:eastAsia="宋体"/>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会计差错，无保留意见，实质性测试</w:t>
            </w:r>
          </w:p>
        </w:tc>
      </w:tr>
    </w:tbl>
    <w:p>
      <w:pPr>
        <w:widowControl/>
        <w:jc w:val="left"/>
      </w:pPr>
    </w:p>
    <w:p>
      <w:pPr>
        <w:pStyle w:val="2"/>
        <w:rPr>
          <w:rFonts w:hint="default" w:eastAsia="宋体"/>
          <w:lang w:val="en-US" w:eastAsia="zh-CN"/>
        </w:rPr>
      </w:pPr>
      <w:bookmarkStart w:id="49" w:name="_Toc20396"/>
      <w:r>
        <w:rPr>
          <w:rFonts w:hint="eastAsia"/>
          <w:lang w:val="en-US" w:eastAsia="zh-CN"/>
        </w:rPr>
        <w:t>3</w:t>
      </w:r>
      <w:r>
        <w:rPr>
          <w:rFonts w:hint="eastAsia"/>
        </w:rPr>
        <w:t>3</w:t>
      </w:r>
      <w:r>
        <w:rPr>
          <w:rFonts w:hint="eastAsia"/>
          <w:lang w:val="en-US" w:eastAsia="zh-CN"/>
        </w:rPr>
        <w:t xml:space="preserve"> 凯迪生态</w:t>
      </w:r>
      <w:bookmarkEnd w:id="49"/>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ascii="Times New Roman" w:eastAsia="宋体"/>
                <w:lang w:val="en-US" w:eastAsia="zh-CN"/>
              </w:rPr>
              <w:t>凯迪生态环境科技股份有限公司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left"/>
              <w:rPr>
                <w:rFonts w:hint="eastAsia" w:eastAsia="宋体"/>
                <w:lang w:val="en-US" w:eastAsia="zh-CN"/>
              </w:rPr>
            </w:pPr>
            <w:r>
              <w:rPr>
                <w:rFonts w:hint="eastAsia"/>
              </w:rPr>
              <w:t>电力、新能源相关业务；煤层气（煤矿瓦斯）、页岩气资源勘探抽采项目开发利用的投资与管理、技术研发、综合利用</w:t>
            </w:r>
            <w:r>
              <w:rPr>
                <w:rFonts w:hint="eastAsia" w:ascii="Times New Roman" w:eastAsia="宋体"/>
                <w:lang w:val="en-US" w:eastAsia="zh-CN"/>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jc w:val="both"/>
              <w:rPr>
                <w:rFonts w:hint="eastAsia"/>
                <w:lang w:val="en-US" w:eastAsia="zh-CN"/>
              </w:rPr>
            </w:pPr>
            <w:r>
              <w:rPr>
                <w:rFonts w:hint="eastAsia" w:ascii="Times New Roman" w:eastAsia="宋体"/>
                <w:lang w:val="en-US" w:eastAsia="zh-CN"/>
              </w:rPr>
              <w:t>【企业背景】</w:t>
            </w:r>
          </w:p>
          <w:p>
            <w:pPr>
              <w:jc w:val="both"/>
              <w:rPr>
                <w:rFonts w:hint="eastAsia"/>
                <w:lang w:val="en-US" w:eastAsia="zh-CN"/>
              </w:rPr>
            </w:pPr>
            <w:r>
              <w:rPr>
                <w:rFonts w:hint="eastAsia" w:ascii="Times New Roman" w:eastAsia="宋体"/>
                <w:lang w:val="en-US" w:eastAsia="zh-CN"/>
              </w:rPr>
              <w:tab/>
            </w:r>
            <w:r>
              <w:rPr>
                <w:rFonts w:hint="eastAsia" w:ascii="Times New Roman" w:eastAsia="宋体"/>
                <w:lang w:val="en-US" w:eastAsia="zh-CN"/>
              </w:rPr>
              <w:t>凯迪生态环境科技股份有限公司（以下简称公司） 是境内公开发行股票并在深圳证券交易所上市的股份有限公司（股票代码：000939）。公司是由北京中联动力技术有限责任公司、武汉水利电力大学（2000年8月组建为新武汉大学）、武汉东湖新技术创业中心、武汉水利电力大学凯迪科技开发公司等共同发起，以定向募集方式设立的股份有限公司。</w:t>
            </w:r>
          </w:p>
          <w:p>
            <w:pPr>
              <w:jc w:val="both"/>
              <w:rPr>
                <w:rFonts w:hint="eastAsia"/>
                <w:lang w:val="en-US" w:eastAsia="zh-CN"/>
              </w:rPr>
            </w:pPr>
          </w:p>
          <w:p>
            <w:pPr>
              <w:jc w:val="both"/>
              <w:rPr>
                <w:rFonts w:hint="eastAsia"/>
                <w:lang w:val="en-US" w:eastAsia="zh-CN"/>
              </w:rPr>
            </w:pPr>
            <w:r>
              <w:rPr>
                <w:rFonts w:hint="eastAsia" w:ascii="Times New Roman" w:eastAsia="宋体"/>
                <w:lang w:val="en-US" w:eastAsia="zh-CN"/>
              </w:rPr>
              <w:t>【案情背景】</w:t>
            </w:r>
          </w:p>
          <w:p>
            <w:pPr>
              <w:jc w:val="both"/>
              <w:rPr>
                <w:rFonts w:hint="eastAsia"/>
                <w:lang w:val="en-US" w:eastAsia="zh-CN"/>
              </w:rPr>
            </w:pPr>
            <w:r>
              <w:rPr>
                <w:rFonts w:hint="eastAsia" w:ascii="Times New Roman" w:eastAsia="宋体"/>
                <w:lang w:val="en-US" w:eastAsia="zh-CN"/>
              </w:rPr>
              <w:tab/>
            </w:r>
            <w:r>
              <w:rPr>
                <w:rFonts w:hint="eastAsia" w:ascii="Times New Roman" w:eastAsia="宋体"/>
                <w:lang w:val="en-US" w:eastAsia="zh-CN"/>
              </w:rPr>
              <w:t>凯迪生态环境科技股份有限公司（简称凯迪生态）未在2017年年报中披露陈义龙实际控制凯迪生态及其大股东的重要事实，隐瞒与陈义龙相关公司间10余亿元的关联交易，形成关联方非经营性占用资金8.8亿元。本案表明，上市公司大股东、实际控制人必须严格履行法定信息披露义务，不得刻意隐瞒关联交易，侵害中小股东的知情权。</w:t>
            </w:r>
          </w:p>
          <w:p>
            <w:pPr>
              <w:jc w:val="both"/>
              <w:rPr>
                <w:rFonts w:hint="eastAsia"/>
                <w:lang w:val="en-US" w:eastAsia="zh-CN"/>
              </w:rPr>
            </w:pPr>
          </w:p>
          <w:p>
            <w:pPr>
              <w:jc w:val="both"/>
              <w:rPr>
                <w:rFonts w:hint="eastAsia"/>
                <w:lang w:val="en-US" w:eastAsia="zh-CN"/>
              </w:rPr>
            </w:pPr>
            <w:r>
              <w:rPr>
                <w:rFonts w:hint="eastAsia" w:ascii="Times New Roman" w:eastAsia="宋体"/>
                <w:lang w:val="en-US" w:eastAsia="zh-CN"/>
              </w:rPr>
              <w:t>【案情描述】</w:t>
            </w:r>
          </w:p>
          <w:p>
            <w:pPr>
              <w:jc w:val="left"/>
              <w:rPr>
                <w:rFonts w:hint="eastAsia"/>
                <w:lang w:val="en-US" w:eastAsia="zh-CN"/>
              </w:rPr>
            </w:pPr>
            <w:r>
              <w:rPr>
                <w:rFonts w:hint="eastAsia" w:ascii="Times New Roman" w:eastAsia="宋体"/>
                <w:lang w:val="en-US" w:eastAsia="zh-CN"/>
              </w:rPr>
              <w:tab/>
            </w:r>
            <w:r>
              <w:rPr>
                <w:rFonts w:hint="eastAsia" w:ascii="Times New Roman" w:eastAsia="宋体"/>
                <w:lang w:val="en-US" w:eastAsia="zh-CN"/>
              </w:rPr>
              <w:t>2015年1月1日至2017年12月31日期间，部分借款费用资本化的在建电厂存在停建情形。2015年、2016年、2017年，凯迪生态分别有75家、36家、34家在建电厂建设发生非正常中断且中断时间连续超过3个月。2015年、2016年、2017年凯迪生态上述电厂建设中断期间借款费用资本化金额分别为150,253,821.08元、272,808,639.77 元、209,114,154.48元。</w:t>
            </w:r>
          </w:p>
          <w:p>
            <w:pPr>
              <w:jc w:val="left"/>
              <w:rPr>
                <w:rFonts w:hint="eastAsia"/>
                <w:lang w:val="en-US" w:eastAsia="zh-CN"/>
              </w:rPr>
            </w:pPr>
            <w:r>
              <w:rPr>
                <w:rFonts w:hint="eastAsia" w:ascii="Times New Roman" w:eastAsia="宋体"/>
                <w:lang w:val="en-US" w:eastAsia="zh-CN"/>
              </w:rPr>
              <w:t>依据《企业会计准则第17号-借款费用》第四条、第五条、第十一条的规定及凯迪生态会计政策，符合资本化条件的资产在购建或者生产过程中发生非正常中断、且中断时间连续超过3个月的，应当暂停借款费用的资本化。在中断期间发生的借款费用应当确认为费用，计入当期损益，直至资产的购建或者生产活动重新开始。凯迪生态并未按照《企业会计准则第17号-借款费用》的相关规定，暂停上述停建电厂的借款费用资本化的会计处理，导致2015年、2016年、2017年财务报告存在虚增在建工程、虚减财务费用、虚增利润总额的情形。其中，2015年度虚增在建工程、虚减财务费用、虚增利润总额150,253,821.08元；2016年度虚增在建工程、虚减财务费用、虚增利润总额272,808,639.77元；2017年度虚增在建工程、虚减财务费用、虚增利润总额209,114,154.48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jc w:val="left"/>
              <w:rPr>
                <w:rFonts w:hint="eastAsia"/>
                <w:lang w:val="en-US" w:eastAsia="zh-CN"/>
              </w:rPr>
            </w:pPr>
            <w:r>
              <w:rPr>
                <w:rFonts w:hint="eastAsia" w:ascii="Times New Roman" w:eastAsia="宋体"/>
                <w:lang w:val="en-US" w:eastAsia="zh-CN"/>
              </w:rPr>
              <w:t>鉴于上述事实,证监会依法拟对当事人作出如下处罚：</w:t>
            </w:r>
          </w:p>
          <w:p>
            <w:pPr>
              <w:jc w:val="left"/>
              <w:rPr>
                <w:rFonts w:hint="eastAsia"/>
                <w:lang w:val="en-US" w:eastAsia="zh-CN"/>
              </w:rPr>
            </w:pPr>
            <w:r>
              <w:rPr>
                <w:rFonts w:hint="eastAsia" w:ascii="Times New Roman" w:eastAsia="宋体"/>
                <w:lang w:val="en-US" w:eastAsia="zh-CN"/>
              </w:rPr>
              <w:t>对凯迪生态责令改正,给予警告,并处以六十万元的罚款。</w:t>
            </w:r>
          </w:p>
          <w:p>
            <w:pPr>
              <w:jc w:val="left"/>
              <w:rPr>
                <w:rFonts w:hint="eastAsia"/>
                <w:lang w:val="en-US" w:eastAsia="zh-CN"/>
              </w:rPr>
            </w:pPr>
            <w:r>
              <w:rPr>
                <w:rFonts w:hint="eastAsia" w:ascii="Times New Roman" w:eastAsia="宋体"/>
                <w:lang w:val="en-US" w:eastAsia="zh-CN"/>
              </w:rPr>
              <w:t>对陈义龙给予警告,并处以九十万元的罚款。其中,作为实际控制人,罚款六十万元;作为直接负责的主管人员,罚款三十万元、对李林芝、张海涛给予警告,并分别处以三十万元的罚款;</w:t>
            </w:r>
          </w:p>
          <w:p>
            <w:pPr>
              <w:jc w:val="left"/>
              <w:rPr>
                <w:rFonts w:hint="eastAsia"/>
                <w:lang w:val="en-US" w:eastAsia="zh-CN"/>
              </w:rPr>
            </w:pPr>
            <w:r>
              <w:rPr>
                <w:rFonts w:hint="eastAsia" w:ascii="Times New Roman" w:eastAsia="宋体"/>
                <w:lang w:val="en-US" w:eastAsia="zh-CN"/>
              </w:rPr>
              <w:t>对唐秀丽、陈义生、罗廷元、徐尹生、王博钊、张兆国、徐长生、厉培明、方宏庄、朱华银、胡学栋、叶黎明、李满生、黄国涛、谢波、江林、杨虹给予警告,并分别处以十万元的罚款;</w:t>
            </w:r>
          </w:p>
          <w:p>
            <w:pPr>
              <w:jc w:val="left"/>
              <w:rPr>
                <w:rFonts w:hint="eastAsia"/>
                <w:lang w:val="en-US" w:eastAsia="zh-CN"/>
              </w:rPr>
            </w:pPr>
            <w:r>
              <w:rPr>
                <w:rFonts w:hint="eastAsia" w:ascii="Times New Roman" w:eastAsia="宋体"/>
                <w:lang w:val="en-US" w:eastAsia="zh-CN"/>
              </w:rPr>
              <w:t>对张鸿健给予警告,并处以五万元的罚款;</w:t>
            </w:r>
          </w:p>
          <w:p>
            <w:pPr>
              <w:jc w:val="left"/>
              <w:rPr>
                <w:rFonts w:hint="eastAsia"/>
                <w:lang w:val="en-US" w:eastAsia="zh-CN"/>
              </w:rPr>
            </w:pPr>
            <w:r>
              <w:rPr>
                <w:rFonts w:hint="eastAsia" w:ascii="Times New Roman" w:eastAsia="宋体"/>
                <w:lang w:val="en-US" w:eastAsia="zh-CN"/>
              </w:rPr>
              <w:t>对唐宏明、孙燕萍给予警告,并分别处以三万元的罚款。</w:t>
            </w:r>
          </w:p>
          <w:p>
            <w:pPr>
              <w:jc w:val="left"/>
              <w:rPr>
                <w:rFonts w:hint="eastAsia"/>
                <w:lang w:val="en-US" w:eastAsia="zh-CN"/>
              </w:rPr>
            </w:pPr>
            <w:r>
              <w:rPr>
                <w:rFonts w:hint="eastAsia" w:ascii="Times New Roman" w:eastAsia="宋体"/>
                <w:lang w:val="en-US" w:eastAsia="zh-CN"/>
              </w:rPr>
              <w:t>另外,对陈义龙采取终身证券市场禁入措施;对唐秀丽采取十年证券市场禁入措施。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left"/>
              <w:rPr>
                <w:rFonts w:hint="default"/>
                <w:lang w:val="en-US" w:eastAsia="zh-CN"/>
              </w:rPr>
            </w:pPr>
            <w:r>
              <w:rPr>
                <w:rFonts w:hint="eastAsia" w:ascii="Times New Roman" w:eastAsia="宋体"/>
                <w:lang w:val="en-US" w:eastAsia="zh-CN"/>
              </w:rPr>
              <w:t>希格玛会计师事务所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jc w:val="left"/>
              <w:rPr>
                <w:rFonts w:hint="default"/>
                <w:lang w:val="en-US" w:eastAsia="zh-CN"/>
              </w:rPr>
            </w:pPr>
            <w:r>
              <w:rPr>
                <w:rFonts w:hint="eastAsia" w:ascii="Times New Roman" w:eastAsia="宋体"/>
                <w:lang w:val="en-US" w:eastAsia="zh-CN"/>
              </w:rPr>
              <w:t>内部控制完全失效，此公司的大股东不仅凌驾于内部控制之上，甚至基本控制了整个公司的经营管理，公司的实际经营控制权应该在公司管理层而不是股东甚至个别实际控制人。要尽量规避关联方交易。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rPr>
            </w:pPr>
            <w:r>
              <w:rPr>
                <w:rFonts w:hint="eastAsia"/>
              </w:rPr>
              <w:t xml:space="preserve"> 我们接受委托，审计凯迪生态环境科技股份有限公司（以下简称</w:t>
            </w:r>
          </w:p>
          <w:p>
            <w:pPr>
              <w:rPr>
                <w:rFonts w:hint="eastAsia"/>
              </w:rPr>
            </w:pPr>
            <w:r>
              <w:rPr>
                <w:rFonts w:hint="eastAsia"/>
              </w:rPr>
              <w:t xml:space="preserve">“贵公司”）财务报表， 包括2019年12月31日的合并及母公司资产负债表，2019年度的合并及母公司利润表、合并及 母公司现金流量表、合并及母公司股东权益变动表以及相关财务报表附注。 我们不对后附的贵公司财务报表发表审计意见。由于“形成无法表示意见的基础”部分 所述事项的重要性，我们无法获取充分、适当审计证据以作为对财务报表发表审计意见的 基础。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无法表示意见，关联方</w:t>
            </w:r>
          </w:p>
        </w:tc>
      </w:tr>
    </w:tbl>
    <w:p/>
    <w:p>
      <w:pPr>
        <w:pStyle w:val="2"/>
        <w:rPr>
          <w:rFonts w:hint="default" w:eastAsia="宋体"/>
          <w:lang w:val="en-US" w:eastAsia="zh-CN"/>
        </w:rPr>
      </w:pPr>
      <w:bookmarkStart w:id="50" w:name="_Toc32339"/>
      <w:r>
        <w:rPr>
          <w:rFonts w:hint="eastAsia"/>
          <w:lang w:val="en-US" w:eastAsia="zh-CN"/>
        </w:rPr>
        <w:t>3</w:t>
      </w:r>
      <w:r>
        <w:rPr>
          <w:rFonts w:hint="eastAsia"/>
        </w:rPr>
        <w:t>4</w:t>
      </w:r>
      <w:r>
        <w:rPr>
          <w:rFonts w:hint="eastAsia"/>
          <w:lang w:val="en-US" w:eastAsia="zh-CN"/>
        </w:rPr>
        <w:t xml:space="preserve"> 仁智股份</w:t>
      </w:r>
      <w:bookmarkEnd w:id="50"/>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ascii="Times New Roman" w:eastAsia="宋体"/>
                <w:lang w:val="en-US" w:eastAsia="zh-CN"/>
              </w:rPr>
              <w:t>浙江仁智股份有限公司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left"/>
              <w:rPr>
                <w:rFonts w:hint="eastAsia" w:eastAsia="宋体"/>
                <w:lang w:val="en-US" w:eastAsia="zh-CN"/>
              </w:rPr>
            </w:pPr>
            <w:r>
              <w:rPr>
                <w:rFonts w:hint="eastAsia"/>
              </w:rPr>
              <w:t>油田专用设备及工具的研发、生产、销售，新材料开发、生产、销售</w:t>
            </w:r>
            <w:r>
              <w:rPr>
                <w:rFonts w:hint="eastAsia" w:ascii="Times New Roman" w:eastAsia="宋体"/>
                <w:lang w:val="en-US" w:eastAsia="zh-CN"/>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rPr>
                <w:rFonts w:hint="eastAsia" w:eastAsia="宋体"/>
                <w:lang w:eastAsia="zh-CN"/>
              </w:rPr>
            </w:pPr>
            <w:r>
              <w:tab/>
            </w:r>
            <w:r>
              <w:rPr>
                <w:rFonts w:hint="eastAsia"/>
              </w:rPr>
              <w:t>公司前身绵阳仁智发展投资股份有限公司2006年9月成立。2008年,公司更名为“四川仁智油田技术服务股份有限公司",2011年实现上市。2016年9月29日,公司名称变更为“浙江仁智股份有限公司”,注册资本411948万元,公司资产总额8亿余元,股票市值50亿余元,注册地在浙江温州总部设在上海。浙江仁智股分有限公司下设四川绵阳分公司、新疆分公司以及全资子公司:四川仁智石化科技有限公司、四川仁智新材料科技有限责任公司、四川仁信能源有限公司、上海衡都投资有限责任公司等。其业务遍布大江南北,主要从事油服行业,围绕石油天然气钻井工程领域提供各类专业服务。从事各类油田化学品开发、生产、销售及新材料开发、生产、销售等国内进出口贸易。是国内服务能力较强、市场占有率较高的民营钻井液技术服务提供商;是国内能够提供一体化、一站式钻井液技术服务的优势企业;是西南地区主要的油田特种设备检测维修技术服务及防腐工程技提供商</w:t>
            </w:r>
            <w:r>
              <w:rPr>
                <w:rFonts w:hint="eastAsia" w:eastAsia="宋体"/>
                <w:lang w:eastAsia="zh-CN"/>
              </w:rPr>
              <w:t>。</w:t>
            </w:r>
          </w:p>
          <w:p/>
          <w:p>
            <w:pPr>
              <w:rPr>
                <w:b/>
              </w:rPr>
            </w:pPr>
            <w:r>
              <w:rPr>
                <w:rFonts w:hint="eastAsia"/>
                <w:b/>
              </w:rPr>
              <w:t>【案情背景</w:t>
            </w:r>
            <w:r>
              <w:rPr>
                <w:b/>
              </w:rPr>
              <w:t>】</w:t>
            </w:r>
          </w:p>
          <w:p>
            <w:pPr>
              <w:rPr>
                <w:b/>
              </w:rPr>
            </w:pPr>
            <w:r>
              <w:rPr>
                <w:b/>
              </w:rPr>
              <w:tab/>
            </w:r>
            <w:r>
              <w:rPr>
                <w:rFonts w:hint="eastAsia" w:ascii="Times New Roman" w:eastAsia="宋体"/>
                <w:lang w:val="en-US" w:eastAsia="zh-CN"/>
              </w:rPr>
              <w:t>2019年4月12日，浙江仁智股份有限公司（证券简称：仁智股份，证券代码：002629）发布《关于公司前期会计差错更正及追溯调整的公告》，承认公司存在财务造假，公司称经自查，公司相关人员在处理2017 年部分业务时存在虚假记载，虚增营业收入和营业成本分别为9,041.72万元和 6,079.52 万元，虚增利润 3,203.46 万元。公司对 2017 年度财务报表进行追溯调整，此次会计差错更正后将导致公司2017年度净利润为负值，由866.85万元减少至-2336.61万元。公司于2019 年2月22日披露《2018 年度业绩快报》：公司实现归属于上市公司股东的净利润-632,617,882.50元。</w:t>
            </w:r>
          </w:p>
          <w:p>
            <w:pPr>
              <w:rPr>
                <w:b/>
              </w:rPr>
            </w:pPr>
          </w:p>
          <w:p>
            <w:pPr>
              <w:rPr>
                <w:b/>
              </w:rPr>
            </w:pPr>
            <w:r>
              <w:rPr>
                <w:rFonts w:hint="eastAsia"/>
                <w:b/>
              </w:rPr>
              <w:t>【案情描述】</w:t>
            </w:r>
          </w:p>
          <w:p>
            <w:pPr>
              <w:rPr>
                <w:rFonts w:hint="eastAsia"/>
                <w:lang w:val="en-US" w:eastAsia="zh-CN"/>
              </w:rPr>
            </w:pPr>
            <w:r>
              <w:rPr>
                <w:b/>
                <w:bCs/>
              </w:rPr>
              <w:tab/>
            </w:r>
            <w:r>
              <w:rPr>
                <w:rFonts w:hint="eastAsia" w:ascii="Times New Roman" w:eastAsia="宋体"/>
                <w:lang w:val="en-US" w:eastAsia="zh-CN"/>
              </w:rPr>
              <w:t>2017年，仁智股份与大庆国世能科学技术有限公司签订《工程合作商务合同》，承接开展油服业务，后协议将该业务外包给大庆市开拓者工程勘探有限公司。上述合同及相关协议等未实际履行，仁智股份以冲砂、检泵等井下作业确认营业收入。仁智股份2017年就上述油服业务累计确认营业收入3,298.84万元，确认营业成本947.04万元。</w:t>
            </w:r>
          </w:p>
          <w:p>
            <w:pPr>
              <w:ind w:firstLine="420" w:firstLineChars="200"/>
              <w:rPr>
                <w:rFonts w:hint="eastAsia"/>
                <w:lang w:val="en-US" w:eastAsia="zh-CN"/>
              </w:rPr>
            </w:pPr>
            <w:r>
              <w:rPr>
                <w:rFonts w:hint="eastAsia" w:ascii="Times New Roman" w:eastAsia="宋体"/>
                <w:lang w:val="en-US" w:eastAsia="zh-CN"/>
              </w:rPr>
              <w:t>2017年11月及12月，仁智股份向黑龙江建龙钢铁有限公司、鞍山市泰合商贸有限公司等采购无缝钢管、平端套管，并加价出售给大庆达力普钢管制造有限公司，大庆西姆莱斯石油专用管制造有限公司等。相关钢贸业务无货运单据及货权证明单等资料，系虚构。仁智股份2017年就该钢贸业务确认营业收入5,742.87万元，确认营业成本5,132.48万元。</w:t>
            </w:r>
          </w:p>
          <w:p>
            <w:pPr>
              <w:ind w:firstLine="420" w:firstLineChars="200"/>
              <w:rPr>
                <w:rFonts w:hint="eastAsia"/>
                <w:lang w:val="en-US" w:eastAsia="zh-CN"/>
              </w:rPr>
            </w:pPr>
            <w:r>
              <w:rPr>
                <w:rFonts w:hint="eastAsia" w:ascii="Times New Roman" w:eastAsia="宋体"/>
                <w:lang w:val="en-US" w:eastAsia="zh-CN"/>
              </w:rPr>
              <w:t>2017年，仁智股份通过上述油服业务及钢贸业务，虚增营业收入9,041.72万元，虚增营业成本6,079.52万元，其披露的2017年年报存在虚假记载。</w:t>
            </w:r>
          </w:p>
          <w:p>
            <w:pPr>
              <w:rPr>
                <w:rFonts w:hint="eastAsia"/>
                <w:lang w:val="en-US" w:eastAsia="zh-CN"/>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rPr>
                <w:rFonts w:hint="eastAsia"/>
              </w:rPr>
            </w:pPr>
            <w:r>
              <w:rPr>
                <w:rFonts w:hint="eastAsia"/>
              </w:rPr>
              <w:t>根据当事人违法行为的事实、性质、情节，证监会局决定：</w:t>
            </w:r>
          </w:p>
          <w:p>
            <w:pPr>
              <w:rPr>
                <w:rFonts w:hint="eastAsia"/>
              </w:rPr>
            </w:pPr>
            <w:r>
              <w:rPr>
                <w:rFonts w:hint="eastAsia"/>
              </w:rPr>
              <w:t>1、对仁智股份责令改正，给予警告，并处以30万元罚款；</w:t>
            </w:r>
          </w:p>
          <w:p>
            <w:pPr>
              <w:rPr>
                <w:rFonts w:hint="eastAsia"/>
              </w:rPr>
            </w:pPr>
            <w:r>
              <w:rPr>
                <w:rFonts w:hint="eastAsia"/>
              </w:rPr>
              <w:t>2、对陈昊旻给予警告，并处以30万元罚款；</w:t>
            </w:r>
          </w:p>
          <w:p>
            <w:pPr>
              <w:rPr>
                <w:rFonts w:hint="eastAsia"/>
              </w:rPr>
            </w:pPr>
            <w:r>
              <w:rPr>
                <w:rFonts w:hint="eastAsia"/>
              </w:rPr>
              <w:t>3、对陈伯慈给予警告，并处以15万元罚款；</w:t>
            </w:r>
          </w:p>
          <w:p>
            <w:pPr>
              <w:rPr>
                <w:rFonts w:hint="eastAsia"/>
              </w:rPr>
            </w:pPr>
            <w:r>
              <w:rPr>
                <w:rFonts w:hint="eastAsia"/>
              </w:rPr>
              <w:t>4、对林材松、黄文郁、金环给予警告，并分别处以8万元罚款；</w:t>
            </w:r>
          </w:p>
          <w:p>
            <w:pPr>
              <w:rPr>
                <w:rFonts w:hint="eastAsia"/>
              </w:rPr>
            </w:pPr>
            <w:r>
              <w:rPr>
                <w:rFonts w:hint="eastAsia"/>
              </w:rPr>
              <w:t>5、对池清、吴朴、毕浙东、李芝尧、王晓、曹晓伦、冯芳、王友钊、嵇子薇、陈凯、刘捷、杨江给予警告，并分别处以3万元罚款；</w:t>
            </w:r>
          </w:p>
          <w:p>
            <w:r>
              <w:rPr>
                <w:rFonts w:hint="eastAsia"/>
              </w:rPr>
              <w:t>同时，对陈昊旻采取5年证券市场禁入措施。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rPr>
                <w:rStyle w:val="18"/>
                <w:rFonts w:hint="default" w:eastAsia="宋体"/>
                <w:i w:val="0"/>
                <w:iCs w:val="0"/>
                <w:color w:val="auto"/>
                <w:lang w:val="en-US" w:eastAsia="zh-CN"/>
              </w:rPr>
            </w:pPr>
            <w:r>
              <w:rPr>
                <w:rStyle w:val="18"/>
                <w:rFonts w:hint="eastAsia"/>
                <w:i w:val="0"/>
                <w:iCs w:val="0"/>
                <w:color w:val="auto"/>
                <w:lang w:val="en-US" w:eastAsia="zh-CN"/>
              </w:rPr>
              <w:t>内部控制失效，内部审计程序完全没起到作用。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ind w:firstLine="420" w:firstLineChars="200"/>
              <w:rPr>
                <w:rFonts w:hint="eastAsia"/>
              </w:rPr>
            </w:pPr>
            <w:r>
              <w:rPr>
                <w:rFonts w:hint="eastAsia"/>
              </w:rPr>
              <w:t>我们审计了浙江仁智股份有限公司(以下简称仁智股份)财务报 表，包括 2020 年 12 月 31 日的合并及母公司资产负债表，2020 年度 的合并及母公司利润表、合并及母公司现金流量表、合并及母公司股 东权益变动表以及相关财务报表附注。</w:t>
            </w:r>
          </w:p>
          <w:p>
            <w:pPr>
              <w:ind w:firstLine="420" w:firstLineChars="200"/>
              <w:rPr>
                <w:rFonts w:hint="eastAsia"/>
              </w:rPr>
            </w:pPr>
            <w:r>
              <w:rPr>
                <w:rFonts w:hint="eastAsia"/>
              </w:rPr>
              <w:t>我们认为，后附的财务报表在所有重大方面按照企业会计准则的规定编制，公允反映了仁智股份 2020 年 12 月 31 日的合并及母公司 财务状况以及 2020 年度的合并及母公司经营成果和现金流量。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财务造假，会计差错，无保留意见，函证</w:t>
            </w:r>
          </w:p>
        </w:tc>
      </w:tr>
    </w:tbl>
    <w:p/>
    <w:p/>
    <w:p>
      <w:pPr>
        <w:pStyle w:val="2"/>
        <w:rPr>
          <w:rFonts w:hint="default" w:eastAsia="宋体"/>
          <w:shd w:val="clear" w:color="auto" w:fill="FFFFFF"/>
          <w:lang w:val="en-US" w:eastAsia="zh-CN"/>
        </w:rPr>
      </w:pPr>
      <w:bookmarkStart w:id="51" w:name="_Toc2524"/>
      <w:r>
        <w:rPr>
          <w:rFonts w:hint="eastAsia"/>
          <w:lang w:val="en-US" w:eastAsia="zh-CN"/>
        </w:rPr>
        <w:t>3</w:t>
      </w:r>
      <w:r>
        <w:rPr>
          <w:rFonts w:hint="eastAsia"/>
        </w:rPr>
        <w:t>5</w:t>
      </w:r>
      <w:r>
        <w:t xml:space="preserve"> </w:t>
      </w:r>
      <w:r>
        <w:rPr>
          <w:rFonts w:hint="eastAsia"/>
          <w:lang w:val="en-US" w:eastAsia="zh-CN"/>
        </w:rPr>
        <w:t xml:space="preserve"> 索菱股份</w:t>
      </w:r>
      <w:bookmarkEnd w:id="51"/>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ascii="Times New Roman" w:eastAsia="宋体"/>
                <w:lang w:val="en-US" w:eastAsia="zh-CN"/>
              </w:rPr>
              <w:t>深圳市索菱实业股份有限股份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val="en-US" w:eastAsia="zh-CN"/>
              </w:rPr>
            </w:pPr>
            <w:r>
              <w:rPr>
                <w:rFonts w:hint="eastAsia"/>
              </w:rPr>
              <w:t>动力电池、云计算软硬件、物联网智能设备的研发和销售</w:t>
            </w:r>
            <w:r>
              <w:rPr>
                <w:rFonts w:hint="eastAsia" w:ascii="Times New Roman" w:eastAsia="宋体"/>
                <w:lang w:val="en-US" w:eastAsia="zh-CN"/>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r>
              <w:tab/>
            </w:r>
            <w:r>
              <w:rPr>
                <w:rFonts w:hint="eastAsia"/>
              </w:rPr>
              <w:t>深圳市索菱实业有限公司于1991年开始筹备，1997年注册并成功挂牌，2010年10月进行股份制改革，正式成立深圳市实业股份有限公司，至今已发展成一家集研发、生产、销售、服务为一体的高新电子信息技术企业，主营汽车影音导航系统、智能信息系统、防盗系统、安全检测系统、智能轨迹倒车系统等产品，提供移动车载信息服务平台，誉属国家高新技术企业。公司旗下拥有 “索莱特”、“DHD”、“Soling”、“妙士酷”四大自主研发品牌，产品覆盖全国二十多个省市，远销欧美以及东南亚等三十多个国家和地区。</w:t>
            </w:r>
          </w:p>
          <w:p/>
          <w:p>
            <w:pPr>
              <w:rPr>
                <w:b/>
              </w:rPr>
            </w:pPr>
            <w:r>
              <w:rPr>
                <w:rFonts w:hint="eastAsia"/>
                <w:b/>
              </w:rPr>
              <w:t>【案情背景</w:t>
            </w:r>
            <w:r>
              <w:rPr>
                <w:b/>
              </w:rPr>
              <w:t>】</w:t>
            </w:r>
          </w:p>
          <w:p>
            <w:pPr>
              <w:rPr>
                <w:rFonts w:hint="eastAsia"/>
              </w:rPr>
            </w:pPr>
            <w:r>
              <w:rPr>
                <w:b/>
              </w:rPr>
              <w:tab/>
            </w:r>
            <w:r>
              <w:rPr>
                <w:rFonts w:hint="eastAsia"/>
              </w:rPr>
              <w:t>2016年1月至2018年12月，索菱股份通过虚增营业收入、虚减管理费用、财务费用的方式，进行财务造假。其中，2016年虚增利润总额占合并利润表当期披露利润总额的344.78%，2017年虚增利润总额占合并利润表当期披露利润总额的208.13%。</w:t>
            </w:r>
          </w:p>
          <w:p>
            <w:pPr>
              <w:rPr>
                <w:rFonts w:hint="eastAsia"/>
              </w:rPr>
            </w:pPr>
            <w:r>
              <w:rPr>
                <w:rFonts w:hint="eastAsia"/>
              </w:rPr>
              <w:t>另外，索菱股份通过虚构采购业务、虚列其他应收款等名义向非供应商转出款项8.7亿元, 大部分用于上述财务造假行为相关体外资金循环及偿还相关借款。其中3373.62万元用于实控人肖行亦个人用途，主要包括支付其定增股票借款利息和赔偿员工持股计划损失。</w:t>
            </w:r>
          </w:p>
          <w:p>
            <w:pPr>
              <w:ind w:firstLine="420" w:firstLineChars="200"/>
              <w:rPr>
                <w:rFonts w:hint="eastAsia"/>
              </w:rPr>
            </w:pPr>
            <w:r>
              <w:rPr>
                <w:rFonts w:hint="eastAsia"/>
              </w:rPr>
              <w:t>事实上，除了虚增利润以外，公司还有多项重大遗漏。2017年，索菱股份未及时入账和披露4.25亿元借款，未及时披露担保7500万元、潜在付款义务1.17亿元。2018年，索菱股份未及时入账和披露2.3亿元借款。</w:t>
            </w:r>
          </w:p>
          <w:p>
            <w:pPr>
              <w:rPr>
                <w:b/>
              </w:rPr>
            </w:pPr>
          </w:p>
          <w:p>
            <w:pPr>
              <w:rPr>
                <w:b/>
              </w:rPr>
            </w:pPr>
            <w:r>
              <w:rPr>
                <w:rFonts w:hint="eastAsia"/>
                <w:b/>
              </w:rPr>
              <w:t>【案情描述】</w:t>
            </w:r>
          </w:p>
          <w:p>
            <w:pPr>
              <w:rPr>
                <w:rFonts w:hint="eastAsia"/>
                <w:lang w:val="en-US" w:eastAsia="zh-CN"/>
              </w:rPr>
            </w:pPr>
            <w:r>
              <w:rPr>
                <w:b/>
                <w:bCs/>
              </w:rPr>
              <w:tab/>
            </w:r>
            <w:r>
              <w:rPr>
                <w:rFonts w:hint="eastAsia" w:ascii="Times New Roman" w:eastAsia="宋体"/>
                <w:lang w:val="en-US" w:eastAsia="zh-CN"/>
              </w:rPr>
              <w:t>2016年1月至2018年12月，索菱股份通过虚增营业收入、虚减管理费用、财务费用的方式，《2016年年度报告》虚增营业收入271,426,472.23元，虚减费用7,662,975.74元，虚增利润总额279,089,447.97元，占合并利润表当期披露利润总额的344.78%；《2017年年度报告》虚增营业收入338,220,675,31元，虚减费用12,090,603.80元，虚增利润总额350,311,279.11元，占合并利润表当期披露利润总额的208.13%；《2018年年度报告》虚增营业收入195,870,000.80元，虚减费用24,252,167.05元，虚增利润总额220,122,167.85元，占当年年报披露利润总额绝对值的63.01%（2018年年报披露的利润总额为-349,367,921.77元）。</w:t>
            </w: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r>
              <w:rPr>
                <w:rFonts w:hint="eastAsia"/>
              </w:rPr>
              <w:t>证监会对索菱股份信息披露违法违规行为进行了立案调查、审理，证监会决定：责令索菱股份改正，给予警告，并处以60万元的罚款；对时任索菱股份实际控制人、董事长兼总经理、法定代表人肖行亦给予警告，并处以90万元的罚款；并对其他当事人给予警告、处以罚款。同日，证监会更新的市场禁入决定书显示，证监会对肖行亦采取终身证券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亚太（集团）会计师事务所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rPr>
                <w:rStyle w:val="18"/>
                <w:rFonts w:hint="default" w:eastAsia="宋体"/>
                <w:i w:val="0"/>
                <w:iCs w:val="0"/>
                <w:color w:val="auto"/>
                <w:lang w:val="en-US" w:eastAsia="zh-CN"/>
              </w:rPr>
            </w:pPr>
            <w:r>
              <w:rPr>
                <w:rStyle w:val="18"/>
                <w:rFonts w:hint="eastAsia"/>
                <w:i w:val="0"/>
                <w:iCs w:val="0"/>
                <w:color w:val="auto"/>
                <w:lang w:val="en-US" w:eastAsia="zh-CN"/>
              </w:rPr>
              <w:t>内部控制失效。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rPr>
            </w:pPr>
            <w:r>
              <w:rPr>
                <w:rFonts w:hint="eastAsia"/>
              </w:rPr>
              <w:t>证监会对索菱股份信息披露违法违规行为进行了立案调查、审理，证监会决定：责令索菱股份改正，给予警告，并处以60万元的罚款；对时任索菱股份实际控制人、董事长兼总经理、法定代表人肖行亦给予警告，并处以90万元的罚款；并对其他当事人给予警告、处以罚款。同日，证监会更新的市场禁入决定书显示，证监会对肖行亦采取终身证券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保留意见，穿行测试</w:t>
            </w:r>
          </w:p>
        </w:tc>
      </w:tr>
    </w:tbl>
    <w:p/>
    <w:p>
      <w:pPr>
        <w:pStyle w:val="2"/>
        <w:rPr>
          <w:rFonts w:hint="default" w:eastAsia="宋体"/>
          <w:lang w:val="en-US" w:eastAsia="zh-CN"/>
        </w:rPr>
      </w:pPr>
      <w:bookmarkStart w:id="52" w:name="_Toc5040"/>
      <w:r>
        <w:rPr>
          <w:rFonts w:hint="eastAsia"/>
          <w:lang w:val="en-US" w:eastAsia="zh-CN"/>
        </w:rPr>
        <w:t>3</w:t>
      </w:r>
      <w:r>
        <w:rPr>
          <w:rFonts w:hint="eastAsia"/>
        </w:rPr>
        <w:t>6</w:t>
      </w:r>
      <w:r>
        <w:rPr>
          <w:rFonts w:hint="eastAsia"/>
          <w:lang w:val="en-US" w:eastAsia="zh-CN"/>
        </w:rPr>
        <w:t xml:space="preserve"> 恺英网络</w:t>
      </w:r>
      <w:bookmarkEnd w:id="52"/>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Times New Roman" w:eastAsia="宋体"/>
                <w:lang w:val="en-US" w:eastAsia="zh-CN"/>
              </w:rPr>
              <w:t>恺英网络科技有限公司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val="en-US" w:eastAsia="zh-CN"/>
              </w:rPr>
            </w:pPr>
            <w:r>
              <w:rPr>
                <w:rFonts w:hint="eastAsia"/>
              </w:rPr>
              <w:t>游戏研发、运营、发行</w:t>
            </w:r>
            <w:r>
              <w:rPr>
                <w:rFonts w:hint="eastAsia" w:ascii="Times New Roman" w:eastAsia="宋体"/>
                <w:lang w:val="en-US" w:eastAsia="zh-CN"/>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rPr>
                <w:rFonts w:hint="eastAsia"/>
              </w:rPr>
            </w:pPr>
            <w:r>
              <w:tab/>
            </w:r>
            <w:r>
              <w:rPr>
                <w:rFonts w:hint="eastAsia"/>
              </w:rPr>
              <w:t>恺英网络股份有限公司（股票代码：SZ002517），简称：恺英网络。2015年恺英网络完成A股上市。恺英网络成立于2008年。作为国内互联网上市企业，恺英网络拥有研发及创新能力。法定代表人王悦，公司经营范围包括计算机领域内的技术开发、技术转让、技术咨询等。</w:t>
            </w:r>
          </w:p>
          <w:p>
            <w:pPr>
              <w:rPr>
                <w:rFonts w:hint="eastAsia"/>
              </w:rPr>
            </w:pPr>
          </w:p>
          <w:p>
            <w:pPr>
              <w:rPr>
                <w:b/>
              </w:rPr>
            </w:pPr>
            <w:r>
              <w:rPr>
                <w:rFonts w:hint="eastAsia"/>
                <w:b/>
              </w:rPr>
              <w:t>【案情背景</w:t>
            </w:r>
            <w:r>
              <w:rPr>
                <w:b/>
              </w:rPr>
              <w:t>】</w:t>
            </w:r>
          </w:p>
          <w:p>
            <w:pPr>
              <w:rPr>
                <w:b/>
              </w:rPr>
            </w:pPr>
            <w:r>
              <w:rPr>
                <w:b/>
              </w:rPr>
              <w:tab/>
            </w:r>
            <w:r>
              <w:rPr>
                <w:rFonts w:hint="eastAsia"/>
              </w:rPr>
              <w:t>2019年10月8日，恺英网络公告，因公司涉嫌信息披露违法违规，证监会决定对公司立案调查。</w:t>
            </w:r>
          </w:p>
          <w:p>
            <w:pPr>
              <w:rPr>
                <w:b/>
              </w:rPr>
            </w:pPr>
          </w:p>
          <w:p>
            <w:pPr>
              <w:rPr>
                <w:b/>
              </w:rPr>
            </w:pPr>
            <w:r>
              <w:rPr>
                <w:rFonts w:hint="eastAsia"/>
                <w:b/>
              </w:rPr>
              <w:t>【案情描述】</w:t>
            </w:r>
          </w:p>
          <w:p>
            <w:pPr>
              <w:rPr>
                <w:rFonts w:hint="eastAsia"/>
                <w:lang w:val="en-US" w:eastAsia="zh-CN"/>
              </w:rPr>
            </w:pPr>
            <w:r>
              <w:rPr>
                <w:b/>
                <w:bCs/>
              </w:rPr>
              <w:tab/>
            </w:r>
            <w:r>
              <w:rPr>
                <w:rFonts w:hint="eastAsia" w:ascii="Times New Roman" w:eastAsia="宋体"/>
                <w:lang w:val="en-US" w:eastAsia="zh-CN"/>
              </w:rPr>
              <w:t>2018年9月10日，上海恺英网络科技有限公司(恺英网络子公司，以下简称上海恺英)以向宁波九晋投资合伙企业(有限合伙)（以下简称宁波九晋)增资为由，通过上海恺英子公司上海悦腾网络科技有限公司(以下简称上海悦腾)向宁波九晋支付5,000万元。该款项实际为上海恺英为表达与蓝沙信息技术（上海)有限公司(以下简称蓝沙信息)及相关主体达成和解的善意，作为前期双方纠纷的和解意向金，由宁波九晋代为保管。2018年9月29日，上海悦腾将该笔5,000万元款项计入“可供出售金融资产”科目核算。在恺英网络2018年年报中，上海悦腾将前述支付给宁波九晋的5,000万元由“可供出售金融资产”调整至“其他应收款”科目核算，并全额计提减值准备，恺英网络的合并财务报表对前述款项相应全额计提减值准备5,000万元。</w:t>
            </w:r>
          </w:p>
          <w:p>
            <w:pPr>
              <w:ind w:firstLine="420" w:firstLineChars="200"/>
              <w:rPr>
                <w:rFonts w:hint="eastAsia"/>
                <w:lang w:val="en-US" w:eastAsia="zh-CN"/>
              </w:rPr>
            </w:pPr>
            <w:r>
              <w:rPr>
                <w:rFonts w:hint="eastAsia" w:ascii="Times New Roman" w:eastAsia="宋体"/>
                <w:lang w:val="en-US" w:eastAsia="zh-CN"/>
              </w:rPr>
              <w:t>恺英网络对上述5,000万元款项全额计提减值准备依据不充分：宁波九晋当时状态为合法存续的合伙企业，具备还款能力，未发现其持续经营能力出现异常；从实际用途看，上海恺英与蓝沙信息仅达成和解意向，并未签署正式协议。恺英网络上述行为不符合《企业会计准则第22号一一金融工具确认和计量(2006年修订》)(财会（2006) 3号)第四十条和第四十一条的规定。上海悦腾作为恺英网络的全资二级子公司，合并财务报表后导致恺英网络2018年度虚减净利润4,375万元，占恺英网络2018年度经审计归属于上市公司股东的净利润17,438.53万元的25.09%，恺英网络2018年年报中财务报告存在虚假记载。</w:t>
            </w: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rPr>
                <w:rFonts w:hint="eastAsia"/>
              </w:rPr>
            </w:pPr>
            <w:r>
              <w:rPr>
                <w:rFonts w:hint="eastAsia"/>
              </w:rPr>
              <w:t>根据当事人违法行为的事实、性质、情节与社会危害程度，依据2005年《证券法》第一百九十三条第一款规定，作出以下决定：</w:t>
            </w:r>
          </w:p>
          <w:p>
            <w:pPr>
              <w:rPr>
                <w:rFonts w:hint="eastAsia"/>
              </w:rPr>
            </w:pPr>
            <w:r>
              <w:rPr>
                <w:rFonts w:hint="eastAsia"/>
              </w:rPr>
              <w:t>一、对恺英网络责令改正，给予警告，并处以60万元的罚款；</w:t>
            </w:r>
          </w:p>
          <w:p>
            <w:pPr>
              <w:rPr>
                <w:rFonts w:hint="eastAsia"/>
              </w:rPr>
            </w:pPr>
            <w:r>
              <w:rPr>
                <w:rFonts w:hint="eastAsia"/>
              </w:rPr>
              <w:t>二、对陈永聪给予警告，并处以30万元的罚款；</w:t>
            </w:r>
          </w:p>
          <w:p>
            <w:r>
              <w:rPr>
                <w:rFonts w:hint="eastAsia"/>
              </w:rPr>
              <w:t>三、对金锋给予警告，并处以30万元的罚款。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keepNext w:val="0"/>
              <w:keepLines w:val="0"/>
              <w:widowControl/>
              <w:suppressLineNumbers w:val="0"/>
              <w:jc w:val="left"/>
            </w:pPr>
            <w:r>
              <w:rPr>
                <w:rFonts w:hint="eastAsia" w:ascii="宋体" w:hAnsi="宋体" w:eastAsia="宋体" w:cs="宋体"/>
                <w:color w:val="000000"/>
                <w:kern w:val="0"/>
                <w:sz w:val="18"/>
                <w:szCs w:val="18"/>
                <w:lang w:val="en-US" w:eastAsia="zh-CN" w:bidi="ar"/>
              </w:rPr>
              <w:t>华兴会计师事务所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ind w:firstLine="420" w:firstLineChars="200"/>
              <w:rPr>
                <w:rStyle w:val="18"/>
                <w:rFonts w:hint="default" w:eastAsia="宋体"/>
                <w:i w:val="0"/>
                <w:iCs w:val="0"/>
                <w:color w:val="auto"/>
                <w:lang w:val="en-US" w:eastAsia="zh-CN"/>
              </w:rPr>
            </w:pPr>
            <w:r>
              <w:rPr>
                <w:rStyle w:val="18"/>
                <w:rFonts w:hint="eastAsia"/>
                <w:i w:val="0"/>
                <w:iCs w:val="0"/>
                <w:color w:val="auto"/>
              </w:rPr>
              <w:t>本案之所以会受到信披违规处罚，完全是因为公司第四大股东上海骐飞投资管理合伙企业（有限合伙）在二级市场减持股票的时候，没有按照规定提前15个交易日进行信息披露。</w:t>
            </w:r>
            <w:r>
              <w:rPr>
                <w:rStyle w:val="18"/>
                <w:rFonts w:hint="eastAsia"/>
                <w:i w:val="0"/>
                <w:iCs w:val="0"/>
                <w:color w:val="auto"/>
                <w:lang w:val="en-US" w:eastAsia="zh-CN"/>
              </w:rPr>
              <w:t>原因在于管理层对上市公司的控制权争夺，公司的内部控制制度存在问题。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ind w:firstLine="420" w:firstLineChars="200"/>
              <w:rPr>
                <w:rFonts w:hint="eastAsia"/>
                <w:lang w:val="en-US" w:eastAsia="zh-CN"/>
              </w:rPr>
            </w:pPr>
            <w:r>
              <w:rPr>
                <w:rFonts w:hint="eastAsia" w:ascii="Times New Roman" w:eastAsia="宋体"/>
                <w:lang w:val="en-US" w:eastAsia="zh-CN"/>
              </w:rPr>
              <w:t>我们审计了恺英网络股份有限公司（以下简称恺英网络）财务报表，包括</w:t>
            </w:r>
            <w:r>
              <w:rPr>
                <w:rFonts w:hint="default"/>
                <w:lang w:val="en-US" w:eastAsia="zh-CN"/>
              </w:rPr>
              <w:t>2019</w:t>
            </w:r>
            <w:r>
              <w:rPr>
                <w:rFonts w:hint="eastAsia" w:ascii="Times New Roman" w:eastAsia="宋体"/>
                <w:lang w:val="en-US" w:eastAsia="zh-CN"/>
              </w:rPr>
              <w:t>年</w:t>
            </w:r>
            <w:r>
              <w:rPr>
                <w:rFonts w:hint="default"/>
                <w:lang w:val="en-US" w:eastAsia="zh-CN"/>
              </w:rPr>
              <w:t>12</w:t>
            </w:r>
            <w:r>
              <w:rPr>
                <w:rFonts w:hint="eastAsia" w:ascii="Times New Roman" w:eastAsia="宋体"/>
                <w:lang w:val="en-US" w:eastAsia="zh-CN"/>
              </w:rPr>
              <w:t>月</w:t>
            </w:r>
            <w:r>
              <w:rPr>
                <w:rFonts w:hint="default"/>
                <w:lang w:val="en-US" w:eastAsia="zh-CN"/>
              </w:rPr>
              <w:t>31</w:t>
            </w:r>
            <w:r>
              <w:rPr>
                <w:rFonts w:hint="eastAsia" w:ascii="Times New Roman" w:eastAsia="宋体"/>
                <w:lang w:val="en-US" w:eastAsia="zh-CN"/>
              </w:rPr>
              <w:t>日的合并及母公司资产负债表，</w:t>
            </w:r>
            <w:r>
              <w:rPr>
                <w:rFonts w:hint="default"/>
                <w:lang w:val="en-US" w:eastAsia="zh-CN"/>
              </w:rPr>
              <w:t>2019</w:t>
            </w:r>
            <w:r>
              <w:rPr>
                <w:rFonts w:hint="eastAsia" w:ascii="Times New Roman" w:eastAsia="宋体"/>
                <w:lang w:val="en-US" w:eastAsia="zh-CN"/>
              </w:rPr>
              <w:t xml:space="preserve">年度的合并及母公司利润表、 合并及母公司现金流量表和合并及母公司所有者权益变动表以及相关财务报表附注。 </w:t>
            </w:r>
          </w:p>
          <w:p>
            <w:pPr>
              <w:keepNext w:val="0"/>
              <w:keepLines w:val="0"/>
              <w:widowControl/>
              <w:suppressLineNumbers w:val="0"/>
              <w:ind w:firstLine="420" w:firstLineChars="200"/>
              <w:jc w:val="left"/>
              <w:rPr>
                <w:rFonts w:hint="eastAsia"/>
                <w:lang w:val="en-US" w:eastAsia="zh-CN"/>
              </w:rPr>
            </w:pPr>
            <w:r>
              <w:rPr>
                <w:rFonts w:hint="eastAsia" w:ascii="Times New Roman" w:eastAsia="宋体"/>
                <w:lang w:val="en-US" w:eastAsia="zh-CN"/>
              </w:rPr>
              <w:t>我们认为，除</w:t>
            </w:r>
            <w:r>
              <w:rPr>
                <w:rFonts w:hint="default"/>
                <w:lang w:val="en-US" w:eastAsia="zh-CN"/>
              </w:rPr>
              <w:t>“</w:t>
            </w:r>
            <w:r>
              <w:rPr>
                <w:rFonts w:hint="eastAsia" w:ascii="Times New Roman" w:eastAsia="宋体"/>
                <w:lang w:val="en-US" w:eastAsia="zh-CN"/>
              </w:rPr>
              <w:t>形成保留意见的基础</w:t>
            </w:r>
            <w:r>
              <w:rPr>
                <w:rFonts w:hint="default"/>
                <w:lang w:val="en-US" w:eastAsia="zh-CN"/>
              </w:rPr>
              <w:t>”</w:t>
            </w:r>
            <w:r>
              <w:rPr>
                <w:rFonts w:hint="eastAsia" w:ascii="Times New Roman" w:eastAsia="宋体"/>
                <w:lang w:val="en-US" w:eastAsia="zh-CN"/>
              </w:rPr>
              <w:t>部分所述事项可能产生的影响外，后附的财务报表在所有重大方面按照企业会计准则的规定编制，公允反映了恺英网络</w:t>
            </w:r>
            <w:r>
              <w:rPr>
                <w:rFonts w:hint="default"/>
                <w:lang w:val="en-US" w:eastAsia="zh-CN"/>
              </w:rPr>
              <w:t>2019</w:t>
            </w:r>
            <w:r>
              <w:rPr>
                <w:rFonts w:hint="eastAsia" w:ascii="Times New Roman" w:eastAsia="宋体"/>
                <w:lang w:val="en-US" w:eastAsia="zh-CN"/>
              </w:rPr>
              <w:t>年</w:t>
            </w:r>
            <w:r>
              <w:rPr>
                <w:rFonts w:hint="default"/>
                <w:lang w:val="en-US" w:eastAsia="zh-CN"/>
              </w:rPr>
              <w:t>12</w:t>
            </w:r>
            <w:r>
              <w:rPr>
                <w:rFonts w:hint="eastAsia" w:ascii="Times New Roman" w:eastAsia="宋体"/>
                <w:lang w:val="en-US" w:eastAsia="zh-CN"/>
              </w:rPr>
              <w:t>月</w:t>
            </w:r>
            <w:r>
              <w:rPr>
                <w:rFonts w:hint="default"/>
                <w:lang w:val="en-US" w:eastAsia="zh-CN"/>
              </w:rPr>
              <w:t>31</w:t>
            </w:r>
            <w:r>
              <w:rPr>
                <w:rFonts w:hint="eastAsia" w:ascii="Times New Roman" w:eastAsia="宋体"/>
                <w:lang w:val="en-US" w:eastAsia="zh-CN"/>
              </w:rPr>
              <w:t>日的合并及母公司财务状况以及</w:t>
            </w:r>
            <w:r>
              <w:rPr>
                <w:rFonts w:hint="default"/>
                <w:lang w:val="en-US" w:eastAsia="zh-CN"/>
              </w:rPr>
              <w:t>2019</w:t>
            </w:r>
            <w:r>
              <w:rPr>
                <w:rFonts w:hint="eastAsia" w:ascii="Times New Roman" w:eastAsia="宋体"/>
                <w:lang w:val="en-US" w:eastAsia="zh-CN"/>
              </w:rPr>
              <w:t xml:space="preserve">年度的合并及母公司经营 成果和现金流量。 </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保留意见，未决诉讼</w:t>
            </w:r>
          </w:p>
        </w:tc>
      </w:tr>
    </w:tbl>
    <w:p/>
    <w:p>
      <w:pPr>
        <w:pStyle w:val="2"/>
        <w:rPr>
          <w:rFonts w:hint="default" w:eastAsia="宋体"/>
          <w:shd w:val="clear" w:color="auto" w:fill="FDFDFD"/>
          <w:lang w:val="en-US" w:eastAsia="zh-CN"/>
        </w:rPr>
      </w:pPr>
      <w:bookmarkStart w:id="53" w:name="_Toc22549"/>
      <w:r>
        <w:rPr>
          <w:rFonts w:hint="eastAsia"/>
          <w:lang w:val="en-US" w:eastAsia="zh-CN"/>
        </w:rPr>
        <w:t>3</w:t>
      </w:r>
      <w:r>
        <w:rPr>
          <w:rFonts w:hint="eastAsia"/>
        </w:rPr>
        <w:t>7</w:t>
      </w:r>
      <w:r>
        <w:rPr>
          <w:rFonts w:hint="eastAsia"/>
          <w:lang w:val="en-US" w:eastAsia="zh-CN"/>
        </w:rPr>
        <w:t xml:space="preserve"> 博腾股份</w:t>
      </w:r>
      <w:bookmarkEnd w:id="53"/>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w:t>
            </w:r>
            <w:r>
              <w:rPr>
                <w:rFonts w:hint="eastAsia" w:ascii="Times New Roman" w:eastAsia="宋体"/>
                <w:lang w:val="en-US" w:eastAsia="zh-CN"/>
              </w:rPr>
              <w:t>737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Times New Roman" w:eastAsia="宋体"/>
                <w:lang w:val="en-US" w:eastAsia="zh-CN"/>
              </w:rPr>
              <w:t>重庆博腾制药科技股份有限公司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eastAsia" w:eastAsia="宋体"/>
                <w:lang w:val="en-US" w:eastAsia="zh-CN"/>
              </w:rPr>
            </w:pPr>
            <w:r>
              <w:rPr>
                <w:rFonts w:hint="eastAsia"/>
              </w:rPr>
              <w:t>原料药生产(按药品生产许可证核定事项从事经营,有效期至2015年7月18日);创新药品的技术开发、技术服务;医药中间体、精细化学品的生产、销售</w:t>
            </w:r>
            <w:r>
              <w:rPr>
                <w:rFonts w:hint="eastAsia" w:ascii="Times New Roman" w:eastAsia="宋体"/>
                <w:lang w:val="en-US" w:eastAsia="zh-CN"/>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pPr>
              <w:rPr>
                <w:rFonts w:hint="eastAsia"/>
              </w:rPr>
            </w:pPr>
            <w:r>
              <w:tab/>
            </w:r>
            <w:r>
              <w:rPr>
                <w:rFonts w:hint="eastAsia" w:ascii="Times New Roman" w:eastAsia="宋体"/>
                <w:lang w:val="en-US" w:eastAsia="zh-CN"/>
              </w:rPr>
              <w:t>重庆博腾制药</w:t>
            </w:r>
            <w:r>
              <w:rPr>
                <w:rFonts w:hint="eastAsia"/>
              </w:rPr>
              <w:t>科技股份有限公司（股票代码：SZ300363）是一家按照国际标准为跨国制药公司和生物制药公司提供医药定制研发生产服务的高新技术企业。公司成立于2005年7月，总部位于重庆，在欧洲、美国、中国香港、瑞士、成都、上海设有子公司，目前在职员工约1300人。公司主要服务内容包括为创新药提供医药中间体的工艺研究开发、质量研究和安全性研究，以及为创新药提供医药中间体的定制生产服务，包括研发阶段的小规模生产服务到商业化阶段的大规模生产服务。公司主要服务于临床试验至专利药销售阶段的创新药，服务的药品治疗领域包括抗艾滋病、抗丙肝、降血脂、镇痛、抗糖尿病等。</w:t>
            </w:r>
          </w:p>
          <w:p>
            <w:pPr>
              <w:ind w:firstLine="420" w:firstLineChars="200"/>
            </w:pPr>
            <w:r>
              <w:rPr>
                <w:rFonts w:hint="eastAsia"/>
              </w:rPr>
              <w:t>作为中国领先的医药定制研发生产企业之一，公司在重庆、上海和成都设有三个研发中心，在重庆（长寿）化工园区和重庆高新技术产业开发区设有两个生产基地，并于2014年4月及2015年7月完成对浙江博腾及江西东邦药业的并购，建立和扩大生产供应能力。公司凝聚了一支高素质、具有国际化视野的经营管理团队，并依托在商业模式、研发技术、综合管理等方面的优势，在业内树立了良好口碑，已成为全球前15大制药公司中11家的医药定制研发生产服务提供商。</w:t>
            </w:r>
          </w:p>
          <w:p/>
          <w:p>
            <w:pPr>
              <w:rPr>
                <w:b/>
              </w:rPr>
            </w:pPr>
            <w:r>
              <w:rPr>
                <w:rFonts w:hint="eastAsia"/>
                <w:b/>
              </w:rPr>
              <w:t>【案情背景</w:t>
            </w:r>
            <w:r>
              <w:rPr>
                <w:b/>
              </w:rPr>
              <w:t>】</w:t>
            </w:r>
          </w:p>
          <w:p>
            <w:pPr>
              <w:rPr>
                <w:b/>
              </w:rPr>
            </w:pPr>
            <w:r>
              <w:rPr>
                <w:b/>
              </w:rPr>
              <w:tab/>
            </w:r>
            <w:r>
              <w:rPr>
                <w:rFonts w:hint="eastAsia" w:ascii="Times New Roman" w:eastAsia="宋体"/>
                <w:lang w:val="en-US" w:eastAsia="zh-CN"/>
              </w:rPr>
              <w:t>2018年4月至2019年4月期间，博腾股份实控人陶荣、居年丰、张和兵违规占用博腾股份累计约5.34亿元。因为3名实控人数次占用巨额资金，博腾股份2018年半年报和第三季度报告存在虚假记载和重大遗漏。</w:t>
            </w:r>
          </w:p>
          <w:p>
            <w:pPr>
              <w:rPr>
                <w:b/>
              </w:rPr>
            </w:pPr>
          </w:p>
          <w:p>
            <w:pPr>
              <w:rPr>
                <w:b/>
              </w:rPr>
            </w:pPr>
            <w:r>
              <w:rPr>
                <w:rFonts w:hint="eastAsia"/>
                <w:b/>
              </w:rPr>
              <w:t>【案情描述】</w:t>
            </w:r>
          </w:p>
          <w:p>
            <w:pPr>
              <w:rPr>
                <w:b/>
                <w:bCs/>
              </w:rPr>
            </w:pPr>
            <w:r>
              <w:rPr>
                <w:b/>
                <w:bCs/>
              </w:rPr>
              <w:tab/>
            </w:r>
            <w:r>
              <w:rPr>
                <w:rFonts w:hint="eastAsia" w:ascii="Times New Roman" w:eastAsia="宋体"/>
                <w:lang w:val="en-US" w:eastAsia="zh-CN"/>
              </w:rPr>
              <w:t>2018年4月18日至9月30日期间，博腾股份累计向实际控制人提供资金26,474万元，占博腾股份2017年底经审计净资产的19.25%，但博腾股份2018年第三季度报告未按规定披露关联方非经营性资金占用的关联交易情况，存在虚假记载和重大遗漏。相关资金占用情况导致博腾股份2018年第三季度报告披露的财务报表存在虚假记载，虚减预付账款3,276万元，虚减其他应收款24,385.06万元，虚减短期借款20,000万元，虚减应付账款8,500万元，虚增利润总额867.12万元。</w:t>
            </w: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ind w:firstLine="420" w:firstLineChars="200"/>
            </w:pPr>
            <w:r>
              <w:rPr>
                <w:rFonts w:hint="eastAsia"/>
              </w:rPr>
              <w:t>重庆证监局对博腾股份警告和处以30万元罚款,对博腾股份实际控制人陶荣、居年丰、张和兵分别警告和处以90万元、30万元和20万元罚款。此外,重庆证监局还对博腾股份12名管理人警告和处以3万元至10万元不等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ind w:firstLine="420" w:firstLineChars="200"/>
              <w:rPr>
                <w:rStyle w:val="18"/>
                <w:rFonts w:hint="default" w:eastAsia="宋体"/>
                <w:i w:val="0"/>
                <w:iCs w:val="0"/>
                <w:color w:val="auto"/>
                <w:lang w:val="en-US" w:eastAsia="zh-CN"/>
              </w:rPr>
            </w:pPr>
            <w:r>
              <w:rPr>
                <w:rStyle w:val="18"/>
                <w:rFonts w:hint="eastAsia"/>
                <w:i w:val="0"/>
                <w:iCs w:val="0"/>
                <w:color w:val="auto"/>
              </w:rPr>
              <w:t>博腾股份公开信息显示,居年丰、陶荣、张和兵不仅共为实际控制人、最大股东,还掌管着公司的经营、财务大权。居年丰同时担任博腾股份董事长、总经理,陶荣同时担任博腾股份董事、董事会秘书、财务总监等职。据了解,博腾股份上市之初,陶荣和居年丰均曾担任过财务负责人。</w:t>
            </w:r>
            <w:r>
              <w:rPr>
                <w:rStyle w:val="18"/>
                <w:rFonts w:hint="eastAsia"/>
                <w:i w:val="0"/>
                <w:iCs w:val="0"/>
                <w:color w:val="auto"/>
                <w:lang w:val="en-US" w:eastAsia="zh-CN"/>
              </w:rPr>
              <w:t>不相容职务未分离，内部控制制度存在问题。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ind w:firstLine="420" w:firstLineChars="200"/>
            </w:pPr>
            <w:r>
              <w:rPr>
                <w:rFonts w:hint="eastAsia" w:ascii="Times New Roman" w:eastAsia="宋体"/>
                <w:lang w:val="en-US" w:eastAsia="zh-CN"/>
              </w:rPr>
              <w:t xml:space="preserve">我们审计了重庆博腾制药科技股份有限公司（以下简称博腾股份公司）财务 报表，包括 2020 年 12 月 31 日的合并及母公司资产负债表，2020 年度的合并及 母公司利润表、合并及母公司现金流量表、合并及母公司所有者权益变动表，以及相关财务报表附注。 </w:t>
            </w:r>
          </w:p>
          <w:p>
            <w:pPr>
              <w:ind w:firstLine="420" w:firstLineChars="200"/>
            </w:pPr>
            <w:r>
              <w:rPr>
                <w:rFonts w:hint="eastAsia" w:ascii="Times New Roman" w:eastAsia="宋体"/>
                <w:lang w:val="en-US" w:eastAsia="zh-CN"/>
              </w:rPr>
              <w:t>我们认为，后附的财务报表在所有重大方面按照企业会计准则的规定编制， 公允反映了博腾股份公司2020年12月31日的合并及母公司财务状况，以及2020年度的合并及母公司经营成果和现金流量。</w:t>
            </w:r>
            <w:r>
              <w:rPr>
                <w:rFonts w:hint="eastAsia" w:ascii="宋体" w:hAnsi="宋体" w:eastAsia="宋体" w:cs="宋体"/>
                <w:color w:val="000000"/>
                <w:kern w:val="0"/>
                <w:sz w:val="24"/>
                <w:szCs w:val="24"/>
                <w:lang w:val="en-US" w:eastAsia="zh-CN" w:bidi="ar"/>
              </w:rPr>
              <w:t xml:space="preserve"> </w:t>
            </w:r>
          </w:p>
          <w:p>
            <w:pPr>
              <w:rPr>
                <w:rFonts w:hint="default" w:eastAsia="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无保留意见，商誉减值</w:t>
            </w:r>
          </w:p>
        </w:tc>
      </w:tr>
    </w:tbl>
    <w:p/>
    <w:p>
      <w:pPr>
        <w:pStyle w:val="2"/>
        <w:rPr>
          <w:rFonts w:hint="default" w:eastAsia="宋体"/>
          <w:lang w:val="en-US" w:eastAsia="zh-CN"/>
        </w:rPr>
      </w:pPr>
      <w:bookmarkStart w:id="54" w:name="_Toc28600"/>
      <w:r>
        <w:rPr>
          <w:rFonts w:hint="eastAsia"/>
          <w:lang w:val="en-US" w:eastAsia="zh-CN"/>
        </w:rPr>
        <w:t>3</w:t>
      </w:r>
      <w:r>
        <w:rPr>
          <w:rFonts w:hint="eastAsia"/>
        </w:rPr>
        <w:t>8</w:t>
      </w:r>
      <w:r>
        <w:rPr>
          <w:rFonts w:hint="eastAsia"/>
          <w:lang w:val="en-US" w:eastAsia="zh-CN"/>
        </w:rPr>
        <w:t xml:space="preserve"> 巴士股份</w:t>
      </w:r>
      <w:bookmarkEnd w:id="54"/>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w:t>
            </w:r>
            <w:r>
              <w:rPr>
                <w:rFonts w:hint="eastAsia" w:ascii="Times New Roman" w:eastAsia="宋体"/>
                <w:lang w:val="en-US" w:eastAsia="zh-CN"/>
              </w:rPr>
              <w:t>738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ascii="Times New Roman" w:eastAsia="宋体"/>
                <w:lang w:val="en-US" w:eastAsia="zh-CN"/>
              </w:rPr>
              <w:t>巴士在线股份有限公司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both"/>
              <w:rPr>
                <w:rFonts w:hint="default" w:eastAsia="宋体"/>
                <w:lang w:val="en-US" w:eastAsia="zh-CN"/>
              </w:rPr>
            </w:pPr>
            <w:r>
              <w:rPr>
                <w:rFonts w:hint="default" w:eastAsia="宋体"/>
                <w:lang w:val="en-US" w:eastAsia="zh-CN"/>
              </w:rPr>
              <w:t>通讯电声器材的生产、销售、经营本企业自产产品的出口</w:t>
            </w:r>
            <w:r>
              <w:rPr>
                <w:rFonts w:hint="eastAsia" w:ascii="Times New Roman" w:eastAsia="宋体"/>
                <w:lang w:val="en-US" w:eastAsia="zh-CN"/>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rFonts w:hint="eastAsia"/>
              </w:rPr>
            </w:pPr>
            <w:r>
              <w:rPr>
                <w:rFonts w:hint="eastAsia"/>
              </w:rPr>
              <w:t>【企业背景】</w:t>
            </w:r>
          </w:p>
          <w:p>
            <w:pPr>
              <w:rPr>
                <w:rFonts w:hint="eastAsia"/>
              </w:rPr>
            </w:pPr>
            <w:r>
              <w:rPr>
                <w:rFonts w:hint="eastAsia"/>
              </w:rPr>
              <w:tab/>
            </w:r>
            <w:r>
              <w:rPr>
                <w:rFonts w:hint="eastAsia"/>
              </w:rPr>
              <w:t>巴士在线是中国最大的公交移动互联网电视平台,秉承“巴士在线,智汇媒体”的企业使命、把“诚信、责任、担当、善良”作</w:t>
            </w:r>
          </w:p>
          <w:p>
            <w:pPr>
              <w:rPr>
                <w:rFonts w:hint="eastAsia"/>
                <w:lang w:val="en-US" w:eastAsia="zh-CN"/>
              </w:rPr>
            </w:pPr>
            <w:r>
              <w:rPr>
                <w:rFonts w:hint="eastAsia"/>
              </w:rPr>
              <w:t>为公司长期建设发展的企业文化精髓,致力于通过自身独特的流量资源、平台能力、数据能力及运营和服务能力,成为广告主户外投放的必选媒体之</w:t>
            </w:r>
            <w:r>
              <w:rPr>
                <w:rFonts w:hint="eastAsia" w:ascii="Times New Roman" w:eastAsia="宋体"/>
                <w:lang w:val="en-US" w:eastAsia="zh-CN"/>
              </w:rPr>
              <w:t>一。</w:t>
            </w:r>
          </w:p>
          <w:p>
            <w:pPr>
              <w:rPr>
                <w:rFonts w:hint="eastAsia"/>
              </w:rPr>
            </w:pPr>
          </w:p>
          <w:p>
            <w:pPr>
              <w:rPr>
                <w:rFonts w:hint="eastAsia"/>
              </w:rPr>
            </w:pPr>
            <w:r>
              <w:rPr>
                <w:rFonts w:hint="eastAsia"/>
              </w:rPr>
              <w:t>【案情背景】</w:t>
            </w:r>
          </w:p>
          <w:p>
            <w:pPr>
              <w:rPr>
                <w:rFonts w:hint="eastAsia"/>
              </w:rPr>
            </w:pPr>
            <w:r>
              <w:rPr>
                <w:rFonts w:hint="eastAsia"/>
              </w:rPr>
              <w:tab/>
            </w:r>
            <w:r>
              <w:rPr>
                <w:rFonts w:hint="eastAsia"/>
              </w:rPr>
              <w:t>巴士股份全资子公司巴士科技违反《企业会计准则第14号—收入》的规定，在收入确认依据不充分的情况下，对其部分经营业务确认收入，累计虚增2017年1月至9月营业收入43,936,446.57元。</w:t>
            </w:r>
          </w:p>
          <w:p>
            <w:pPr>
              <w:rPr>
                <w:rFonts w:hint="eastAsia"/>
              </w:rPr>
            </w:pPr>
          </w:p>
          <w:p>
            <w:pPr>
              <w:rPr>
                <w:rFonts w:hint="eastAsia"/>
              </w:rPr>
            </w:pPr>
            <w:r>
              <w:rPr>
                <w:rFonts w:hint="eastAsia"/>
              </w:rPr>
              <w:t>【案情描述】</w:t>
            </w:r>
          </w:p>
          <w:p>
            <w:pPr>
              <w:rPr>
                <w:rFonts w:hint="eastAsia"/>
              </w:rPr>
            </w:pPr>
            <w:r>
              <w:rPr>
                <w:rFonts w:hint="eastAsia"/>
              </w:rPr>
              <w:tab/>
            </w:r>
            <w:r>
              <w:rPr>
                <w:rFonts w:hint="eastAsia"/>
              </w:rPr>
              <w:t>巴士股份全资子公司巴士科技违反《企业会计准则第14号--收入》的规定，在收入确认依据不充分的情况下，对其部分经营业务确认收入，累计虚增2017年1月至9月营业收入43,936,446.57元。巴士科技纳入巴士股份合并报表范围后，导致巴士股份2017年第一季度报告、半年度报告、第三季度报告披露的信息存在虚假记载。其中：在2017年第一季度报告中虚增1月至3月营业收入13,299,201.43元、净利润10,721,960.12元，占当期披露净利润的比例为268.87%，使巴士股份当期净利润由亏损变为盈利；2017年半年度报告虚增1月至6月营业收入33,983,987.48元、净利润27,061,114.67元，占当期披露净利润的比例为127.17%，使巴士股份当期净利润由亏损变为盈利；2017年第三季度报告虚增1月至9月营业收入43,936,446.57元、净利润34,938,845.85元，占当期披露净利润的比例为33.45%。2018年7月4日，巴士股份对2017年第一季度报告、半年度报告、第三季度报告进行了更正并公告。</w:t>
            </w:r>
          </w:p>
          <w:p>
            <w:pPr>
              <w:rPr>
                <w:rFonts w:hint="eastAsia"/>
              </w:rPr>
            </w:pP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pPr>
              <w:rPr>
                <w:rFonts w:hint="eastAsia"/>
              </w:rPr>
            </w:pPr>
            <w:r>
              <w:rPr>
                <w:rFonts w:hint="eastAsia"/>
              </w:rPr>
              <w:t>浙江证监局决定，对巴士股份给予警告，并处以40万元罚款；对巴士股份董事长周鑫等三人给予警告，并分别处以10万元罚款；对时任巴士股份董事、常务副总经理金一栋等4名高管给予警告，并分别处以5万元罚款；对巴士股份独立董事陈信勇等8人给予警告，并分别处以3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lang w:val="en-US" w:eastAsia="zh-CN"/>
              </w:rPr>
              <w:t>中汇会计师事务所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rPr>
                <w:rStyle w:val="18"/>
                <w:rFonts w:hint="default" w:eastAsia="宋体"/>
                <w:i w:val="0"/>
                <w:iCs w:val="0"/>
                <w:color w:val="auto"/>
                <w:lang w:val="en-US" w:eastAsia="zh-CN"/>
              </w:rPr>
            </w:pPr>
            <w:r>
              <w:rPr>
                <w:rStyle w:val="18"/>
                <w:rFonts w:hint="eastAsia"/>
                <w:i w:val="0"/>
                <w:iCs w:val="0"/>
                <w:color w:val="auto"/>
                <w:lang w:val="en-US" w:eastAsia="zh-CN"/>
              </w:rPr>
              <w:t>无监督职能，内部控制存在问题。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ind w:firstLine="420" w:firstLineChars="200"/>
              <w:rPr>
                <w:rFonts w:hint="eastAsia"/>
                <w:lang w:val="en-US" w:eastAsia="zh-CN"/>
              </w:rPr>
            </w:pPr>
            <w:r>
              <w:rPr>
                <w:rFonts w:hint="eastAsia" w:ascii="Times New Roman" w:eastAsia="宋体"/>
                <w:lang w:val="en-US" w:eastAsia="zh-CN"/>
              </w:rPr>
              <w:t xml:space="preserve">我们审计了巴士在线股份有限公司(以下简称巴士在线公司)财务报表，包括 2019年12月31日的合并及母公司资产负债表，2019年度的合并及母公司利润表、合并及母公司现金流量表、合并及母公司所有者权益变动表以及财务报表附注。 </w:t>
            </w:r>
          </w:p>
          <w:p>
            <w:pPr>
              <w:ind w:firstLine="420" w:firstLineChars="200"/>
            </w:pPr>
            <w:r>
              <w:rPr>
                <w:rFonts w:hint="eastAsia" w:ascii="Times New Roman" w:eastAsia="宋体"/>
                <w:lang w:val="en-US" w:eastAsia="zh-CN"/>
              </w:rPr>
              <w:t>我们认为，后附的财务报表在所有重大方面按照企业会计准则的规定编制，公允反映了巴士在线公司2019年12月31日的合并及母公司财务状况以及2019年度的合并及母公司经营成果和现金流量。</w:t>
            </w:r>
            <w:r>
              <w:rPr>
                <w:rFonts w:hint="eastAsia" w:ascii="宋体" w:hAnsi="宋体" w:eastAsia="宋体" w:cs="宋体"/>
                <w:color w:val="000000"/>
                <w:kern w:val="0"/>
                <w:sz w:val="24"/>
                <w:szCs w:val="24"/>
                <w:lang w:val="en-US" w:eastAsia="zh-CN" w:bidi="ar"/>
              </w:rPr>
              <w:t xml:space="preserve"> </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无保留意见，关联交易</w:t>
            </w:r>
          </w:p>
        </w:tc>
      </w:tr>
    </w:tbl>
    <w:p>
      <w:pPr>
        <w:tabs>
          <w:tab w:val="left" w:pos="1305"/>
        </w:tabs>
      </w:pPr>
      <w:r>
        <w:tab/>
      </w:r>
    </w:p>
    <w:p>
      <w:pPr>
        <w:pStyle w:val="2"/>
        <w:rPr>
          <w:rFonts w:hint="default" w:eastAsia="宋体"/>
          <w:lang w:val="en-US" w:eastAsia="zh-CN"/>
        </w:rPr>
      </w:pPr>
      <w:bookmarkStart w:id="55" w:name="_Toc6924"/>
      <w:r>
        <w:rPr>
          <w:rFonts w:hint="eastAsia"/>
          <w:lang w:val="en-US" w:eastAsia="zh-CN"/>
        </w:rPr>
        <w:t>3</w:t>
      </w:r>
      <w:r>
        <w:rPr>
          <w:rFonts w:hint="eastAsia"/>
        </w:rPr>
        <w:t>9</w:t>
      </w:r>
      <w:r>
        <w:rPr>
          <w:rFonts w:hint="eastAsia"/>
          <w:lang w:val="en-US" w:eastAsia="zh-CN"/>
        </w:rPr>
        <w:t xml:space="preserve"> 科龙电器</w:t>
      </w:r>
      <w:bookmarkEnd w:id="55"/>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200</w:t>
            </w:r>
            <w:r>
              <w:rPr>
                <w:rFonts w:hint="eastAsia" w:ascii="Times New Roman" w:eastAsia="宋体"/>
                <w:lang w:val="en-US" w:eastAsia="zh-CN"/>
              </w:rPr>
              <w:t>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海信科龙电器股份有限公司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ascii="Times New Roman" w:eastAsia="宋体"/>
                <w:lang w:val="en-US" w:eastAsia="zh-CN"/>
              </w:rPr>
              <w:t>电器制造业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r>
              <w:tab/>
            </w:r>
            <w:r>
              <w:rPr>
                <w:rFonts w:hint="eastAsia"/>
              </w:rPr>
              <w:t>海信科龙电器股份有限公司是中国最大的家电产品制造企业之一,创立于1984年,总部位于中国广东顺德,主要生产冰箱、空调、冷柜和洗衣机等系列产品。</w:t>
            </w:r>
          </w:p>
          <w:p/>
          <w:p>
            <w:pPr>
              <w:rPr>
                <w:b/>
              </w:rPr>
            </w:pPr>
            <w:r>
              <w:rPr>
                <w:rFonts w:hint="eastAsia"/>
                <w:b/>
              </w:rPr>
              <w:t>【案情背景</w:t>
            </w:r>
            <w:r>
              <w:rPr>
                <w:b/>
              </w:rPr>
              <w:t>】</w:t>
            </w:r>
          </w:p>
          <w:p>
            <w:pPr>
              <w:rPr>
                <w:b/>
              </w:rPr>
            </w:pPr>
            <w:r>
              <w:rPr>
                <w:b/>
              </w:rPr>
              <w:tab/>
            </w:r>
            <w:r>
              <w:rPr>
                <w:rFonts w:hint="eastAsia"/>
              </w:rPr>
              <w:t>2005年4月底,科龙电器被曝亏6416万,引发5月11日证监会对科龙电器立案调查令对科龙电器的各项费用,收入,投资收益毛利率,存货周转率,其利润获取现金能力,关联交易进行调查。</w:t>
            </w:r>
          </w:p>
          <w:p>
            <w:pPr>
              <w:rPr>
                <w:b/>
              </w:rPr>
            </w:pPr>
          </w:p>
          <w:p>
            <w:pPr>
              <w:rPr>
                <w:b/>
              </w:rPr>
            </w:pPr>
            <w:r>
              <w:rPr>
                <w:rFonts w:hint="eastAsia"/>
                <w:b/>
              </w:rPr>
              <w:t>【案情描述】</w:t>
            </w:r>
          </w:p>
          <w:p>
            <w:pPr>
              <w:rPr>
                <w:rFonts w:hint="eastAsia"/>
              </w:rPr>
            </w:pPr>
            <w:r>
              <w:rPr>
                <w:b/>
                <w:bCs/>
              </w:rPr>
              <w:tab/>
            </w:r>
            <w:r>
              <w:rPr>
                <w:rFonts w:hint="eastAsia"/>
              </w:rPr>
              <w:t>科龙电器在编造2002年至2004年虚假财务报告中采取虚构主营业务收入、少计坏账准备、少计诉讼赔偿金等手段。通过采取这些手段，2002年年度报告使营业利润虚增了11996.31万元，2003年年度报表捏造利润11847.05万元，2004年年度报告虚增利润14875.91万元。三年总共虚增利润将近4个亿。</w:t>
            </w:r>
          </w:p>
          <w:p>
            <w:pPr>
              <w:rPr>
                <w:rFonts w:hint="eastAsia"/>
              </w:rPr>
            </w:pPr>
            <w:r>
              <w:rPr>
                <w:rFonts w:hint="eastAsia"/>
              </w:rPr>
              <w:t>　　科龙电器2003年年度报告披露了现金流量表中存在的重大虚假记载。科龙电器在2003年将产品在科龙电器及其子公司之间进行互相互交易，虚构交易事实，并以此虚假交易开具银行承兑票据和商业承兑票据到银行贴现，获取大量现金。然而上述现金流并未在2003年科龙电器的现金流量汇总表中得到如实反映2003年。经过调查统计，科龙电器2003年年度报告合并现金流量表少列报借款所收到的现金人民币302550万元，少计用于偿还外债所支付的现金人民币213573万元，多列报经营活动产生的现金流量净额人民币88976万元。</w:t>
            </w:r>
          </w:p>
          <w:p>
            <w:pPr>
              <w:rPr>
                <w:rFonts w:hint="eastAsia"/>
              </w:rPr>
            </w:pPr>
            <w:r>
              <w:rPr>
                <w:rFonts w:hint="eastAsia"/>
              </w:rPr>
              <w:t>　　科龙电器在2002年至2003年中会计政策变更等重大事项未得到披露，也未披露与关联方共同投资、购买商品等关联交易事项。</w:t>
            </w:r>
          </w:p>
          <w:p>
            <w:pPr>
              <w:rPr>
                <w:rFonts w:hint="eastAsia"/>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r>
              <w:rPr>
                <w:rFonts w:hint="eastAsia"/>
              </w:rPr>
              <w:t>根据有关规定,决定对科龙电器以60万元人民币的罚款;对顾雏军给予警告、30万罚款,并实施永久性市场禁入的惩罚;严友松等人受到警告、20万元罚款,并遭到10年市场禁入限制;其他责任人员分别受到警告、5万至20万元不等的罚款的。科龙电器案件涉嫌犯罪部分,证监会已依法移送公安机关追究刑事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德勤华永会计师事务所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rPr>
                <w:rStyle w:val="18"/>
                <w:rFonts w:hint="default" w:eastAsia="宋体"/>
                <w:i w:val="0"/>
                <w:iCs w:val="0"/>
                <w:color w:val="auto"/>
                <w:lang w:val="en-US" w:eastAsia="zh-CN"/>
              </w:rPr>
            </w:pPr>
            <w:r>
              <w:rPr>
                <w:rStyle w:val="18"/>
                <w:rFonts w:hint="eastAsia"/>
                <w:i w:val="0"/>
                <w:iCs w:val="0"/>
                <w:color w:val="auto"/>
              </w:rPr>
              <w:t>文化整合排除异己</w:t>
            </w:r>
            <w:r>
              <w:rPr>
                <w:rStyle w:val="18"/>
                <w:rFonts w:hint="eastAsia"/>
                <w:i w:val="0"/>
                <w:iCs w:val="0"/>
                <w:color w:val="auto"/>
                <w:lang w:eastAsia="zh-CN"/>
              </w:rPr>
              <w:t>，</w:t>
            </w:r>
            <w:r>
              <w:rPr>
                <w:rStyle w:val="18"/>
                <w:rFonts w:hint="eastAsia"/>
                <w:i w:val="0"/>
                <w:iCs w:val="0"/>
                <w:color w:val="auto"/>
              </w:rPr>
              <w:t>关联交易转移财富</w:t>
            </w:r>
            <w:r>
              <w:rPr>
                <w:rStyle w:val="18"/>
                <w:rFonts w:hint="eastAsia"/>
                <w:i w:val="0"/>
                <w:iCs w:val="0"/>
                <w:color w:val="auto"/>
                <w:lang w:eastAsia="zh-CN"/>
              </w:rPr>
              <w:t>，</w:t>
            </w:r>
            <w:r>
              <w:rPr>
                <w:rStyle w:val="18"/>
                <w:rFonts w:hint="eastAsia"/>
                <w:i w:val="0"/>
                <w:iCs w:val="0"/>
                <w:color w:val="auto"/>
              </w:rPr>
              <w:t>拖欠供应商贷款,套取银行资</w:t>
            </w:r>
            <w:r>
              <w:rPr>
                <w:rStyle w:val="18"/>
                <w:rFonts w:hint="eastAsia"/>
                <w:i w:val="0"/>
                <w:iCs w:val="0"/>
                <w:color w:val="auto"/>
                <w:lang w:eastAsia="zh-CN"/>
              </w:rPr>
              <w:t>，</w:t>
            </w:r>
            <w:r>
              <w:rPr>
                <w:rStyle w:val="18"/>
                <w:rFonts w:hint="eastAsia"/>
                <w:i w:val="0"/>
                <w:iCs w:val="0"/>
                <w:color w:val="auto"/>
              </w:rPr>
              <w:t>榨取品牌使用费,占用科电器资源</w:t>
            </w:r>
            <w:r>
              <w:rPr>
                <w:rStyle w:val="18"/>
                <w:rFonts w:hint="eastAsia"/>
                <w:i w:val="0"/>
                <w:iCs w:val="0"/>
                <w:color w:val="auto"/>
                <w:lang w:eastAsia="zh-CN"/>
              </w:rPr>
              <w:t>，</w:t>
            </w:r>
            <w:r>
              <w:rPr>
                <w:rStyle w:val="18"/>
                <w:rFonts w:hint="eastAsia"/>
                <w:i w:val="0"/>
                <w:iCs w:val="0"/>
                <w:color w:val="auto"/>
              </w:rPr>
              <w:t>操纵账面盈余,暗度巨额现金</w:t>
            </w:r>
            <w:r>
              <w:rPr>
                <w:rStyle w:val="18"/>
                <w:rFonts w:hint="eastAsia"/>
                <w:i w:val="0"/>
                <w:iCs w:val="0"/>
                <w:color w:val="auto"/>
                <w:lang w:eastAsia="zh-CN"/>
              </w:rPr>
              <w:t>。</w:t>
            </w:r>
            <w:r>
              <w:rPr>
                <w:rStyle w:val="18"/>
                <w:rFonts w:hint="eastAsia"/>
                <w:i w:val="0"/>
                <w:iCs w:val="0"/>
                <w:color w:val="auto"/>
                <w:lang w:val="en-US" w:eastAsia="zh-CN"/>
              </w:rPr>
              <w:t>关联方交易，不相容职务未分离，没有监督智能，内部控制存在问题。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rPr>
                <w:rFonts w:hint="eastAsia"/>
              </w:rPr>
            </w:pPr>
            <w:r>
              <w:rPr>
                <w:rFonts w:hint="eastAsia"/>
              </w:rPr>
              <w:t>我们虽然对本报告相关事项进行了深入了解和研究，但是：（i）诚如审计报告保留意见中所言，审计师在保留意见事项上未能得到足够的审计信息；(ii)同时，因受前任管理层经营期间内无贸易背景的票据融资、公司内部往来存在差异以及2005 年度公司不得已采取了倒挤主营业务成本的会计处理方法等因素影响，导致现金流量表、损益表2005 年度与以前年度划分可能存在不准确。因此，我们不能保证2005 年度损益表和现金流量表的准确性、真实性和完整性。</w:t>
            </w:r>
          </w:p>
          <w:p>
            <w:pPr>
              <w:rPr>
                <w:rFonts w:hint="eastAsia"/>
              </w:rPr>
            </w:pPr>
            <w:r>
              <w:rPr>
                <w:rFonts w:hint="eastAsia"/>
              </w:rPr>
              <w:t xml:space="preserve">请投资者特别关注。 </w:t>
            </w:r>
          </w:p>
          <w:p>
            <w:pPr>
              <w:rPr>
                <w:rFonts w:hint="eastAsia"/>
              </w:rPr>
            </w:pPr>
            <w:r>
              <w:rPr>
                <w:rFonts w:hint="eastAsia"/>
              </w:rPr>
              <w:t>我们同意审计报告的保留意见及董事会对保留意见的说明，除以上所述现金流量表、损益</w:t>
            </w:r>
          </w:p>
          <w:p>
            <w:pPr>
              <w:rPr>
                <w:rFonts w:hint="eastAsia"/>
              </w:rPr>
            </w:pPr>
            <w:r>
              <w:rPr>
                <w:rFonts w:hint="eastAsia"/>
              </w:rPr>
              <w:t xml:space="preserve">表外，我们保证资产负债表以及公司本年度报告所载其他资料的真实性、准确性和完整性。 </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保留意见，关联方交易</w:t>
            </w:r>
          </w:p>
        </w:tc>
      </w:tr>
    </w:tbl>
    <w:p/>
    <w:p>
      <w:pPr>
        <w:pStyle w:val="2"/>
        <w:rPr>
          <w:rFonts w:hint="default" w:eastAsia="宋体"/>
          <w:lang w:val="en-US" w:eastAsia="zh-CN"/>
        </w:rPr>
      </w:pPr>
      <w:bookmarkStart w:id="56" w:name="_Toc8261"/>
      <w:r>
        <w:rPr>
          <w:rFonts w:hint="eastAsia"/>
          <w:lang w:val="en-US" w:eastAsia="zh-CN"/>
        </w:rPr>
        <w:t>4</w:t>
      </w:r>
      <w:r>
        <w:rPr>
          <w:rFonts w:hint="eastAsia"/>
        </w:rPr>
        <w:t>0</w:t>
      </w:r>
      <w:r>
        <w:rPr>
          <w:rFonts w:hint="eastAsia"/>
          <w:lang w:val="en-US" w:eastAsia="zh-CN"/>
        </w:rPr>
        <w:t xml:space="preserve"> 科融环境</w:t>
      </w:r>
      <w:bookmarkEnd w:id="56"/>
    </w:p>
    <w:tbl>
      <w:tblPr>
        <w:tblStyle w:val="1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lang w:val="en-US"/>
              </w:rPr>
            </w:pPr>
            <w:r>
              <w:rPr>
                <w:rFonts w:hint="eastAsia"/>
              </w:rPr>
              <w:t>0</w:t>
            </w:r>
            <w:r>
              <w:rPr>
                <w:rFonts w:hint="eastAsia" w:ascii="Times New Roman" w:eastAsia="宋体"/>
                <w:lang w:val="en-US" w:eastAsia="zh-CN"/>
              </w:rPr>
              <w:t>740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rPr>
                <w:rFonts w:hint="eastAsia" w:ascii="Times New Roman" w:eastAsia="宋体"/>
                <w:lang w:val="en-US" w:eastAsia="zh-CN"/>
              </w:rPr>
              <w:t>7制造</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ascii="Times New Roman" w:eastAsia="宋体"/>
                <w:lang w:val="en-US" w:eastAsia="zh-CN"/>
              </w:rP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徐州科融环境资源股份有限公司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default" w:eastAsia="宋体"/>
                <w:lang w:val="en-US" w:eastAsia="zh-CN"/>
              </w:rPr>
              <w:t>氢能源领域内技术的研发、推广和服</w:t>
            </w:r>
            <w:r>
              <w:rPr>
                <w:rFonts w:hint="eastAsia" w:ascii="Times New Roman" w:eastAsia="宋体"/>
                <w:lang w:val="en-US" w:eastAsia="zh-CN"/>
              </w:rPr>
              <w:t>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w:t>
            </w:r>
            <w:r>
              <w:rPr>
                <w:rFonts w:hint="eastAsia" w:ascii="Times New Roman" w:eastAsia="宋体"/>
                <w:lang w:val="en-US" w:eastAsia="zh-CN"/>
              </w:rPr>
              <w:t>企业</w:t>
            </w:r>
            <w:r>
              <w:rPr>
                <w:rFonts w:hint="eastAsia"/>
              </w:rPr>
              <w:t>案情描述</w:t>
            </w:r>
          </w:p>
        </w:tc>
        <w:tc>
          <w:tcPr>
            <w:tcW w:w="6316" w:type="dxa"/>
          </w:tcPr>
          <w:p>
            <w:pPr>
              <w:rPr>
                <w:b/>
              </w:rPr>
            </w:pPr>
            <w:r>
              <w:rPr>
                <w:rFonts w:hint="eastAsia"/>
                <w:b/>
              </w:rPr>
              <w:t>【企业背景】</w:t>
            </w:r>
          </w:p>
          <w:p>
            <w:r>
              <w:tab/>
            </w:r>
            <w:r>
              <w:rPr>
                <w:rFonts w:hint="eastAsia"/>
              </w:rPr>
              <w:t>徐州燃控科技股份有限公司前身为徐州华远燃烧控制工程有限公司,成立于2003年6月17日,领取了徐州市工商行政管理局颁发的营业执照。2008年9月18日,公司在江苏省徐州工商行政管理局办理完毕相关变更登记手续,徐州华远燃烧控制工程有限公司整体变更设立为徐州燃控科技股份有限公司。2010年12月29日经中国证券监督管理委员会证监许可</w:t>
            </w:r>
            <w:r>
              <w:rPr>
                <w:rFonts w:hint="eastAsia" w:ascii="Times New Roman" w:eastAsia="宋体"/>
                <w:lang w:val="en-US" w:eastAsia="zh-CN"/>
              </w:rPr>
              <w:t>[</w:t>
            </w:r>
            <w:r>
              <w:rPr>
                <w:rFonts w:hint="eastAsia"/>
              </w:rPr>
              <w:t>2010]1796号文核准徐州燃控科技股份有限公司股票在深圳证券交易所上市交易,股票代码:300152。2015年8月,公司名称由“徐州燃控科技股份有限公司变更为“徐州科融环境资源股份有限公司”</w:t>
            </w:r>
          </w:p>
          <w:p/>
          <w:p>
            <w:pPr>
              <w:rPr>
                <w:b/>
              </w:rPr>
            </w:pPr>
            <w:r>
              <w:rPr>
                <w:rFonts w:hint="eastAsia"/>
                <w:b/>
              </w:rPr>
              <w:t>【案情背景</w:t>
            </w:r>
            <w:r>
              <w:rPr>
                <w:b/>
              </w:rPr>
              <w:t>】</w:t>
            </w:r>
          </w:p>
          <w:p>
            <w:pPr>
              <w:rPr>
                <w:rFonts w:hint="eastAsia" w:eastAsia="宋体"/>
                <w:lang w:eastAsia="zh-CN"/>
              </w:rPr>
            </w:pPr>
            <w:r>
              <w:rPr>
                <w:b/>
              </w:rPr>
              <w:tab/>
            </w:r>
            <w:r>
              <w:rPr>
                <w:rFonts w:hint="eastAsia"/>
              </w:rPr>
              <w:t>科融环境通过涂改21个项目调试报告日期，涉嫌虚增2017年利润717.88万元，导致信息披露违法违规</w:t>
            </w:r>
            <w:r>
              <w:rPr>
                <w:rFonts w:hint="eastAsia" w:eastAsia="宋体"/>
                <w:lang w:eastAsia="zh-CN"/>
              </w:rPr>
              <w:t>。</w:t>
            </w:r>
          </w:p>
          <w:p>
            <w:pPr>
              <w:rPr>
                <w:b/>
              </w:rPr>
            </w:pPr>
          </w:p>
          <w:p>
            <w:pPr>
              <w:rPr>
                <w:b/>
              </w:rPr>
            </w:pPr>
          </w:p>
          <w:p>
            <w:pPr>
              <w:rPr>
                <w:b/>
              </w:rPr>
            </w:pPr>
            <w:r>
              <w:rPr>
                <w:rFonts w:hint="eastAsia"/>
                <w:b/>
              </w:rPr>
              <w:t>【案情描述】</w:t>
            </w:r>
          </w:p>
          <w:p>
            <w:pPr>
              <w:tabs>
                <w:tab w:val="left" w:pos="210"/>
              </w:tabs>
              <w:ind w:firstLine="420" w:firstLineChars="200"/>
              <w:rPr>
                <w:rFonts w:hint="eastAsia"/>
                <w:lang w:val="en-US" w:eastAsia="zh-CN"/>
              </w:rPr>
            </w:pPr>
            <w:r>
              <w:rPr>
                <w:rFonts w:hint="eastAsia" w:ascii="Times New Roman" w:eastAsia="宋体"/>
                <w:lang w:val="en-US" w:eastAsia="zh-CN"/>
              </w:rPr>
              <w:t>科融环境通过将21个项目调式报告日期由以前年度涂改为2017年，并在2017年确认调式收入，虚增2017年利润7,178,800.95元，这21个项目分别为：</w:t>
            </w:r>
          </w:p>
          <w:p>
            <w:pPr>
              <w:tabs>
                <w:tab w:val="left" w:pos="210"/>
              </w:tabs>
              <w:rPr>
                <w:rFonts w:hint="eastAsia"/>
                <w:lang w:val="en-US" w:eastAsia="zh-CN"/>
              </w:rPr>
            </w:pPr>
            <w:r>
              <w:rPr>
                <w:rFonts w:hint="eastAsia" w:ascii="Times New Roman" w:eastAsia="宋体"/>
                <w:lang w:val="en-US" w:eastAsia="zh-CN"/>
              </w:rPr>
              <w:t>1.令号1401026-RK，科融环境将该项目调试报告的签字日期由2015年11月3日涂改为2017年11月3日，并将收入确认在2017年，虚增2017年利润145,674.87元。</w:t>
            </w:r>
          </w:p>
          <w:p>
            <w:pPr>
              <w:tabs>
                <w:tab w:val="left" w:pos="210"/>
              </w:tabs>
              <w:rPr>
                <w:rFonts w:hint="eastAsia"/>
                <w:lang w:val="en-US" w:eastAsia="zh-CN"/>
              </w:rPr>
            </w:pPr>
            <w:r>
              <w:rPr>
                <w:rFonts w:hint="eastAsia" w:ascii="Times New Roman" w:eastAsia="宋体"/>
                <w:lang w:val="en-US" w:eastAsia="zh-CN"/>
              </w:rPr>
              <w:t>2.令号1403053-RK，科融环境将该项目调试报告的签字日期由2016年10月10日涂改为2017年10月10日，并将收入确认在2017年，虚增2017年利润415,384.62元。</w:t>
            </w:r>
          </w:p>
          <w:p>
            <w:pPr>
              <w:tabs>
                <w:tab w:val="left" w:pos="210"/>
              </w:tabs>
              <w:rPr>
                <w:rFonts w:hint="eastAsia"/>
                <w:lang w:val="en-US" w:eastAsia="zh-CN"/>
              </w:rPr>
            </w:pPr>
            <w:r>
              <w:rPr>
                <w:rFonts w:hint="eastAsia" w:ascii="Times New Roman" w:eastAsia="宋体"/>
                <w:lang w:val="en-US" w:eastAsia="zh-CN"/>
              </w:rPr>
              <w:t>3.令号1409001-YH，科融环境将该项目用户评价报告的签字日期由2016年10月25日涂改为2017年10月25日，并将收入确认在2017年，2017年1月结转该项目外包安装成本29,126.21元，虚增2017年利润1,116,172.94元。</w:t>
            </w:r>
          </w:p>
          <w:p>
            <w:pPr>
              <w:tabs>
                <w:tab w:val="left" w:pos="210"/>
              </w:tabs>
              <w:rPr>
                <w:rFonts w:hint="eastAsia"/>
                <w:lang w:val="en-US" w:eastAsia="zh-CN"/>
              </w:rPr>
            </w:pPr>
            <w:r>
              <w:rPr>
                <w:rFonts w:hint="eastAsia" w:ascii="Times New Roman" w:eastAsia="宋体"/>
                <w:lang w:val="en-US" w:eastAsia="zh-CN"/>
              </w:rPr>
              <w:t>4.令号1504016-YH，科融环境将该项目签字日期为2016年3月8日的用户评价报告涂改为2017年3月8日，将该项目签字日期为2016年4月6日的用户评价报告涂改为2017年4月6日，并将收入确认在2017年，虚增2017年利润111,504.27元。</w:t>
            </w:r>
          </w:p>
          <w:p>
            <w:pPr>
              <w:tabs>
                <w:tab w:val="left" w:pos="210"/>
              </w:tabs>
              <w:rPr>
                <w:rFonts w:hint="eastAsia"/>
                <w:lang w:val="en-US" w:eastAsia="zh-CN"/>
              </w:rPr>
            </w:pPr>
            <w:r>
              <w:rPr>
                <w:rFonts w:hint="eastAsia" w:ascii="Times New Roman" w:eastAsia="宋体"/>
                <w:lang w:val="en-US" w:eastAsia="zh-CN"/>
              </w:rPr>
              <w:t>5.令号1504050-RK，科融环境将该项目用户评价报告的签字日期由2016年9月29日涂改为2017年9月29日，并将收入确认在2017年，虚增2017年利润89,666.67元。</w:t>
            </w:r>
          </w:p>
          <w:p>
            <w:pPr>
              <w:tabs>
                <w:tab w:val="left" w:pos="210"/>
              </w:tabs>
              <w:rPr>
                <w:rFonts w:hint="eastAsia"/>
                <w:lang w:val="en-US" w:eastAsia="zh-CN"/>
              </w:rPr>
            </w:pPr>
            <w:r>
              <w:rPr>
                <w:rFonts w:hint="eastAsia" w:ascii="Times New Roman" w:eastAsia="宋体"/>
                <w:lang w:val="en-US" w:eastAsia="zh-CN"/>
              </w:rPr>
              <w:t>6.令号1505006-YH，科融环境将该项目调试报告的现场调试日期由2016年1月涂改为2017年1月，签字日期由2016年10月10日涂改为2017年10月10日，并将收入确认在2017年，虚增2017年利润639,316.23元。</w:t>
            </w:r>
          </w:p>
          <w:p>
            <w:pPr>
              <w:tabs>
                <w:tab w:val="left" w:pos="210"/>
              </w:tabs>
              <w:rPr>
                <w:rFonts w:hint="eastAsia"/>
                <w:lang w:val="en-US" w:eastAsia="zh-CN"/>
              </w:rPr>
            </w:pPr>
            <w:r>
              <w:rPr>
                <w:rFonts w:hint="eastAsia" w:ascii="Times New Roman" w:eastAsia="宋体"/>
                <w:lang w:val="en-US" w:eastAsia="zh-CN"/>
              </w:rPr>
              <w:t>7.令号1505074-RK，，科融环境将该项目调试报告的签字日期由2016年6月3日涂改为2017年6月3日，并将收入确认在2017年，虚增2017年利润37,606.84元。</w:t>
            </w:r>
          </w:p>
          <w:p>
            <w:pPr>
              <w:tabs>
                <w:tab w:val="left" w:pos="210"/>
              </w:tabs>
              <w:rPr>
                <w:rFonts w:hint="eastAsia"/>
                <w:lang w:val="en-US" w:eastAsia="zh-CN"/>
              </w:rPr>
            </w:pPr>
            <w:r>
              <w:rPr>
                <w:rFonts w:hint="eastAsia" w:ascii="Times New Roman" w:eastAsia="宋体"/>
                <w:lang w:val="en-US" w:eastAsia="zh-CN"/>
              </w:rPr>
              <w:t>8.令号1507002-RK，科融环境将该项目调试报告的签字日期由2016年10月10日涂改为2017年10月10日，并将收入确认在2017年，2017年期初结转成本4,341.88元，虚增2017年利润105,059.83元。</w:t>
            </w:r>
          </w:p>
          <w:p>
            <w:pPr>
              <w:tabs>
                <w:tab w:val="left" w:pos="210"/>
              </w:tabs>
              <w:rPr>
                <w:rFonts w:hint="eastAsia"/>
                <w:lang w:val="en-US" w:eastAsia="zh-CN"/>
              </w:rPr>
            </w:pPr>
            <w:r>
              <w:rPr>
                <w:rFonts w:hint="eastAsia" w:ascii="Times New Roman" w:eastAsia="宋体"/>
                <w:lang w:val="en-US" w:eastAsia="zh-CN"/>
              </w:rPr>
              <w:t>9.令号1507041-YH，科融环境将该项目设备调试验收申请表的签字日期由2016年8月13日涂改为2017年8月13日，并将收入确认在2017年，虚增2017年利润714,529.91元。</w:t>
            </w:r>
          </w:p>
          <w:p>
            <w:pPr>
              <w:tabs>
                <w:tab w:val="left" w:pos="210"/>
              </w:tabs>
              <w:rPr>
                <w:rFonts w:hint="eastAsia"/>
                <w:lang w:val="en-US" w:eastAsia="zh-CN"/>
              </w:rPr>
            </w:pPr>
            <w:r>
              <w:rPr>
                <w:rFonts w:hint="eastAsia" w:ascii="Times New Roman" w:eastAsia="宋体"/>
                <w:lang w:val="en-US" w:eastAsia="zh-CN"/>
              </w:rPr>
              <w:t>10.令号1507092-YH，科融环境将该项目用户评价报告的签字日期由2016年10月9日涂改为2017年10月9日，并将收入确认在2017年，2017年未发生调试成本，仅结转调试人员于2015年发生的出差报销费用10,852.90元，虚增2017年利润287,095.82元。</w:t>
            </w:r>
          </w:p>
          <w:p>
            <w:pPr>
              <w:tabs>
                <w:tab w:val="left" w:pos="210"/>
              </w:tabs>
              <w:rPr>
                <w:rFonts w:hint="eastAsia"/>
                <w:lang w:val="en-US" w:eastAsia="zh-CN"/>
              </w:rPr>
            </w:pPr>
            <w:r>
              <w:rPr>
                <w:rFonts w:hint="eastAsia" w:ascii="Times New Roman" w:eastAsia="宋体"/>
                <w:lang w:val="en-US" w:eastAsia="zh-CN"/>
              </w:rPr>
              <w:t>11.令号1508047-YH，科融环境将该项目调试报告的现场调试日期由2016年4月至6月涂改为2017年4月至6月，将签字日期由2016年12月29日涂改为2017年12月29日，并将收入确认在2017年，2017年期初结转该项目调试成本33,333.34元，结转调试人员2016年出差报销费用6,422.50元，虚增2017年利润1,737,121.08元。</w:t>
            </w:r>
          </w:p>
          <w:p>
            <w:pPr>
              <w:tabs>
                <w:tab w:val="left" w:pos="210"/>
              </w:tabs>
              <w:rPr>
                <w:rFonts w:hint="eastAsia"/>
                <w:lang w:val="en-US" w:eastAsia="zh-CN"/>
              </w:rPr>
            </w:pPr>
            <w:r>
              <w:rPr>
                <w:rFonts w:hint="eastAsia" w:ascii="Times New Roman" w:eastAsia="宋体"/>
                <w:lang w:val="en-US" w:eastAsia="zh-CN"/>
              </w:rPr>
              <w:t>12.令号1511012-RK，科融环境将该项目用户评价报告的签字日期由2016年8月19日涂改为2017年8月19日，并将收入确认在2017年，虚增2017年利润327,863.25元。</w:t>
            </w:r>
          </w:p>
          <w:p>
            <w:pPr>
              <w:tabs>
                <w:tab w:val="left" w:pos="210"/>
              </w:tabs>
              <w:rPr>
                <w:rFonts w:hint="eastAsia"/>
                <w:lang w:val="en-US" w:eastAsia="zh-CN"/>
              </w:rPr>
            </w:pPr>
            <w:r>
              <w:rPr>
                <w:rFonts w:hint="eastAsia" w:ascii="Times New Roman" w:eastAsia="宋体"/>
                <w:lang w:val="en-US" w:eastAsia="zh-CN"/>
              </w:rPr>
              <w:t>13.令号1511044-YH，科融环境将该项目调试报告的签字日期由2016年12月30日涂改为2017年12月30日，并将收入确认在2017年，2017年结转该项目2016年8月至12月出差调试成本18,203.50元，虚增2017年利润38,206.76元。</w:t>
            </w:r>
          </w:p>
          <w:p>
            <w:pPr>
              <w:tabs>
                <w:tab w:val="left" w:pos="210"/>
              </w:tabs>
              <w:rPr>
                <w:rFonts w:hint="eastAsia"/>
                <w:lang w:val="en-US" w:eastAsia="zh-CN"/>
              </w:rPr>
            </w:pPr>
            <w:r>
              <w:rPr>
                <w:rFonts w:hint="eastAsia" w:ascii="Times New Roman" w:eastAsia="宋体"/>
                <w:lang w:val="en-US" w:eastAsia="zh-CN"/>
              </w:rPr>
              <w:t>14.令号1601067-RK，科融环境将该项目调试报告的签字日期由2016年10月10日涂改为2017年10月10日，并将收入确认在2017年，虚增2017年利润339,145.30元。</w:t>
            </w:r>
          </w:p>
          <w:p>
            <w:pPr>
              <w:tabs>
                <w:tab w:val="left" w:pos="210"/>
              </w:tabs>
              <w:rPr>
                <w:rFonts w:hint="eastAsia"/>
                <w:lang w:val="en-US" w:eastAsia="zh-CN"/>
              </w:rPr>
            </w:pPr>
            <w:r>
              <w:rPr>
                <w:rFonts w:hint="eastAsia" w:ascii="Times New Roman" w:eastAsia="宋体"/>
                <w:lang w:val="en-US" w:eastAsia="zh-CN"/>
              </w:rPr>
              <w:t>15.令号1602009-RK，科融环境将该项目调试报告的签字日期由2016年11月4日涂改为2017年11月4日，并将收入确认在2017年，虚增2017年利润177,777.78元。</w:t>
            </w:r>
          </w:p>
          <w:p>
            <w:pPr>
              <w:tabs>
                <w:tab w:val="left" w:pos="210"/>
              </w:tabs>
              <w:rPr>
                <w:rFonts w:hint="eastAsia"/>
                <w:lang w:val="en-US" w:eastAsia="zh-CN"/>
              </w:rPr>
            </w:pPr>
            <w:r>
              <w:rPr>
                <w:rFonts w:hint="eastAsia" w:ascii="Times New Roman" w:eastAsia="宋体"/>
                <w:lang w:val="en-US" w:eastAsia="zh-CN"/>
              </w:rPr>
              <w:t>16.令号1602044-RK，科融环境将该项目调试报告的签字日期由2016年8月10日涂改为2017年8月10日，并将收入确认在2017年，虚增2017年利润412,991.45元。</w:t>
            </w:r>
          </w:p>
          <w:p>
            <w:pPr>
              <w:tabs>
                <w:tab w:val="left" w:pos="210"/>
              </w:tabs>
              <w:rPr>
                <w:rFonts w:hint="eastAsia"/>
                <w:lang w:val="en-US" w:eastAsia="zh-CN"/>
              </w:rPr>
            </w:pPr>
            <w:r>
              <w:rPr>
                <w:rFonts w:hint="eastAsia" w:ascii="Times New Roman" w:eastAsia="宋体"/>
                <w:lang w:val="en-US" w:eastAsia="zh-CN"/>
              </w:rPr>
              <w:t>17.令号1604050-RK，科融环境将该项目调试报告的签字日期由2016年12月16日涂改为2017年12月16日，并将收入确认2017年，虚增2017年利润119,230.77元。</w:t>
            </w:r>
          </w:p>
          <w:p>
            <w:pPr>
              <w:tabs>
                <w:tab w:val="left" w:pos="210"/>
              </w:tabs>
              <w:rPr>
                <w:rFonts w:hint="eastAsia"/>
                <w:lang w:val="en-US" w:eastAsia="zh-CN"/>
              </w:rPr>
            </w:pPr>
            <w:r>
              <w:rPr>
                <w:rFonts w:hint="eastAsia" w:ascii="Times New Roman" w:eastAsia="宋体"/>
                <w:lang w:val="en-US" w:eastAsia="zh-CN"/>
              </w:rPr>
              <w:t>18.令号1604088-RK，根据科融环境的情况说明，令号1511044-YH与令号1604088-RK两个合同为同一个客户的同一个项目，使用同一份调试报告。科融环境将调试报告的签字日期由2016年12月30日涂改为2017年12月30日，并将收入确认在2017年，虚增2017年利润35,384.62元。</w:t>
            </w:r>
          </w:p>
          <w:p>
            <w:pPr>
              <w:tabs>
                <w:tab w:val="left" w:pos="210"/>
              </w:tabs>
              <w:rPr>
                <w:rFonts w:hint="eastAsia"/>
                <w:lang w:val="en-US" w:eastAsia="zh-CN"/>
              </w:rPr>
            </w:pPr>
            <w:r>
              <w:rPr>
                <w:rFonts w:hint="eastAsia" w:ascii="Times New Roman" w:eastAsia="宋体"/>
                <w:lang w:val="en-US" w:eastAsia="zh-CN"/>
              </w:rPr>
              <w:t>19.令号1605088-RK，科融环境将该项目调试报告的签字日期由2016年12月15日涂改为2017年12月15日，并将收入确认在2017年，虚增2017年利润166,837.61元。</w:t>
            </w:r>
          </w:p>
          <w:p>
            <w:pPr>
              <w:tabs>
                <w:tab w:val="left" w:pos="210"/>
              </w:tabs>
              <w:rPr>
                <w:rFonts w:hint="eastAsia"/>
                <w:lang w:val="en-US" w:eastAsia="zh-CN"/>
              </w:rPr>
            </w:pPr>
            <w:r>
              <w:rPr>
                <w:rFonts w:hint="eastAsia" w:ascii="Times New Roman" w:eastAsia="宋体"/>
                <w:lang w:val="en-US" w:eastAsia="zh-CN"/>
              </w:rPr>
              <w:t>20.令号1606030-RK，科融环境将该项目用户评价报告的签字日期由2016年11月2日涂改为2017年11月2日，将该项目燃烧器运行记录的签字日期由2016年11月3日涂改为2017年11月3日，并将收入确认在2017年，2017年结转该项目2016年9月至12月出差调试成本3,923.50元，虚增2017年利润115,734.62元。</w:t>
            </w:r>
          </w:p>
          <w:p>
            <w:pPr>
              <w:tabs>
                <w:tab w:val="left" w:pos="210"/>
              </w:tabs>
              <w:rPr>
                <w:rFonts w:hint="eastAsia"/>
                <w:lang w:val="en-US" w:eastAsia="zh-CN"/>
              </w:rPr>
            </w:pPr>
            <w:r>
              <w:rPr>
                <w:rFonts w:hint="eastAsia" w:ascii="Times New Roman" w:eastAsia="宋体"/>
                <w:lang w:val="en-US" w:eastAsia="zh-CN"/>
              </w:rPr>
              <w:t>21.令号1607061一RK，科融环境将该项目调试报告的签字日期由2016年10月14日涂改为2017年10月14日，并将收入确认在2017年，虚增2017年利润46,495.73元。</w:t>
            </w:r>
          </w:p>
          <w:p>
            <w:pPr>
              <w:rPr>
                <w:b/>
                <w:bCs/>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企业受罚或责任描述</w:t>
            </w:r>
          </w:p>
        </w:tc>
        <w:tc>
          <w:tcPr>
            <w:tcW w:w="6316" w:type="dxa"/>
          </w:tcPr>
          <w:p>
            <w:r>
              <w:rPr>
                <w:rFonts w:hint="eastAsia"/>
              </w:rPr>
              <w:t>证监会对科融环境责令改正,给予警告,并处以60万元罚款;对实控人毛凤丽及相关人员给予警告,并分别处以10—30万元不等的罚款。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ascii="Times New Roman" w:eastAsia="宋体"/>
                <w:lang w:val="en-US" w:eastAsia="zh-CN"/>
              </w:rPr>
              <w:t>中证天通会计师事务所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ascii="Times New Roman" w:eastAsia="宋体"/>
                <w:lang w:val="en-US" w:eastAsia="zh-CN"/>
              </w:rPr>
              <w:t>企业经营及内控思考</w:t>
            </w:r>
          </w:p>
        </w:tc>
        <w:tc>
          <w:tcPr>
            <w:tcW w:w="6316" w:type="dxa"/>
          </w:tcPr>
          <w:p>
            <w:pPr>
              <w:tabs>
                <w:tab w:val="left" w:pos="2160"/>
              </w:tabs>
              <w:rPr>
                <w:rStyle w:val="18"/>
                <w:rFonts w:hint="default" w:eastAsia="宋体"/>
                <w:i w:val="0"/>
                <w:iCs w:val="0"/>
                <w:color w:val="auto"/>
                <w:lang w:val="en-US" w:eastAsia="zh-CN"/>
              </w:rPr>
            </w:pPr>
            <w:r>
              <w:rPr>
                <w:rStyle w:val="18"/>
                <w:rFonts w:hint="eastAsia"/>
                <w:i w:val="0"/>
                <w:iCs w:val="0"/>
                <w:color w:val="auto"/>
                <w:lang w:val="en-US" w:eastAsia="zh-CN"/>
              </w:rPr>
              <w:t>无监督智能，内部控制存在问题。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default" w:eastAsia="宋体"/>
                <w:lang w:val="en-US" w:eastAsia="zh-CN"/>
              </w:rPr>
            </w:pPr>
            <w:r>
              <w:rPr>
                <w:rFonts w:hint="eastAsia" w:ascii="Times New Roman" w:eastAsia="宋体"/>
                <w:lang w:val="en-US" w:eastAsia="zh-CN"/>
              </w:rPr>
              <w:t>审计报告及审计意见披露</w:t>
            </w:r>
          </w:p>
        </w:tc>
        <w:tc>
          <w:tcPr>
            <w:tcW w:w="6316" w:type="dxa"/>
          </w:tcPr>
          <w:p>
            <w:pPr>
              <w:ind w:firstLine="420" w:firstLineChars="200"/>
              <w:rPr>
                <w:rFonts w:hint="eastAsia"/>
              </w:rPr>
            </w:pPr>
            <w:r>
              <w:rPr>
                <w:rFonts w:hint="eastAsia"/>
              </w:rPr>
              <w:t>我们审计了后附的雄安科融环境科技股份有限公司（以下简称“科融环境”）财务报表，包括2020年12月31日的合并及公司资产负债表，2020年度的合并及公司利润表、合并及公司现金流量表、合并及公司股东权益变动表以及相关财务报表附注。</w:t>
            </w:r>
          </w:p>
          <w:p>
            <w:pPr>
              <w:ind w:firstLine="420" w:firstLineChars="200"/>
              <w:rPr>
                <w:rFonts w:hint="eastAsia"/>
              </w:rPr>
            </w:pPr>
            <w:r>
              <w:rPr>
                <w:rFonts w:hint="eastAsia"/>
              </w:rPr>
              <w:t>我们认为，除“形成保留意见的基础”部分所述事项产生的影响外，后附的财务报表在所有重大方面按照企业会计准则的规定编制，公允反映了科融环境2020年12月31日合并及公司的财务状况以及2020年度合并及公司的经营成果和现金流量。</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ascii="Times New Roman" w:eastAsia="宋体"/>
                <w:lang w:val="en-US" w:eastAsia="zh-CN"/>
              </w:rPr>
              <w:t>保留意见，虚增收入</w:t>
            </w:r>
          </w:p>
        </w:tc>
      </w:tr>
    </w:tbl>
    <w:p>
      <w:pPr>
        <w:rPr>
          <w:rFonts w:hint="eastAsia"/>
        </w:rPr>
      </w:pPr>
    </w:p>
    <w:p/>
    <w:p>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A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761FBF"/>
    <w:multiLevelType w:val="singleLevel"/>
    <w:tmpl w:val="8A761FBF"/>
    <w:lvl w:ilvl="0" w:tentative="0">
      <w:start w:val="1"/>
      <w:numFmt w:val="decimal"/>
      <w:suff w:val="nothing"/>
      <w:lvlText w:val="%1、"/>
      <w:lvlJc w:val="left"/>
    </w:lvl>
  </w:abstractNum>
  <w:abstractNum w:abstractNumId="1">
    <w:nsid w:val="8D75921F"/>
    <w:multiLevelType w:val="singleLevel"/>
    <w:tmpl w:val="8D75921F"/>
    <w:lvl w:ilvl="0" w:tentative="0">
      <w:start w:val="3"/>
      <w:numFmt w:val="decimal"/>
      <w:suff w:val="nothing"/>
      <w:lvlText w:val="%1、"/>
      <w:lvlJc w:val="left"/>
    </w:lvl>
  </w:abstractNum>
  <w:abstractNum w:abstractNumId="2">
    <w:nsid w:val="A2F72774"/>
    <w:multiLevelType w:val="singleLevel"/>
    <w:tmpl w:val="A2F72774"/>
    <w:lvl w:ilvl="0" w:tentative="0">
      <w:start w:val="4"/>
      <w:numFmt w:val="chineseCounting"/>
      <w:suff w:val="nothing"/>
      <w:lvlText w:val="%1、"/>
      <w:lvlJc w:val="left"/>
      <w:rPr>
        <w:rFonts w:hint="eastAsia"/>
      </w:rPr>
    </w:lvl>
  </w:abstractNum>
  <w:abstractNum w:abstractNumId="3">
    <w:nsid w:val="A673FDD3"/>
    <w:multiLevelType w:val="singleLevel"/>
    <w:tmpl w:val="A673FDD3"/>
    <w:lvl w:ilvl="0" w:tentative="0">
      <w:start w:val="1"/>
      <w:numFmt w:val="decimal"/>
      <w:suff w:val="nothing"/>
      <w:lvlText w:val="%1、"/>
      <w:lvlJc w:val="left"/>
    </w:lvl>
  </w:abstractNum>
  <w:abstractNum w:abstractNumId="4">
    <w:nsid w:val="C7C538F8"/>
    <w:multiLevelType w:val="singleLevel"/>
    <w:tmpl w:val="C7C538F8"/>
    <w:lvl w:ilvl="0" w:tentative="0">
      <w:start w:val="1"/>
      <w:numFmt w:val="decimal"/>
      <w:suff w:val="space"/>
      <w:lvlText w:val="%1."/>
      <w:lvlJc w:val="left"/>
    </w:lvl>
  </w:abstractNum>
  <w:abstractNum w:abstractNumId="5">
    <w:nsid w:val="CDA6FEAB"/>
    <w:multiLevelType w:val="singleLevel"/>
    <w:tmpl w:val="CDA6FEAB"/>
    <w:lvl w:ilvl="0" w:tentative="0">
      <w:start w:val="1"/>
      <w:numFmt w:val="decimal"/>
      <w:suff w:val="nothing"/>
      <w:lvlText w:val="%1、"/>
      <w:lvlJc w:val="left"/>
    </w:lvl>
  </w:abstractNum>
  <w:abstractNum w:abstractNumId="6">
    <w:nsid w:val="D5D4E211"/>
    <w:multiLevelType w:val="singleLevel"/>
    <w:tmpl w:val="D5D4E211"/>
    <w:lvl w:ilvl="0" w:tentative="0">
      <w:start w:val="5"/>
      <w:numFmt w:val="chineseCounting"/>
      <w:suff w:val="nothing"/>
      <w:lvlText w:val="第%1，"/>
      <w:lvlJc w:val="left"/>
      <w:rPr>
        <w:rFonts w:hint="eastAsia"/>
      </w:rPr>
    </w:lvl>
  </w:abstractNum>
  <w:abstractNum w:abstractNumId="7">
    <w:nsid w:val="E1F34A78"/>
    <w:multiLevelType w:val="singleLevel"/>
    <w:tmpl w:val="E1F34A78"/>
    <w:lvl w:ilvl="0" w:tentative="0">
      <w:start w:val="1"/>
      <w:numFmt w:val="chineseCounting"/>
      <w:suff w:val="nothing"/>
      <w:lvlText w:val="%1、"/>
      <w:lvlJc w:val="left"/>
      <w:pPr>
        <w:ind w:left="420" w:leftChars="0" w:firstLine="0" w:firstLineChars="0"/>
      </w:pPr>
      <w:rPr>
        <w:rFonts w:hint="eastAsia"/>
      </w:rPr>
    </w:lvl>
  </w:abstractNum>
  <w:abstractNum w:abstractNumId="8">
    <w:nsid w:val="EF6EF30E"/>
    <w:multiLevelType w:val="singleLevel"/>
    <w:tmpl w:val="EF6EF30E"/>
    <w:lvl w:ilvl="0" w:tentative="0">
      <w:start w:val="1"/>
      <w:numFmt w:val="decimal"/>
      <w:suff w:val="space"/>
      <w:lvlText w:val="%1."/>
      <w:lvlJc w:val="left"/>
    </w:lvl>
  </w:abstractNum>
  <w:abstractNum w:abstractNumId="9">
    <w:nsid w:val="FCA0ADEB"/>
    <w:multiLevelType w:val="singleLevel"/>
    <w:tmpl w:val="FCA0ADEB"/>
    <w:lvl w:ilvl="0" w:tentative="0">
      <w:start w:val="1"/>
      <w:numFmt w:val="decimal"/>
      <w:suff w:val="nothing"/>
      <w:lvlText w:val="%1、"/>
      <w:lvlJc w:val="left"/>
    </w:lvl>
  </w:abstractNum>
  <w:abstractNum w:abstractNumId="10">
    <w:nsid w:val="0868D2CC"/>
    <w:multiLevelType w:val="singleLevel"/>
    <w:tmpl w:val="0868D2CC"/>
    <w:lvl w:ilvl="0" w:tentative="0">
      <w:start w:val="3"/>
      <w:numFmt w:val="decimal"/>
      <w:suff w:val="nothing"/>
      <w:lvlText w:val="（%1）"/>
      <w:lvlJc w:val="left"/>
    </w:lvl>
  </w:abstractNum>
  <w:abstractNum w:abstractNumId="11">
    <w:nsid w:val="3E062587"/>
    <w:multiLevelType w:val="singleLevel"/>
    <w:tmpl w:val="3E062587"/>
    <w:lvl w:ilvl="0" w:tentative="0">
      <w:start w:val="1"/>
      <w:numFmt w:val="decimal"/>
      <w:suff w:val="nothing"/>
      <w:lvlText w:val="%1、"/>
      <w:lvlJc w:val="left"/>
    </w:lvl>
  </w:abstractNum>
  <w:abstractNum w:abstractNumId="12">
    <w:nsid w:val="43DDD54C"/>
    <w:multiLevelType w:val="singleLevel"/>
    <w:tmpl w:val="43DDD54C"/>
    <w:lvl w:ilvl="0" w:tentative="0">
      <w:start w:val="1"/>
      <w:numFmt w:val="chineseCounting"/>
      <w:suff w:val="nothing"/>
      <w:lvlText w:val="%1、"/>
      <w:lvlJc w:val="left"/>
      <w:rPr>
        <w:rFonts w:hint="eastAsia"/>
      </w:rPr>
    </w:lvl>
  </w:abstractNum>
  <w:abstractNum w:abstractNumId="13">
    <w:nsid w:val="5C82B713"/>
    <w:multiLevelType w:val="singleLevel"/>
    <w:tmpl w:val="5C82B713"/>
    <w:lvl w:ilvl="0" w:tentative="0">
      <w:start w:val="3"/>
      <w:numFmt w:val="chineseCounting"/>
      <w:suff w:val="nothing"/>
      <w:lvlText w:val="%1、"/>
      <w:lvlJc w:val="left"/>
      <w:rPr>
        <w:rFonts w:hint="eastAsia"/>
      </w:rPr>
    </w:lvl>
  </w:abstractNum>
  <w:abstractNum w:abstractNumId="14">
    <w:nsid w:val="5D7ED0B3"/>
    <w:multiLevelType w:val="singleLevel"/>
    <w:tmpl w:val="5D7ED0B3"/>
    <w:lvl w:ilvl="0" w:tentative="0">
      <w:start w:val="1"/>
      <w:numFmt w:val="decimal"/>
      <w:suff w:val="nothing"/>
      <w:lvlText w:val="%1）"/>
      <w:lvlJc w:val="left"/>
    </w:lvl>
  </w:abstractNum>
  <w:num w:numId="1">
    <w:abstractNumId w:val="6"/>
  </w:num>
  <w:num w:numId="2">
    <w:abstractNumId w:val="10"/>
  </w:num>
  <w:num w:numId="3">
    <w:abstractNumId w:val="13"/>
  </w:num>
  <w:num w:numId="4">
    <w:abstractNumId w:val="7"/>
  </w:num>
  <w:num w:numId="5">
    <w:abstractNumId w:val="2"/>
  </w:num>
  <w:num w:numId="6">
    <w:abstractNumId w:val="4"/>
  </w:num>
  <w:num w:numId="7">
    <w:abstractNumId w:val="12"/>
  </w:num>
  <w:num w:numId="8">
    <w:abstractNumId w:val="8"/>
  </w:num>
  <w:num w:numId="9">
    <w:abstractNumId w:val="3"/>
  </w:num>
  <w:num w:numId="10">
    <w:abstractNumId w:val="14"/>
  </w:num>
  <w:num w:numId="11">
    <w:abstractNumId w:val="1"/>
  </w:num>
  <w:num w:numId="12">
    <w:abstractNumId w:val="5"/>
  </w:num>
  <w:num w:numId="13">
    <w:abstractNumId w:val="9"/>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0D"/>
    <w:rsid w:val="005E5532"/>
    <w:rsid w:val="009F7F0D"/>
    <w:rsid w:val="00DC1117"/>
    <w:rsid w:val="01AF1850"/>
    <w:rsid w:val="02D1117A"/>
    <w:rsid w:val="03126A26"/>
    <w:rsid w:val="051245A0"/>
    <w:rsid w:val="051606FE"/>
    <w:rsid w:val="0600279A"/>
    <w:rsid w:val="08385535"/>
    <w:rsid w:val="0898151E"/>
    <w:rsid w:val="092139D3"/>
    <w:rsid w:val="09A55167"/>
    <w:rsid w:val="0A817C4E"/>
    <w:rsid w:val="0B20536B"/>
    <w:rsid w:val="0B5702E3"/>
    <w:rsid w:val="0B6A598C"/>
    <w:rsid w:val="0B6F0525"/>
    <w:rsid w:val="0C8760FF"/>
    <w:rsid w:val="12C55917"/>
    <w:rsid w:val="138B21CA"/>
    <w:rsid w:val="13C1034D"/>
    <w:rsid w:val="14390EBD"/>
    <w:rsid w:val="1475390B"/>
    <w:rsid w:val="16FA5DF7"/>
    <w:rsid w:val="17A56173"/>
    <w:rsid w:val="19365F77"/>
    <w:rsid w:val="19BA2D11"/>
    <w:rsid w:val="1A1E2583"/>
    <w:rsid w:val="1A415C2F"/>
    <w:rsid w:val="1BC1395C"/>
    <w:rsid w:val="1BE373CE"/>
    <w:rsid w:val="1BFD1DF4"/>
    <w:rsid w:val="1C255CD5"/>
    <w:rsid w:val="1C801338"/>
    <w:rsid w:val="1C863E6B"/>
    <w:rsid w:val="1DAF4D1B"/>
    <w:rsid w:val="1EE60D93"/>
    <w:rsid w:val="1F0938D7"/>
    <w:rsid w:val="1F597CD8"/>
    <w:rsid w:val="1FEE1E81"/>
    <w:rsid w:val="22F30816"/>
    <w:rsid w:val="230862B9"/>
    <w:rsid w:val="241B6EBE"/>
    <w:rsid w:val="2465003B"/>
    <w:rsid w:val="250C44A8"/>
    <w:rsid w:val="25A91E9A"/>
    <w:rsid w:val="25BB4C92"/>
    <w:rsid w:val="266257B1"/>
    <w:rsid w:val="268A36EE"/>
    <w:rsid w:val="26E765D1"/>
    <w:rsid w:val="27C416B5"/>
    <w:rsid w:val="27E2783A"/>
    <w:rsid w:val="27E7434B"/>
    <w:rsid w:val="286F7F95"/>
    <w:rsid w:val="28C379D5"/>
    <w:rsid w:val="290E30F1"/>
    <w:rsid w:val="291B3415"/>
    <w:rsid w:val="2B9C295C"/>
    <w:rsid w:val="2BB11756"/>
    <w:rsid w:val="2BB23164"/>
    <w:rsid w:val="2BEB366F"/>
    <w:rsid w:val="2C056751"/>
    <w:rsid w:val="2C832A8F"/>
    <w:rsid w:val="2DB927B4"/>
    <w:rsid w:val="2DE83403"/>
    <w:rsid w:val="2EA22AC8"/>
    <w:rsid w:val="2EAB02F2"/>
    <w:rsid w:val="309E55D7"/>
    <w:rsid w:val="30EF34A3"/>
    <w:rsid w:val="33271A4A"/>
    <w:rsid w:val="33323715"/>
    <w:rsid w:val="34440D43"/>
    <w:rsid w:val="347D0B6B"/>
    <w:rsid w:val="34E820C4"/>
    <w:rsid w:val="35CF56E8"/>
    <w:rsid w:val="361B4C9F"/>
    <w:rsid w:val="36D168BD"/>
    <w:rsid w:val="36E50E94"/>
    <w:rsid w:val="36FC46D4"/>
    <w:rsid w:val="371846B4"/>
    <w:rsid w:val="3A7944CA"/>
    <w:rsid w:val="3AF56190"/>
    <w:rsid w:val="3B6B683F"/>
    <w:rsid w:val="3D435584"/>
    <w:rsid w:val="3DBA1F28"/>
    <w:rsid w:val="3DF4710A"/>
    <w:rsid w:val="3E934B25"/>
    <w:rsid w:val="3EDC5A28"/>
    <w:rsid w:val="3EED631D"/>
    <w:rsid w:val="3FA97A90"/>
    <w:rsid w:val="3FEA55EF"/>
    <w:rsid w:val="3FF84FA8"/>
    <w:rsid w:val="401F6948"/>
    <w:rsid w:val="409938D3"/>
    <w:rsid w:val="42446CA2"/>
    <w:rsid w:val="45F73E18"/>
    <w:rsid w:val="45F870A1"/>
    <w:rsid w:val="46D82248"/>
    <w:rsid w:val="471F3F81"/>
    <w:rsid w:val="47FD272A"/>
    <w:rsid w:val="48BC55D6"/>
    <w:rsid w:val="48EF2F4D"/>
    <w:rsid w:val="48FF05E7"/>
    <w:rsid w:val="4A863373"/>
    <w:rsid w:val="4BC94E60"/>
    <w:rsid w:val="4BDB034F"/>
    <w:rsid w:val="4BDE638E"/>
    <w:rsid w:val="4C8B5577"/>
    <w:rsid w:val="4CBD6641"/>
    <w:rsid w:val="4DB7476B"/>
    <w:rsid w:val="4DCB0ABD"/>
    <w:rsid w:val="4F1A4FE8"/>
    <w:rsid w:val="4F7914B3"/>
    <w:rsid w:val="51F74AC8"/>
    <w:rsid w:val="53FC7858"/>
    <w:rsid w:val="55047D0C"/>
    <w:rsid w:val="553F5C85"/>
    <w:rsid w:val="559230BD"/>
    <w:rsid w:val="569977E9"/>
    <w:rsid w:val="5843397A"/>
    <w:rsid w:val="59E37AB3"/>
    <w:rsid w:val="5A391D22"/>
    <w:rsid w:val="5A513850"/>
    <w:rsid w:val="5A6151D7"/>
    <w:rsid w:val="5BA6200C"/>
    <w:rsid w:val="5BC952D2"/>
    <w:rsid w:val="5C422378"/>
    <w:rsid w:val="5C970F2A"/>
    <w:rsid w:val="5CF97EC4"/>
    <w:rsid w:val="5D792590"/>
    <w:rsid w:val="5D7B1E82"/>
    <w:rsid w:val="5E7A7BF9"/>
    <w:rsid w:val="5F024FEF"/>
    <w:rsid w:val="6051695B"/>
    <w:rsid w:val="60DA7263"/>
    <w:rsid w:val="61370977"/>
    <w:rsid w:val="619A5706"/>
    <w:rsid w:val="61D35CEA"/>
    <w:rsid w:val="61F0454D"/>
    <w:rsid w:val="62396DA1"/>
    <w:rsid w:val="634C359C"/>
    <w:rsid w:val="638A12E6"/>
    <w:rsid w:val="63973677"/>
    <w:rsid w:val="63EE1E97"/>
    <w:rsid w:val="644A0F30"/>
    <w:rsid w:val="64C52869"/>
    <w:rsid w:val="66974EC0"/>
    <w:rsid w:val="6ACF1135"/>
    <w:rsid w:val="6B613C78"/>
    <w:rsid w:val="6B6961FC"/>
    <w:rsid w:val="6BC70991"/>
    <w:rsid w:val="6D7242C1"/>
    <w:rsid w:val="6DFD5AEF"/>
    <w:rsid w:val="6EFA5F51"/>
    <w:rsid w:val="6F6002E6"/>
    <w:rsid w:val="6FD719C7"/>
    <w:rsid w:val="706A31CC"/>
    <w:rsid w:val="70735EED"/>
    <w:rsid w:val="70753961"/>
    <w:rsid w:val="710B6899"/>
    <w:rsid w:val="71614DF0"/>
    <w:rsid w:val="722E1791"/>
    <w:rsid w:val="753B0EC6"/>
    <w:rsid w:val="756B1B7D"/>
    <w:rsid w:val="783B5551"/>
    <w:rsid w:val="78584083"/>
    <w:rsid w:val="796B18F5"/>
    <w:rsid w:val="79DA63F6"/>
    <w:rsid w:val="7A5E2C26"/>
    <w:rsid w:val="7ADD680F"/>
    <w:rsid w:val="7E1A5C38"/>
    <w:rsid w:val="7FF21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next w:val="1"/>
    <w:link w:val="19"/>
    <w:qFormat/>
    <w:uiPriority w:val="0"/>
    <w:pPr>
      <w:keepNext/>
      <w:keepLines/>
      <w:widowControl w:val="0"/>
      <w:spacing w:before="340" w:after="330" w:line="578" w:lineRule="auto"/>
      <w:jc w:val="both"/>
      <w:outlineLvl w:val="0"/>
    </w:pPr>
    <w:rPr>
      <w:rFonts w:ascii="Times New Roman" w:hAnsi="Times New Roman" w:eastAsia="宋体" w:cs="Times New Roman"/>
      <w:b/>
      <w:kern w:val="44"/>
      <w:sz w:val="44"/>
      <w:szCs w:val="44"/>
      <w:lang w:val="en-US" w:eastAsia="zh-CN" w:bidi="ar-SA"/>
    </w:rPr>
  </w:style>
  <w:style w:type="paragraph" w:styleId="3">
    <w:name w:val="heading 2"/>
    <w:next w:val="1"/>
    <w:link w:val="20"/>
    <w:qFormat/>
    <w:uiPriority w:val="0"/>
    <w:pPr>
      <w:keepNext/>
      <w:keepLines/>
      <w:widowControl w:val="0"/>
      <w:spacing w:before="260" w:after="260" w:line="415" w:lineRule="auto"/>
      <w:jc w:val="both"/>
      <w:outlineLvl w:val="1"/>
    </w:pPr>
    <w:rPr>
      <w:rFonts w:ascii="Times New Roman" w:hAnsi="Times New Roman" w:eastAsia="宋体" w:cs="Times New Roman"/>
      <w:b/>
      <w:kern w:val="2"/>
      <w:sz w:val="32"/>
      <w:szCs w:val="32"/>
      <w:lang w:val="en-US" w:eastAsia="zh-CN" w:bidi="ar-SA"/>
    </w:rPr>
  </w:style>
  <w:style w:type="paragraph" w:styleId="4">
    <w:name w:val="heading 3"/>
    <w:next w:val="1"/>
    <w:link w:val="21"/>
    <w:qFormat/>
    <w:uiPriority w:val="0"/>
    <w:pPr>
      <w:keepNext/>
      <w:keepLines/>
      <w:widowControl w:val="0"/>
      <w:spacing w:before="260" w:after="260" w:line="415" w:lineRule="auto"/>
      <w:jc w:val="both"/>
      <w:outlineLvl w:val="2"/>
    </w:pPr>
    <w:rPr>
      <w:rFonts w:ascii="Times New Roman" w:hAnsi="Times New Roman" w:eastAsia="宋体" w:cs="Times New Roman"/>
      <w:b/>
      <w:kern w:val="2"/>
      <w:sz w:val="32"/>
      <w:szCs w:val="32"/>
      <w:lang w:val="en-US" w:eastAsia="zh-CN" w:bidi="ar-SA"/>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33"/>
    <w:qFormat/>
    <w:uiPriority w:val="99"/>
    <w:rPr>
      <w:sz w:val="18"/>
      <w:szCs w:val="18"/>
    </w:rPr>
  </w:style>
  <w:style w:type="paragraph" w:styleId="6">
    <w:name w:val="footer"/>
    <w:basedOn w:val="1"/>
    <w:link w:val="24"/>
    <w:qFormat/>
    <w:uiPriority w:val="99"/>
    <w:pPr>
      <w:tabs>
        <w:tab w:val="center" w:pos="4153"/>
        <w:tab w:val="right" w:pos="8306"/>
      </w:tabs>
      <w:snapToGrid w:val="0"/>
      <w:jc w:val="left"/>
    </w:pPr>
    <w:rPr>
      <w:sz w:val="18"/>
      <w:szCs w:val="18"/>
    </w:rPr>
  </w:style>
  <w:style w:type="paragraph" w:styleId="7">
    <w:name w:val="header"/>
    <w:basedOn w:val="1"/>
    <w:link w:val="23"/>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style>
  <w:style w:type="paragraph" w:styleId="9">
    <w:name w:val="HTML Preformatted"/>
    <w:basedOn w:val="1"/>
    <w:link w:val="41"/>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0">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1">
    <w:name w:val="Title"/>
    <w:basedOn w:val="1"/>
    <w:next w:val="1"/>
    <w:link w:val="27"/>
    <w:qFormat/>
    <w:uiPriority w:val="10"/>
    <w:pPr>
      <w:spacing w:before="240" w:after="60"/>
      <w:jc w:val="center"/>
      <w:outlineLvl w:val="0"/>
    </w:pPr>
    <w:rPr>
      <w:rFonts w:asciiTheme="majorHAnsi" w:hAnsiTheme="majorHAnsi" w:eastAsiaTheme="majorEastAsia" w:cstheme="majorBidi"/>
      <w:b/>
      <w:bCs/>
      <w:sz w:val="32"/>
      <w:szCs w:val="32"/>
    </w:rPr>
  </w:style>
  <w:style w:type="table" w:styleId="13">
    <w:name w:val="Table Grid"/>
    <w:basedOn w:val="1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styleId="16">
    <w:name w:val="Emphasis"/>
    <w:basedOn w:val="14"/>
    <w:qFormat/>
    <w:uiPriority w:val="20"/>
    <w:rPr>
      <w:i/>
      <w:iCs/>
    </w:rPr>
  </w:style>
  <w:style w:type="character" w:styleId="17">
    <w:name w:val="Hyperlink"/>
    <w:basedOn w:val="14"/>
    <w:qFormat/>
    <w:uiPriority w:val="99"/>
    <w:rPr>
      <w:color w:val="0000FF"/>
      <w:u w:val="single"/>
    </w:rPr>
  </w:style>
  <w:style w:type="character" w:customStyle="1" w:styleId="18">
    <w:name w:val="明显强调1"/>
    <w:basedOn w:val="14"/>
    <w:qFormat/>
    <w:uiPriority w:val="21"/>
    <w:rPr>
      <w:i/>
      <w:iCs/>
      <w:color w:val="5B9BD5"/>
    </w:rPr>
  </w:style>
  <w:style w:type="character" w:customStyle="1" w:styleId="19">
    <w:name w:val="标题 1 字符"/>
    <w:basedOn w:val="14"/>
    <w:link w:val="2"/>
    <w:qFormat/>
    <w:uiPriority w:val="9"/>
    <w:rPr>
      <w:b/>
      <w:bCs/>
      <w:kern w:val="44"/>
      <w:sz w:val="44"/>
      <w:szCs w:val="44"/>
    </w:rPr>
  </w:style>
  <w:style w:type="character" w:customStyle="1" w:styleId="20">
    <w:name w:val="标题 2 字符"/>
    <w:basedOn w:val="14"/>
    <w:link w:val="3"/>
    <w:qFormat/>
    <w:uiPriority w:val="9"/>
    <w:rPr>
      <w:rFonts w:asciiTheme="majorHAnsi" w:hAnsiTheme="majorHAnsi" w:eastAsiaTheme="majorEastAsia" w:cstheme="majorBidi"/>
      <w:b/>
      <w:bCs/>
      <w:sz w:val="32"/>
      <w:szCs w:val="32"/>
    </w:rPr>
  </w:style>
  <w:style w:type="character" w:customStyle="1" w:styleId="21">
    <w:name w:val="标题 3 字符"/>
    <w:basedOn w:val="14"/>
    <w:link w:val="4"/>
    <w:qFormat/>
    <w:uiPriority w:val="9"/>
    <w:rPr>
      <w:b/>
      <w:bCs/>
      <w:sz w:val="32"/>
      <w:szCs w:val="32"/>
    </w:rPr>
  </w:style>
  <w:style w:type="paragraph" w:styleId="22">
    <w:name w:val="List Paragraph"/>
    <w:basedOn w:val="1"/>
    <w:qFormat/>
    <w:uiPriority w:val="34"/>
    <w:pPr>
      <w:ind w:firstLine="420" w:firstLineChars="200"/>
    </w:pPr>
  </w:style>
  <w:style w:type="character" w:customStyle="1" w:styleId="23">
    <w:name w:val="页眉 字符"/>
    <w:basedOn w:val="14"/>
    <w:link w:val="7"/>
    <w:qFormat/>
    <w:uiPriority w:val="99"/>
    <w:rPr>
      <w:sz w:val="18"/>
      <w:szCs w:val="18"/>
    </w:rPr>
  </w:style>
  <w:style w:type="character" w:customStyle="1" w:styleId="24">
    <w:name w:val="页脚 字符"/>
    <w:basedOn w:val="14"/>
    <w:link w:val="6"/>
    <w:qFormat/>
    <w:uiPriority w:val="99"/>
    <w:rPr>
      <w:sz w:val="18"/>
      <w:szCs w:val="18"/>
    </w:rPr>
  </w:style>
  <w:style w:type="paragraph" w:styleId="25">
    <w:name w:val="Quote"/>
    <w:basedOn w:val="1"/>
    <w:next w:val="1"/>
    <w:link w:val="26"/>
    <w:qFormat/>
    <w:uiPriority w:val="29"/>
    <w:pPr>
      <w:spacing w:before="200" w:after="160"/>
      <w:ind w:left="864" w:right="864"/>
      <w:jc w:val="center"/>
    </w:pPr>
    <w:rPr>
      <w:i/>
      <w:iCs/>
      <w:color w:val="404040"/>
    </w:rPr>
  </w:style>
  <w:style w:type="character" w:customStyle="1" w:styleId="26">
    <w:name w:val="引用 字符"/>
    <w:basedOn w:val="14"/>
    <w:link w:val="25"/>
    <w:qFormat/>
    <w:uiPriority w:val="29"/>
    <w:rPr>
      <w:i/>
      <w:iCs/>
      <w:color w:val="404040"/>
    </w:rPr>
  </w:style>
  <w:style w:type="character" w:customStyle="1" w:styleId="27">
    <w:name w:val="标题 字符"/>
    <w:basedOn w:val="14"/>
    <w:link w:val="11"/>
    <w:qFormat/>
    <w:uiPriority w:val="10"/>
    <w:rPr>
      <w:rFonts w:asciiTheme="majorHAnsi" w:hAnsiTheme="majorHAnsi" w:eastAsiaTheme="majorEastAsia" w:cstheme="majorBidi"/>
      <w:b/>
      <w:bCs/>
      <w:sz w:val="32"/>
      <w:szCs w:val="32"/>
    </w:rPr>
  </w:style>
  <w:style w:type="character" w:customStyle="1" w:styleId="28">
    <w:name w:val="不明显参考1"/>
    <w:basedOn w:val="14"/>
    <w:qFormat/>
    <w:uiPriority w:val="31"/>
    <w:rPr>
      <w:smallCaps/>
      <w:color w:val="595959"/>
    </w:rPr>
  </w:style>
  <w:style w:type="character" w:customStyle="1" w:styleId="29">
    <w:name w:val="明显参考1"/>
    <w:basedOn w:val="14"/>
    <w:qFormat/>
    <w:uiPriority w:val="32"/>
    <w:rPr>
      <w:b/>
      <w:bCs/>
      <w:smallCaps/>
      <w:color w:val="5B9BD5"/>
      <w:spacing w:val="5"/>
    </w:rPr>
  </w:style>
  <w:style w:type="table" w:customStyle="1" w:styleId="30">
    <w:name w:val="网格表 1 浅色1"/>
    <w:basedOn w:val="12"/>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paragraph" w:customStyle="1" w:styleId="31">
    <w:name w:val="TOC 标题1"/>
    <w:basedOn w:val="2"/>
    <w:next w:val="1"/>
    <w:qFormat/>
    <w:uiPriority w:val="39"/>
    <w:pPr>
      <w:widowControl/>
      <w:spacing w:before="240" w:after="0" w:line="259" w:lineRule="auto"/>
      <w:jc w:val="left"/>
      <w:outlineLvl w:val="9"/>
    </w:pPr>
    <w:rPr>
      <w:rFonts w:asciiTheme="majorHAnsi" w:hAnsiTheme="majorHAnsi" w:eastAsiaTheme="majorEastAsia" w:cstheme="majorBidi"/>
      <w:b w:val="0"/>
      <w:color w:val="2E74B5"/>
      <w:kern w:val="0"/>
      <w:sz w:val="32"/>
      <w:szCs w:val="32"/>
    </w:rPr>
  </w:style>
  <w:style w:type="character" w:customStyle="1" w:styleId="32">
    <w:name w:val="明显强调11"/>
    <w:basedOn w:val="14"/>
    <w:qFormat/>
    <w:uiPriority w:val="21"/>
    <w:rPr>
      <w:i/>
      <w:iCs/>
      <w:color w:val="5B9BD5"/>
    </w:rPr>
  </w:style>
  <w:style w:type="character" w:customStyle="1" w:styleId="33">
    <w:name w:val="批注框文本 字符"/>
    <w:basedOn w:val="14"/>
    <w:link w:val="5"/>
    <w:qFormat/>
    <w:uiPriority w:val="99"/>
    <w:rPr>
      <w:rFonts w:asciiTheme="minorHAnsi" w:hAnsiTheme="minorHAnsi" w:eastAsiaTheme="minorEastAsia" w:cstheme="minorBidi"/>
      <w:kern w:val="2"/>
      <w:sz w:val="18"/>
      <w:szCs w:val="18"/>
    </w:rPr>
  </w:style>
  <w:style w:type="character" w:customStyle="1" w:styleId="34">
    <w:name w:val="Intense Emphasis"/>
    <w:basedOn w:val="14"/>
    <w:qFormat/>
    <w:uiPriority w:val="21"/>
    <w:rPr>
      <w:i/>
      <w:iCs/>
      <w:color w:val="5B9BD5"/>
    </w:rPr>
  </w:style>
  <w:style w:type="character" w:customStyle="1" w:styleId="35">
    <w:name w:val="Intense Reference"/>
    <w:basedOn w:val="14"/>
    <w:qFormat/>
    <w:uiPriority w:val="32"/>
    <w:rPr>
      <w:b/>
      <w:bCs/>
      <w:smallCaps/>
      <w:color w:val="5B9BD5"/>
      <w:spacing w:val="5"/>
    </w:rPr>
  </w:style>
  <w:style w:type="paragraph" w:customStyle="1" w:styleId="36">
    <w:name w:val="p0"/>
    <w:basedOn w:val="1"/>
    <w:qFormat/>
    <w:uiPriority w:val="0"/>
    <w:pPr>
      <w:widowControl/>
      <w:spacing w:before="100" w:beforeAutospacing="1" w:after="100" w:afterAutospacing="1"/>
      <w:jc w:val="left"/>
    </w:pPr>
    <w:rPr>
      <w:kern w:val="0"/>
      <w:sz w:val="24"/>
      <w:szCs w:val="24"/>
    </w:rPr>
  </w:style>
  <w:style w:type="paragraph" w:customStyle="1" w:styleId="37">
    <w:name w:val="p17"/>
    <w:basedOn w:val="1"/>
    <w:qFormat/>
    <w:uiPriority w:val="0"/>
    <w:pPr>
      <w:widowControl/>
      <w:spacing w:before="100" w:beforeAutospacing="1" w:after="100" w:afterAutospacing="1"/>
      <w:jc w:val="left"/>
    </w:pPr>
    <w:rPr>
      <w:kern w:val="0"/>
      <w:sz w:val="24"/>
      <w:szCs w:val="24"/>
    </w:rPr>
  </w:style>
  <w:style w:type="character" w:customStyle="1" w:styleId="38">
    <w:name w:val="apple-converted-space"/>
    <w:basedOn w:val="14"/>
    <w:qFormat/>
    <w:uiPriority w:val="0"/>
  </w:style>
  <w:style w:type="paragraph" w:customStyle="1" w:styleId="39">
    <w:name w:val="正文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40">
    <w:name w:val="ask-title"/>
    <w:basedOn w:val="14"/>
    <w:qFormat/>
    <w:uiPriority w:val="0"/>
  </w:style>
  <w:style w:type="character" w:customStyle="1" w:styleId="41">
    <w:name w:val="HTML 预设格式 字符"/>
    <w:basedOn w:val="14"/>
    <w:link w:val="9"/>
    <w:qFormat/>
    <w:uiPriority w:val="99"/>
    <w:rPr>
      <w:rFonts w:ascii="宋体" w:hAnsi="宋体" w:cs="宋体"/>
      <w:sz w:val="24"/>
      <w:szCs w:val="24"/>
    </w:rPr>
  </w:style>
  <w:style w:type="paragraph" w:customStyle="1" w:styleId="42">
    <w:name w:val="&quot;toc 1&quot;"/>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43">
    <w:name w:val="&quot;Title&quot;"/>
    <w:qFormat/>
    <w:uiPriority w:val="0"/>
    <w:pPr>
      <w:widowControl w:val="0"/>
      <w:spacing w:before="240" w:after="60"/>
      <w:jc w:val="center"/>
      <w:outlineLvl w:val="0"/>
    </w:pPr>
    <w:rPr>
      <w:rFonts w:ascii="Times New Roman" w:hAnsi="Times New Roman" w:eastAsia="宋体" w:cs="Times New Roman"/>
      <w:b/>
      <w:kern w:val="2"/>
      <w:sz w:val="32"/>
      <w:szCs w:val="32"/>
      <w:lang w:val="en-US" w:eastAsia="zh-CN" w:bidi="ar-SA"/>
    </w:rPr>
  </w:style>
  <w:style w:type="paragraph" w:customStyle="1" w:styleId="44">
    <w:name w:val="&quot;Balloon Text&quot;"/>
    <w:qFormat/>
    <w:uiPriority w:val="0"/>
    <w:pPr>
      <w:widowControl w:val="0"/>
      <w:jc w:val="both"/>
    </w:pPr>
    <w:rPr>
      <w:rFonts w:ascii="Times New Roman" w:hAnsi="Times New Roman" w:eastAsia="宋体" w:cs="Times New Roman"/>
      <w:kern w:val="2"/>
      <w:sz w:val="18"/>
      <w:szCs w:val="18"/>
      <w:lang w:val="en-US" w:eastAsia="zh-CN" w:bidi="ar-SA"/>
    </w:rPr>
  </w:style>
  <w:style w:type="paragraph" w:customStyle="1" w:styleId="45">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46">
    <w:name w:val="&quot;p0&quot;"/>
    <w:qFormat/>
    <w:uiPriority w:val="0"/>
    <w:pPr>
      <w:spacing w:before="100" w:beforeAutospacing="1" w:after="100" w:afterAutospacing="1"/>
    </w:pPr>
    <w:rPr>
      <w:rFonts w:ascii="Times New Roman" w:hAnsi="Times New Roman" w:eastAsia="宋体" w:cs="Times New Roman"/>
      <w:sz w:val="24"/>
      <w:szCs w:val="24"/>
      <w:lang w:val="en-US" w:eastAsia="zh-CN" w:bidi="ar-SA"/>
    </w:rPr>
  </w:style>
  <w:style w:type="paragraph" w:customStyle="1" w:styleId="47">
    <w:name w:val="&quot;List Paragraph&quot;"/>
    <w:qFormat/>
    <w:uiPriority w:val="0"/>
    <w:pPr>
      <w:widowControl w:val="0"/>
      <w:ind w:firstLine="420" w:firstLineChars="200"/>
      <w:jc w:val="both"/>
    </w:pPr>
    <w:rPr>
      <w:rFonts w:ascii="Times New Roman" w:hAnsi="Times New Roman" w:eastAsia="宋体" w:cs="Times New Roman"/>
      <w:kern w:val="2"/>
      <w:sz w:val="21"/>
      <w:szCs w:val="22"/>
      <w:lang w:val="en-US" w:eastAsia="zh-CN" w:bidi="ar-SA"/>
    </w:rPr>
  </w:style>
  <w:style w:type="paragraph" w:customStyle="1" w:styleId="48">
    <w:name w:val="&quot;HTML Preformatted&quot;"/>
    <w:qFormat/>
    <w:uiPriority w:val="0"/>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pPr>
    <w:rPr>
      <w:rFonts w:ascii="宋体" w:hAnsi="宋体" w:eastAsia="宋体" w:cs="宋体"/>
      <w:sz w:val="24"/>
      <w:szCs w:val="24"/>
      <w:lang w:val="en-US" w:eastAsia="zh-CN" w:bidi="ar-SA"/>
    </w:rPr>
  </w:style>
  <w:style w:type="paragraph" w:customStyle="1" w:styleId="49">
    <w:name w:val="&quot;TOC 标题1&quot;"/>
    <w:qFormat/>
    <w:uiPriority w:val="0"/>
    <w:pPr>
      <w:keepNext/>
      <w:keepLines/>
      <w:spacing w:before="240" w:line="259" w:lineRule="auto"/>
    </w:pPr>
    <w:rPr>
      <w:rFonts w:ascii="Times New Roman" w:hAnsi="Times New Roman" w:eastAsia="宋体" w:cs="Times New Roman"/>
      <w:color w:val="2E74B5"/>
      <w:sz w:val="32"/>
      <w:szCs w:val="32"/>
      <w:lang w:val="en-US" w:eastAsia="zh-CN" w:bidi="ar-SA"/>
    </w:rPr>
  </w:style>
  <w:style w:type="paragraph" w:customStyle="1" w:styleId="50">
    <w:name w:val="&quot;Quote&quot;"/>
    <w:qFormat/>
    <w:uiPriority w:val="0"/>
    <w:pPr>
      <w:widowControl w:val="0"/>
      <w:spacing w:before="200" w:after="160"/>
      <w:jc w:val="center"/>
    </w:pPr>
    <w:rPr>
      <w:rFonts w:ascii="Times New Roman" w:hAnsi="Times New Roman" w:eastAsia="宋体" w:cs="Times New Roman"/>
      <w:i/>
      <w:color w:val="404040"/>
      <w:kern w:val="2"/>
      <w:sz w:val="21"/>
      <w:szCs w:val="22"/>
      <w:lang w:val="en-US" w:eastAsia="zh-CN" w:bidi="ar-SA"/>
    </w:rPr>
  </w:style>
  <w:style w:type="paragraph" w:customStyle="1" w:styleId="51">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paragraph" w:customStyle="1" w:styleId="52">
    <w:name w:val="&quot;正文1&quot;"/>
    <w:qFormat/>
    <w:uiPriority w:val="0"/>
    <w:pPr>
      <w:widowControl w:val="0"/>
      <w:adjustRightInd w:val="0"/>
      <w:spacing w:line="312" w:lineRule="atLeast"/>
      <w:jc w:val="both"/>
    </w:pPr>
    <w:rPr>
      <w:rFonts w:ascii="宋体" w:hAnsi="Times New Roman" w:eastAsia="宋体" w:cs="Times New Roman"/>
      <w:sz w:val="34"/>
      <w:lang w:val="en-US" w:eastAsia="zh-CN" w:bidi="ar-SA"/>
    </w:rPr>
  </w:style>
  <w:style w:type="paragraph" w:customStyle="1" w:styleId="53">
    <w:name w:val="&quot;header&quot;"/>
    <w:qFormat/>
    <w:uiPriority w:val="0"/>
    <w:pPr>
      <w:widowControl w:val="0"/>
      <w:pBdr>
        <w:bottom w:val="single" w:color="000000" w:sz="6" w:space="1"/>
      </w:pBdr>
      <w:tabs>
        <w:tab w:val="center" w:pos="4140"/>
        <w:tab w:val="right" w:pos="8300"/>
      </w:tabs>
      <w:snapToGrid w:val="0"/>
      <w:jc w:val="center"/>
    </w:pPr>
    <w:rPr>
      <w:rFonts w:ascii="Times New Roman" w:hAnsi="Times New Roman" w:eastAsia="宋体" w:cs="Times New Roman"/>
      <w:kern w:val="2"/>
      <w:sz w:val="18"/>
      <w:szCs w:val="18"/>
      <w:lang w:val="en-US" w:eastAsia="zh-CN" w:bidi="ar-SA"/>
    </w:rPr>
  </w:style>
  <w:style w:type="paragraph" w:customStyle="1" w:styleId="54">
    <w:name w:val="&quot;p17&quot;"/>
    <w:qFormat/>
    <w:uiPriority w:val="0"/>
    <w:pPr>
      <w:spacing w:before="100" w:beforeAutospacing="1" w:after="100" w:afterAutospacing="1"/>
    </w:pPr>
    <w:rPr>
      <w:rFonts w:ascii="Times New Roman" w:hAnsi="Times New Roman" w:eastAsia="宋体" w:cs="Times New Roman"/>
      <w:sz w:val="24"/>
      <w:szCs w:val="24"/>
      <w:lang w:val="en-US" w:eastAsia="zh-CN" w:bidi="ar-SA"/>
    </w:rPr>
  </w:style>
  <w:style w:type="paragraph" w:customStyle="1" w:styleId="55">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Pages>
  <Words>24851</Words>
  <Characters>141654</Characters>
  <Lines>1180</Lines>
  <Paragraphs>332</Paragraphs>
  <TotalTime>1</TotalTime>
  <ScaleCrop>false</ScaleCrop>
  <LinksUpToDate>false</LinksUpToDate>
  <CharactersWithSpaces>166173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2018-05-30T06:12:00Z</dcterms:created>
  <dc:creator>lib</dc:creator>
  <cp:lastModifiedBy>游戏渣</cp:lastModifiedBy>
  <dcterms:modified xsi:type="dcterms:W3CDTF">2021-06-21T04:37:59Z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