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040"/>
          <w:tab w:val="left" w:pos="2340"/>
        </w:tabs>
        <w:rPr>
          <w:b/>
          <w:sz w:val="56"/>
        </w:rPr>
      </w:pPr>
    </w:p>
    <w:p>
      <w:pPr>
        <w:tabs>
          <w:tab w:val="left" w:pos="2040"/>
          <w:tab w:val="left" w:pos="2340"/>
        </w:tabs>
        <w:jc w:val="center"/>
        <w:rPr>
          <w:b/>
          <w:sz w:val="56"/>
        </w:rPr>
      </w:pPr>
      <w:r>
        <w:rPr>
          <w:rFonts w:hint="eastAsia"/>
          <w:b/>
          <w:sz w:val="56"/>
        </w:rPr>
        <w:t>审计</w:t>
      </w:r>
      <w:r>
        <w:rPr>
          <w:b/>
          <w:sz w:val="56"/>
        </w:rPr>
        <w:t>案例数据</w:t>
      </w:r>
      <w:r>
        <w:rPr>
          <w:rFonts w:hint="eastAsia"/>
          <w:b/>
          <w:sz w:val="56"/>
        </w:rPr>
        <w:t>分析</w:t>
      </w:r>
    </w:p>
    <w:p>
      <w:pPr>
        <w:tabs>
          <w:tab w:val="left" w:pos="2040"/>
          <w:tab w:val="left" w:pos="2340"/>
        </w:tabs>
        <w:jc w:val="center"/>
        <w:rPr>
          <w:b/>
          <w:sz w:val="56"/>
        </w:rPr>
      </w:pPr>
    </w:p>
    <w:p>
      <w:pPr>
        <w:jc w:val="center"/>
        <w:rPr>
          <w:rFonts w:hint="default" w:eastAsia="宋体"/>
          <w:lang w:val="en-US" w:eastAsia="zh-CN"/>
        </w:rPr>
      </w:pPr>
      <w:r>
        <w:rPr>
          <w:rFonts w:hint="eastAsia"/>
        </w:rPr>
        <w:t>小组成员：</w:t>
      </w:r>
      <w:r>
        <w:rPr>
          <w:rFonts w:hint="eastAsia" w:ascii="宋体" w:hAnsi="宋体" w:cs="宋体"/>
          <w:sz w:val="24"/>
          <w:szCs w:val="24"/>
          <w:lang w:val="en-US" w:eastAsia="zh-CN"/>
        </w:rPr>
        <w:t>马珺禹，王可心，刘婷，杨潇涵</w:t>
      </w:r>
    </w:p>
    <w:p>
      <w:pPr>
        <w:widowControl/>
        <w:jc w:val="left"/>
      </w:pPr>
      <w:r>
        <w:br w:type="page"/>
      </w:r>
    </w:p>
    <w:p>
      <w:pPr>
        <w:tabs>
          <w:tab w:val="left" w:pos="2040"/>
          <w:tab w:val="left" w:pos="2340"/>
        </w:tabs>
      </w:pPr>
      <w:r>
        <w:tab/>
      </w:r>
    </w:p>
    <w:p>
      <w:pPr>
        <w:jc w:val="center"/>
        <w:rPr>
          <w:rFonts w:ascii="宋体" w:hAnsi="宋体"/>
        </w:rPr>
      </w:pPr>
      <w:r>
        <w:rPr>
          <w:rFonts w:ascii="宋体" w:hAnsi="宋体"/>
        </w:rPr>
        <w:t>目录</w:t>
      </w:r>
    </w:p>
    <w:p>
      <w:pPr>
        <w:pStyle w:val="8"/>
        <w:tabs>
          <w:tab w:val="right" w:leader="dot" w:pos="8306"/>
        </w:tabs>
      </w:pPr>
      <w:r>
        <w:fldChar w:fldCharType="begin"/>
      </w:r>
      <w:r>
        <w:instrText xml:space="preserve"> TOC \o "1-3" \h \z \u </w:instrText>
      </w:r>
      <w:r>
        <w:fldChar w:fldCharType="separate"/>
      </w:r>
      <w:r>
        <w:fldChar w:fldCharType="begin"/>
      </w:r>
      <w:r>
        <w:instrText xml:space="preserve"> HYPERLINK \l _Toc4954 </w:instrText>
      </w:r>
      <w:r>
        <w:fldChar w:fldCharType="separate"/>
      </w:r>
      <w:r>
        <w:rPr>
          <w:rFonts w:hint="eastAsia"/>
        </w:rPr>
        <w:t>01-</w:t>
      </w:r>
      <w:r>
        <w:t xml:space="preserve">10 </w:t>
      </w:r>
      <w:r>
        <w:rPr>
          <w:rFonts w:hint="eastAsia"/>
        </w:rPr>
        <w:t>主要分析人：</w:t>
      </w:r>
      <w:r>
        <w:rPr>
          <w:rFonts w:hint="eastAsia"/>
          <w:lang w:val="en-US" w:eastAsia="zh-CN"/>
        </w:rPr>
        <w:t>王可心</w:t>
      </w:r>
      <w:r>
        <w:tab/>
      </w:r>
      <w:r>
        <w:fldChar w:fldCharType="begin"/>
      </w:r>
      <w:r>
        <w:instrText xml:space="preserve"> PAGEREF _Toc4954 \h </w:instrText>
      </w:r>
      <w:r>
        <w:fldChar w:fldCharType="separate"/>
      </w:r>
      <w:r>
        <w:t>4</w:t>
      </w:r>
      <w:r>
        <w:fldChar w:fldCharType="end"/>
      </w:r>
      <w:r>
        <w:fldChar w:fldCharType="end"/>
      </w:r>
    </w:p>
    <w:p>
      <w:pPr>
        <w:pStyle w:val="8"/>
        <w:tabs>
          <w:tab w:val="right" w:leader="dot" w:pos="8306"/>
        </w:tabs>
      </w:pPr>
      <w:r>
        <w:rPr>
          <w:bCs/>
          <w:lang w:val="zh-CN"/>
        </w:rPr>
        <w:fldChar w:fldCharType="begin"/>
      </w:r>
      <w:r>
        <w:rPr>
          <w:bCs/>
          <w:lang w:val="zh-CN"/>
        </w:rPr>
        <w:instrText xml:space="preserve"> HYPERLINK \l _Toc22814 </w:instrText>
      </w:r>
      <w:r>
        <w:rPr>
          <w:bCs/>
          <w:lang w:val="zh-CN"/>
        </w:rPr>
        <w:fldChar w:fldCharType="separate"/>
      </w:r>
      <w:r>
        <w:rPr>
          <w:rFonts w:hint="eastAsia"/>
        </w:rPr>
        <w:t>01</w:t>
      </w:r>
      <w:r>
        <w:rPr>
          <w:rFonts w:hint="eastAsia"/>
          <w:lang w:val="en-US" w:eastAsia="zh-CN"/>
        </w:rPr>
        <w:t>昆明机床案例</w:t>
      </w:r>
      <w:r>
        <w:tab/>
      </w:r>
      <w:r>
        <w:fldChar w:fldCharType="begin"/>
      </w:r>
      <w:r>
        <w:instrText xml:space="preserve"> PAGEREF _Toc22814 \h </w:instrText>
      </w:r>
      <w:r>
        <w:fldChar w:fldCharType="separate"/>
      </w:r>
      <w:r>
        <w:t>4</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_Toc13853 </w:instrText>
      </w:r>
      <w:r>
        <w:rPr>
          <w:bCs/>
          <w:lang w:val="zh-CN"/>
        </w:rPr>
        <w:fldChar w:fldCharType="separate"/>
      </w:r>
      <w:r>
        <w:rPr>
          <w:rFonts w:hint="eastAsia"/>
        </w:rPr>
        <w:t>02飞翔股份</w:t>
      </w:r>
      <w:r>
        <w:rPr>
          <w:rFonts w:hint="eastAsia"/>
          <w:lang w:val="en-US" w:eastAsia="zh-CN"/>
        </w:rPr>
        <w:t>案例</w:t>
      </w:r>
      <w:r>
        <w:tab/>
      </w:r>
      <w:r>
        <w:fldChar w:fldCharType="begin"/>
      </w:r>
      <w:r>
        <w:instrText xml:space="preserve"> PAGEREF _Toc13853 \h </w:instrText>
      </w:r>
      <w:r>
        <w:fldChar w:fldCharType="separate"/>
      </w:r>
      <w:r>
        <w:t>5</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_Toc20139 </w:instrText>
      </w:r>
      <w:r>
        <w:rPr>
          <w:bCs/>
          <w:lang w:val="zh-CN"/>
        </w:rPr>
        <w:fldChar w:fldCharType="separate"/>
      </w:r>
      <w:r>
        <w:rPr>
          <w:rFonts w:hint="eastAsia"/>
        </w:rPr>
        <w:t>0</w:t>
      </w:r>
      <w:r>
        <w:rPr>
          <w:rFonts w:hint="eastAsia"/>
          <w:lang w:val="en-US" w:eastAsia="zh-CN"/>
        </w:rPr>
        <w:t>3</w:t>
      </w:r>
      <w:r>
        <w:rPr>
          <w:rFonts w:hint="eastAsia"/>
        </w:rPr>
        <w:t>皇台酒业</w:t>
      </w:r>
      <w:r>
        <w:rPr>
          <w:rFonts w:hint="eastAsia"/>
          <w:lang w:val="en-US" w:eastAsia="zh-CN"/>
        </w:rPr>
        <w:t>案例</w:t>
      </w:r>
      <w:r>
        <w:tab/>
      </w:r>
      <w:r>
        <w:fldChar w:fldCharType="begin"/>
      </w:r>
      <w:r>
        <w:instrText xml:space="preserve"> PAGEREF _Toc20139 \h </w:instrText>
      </w:r>
      <w:r>
        <w:fldChar w:fldCharType="separate"/>
      </w:r>
      <w:r>
        <w:t>8</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_Toc26036 </w:instrText>
      </w:r>
      <w:r>
        <w:rPr>
          <w:bCs/>
          <w:lang w:val="zh-CN"/>
        </w:rPr>
        <w:fldChar w:fldCharType="separate"/>
      </w:r>
      <w:r>
        <w:t>0</w:t>
      </w:r>
      <w:r>
        <w:rPr>
          <w:rFonts w:hint="eastAsia"/>
          <w:lang w:val="en-US" w:eastAsia="zh-CN"/>
        </w:rPr>
        <w:t>4</w:t>
      </w:r>
      <w:r>
        <w:t xml:space="preserve"> </w:t>
      </w:r>
      <w:r>
        <w:rPr>
          <w:rFonts w:hint="eastAsia"/>
        </w:rPr>
        <w:t>延安必康</w:t>
      </w:r>
      <w:r>
        <w:rPr>
          <w:rFonts w:hint="eastAsia"/>
          <w:lang w:val="en-US" w:eastAsia="zh-CN"/>
        </w:rPr>
        <w:t>案例</w:t>
      </w:r>
      <w:r>
        <w:tab/>
      </w:r>
      <w:r>
        <w:fldChar w:fldCharType="begin"/>
      </w:r>
      <w:r>
        <w:instrText xml:space="preserve"> PAGEREF _Toc26036 \h </w:instrText>
      </w:r>
      <w:r>
        <w:fldChar w:fldCharType="separate"/>
      </w:r>
      <w:r>
        <w:t>11</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_Toc18562 </w:instrText>
      </w:r>
      <w:r>
        <w:rPr>
          <w:bCs/>
          <w:lang w:val="zh-CN"/>
        </w:rPr>
        <w:fldChar w:fldCharType="separate"/>
      </w:r>
      <w:r>
        <w:rPr>
          <w:rFonts w:hint="eastAsia"/>
        </w:rPr>
        <w:t>0</w:t>
      </w:r>
      <w:r>
        <w:rPr>
          <w:rFonts w:hint="eastAsia"/>
          <w:lang w:val="en-US" w:eastAsia="zh-CN"/>
        </w:rPr>
        <w:t>5</w:t>
      </w:r>
      <w:r>
        <w:rPr>
          <w:rFonts w:hint="eastAsia"/>
          <w:shd w:val="clear" w:color="auto" w:fill="FDFDFD"/>
          <w:lang w:val="en-US" w:eastAsia="zh-CN"/>
        </w:rPr>
        <w:t>林州重机</w:t>
      </w:r>
      <w:r>
        <w:rPr>
          <w:shd w:val="clear" w:color="auto" w:fill="FDFDFD"/>
        </w:rPr>
        <w:t>案</w:t>
      </w:r>
      <w:r>
        <w:rPr>
          <w:rFonts w:hint="eastAsia"/>
          <w:shd w:val="clear" w:color="auto" w:fill="FDFDFD"/>
          <w:lang w:val="en-US" w:eastAsia="zh-CN"/>
        </w:rPr>
        <w:t>例</w:t>
      </w:r>
      <w:r>
        <w:tab/>
      </w:r>
      <w:r>
        <w:fldChar w:fldCharType="begin"/>
      </w:r>
      <w:r>
        <w:instrText xml:space="preserve"> PAGEREF _Toc18562 \h </w:instrText>
      </w:r>
      <w:r>
        <w:fldChar w:fldCharType="separate"/>
      </w:r>
      <w:r>
        <w:t>13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_Toc8518 </w:instrText>
      </w:r>
      <w:r>
        <w:rPr>
          <w:bCs/>
          <w:lang w:val="zh-CN"/>
        </w:rPr>
        <w:fldChar w:fldCharType="separate"/>
      </w:r>
      <w:r>
        <w:rPr>
          <w:rFonts w:hint="eastAsia"/>
          <w:lang w:val="en-US" w:eastAsia="zh-CN"/>
        </w:rPr>
        <w:t>06斯太尔案例</w:t>
      </w:r>
      <w:r>
        <w:tab/>
      </w:r>
      <w:r>
        <w:fldChar w:fldCharType="begin"/>
      </w:r>
      <w:r>
        <w:instrText xml:space="preserve"> PAGEREF _Toc8518 \h </w:instrText>
      </w:r>
      <w:r>
        <w:fldChar w:fldCharType="separate"/>
      </w:r>
      <w:r>
        <w:t>15</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_Toc23329 </w:instrText>
      </w:r>
      <w:r>
        <w:rPr>
          <w:bCs/>
          <w:lang w:val="zh-CN"/>
        </w:rPr>
        <w:fldChar w:fldCharType="separate"/>
      </w:r>
      <w:r>
        <w:rPr>
          <w:rFonts w:hint="eastAsia"/>
        </w:rPr>
        <w:t>0</w:t>
      </w:r>
      <w:r>
        <w:rPr>
          <w:rFonts w:hint="eastAsia"/>
          <w:lang w:val="en-US" w:eastAsia="zh-CN"/>
        </w:rPr>
        <w:t>7</w:t>
      </w:r>
      <w:r>
        <w:rPr>
          <w:rFonts w:hint="eastAsia"/>
        </w:rPr>
        <w:t>新纶科技</w:t>
      </w:r>
      <w:r>
        <w:rPr>
          <w:rFonts w:hint="eastAsia"/>
          <w:lang w:val="en-US" w:eastAsia="zh-CN"/>
        </w:rPr>
        <w:t>案例</w:t>
      </w:r>
      <w:r>
        <w:tab/>
      </w:r>
      <w:r>
        <w:fldChar w:fldCharType="begin"/>
      </w:r>
      <w:r>
        <w:instrText xml:space="preserve"> PAGEREF _Toc23329 \h </w:instrText>
      </w:r>
      <w:r>
        <w:fldChar w:fldCharType="separate"/>
      </w:r>
      <w:r>
        <w:t>19</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_Toc18959 </w:instrText>
      </w:r>
      <w:r>
        <w:rPr>
          <w:bCs/>
          <w:lang w:val="zh-CN"/>
        </w:rPr>
        <w:fldChar w:fldCharType="separate"/>
      </w:r>
      <w:r>
        <w:rPr>
          <w:rFonts w:hint="eastAsia"/>
        </w:rPr>
        <w:t>0</w:t>
      </w:r>
      <w:r>
        <w:rPr>
          <w:rFonts w:hint="eastAsia"/>
          <w:lang w:val="en-US" w:eastAsia="zh-CN"/>
        </w:rPr>
        <w:t xml:space="preserve">8 </w:t>
      </w:r>
      <w:r>
        <w:rPr>
          <w:rFonts w:hint="default"/>
        </w:rPr>
        <w:t>宁波东力</w:t>
      </w:r>
      <w:r>
        <w:t>案例</w:t>
      </w:r>
      <w:r>
        <w:tab/>
      </w:r>
      <w:r>
        <w:fldChar w:fldCharType="begin"/>
      </w:r>
      <w:r>
        <w:instrText xml:space="preserve"> PAGEREF _Toc18959 \h </w:instrText>
      </w:r>
      <w:r>
        <w:fldChar w:fldCharType="separate"/>
      </w:r>
      <w:r>
        <w:t>23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_Toc11510 </w:instrText>
      </w:r>
      <w:r>
        <w:rPr>
          <w:bCs/>
          <w:lang w:val="zh-CN"/>
        </w:rPr>
        <w:fldChar w:fldCharType="separate"/>
      </w:r>
      <w:r>
        <w:rPr>
          <w:rFonts w:hint="eastAsia"/>
        </w:rPr>
        <w:t>0</w:t>
      </w:r>
      <w:r>
        <w:rPr>
          <w:rFonts w:hint="eastAsia"/>
          <w:lang w:val="en-US" w:eastAsia="zh-CN"/>
        </w:rPr>
        <w:t>9</w:t>
      </w:r>
      <w:r>
        <w:rPr>
          <w:rFonts w:hint="default" w:asciiTheme="minorEastAsia" w:hAnsiTheme="minorEastAsia" w:cstheme="minorEastAsia"/>
        </w:rPr>
        <w:t>佳木斯</w:t>
      </w:r>
      <w:r>
        <w:rPr>
          <w:rFonts w:hint="eastAsia"/>
          <w:lang w:val="en-US" w:eastAsia="zh-CN"/>
        </w:rPr>
        <w:t>案例</w:t>
      </w:r>
      <w:r>
        <w:tab/>
      </w:r>
      <w:r>
        <w:fldChar w:fldCharType="begin"/>
      </w:r>
      <w:r>
        <w:instrText xml:space="preserve"> PAGEREF _Toc11510 \h </w:instrText>
      </w:r>
      <w:r>
        <w:fldChar w:fldCharType="separate"/>
      </w:r>
      <w:r>
        <w:t>27</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_Toc9629 </w:instrText>
      </w:r>
      <w:r>
        <w:rPr>
          <w:bCs/>
          <w:lang w:val="zh-CN"/>
        </w:rPr>
        <w:fldChar w:fldCharType="separate"/>
      </w:r>
      <w:r>
        <w:rPr>
          <w:rFonts w:hint="eastAsia"/>
          <w:lang w:val="en-US" w:eastAsia="zh-CN"/>
        </w:rPr>
        <w:t xml:space="preserve">10 </w:t>
      </w:r>
      <w:r>
        <w:rPr>
          <w:rFonts w:hint="default"/>
          <w:lang w:val="en-US" w:eastAsia="zh-CN"/>
        </w:rPr>
        <w:t>山东雅百特</w:t>
      </w:r>
      <w:r>
        <w:rPr>
          <w:rFonts w:hint="eastAsia"/>
          <w:lang w:val="en-US" w:eastAsia="zh-CN"/>
        </w:rPr>
        <w:t>案例</w:t>
      </w:r>
      <w:r>
        <w:tab/>
      </w:r>
      <w:r>
        <w:fldChar w:fldCharType="begin"/>
      </w:r>
      <w:r>
        <w:instrText xml:space="preserve"> PAGEREF _Toc9629 \h </w:instrText>
      </w:r>
      <w:r>
        <w:fldChar w:fldCharType="separate"/>
      </w:r>
      <w:r>
        <w:t>30</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_Toc1604 </w:instrText>
      </w:r>
      <w:r>
        <w:rPr>
          <w:bCs/>
          <w:lang w:val="zh-CN"/>
        </w:rPr>
        <w:fldChar w:fldCharType="separate"/>
      </w:r>
      <w:r>
        <w:rPr>
          <w:rFonts w:hint="eastAsia"/>
        </w:rPr>
        <w:t>1</w:t>
      </w:r>
      <w:r>
        <w:t>1</w:t>
      </w:r>
      <w:r>
        <w:rPr>
          <w:rFonts w:hint="eastAsia"/>
        </w:rPr>
        <w:t>-</w:t>
      </w:r>
      <w:r>
        <w:t xml:space="preserve">20 </w:t>
      </w:r>
      <w:r>
        <w:rPr>
          <w:rFonts w:hint="eastAsia"/>
        </w:rPr>
        <w:t>主要分析人：</w:t>
      </w:r>
      <w:r>
        <w:rPr>
          <w:rFonts w:hint="eastAsia"/>
          <w:lang w:val="en-US" w:eastAsia="zh-CN"/>
        </w:rPr>
        <w:t>刘婷</w:t>
      </w:r>
      <w:r>
        <w:tab/>
      </w:r>
      <w:r>
        <w:fldChar w:fldCharType="begin"/>
      </w:r>
      <w:r>
        <w:instrText xml:space="preserve"> PAGEREF _Toc1604 \h </w:instrText>
      </w:r>
      <w:r>
        <w:fldChar w:fldCharType="separate"/>
      </w:r>
      <w:r>
        <w:t>34</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_Toc14443 </w:instrText>
      </w:r>
      <w:r>
        <w:rPr>
          <w:bCs/>
          <w:lang w:val="zh-CN"/>
        </w:rPr>
        <w:fldChar w:fldCharType="separate"/>
      </w:r>
      <w:r>
        <w:rPr>
          <w:rFonts w:hint="eastAsia"/>
          <w:lang w:val="en-US" w:eastAsia="zh-CN"/>
        </w:rPr>
        <w:t>1</w:t>
      </w:r>
      <w:r>
        <w:rPr>
          <w:rFonts w:hint="eastAsia"/>
        </w:rPr>
        <w:t>1</w:t>
      </w:r>
      <w:r>
        <w:rPr>
          <w:rFonts w:hint="eastAsia"/>
          <w:lang w:val="en-US" w:eastAsia="zh-CN"/>
        </w:rPr>
        <w:t>康尼机电舞弊</w:t>
      </w:r>
      <w:r>
        <w:rPr>
          <w:rFonts w:hint="eastAsia"/>
        </w:rPr>
        <w:t>事件</w:t>
      </w:r>
      <w:r>
        <w:tab/>
      </w:r>
      <w:r>
        <w:fldChar w:fldCharType="begin"/>
      </w:r>
      <w:r>
        <w:instrText xml:space="preserve"> PAGEREF _Toc14443 \h </w:instrText>
      </w:r>
      <w:r>
        <w:fldChar w:fldCharType="separate"/>
      </w:r>
      <w:r>
        <w:t>34</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_Toc18900 </w:instrText>
      </w:r>
      <w:r>
        <w:rPr>
          <w:bCs/>
          <w:lang w:val="zh-CN"/>
        </w:rPr>
        <w:fldChar w:fldCharType="separate"/>
      </w:r>
      <w:r>
        <w:rPr>
          <w:rFonts w:hint="eastAsia"/>
          <w:lang w:val="en-US" w:eastAsia="zh-CN"/>
        </w:rPr>
        <w:t>1</w:t>
      </w:r>
      <w:r>
        <w:rPr>
          <w:rFonts w:hint="eastAsia"/>
        </w:rPr>
        <w:t>2</w:t>
      </w:r>
      <w:r>
        <w:rPr>
          <w:rFonts w:hint="eastAsia"/>
          <w:lang w:val="en-US" w:eastAsia="zh-CN"/>
        </w:rPr>
        <w:t>抚顺特钢</w:t>
      </w:r>
      <w:r>
        <w:t>财务造假</w:t>
      </w:r>
      <w:r>
        <w:tab/>
      </w:r>
      <w:r>
        <w:fldChar w:fldCharType="begin"/>
      </w:r>
      <w:r>
        <w:instrText xml:space="preserve"> PAGEREF _Toc18900 \h </w:instrText>
      </w:r>
      <w:r>
        <w:fldChar w:fldCharType="separate"/>
      </w:r>
      <w:r>
        <w:t>35</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_Toc29037 </w:instrText>
      </w:r>
      <w:r>
        <w:rPr>
          <w:bCs/>
          <w:lang w:val="zh-CN"/>
        </w:rPr>
        <w:fldChar w:fldCharType="separate"/>
      </w:r>
      <w:r>
        <w:rPr>
          <w:rFonts w:hint="eastAsia"/>
          <w:lang w:val="en-US" w:eastAsia="zh-CN"/>
        </w:rPr>
        <w:t>13盈方微财务造假事件</w:t>
      </w:r>
      <w:r>
        <w:tab/>
      </w:r>
      <w:r>
        <w:fldChar w:fldCharType="begin"/>
      </w:r>
      <w:r>
        <w:instrText xml:space="preserve"> PAGEREF _Toc29037 \h </w:instrText>
      </w:r>
      <w:r>
        <w:fldChar w:fldCharType="separate"/>
      </w:r>
      <w:r>
        <w:t>36</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_Toc11475 </w:instrText>
      </w:r>
      <w:r>
        <w:rPr>
          <w:bCs/>
          <w:lang w:val="zh-CN"/>
        </w:rPr>
        <w:fldChar w:fldCharType="separate"/>
      </w:r>
      <w:r>
        <w:rPr>
          <w:rFonts w:hint="eastAsia"/>
          <w:lang w:val="en-US" w:eastAsia="zh-CN"/>
        </w:rPr>
        <w:t>14康得新财务造假</w:t>
      </w:r>
      <w:r>
        <w:t>案例</w:t>
      </w:r>
      <w:r>
        <w:tab/>
      </w:r>
      <w:r>
        <w:fldChar w:fldCharType="begin"/>
      </w:r>
      <w:r>
        <w:instrText xml:space="preserve"> PAGEREF _Toc11475 \h </w:instrText>
      </w:r>
      <w:r>
        <w:fldChar w:fldCharType="separate"/>
      </w:r>
      <w:r>
        <w:t>37</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_Toc21252 </w:instrText>
      </w:r>
      <w:r>
        <w:rPr>
          <w:bCs/>
          <w:lang w:val="zh-CN"/>
        </w:rPr>
        <w:fldChar w:fldCharType="separate"/>
      </w:r>
      <w:r>
        <w:rPr>
          <w:rFonts w:hint="eastAsia"/>
          <w:lang w:val="en-US" w:eastAsia="zh-CN"/>
        </w:rPr>
        <w:t>15</w:t>
      </w:r>
      <w:r>
        <w:t xml:space="preserve"> </w:t>
      </w:r>
      <w:r>
        <w:rPr>
          <w:rFonts w:hint="eastAsia"/>
          <w:shd w:val="clear" w:color="auto" w:fill="FFFFFF"/>
          <w:lang w:val="en-US" w:eastAsia="zh-CN"/>
        </w:rPr>
        <w:t>新绿公司舞弊及北京兴华审计失败</w:t>
      </w:r>
      <w:r>
        <w:rPr>
          <w:shd w:val="clear" w:color="auto" w:fill="FFFFFF"/>
        </w:rPr>
        <w:t>案例</w:t>
      </w:r>
      <w:r>
        <w:tab/>
      </w:r>
      <w:r>
        <w:fldChar w:fldCharType="begin"/>
      </w:r>
      <w:r>
        <w:instrText xml:space="preserve"> PAGEREF _Toc21252 \h </w:instrText>
      </w:r>
      <w:r>
        <w:fldChar w:fldCharType="separate"/>
      </w:r>
      <w:r>
        <w:t>39</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_Toc19062 </w:instrText>
      </w:r>
      <w:r>
        <w:rPr>
          <w:bCs/>
          <w:lang w:val="zh-CN"/>
        </w:rPr>
        <w:fldChar w:fldCharType="separate"/>
      </w:r>
      <w:r>
        <w:rPr>
          <w:rFonts w:hint="eastAsia"/>
          <w:lang w:val="en-US" w:eastAsia="zh-CN"/>
        </w:rPr>
        <w:t>16重庆博腾制药科技股份有限公司舞弊案</w:t>
      </w:r>
      <w:bookmarkStart w:id="52" w:name="_GoBack"/>
      <w:bookmarkEnd w:id="52"/>
      <w:r>
        <w:tab/>
      </w:r>
      <w:r>
        <w:fldChar w:fldCharType="begin"/>
      </w:r>
      <w:r>
        <w:instrText xml:space="preserve"> PAGEREF _Toc19062 \h </w:instrText>
      </w:r>
      <w:r>
        <w:fldChar w:fldCharType="separate"/>
      </w:r>
      <w:r>
        <w:t>40</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_Toc3196 </w:instrText>
      </w:r>
      <w:r>
        <w:rPr>
          <w:bCs/>
          <w:lang w:val="zh-CN"/>
        </w:rPr>
        <w:fldChar w:fldCharType="separate"/>
      </w:r>
      <w:r>
        <w:rPr>
          <w:rFonts w:hint="eastAsia"/>
          <w:lang w:val="en-US" w:eastAsia="zh-CN"/>
        </w:rPr>
        <w:t>17国药集团舞弊案例</w:t>
      </w:r>
      <w:r>
        <w:tab/>
      </w:r>
      <w:r>
        <w:fldChar w:fldCharType="begin"/>
      </w:r>
      <w:r>
        <w:instrText xml:space="preserve"> PAGEREF _Toc3196 \h </w:instrText>
      </w:r>
      <w:r>
        <w:fldChar w:fldCharType="separate"/>
      </w:r>
      <w:r>
        <w:t>41</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_Toc23047 </w:instrText>
      </w:r>
      <w:r>
        <w:rPr>
          <w:bCs/>
          <w:lang w:val="zh-CN"/>
        </w:rPr>
        <w:fldChar w:fldCharType="separate"/>
      </w:r>
      <w:r>
        <w:rPr>
          <w:rFonts w:hint="eastAsia"/>
          <w:lang w:val="en-US" w:eastAsia="zh-CN"/>
        </w:rPr>
        <w:t>18惠而浦舞弊</w:t>
      </w:r>
      <w:r>
        <w:t>案例</w:t>
      </w:r>
      <w:r>
        <w:tab/>
      </w:r>
      <w:r>
        <w:fldChar w:fldCharType="begin"/>
      </w:r>
      <w:r>
        <w:instrText xml:space="preserve"> PAGEREF _Toc23047 \h </w:instrText>
      </w:r>
      <w:r>
        <w:fldChar w:fldCharType="separate"/>
      </w:r>
      <w:r>
        <w:t>43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_Toc20606 </w:instrText>
      </w:r>
      <w:r>
        <w:rPr>
          <w:bCs/>
          <w:lang w:val="zh-CN"/>
        </w:rPr>
        <w:fldChar w:fldCharType="separate"/>
      </w:r>
      <w:r>
        <w:rPr>
          <w:rFonts w:hint="eastAsia"/>
          <w:lang w:val="en-US" w:eastAsia="zh-CN"/>
        </w:rPr>
        <w:t>19</w:t>
      </w:r>
      <w:r>
        <w:rPr>
          <w:rFonts w:hint="eastAsia"/>
        </w:rPr>
        <w:t>东方金钰</w:t>
      </w:r>
      <w:r>
        <w:rPr>
          <w:rFonts w:hint="eastAsia"/>
          <w:lang w:val="en-US" w:eastAsia="zh-CN"/>
        </w:rPr>
        <w:t>舞弊案例</w:t>
      </w:r>
      <w:r>
        <w:tab/>
      </w:r>
      <w:r>
        <w:fldChar w:fldCharType="begin"/>
      </w:r>
      <w:r>
        <w:instrText xml:space="preserve"> PAGEREF _Toc20606 \h </w:instrText>
      </w:r>
      <w:r>
        <w:fldChar w:fldCharType="separate"/>
      </w:r>
      <w:r>
        <w:t>45</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_Toc16899 </w:instrText>
      </w:r>
      <w:r>
        <w:rPr>
          <w:bCs/>
          <w:lang w:val="zh-CN"/>
        </w:rPr>
        <w:fldChar w:fldCharType="separate"/>
      </w:r>
      <w:r>
        <w:rPr>
          <w:rFonts w:hint="eastAsia"/>
          <w:lang w:val="en-US" w:eastAsia="zh-CN"/>
        </w:rPr>
        <w:t>20</w:t>
      </w:r>
      <w:r>
        <w:rPr>
          <w:rFonts w:hint="default"/>
          <w:lang w:val="en-US" w:eastAsia="zh-CN"/>
        </w:rPr>
        <w:t>长园</w:t>
      </w:r>
      <w:r>
        <w:rPr>
          <w:rFonts w:hint="eastAsia"/>
          <w:lang w:val="en-US" w:eastAsia="zh-CN"/>
        </w:rPr>
        <w:t>集团舞弊案例</w:t>
      </w:r>
      <w:r>
        <w:tab/>
      </w:r>
      <w:r>
        <w:fldChar w:fldCharType="begin"/>
      </w:r>
      <w:r>
        <w:instrText xml:space="preserve"> PAGEREF _Toc16899 \h </w:instrText>
      </w:r>
      <w:r>
        <w:fldChar w:fldCharType="separate"/>
      </w:r>
      <w:r>
        <w:t>48</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_Toc22893 </w:instrText>
      </w:r>
      <w:r>
        <w:rPr>
          <w:bCs/>
          <w:lang w:val="zh-CN"/>
        </w:rPr>
        <w:fldChar w:fldCharType="separate"/>
      </w:r>
      <w:r>
        <w:rPr>
          <w:rFonts w:hint="eastAsia"/>
          <w:lang w:val="en-US" w:eastAsia="zh-CN"/>
        </w:rPr>
        <w:t>21</w:t>
      </w:r>
      <w:r>
        <w:rPr>
          <w:rFonts w:hint="eastAsia"/>
        </w:rPr>
        <w:t>-</w:t>
      </w:r>
      <w:r>
        <w:rPr>
          <w:rFonts w:hint="eastAsia"/>
          <w:lang w:val="en-US" w:eastAsia="zh-CN"/>
        </w:rPr>
        <w:t>30</w:t>
      </w:r>
      <w:r>
        <w:t xml:space="preserve"> </w:t>
      </w:r>
      <w:r>
        <w:rPr>
          <w:rFonts w:hint="eastAsia"/>
        </w:rPr>
        <w:t>主要分析人：</w:t>
      </w:r>
      <w:r>
        <w:rPr>
          <w:rFonts w:hint="eastAsia"/>
          <w:lang w:val="en-US" w:eastAsia="zh-CN"/>
        </w:rPr>
        <w:t>马珺禹</w:t>
      </w:r>
      <w:r>
        <w:tab/>
      </w:r>
      <w:r>
        <w:fldChar w:fldCharType="begin"/>
      </w:r>
      <w:r>
        <w:instrText xml:space="preserve"> PAGEREF _Toc22893 \h </w:instrText>
      </w:r>
      <w:r>
        <w:fldChar w:fldCharType="separate"/>
      </w:r>
      <w:r>
        <w:t>52</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_Toc16261 </w:instrText>
      </w:r>
      <w:r>
        <w:rPr>
          <w:bCs/>
          <w:lang w:val="zh-CN"/>
        </w:rPr>
        <w:fldChar w:fldCharType="separate"/>
      </w:r>
      <w:r>
        <w:rPr>
          <w:rFonts w:hint="eastAsia"/>
          <w:lang w:val="en-US" w:eastAsia="zh-CN"/>
        </w:rPr>
        <w:t>21浙江九好办公服务集团有限公司</w:t>
      </w:r>
      <w:r>
        <w:tab/>
      </w:r>
      <w:r>
        <w:fldChar w:fldCharType="begin"/>
      </w:r>
      <w:r>
        <w:instrText xml:space="preserve"> PAGEREF _Toc16261 \h </w:instrText>
      </w:r>
      <w:r>
        <w:fldChar w:fldCharType="separate"/>
      </w:r>
      <w:r>
        <w:t>52</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_Toc28808 </w:instrText>
      </w:r>
      <w:r>
        <w:rPr>
          <w:bCs/>
          <w:lang w:val="zh-CN"/>
        </w:rPr>
        <w:fldChar w:fldCharType="separate"/>
      </w:r>
      <w:r>
        <w:rPr>
          <w:rFonts w:hint="eastAsia"/>
          <w:lang w:val="en-US" w:eastAsia="zh-CN"/>
        </w:rPr>
        <w:t>22珠海市博元投资股份有限公司</w:t>
      </w:r>
      <w:r>
        <w:tab/>
      </w:r>
      <w:r>
        <w:fldChar w:fldCharType="begin"/>
      </w:r>
      <w:r>
        <w:instrText xml:space="preserve"> PAGEREF _Toc28808 \h </w:instrText>
      </w:r>
      <w:r>
        <w:fldChar w:fldCharType="separate"/>
      </w:r>
      <w:r>
        <w:t>56</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_Toc4105 </w:instrText>
      </w:r>
      <w:r>
        <w:rPr>
          <w:bCs/>
          <w:lang w:val="zh-CN"/>
        </w:rPr>
        <w:fldChar w:fldCharType="separate"/>
      </w:r>
      <w:r>
        <w:rPr>
          <w:rFonts w:hint="eastAsia"/>
          <w:lang w:val="en-US" w:eastAsia="zh-CN"/>
        </w:rPr>
        <w:t>23北京赛迪传媒投资股份有限公司</w:t>
      </w:r>
      <w:r>
        <w:tab/>
      </w:r>
      <w:r>
        <w:fldChar w:fldCharType="begin"/>
      </w:r>
      <w:r>
        <w:instrText xml:space="preserve"> PAGEREF _Toc4105 \h </w:instrText>
      </w:r>
      <w:r>
        <w:fldChar w:fldCharType="separate"/>
      </w:r>
      <w:r>
        <w:t>61</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_Toc17558 </w:instrText>
      </w:r>
      <w:r>
        <w:rPr>
          <w:bCs/>
          <w:lang w:val="zh-CN"/>
        </w:rPr>
        <w:fldChar w:fldCharType="separate"/>
      </w:r>
      <w:r>
        <w:rPr>
          <w:rFonts w:hint="eastAsia"/>
          <w:lang w:val="en-US" w:eastAsia="zh-CN"/>
        </w:rPr>
        <w:t>24</w:t>
      </w:r>
      <w:r>
        <w:rPr>
          <w:rFonts w:hint="eastAsia"/>
        </w:rPr>
        <w:t>金亚科技股份有限公司</w:t>
      </w:r>
      <w:r>
        <w:tab/>
      </w:r>
      <w:r>
        <w:fldChar w:fldCharType="begin"/>
      </w:r>
      <w:r>
        <w:instrText xml:space="preserve"> PAGEREF _Toc17558 \h </w:instrText>
      </w:r>
      <w:r>
        <w:fldChar w:fldCharType="separate"/>
      </w:r>
      <w:r>
        <w:t>63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_Toc11697 </w:instrText>
      </w:r>
      <w:r>
        <w:rPr>
          <w:bCs/>
          <w:lang w:val="zh-CN"/>
        </w:rPr>
        <w:fldChar w:fldCharType="separate"/>
      </w:r>
      <w:r>
        <w:rPr>
          <w:rFonts w:hint="eastAsia"/>
          <w:lang w:val="en-US" w:eastAsia="zh-CN"/>
        </w:rPr>
        <w:t>25北八道集团有限公司</w:t>
      </w:r>
      <w:r>
        <w:tab/>
      </w:r>
      <w:r>
        <w:fldChar w:fldCharType="begin"/>
      </w:r>
      <w:r>
        <w:instrText xml:space="preserve"> PAGEREF _Toc11697 \h </w:instrText>
      </w:r>
      <w:r>
        <w:fldChar w:fldCharType="separate"/>
      </w:r>
      <w:r>
        <w:t>66</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_Toc24139 </w:instrText>
      </w:r>
      <w:r>
        <w:rPr>
          <w:bCs/>
          <w:lang w:val="zh-CN"/>
        </w:rPr>
        <w:fldChar w:fldCharType="separate"/>
      </w:r>
      <w:r>
        <w:rPr>
          <w:rFonts w:hint="eastAsia"/>
          <w:lang w:val="en-US" w:eastAsia="zh-CN"/>
        </w:rPr>
        <w:t>26武汉银都文化传媒股份有限公司</w:t>
      </w:r>
      <w:r>
        <w:tab/>
      </w:r>
      <w:r>
        <w:fldChar w:fldCharType="begin"/>
      </w:r>
      <w:r>
        <w:instrText xml:space="preserve"> PAGEREF _Toc24139 \h </w:instrText>
      </w:r>
      <w:r>
        <w:fldChar w:fldCharType="separate"/>
      </w:r>
      <w:r>
        <w:t>68</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_Toc18481 </w:instrText>
      </w:r>
      <w:r>
        <w:rPr>
          <w:bCs/>
          <w:lang w:val="zh-CN"/>
        </w:rPr>
        <w:fldChar w:fldCharType="separate"/>
      </w:r>
      <w:r>
        <w:rPr>
          <w:rFonts w:hint="eastAsia"/>
          <w:lang w:val="en-US" w:eastAsia="zh-CN"/>
        </w:rPr>
        <w:t>27</w:t>
      </w:r>
      <w:r>
        <w:rPr>
          <w:rFonts w:hint="eastAsia"/>
        </w:rPr>
        <w:t>上海香榭丽广告传媒股份有限公司</w:t>
      </w:r>
      <w:r>
        <w:tab/>
      </w:r>
      <w:r>
        <w:fldChar w:fldCharType="begin"/>
      </w:r>
      <w:r>
        <w:instrText xml:space="preserve"> PAGEREF _Toc18481 \h </w:instrText>
      </w:r>
      <w:r>
        <w:fldChar w:fldCharType="separate"/>
      </w:r>
      <w:r>
        <w:t>71</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_Toc6416 </w:instrText>
      </w:r>
      <w:r>
        <w:rPr>
          <w:bCs/>
          <w:lang w:val="zh-CN"/>
        </w:rPr>
        <w:fldChar w:fldCharType="separate"/>
      </w:r>
      <w:r>
        <w:rPr>
          <w:rFonts w:hint="eastAsia"/>
          <w:lang w:val="en-US" w:eastAsia="zh-CN"/>
        </w:rPr>
        <w:t>28上海富控互动娱乐股份有限公司</w:t>
      </w:r>
      <w:r>
        <w:tab/>
      </w:r>
      <w:r>
        <w:fldChar w:fldCharType="begin"/>
      </w:r>
      <w:r>
        <w:instrText xml:space="preserve"> PAGEREF _Toc6416 \h </w:instrText>
      </w:r>
      <w:r>
        <w:fldChar w:fldCharType="separate"/>
      </w:r>
      <w:r>
        <w:t>73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_Toc13740 </w:instrText>
      </w:r>
      <w:r>
        <w:rPr>
          <w:bCs/>
          <w:lang w:val="zh-CN"/>
        </w:rPr>
        <w:fldChar w:fldCharType="separate"/>
      </w:r>
      <w:r>
        <w:rPr>
          <w:rFonts w:hint="eastAsia"/>
          <w:lang w:val="en-US" w:eastAsia="zh-CN"/>
        </w:rPr>
        <w:t>29山东东海融资租赁股份有限公司</w:t>
      </w:r>
      <w:r>
        <w:tab/>
      </w:r>
      <w:r>
        <w:fldChar w:fldCharType="begin"/>
      </w:r>
      <w:r>
        <w:instrText xml:space="preserve"> PAGEREF _Toc13740 \h </w:instrText>
      </w:r>
      <w:r>
        <w:fldChar w:fldCharType="separate"/>
      </w:r>
      <w:r>
        <w:t>77</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_Toc16732 </w:instrText>
      </w:r>
      <w:r>
        <w:rPr>
          <w:bCs/>
          <w:lang w:val="zh-CN"/>
        </w:rPr>
        <w:fldChar w:fldCharType="separate"/>
      </w:r>
      <w:r>
        <w:rPr>
          <w:rFonts w:hint="eastAsia"/>
          <w:lang w:val="en-US" w:eastAsia="zh-CN"/>
        </w:rPr>
        <w:t>30</w:t>
      </w:r>
      <w:r>
        <w:rPr>
          <w:rFonts w:hint="eastAsia"/>
        </w:rPr>
        <w:t>渤海租赁股份有限公司</w:t>
      </w:r>
      <w:r>
        <w:tab/>
      </w:r>
      <w:r>
        <w:fldChar w:fldCharType="begin"/>
      </w:r>
      <w:r>
        <w:instrText xml:space="preserve"> PAGEREF _Toc16732 \h </w:instrText>
      </w:r>
      <w:r>
        <w:fldChar w:fldCharType="separate"/>
      </w:r>
      <w:r>
        <w:t>80</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_Toc3127 </w:instrText>
      </w:r>
      <w:r>
        <w:rPr>
          <w:bCs/>
          <w:lang w:val="zh-CN"/>
        </w:rPr>
        <w:fldChar w:fldCharType="separate"/>
      </w:r>
      <w:r>
        <w:rPr>
          <w:rFonts w:hint="eastAsia"/>
          <w:lang w:val="en-US" w:eastAsia="zh-CN"/>
        </w:rPr>
        <w:t>31</w:t>
      </w:r>
      <w:r>
        <w:rPr>
          <w:rFonts w:hint="eastAsia"/>
        </w:rPr>
        <w:t>-</w:t>
      </w:r>
      <w:r>
        <w:rPr>
          <w:rFonts w:hint="eastAsia"/>
          <w:lang w:val="en-US" w:eastAsia="zh-CN"/>
        </w:rPr>
        <w:t>40</w:t>
      </w:r>
      <w:r>
        <w:t xml:space="preserve"> </w:t>
      </w:r>
      <w:r>
        <w:rPr>
          <w:rFonts w:hint="eastAsia"/>
        </w:rPr>
        <w:t>主要分析人：</w:t>
      </w:r>
      <w:r>
        <w:rPr>
          <w:rFonts w:hint="eastAsia"/>
          <w:lang w:val="en-US" w:eastAsia="zh-CN"/>
        </w:rPr>
        <w:t>杨潇涵</w:t>
      </w:r>
      <w:r>
        <w:tab/>
      </w:r>
      <w:r>
        <w:fldChar w:fldCharType="begin"/>
      </w:r>
      <w:r>
        <w:instrText xml:space="preserve"> PAGEREF _Toc3127 \h </w:instrText>
      </w:r>
      <w:r>
        <w:fldChar w:fldCharType="separate"/>
      </w:r>
      <w:r>
        <w:t>83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_Toc27286 </w:instrText>
      </w:r>
      <w:r>
        <w:rPr>
          <w:bCs/>
          <w:lang w:val="zh-CN"/>
        </w:rPr>
        <w:fldChar w:fldCharType="separate"/>
      </w:r>
      <w:r>
        <w:rPr>
          <w:rFonts w:hint="eastAsia"/>
          <w:lang w:val="en-US" w:eastAsia="zh-CN"/>
        </w:rPr>
        <w:t>31杨凌秦丰农业科技股份有限公司</w:t>
      </w:r>
      <w:r>
        <w:tab/>
      </w:r>
      <w:r>
        <w:fldChar w:fldCharType="begin"/>
      </w:r>
      <w:r>
        <w:instrText xml:space="preserve"> PAGEREF _Toc27286 \h </w:instrText>
      </w:r>
      <w:r>
        <w:fldChar w:fldCharType="separate"/>
      </w:r>
      <w:r>
        <w:t>83</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_Toc14486 </w:instrText>
      </w:r>
      <w:r>
        <w:rPr>
          <w:bCs/>
          <w:lang w:val="zh-CN"/>
        </w:rPr>
        <w:fldChar w:fldCharType="separate"/>
      </w:r>
      <w:r>
        <w:rPr>
          <w:rFonts w:hint="eastAsia"/>
          <w:lang w:val="en-US" w:eastAsia="zh-CN"/>
        </w:rPr>
        <w:t>32</w:t>
      </w:r>
      <w:r>
        <w:rPr>
          <w:rFonts w:hint="eastAsia" w:ascii="Times New Roman" w:hAnsi="Times New Roman" w:cs="Times New Roman"/>
          <w:lang w:val="en-US" w:eastAsia="zh-CN"/>
        </w:rPr>
        <w:t>万福生科（湖南）农业开发股份有限公司</w:t>
      </w:r>
      <w:r>
        <w:tab/>
      </w:r>
      <w:r>
        <w:fldChar w:fldCharType="begin"/>
      </w:r>
      <w:r>
        <w:instrText xml:space="preserve"> PAGEREF _Toc14486 \h </w:instrText>
      </w:r>
      <w:r>
        <w:fldChar w:fldCharType="separate"/>
      </w:r>
      <w:r>
        <w:t>85</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_Toc24940 </w:instrText>
      </w:r>
      <w:r>
        <w:rPr>
          <w:bCs/>
          <w:lang w:val="zh-CN"/>
        </w:rPr>
        <w:fldChar w:fldCharType="separate"/>
      </w:r>
      <w:r>
        <w:rPr>
          <w:rFonts w:hint="eastAsia"/>
          <w:lang w:val="en-US" w:eastAsia="zh-CN"/>
        </w:rPr>
        <w:t>33</w:t>
      </w:r>
      <w:r>
        <w:rPr>
          <w:rFonts w:hint="eastAsia" w:ascii="Times New Roman" w:hAnsi="Times New Roman" w:cs="Times New Roman"/>
          <w:lang w:val="en-US" w:eastAsia="zh-CN"/>
        </w:rPr>
        <w:t>沈阳蓝田股份有限公司</w:t>
      </w:r>
      <w:r>
        <w:tab/>
      </w:r>
      <w:r>
        <w:fldChar w:fldCharType="begin"/>
      </w:r>
      <w:r>
        <w:instrText xml:space="preserve"> PAGEREF _Toc24940 \h </w:instrText>
      </w:r>
      <w:r>
        <w:fldChar w:fldCharType="separate"/>
      </w:r>
      <w:r>
        <w:t>88</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_Toc982 </w:instrText>
      </w:r>
      <w:r>
        <w:rPr>
          <w:bCs/>
          <w:lang w:val="zh-CN"/>
        </w:rPr>
        <w:fldChar w:fldCharType="separate"/>
      </w:r>
      <w:r>
        <w:rPr>
          <w:rFonts w:hint="eastAsia"/>
          <w:lang w:val="en-US" w:eastAsia="zh-CN"/>
        </w:rPr>
        <w:t>34</w:t>
      </w:r>
      <w:r>
        <w:rPr>
          <w:rFonts w:hint="eastAsia" w:ascii="Times New Roman" w:hAnsi="Times New Roman" w:cs="Times New Roman"/>
          <w:lang w:val="en-US" w:eastAsia="zh-CN"/>
        </w:rPr>
        <w:t>云南省绿大地生物科技股份有限公司</w:t>
      </w:r>
      <w:r>
        <w:tab/>
      </w:r>
      <w:r>
        <w:fldChar w:fldCharType="begin"/>
      </w:r>
      <w:r>
        <w:instrText xml:space="preserve"> PAGEREF _Toc982 \h </w:instrText>
      </w:r>
      <w:r>
        <w:fldChar w:fldCharType="separate"/>
      </w:r>
      <w:r>
        <w:t>94</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_Toc1412 </w:instrText>
      </w:r>
      <w:r>
        <w:rPr>
          <w:bCs/>
          <w:lang w:val="zh-CN"/>
        </w:rPr>
        <w:fldChar w:fldCharType="separate"/>
      </w:r>
      <w:r>
        <w:rPr>
          <w:rFonts w:hint="eastAsia"/>
          <w:lang w:val="en-US" w:eastAsia="zh-CN"/>
        </w:rPr>
        <w:t>35</w:t>
      </w:r>
      <w:r>
        <w:rPr>
          <w:rFonts w:hint="eastAsia" w:ascii="Times New Roman" w:hAnsi="Times New Roman" w:cs="Times New Roman"/>
          <w:lang w:val="en-US" w:eastAsia="zh-CN"/>
        </w:rPr>
        <w:t>獐子岛</w:t>
      </w:r>
      <w:r>
        <w:rPr>
          <w:rFonts w:hint="default" w:ascii="Times New Roman" w:hAnsi="Times New Roman" w:cs="Times New Roman"/>
          <w:lang w:val="en-US" w:eastAsia="zh-CN"/>
        </w:rPr>
        <w:t>集团股</w:t>
      </w:r>
      <w:r>
        <w:rPr>
          <w:rFonts w:hint="eastAsia" w:ascii="Times New Roman" w:hAnsi="Times New Roman" w:cs="Times New Roman"/>
          <w:lang w:val="en-US" w:eastAsia="zh-CN"/>
        </w:rPr>
        <w:t>份</w:t>
      </w:r>
      <w:r>
        <w:rPr>
          <w:rFonts w:hint="default" w:ascii="Times New Roman" w:hAnsi="Times New Roman" w:cs="Times New Roman"/>
          <w:lang w:val="en-US" w:eastAsia="zh-CN"/>
        </w:rPr>
        <w:t>有限公司</w:t>
      </w:r>
      <w:r>
        <w:tab/>
      </w:r>
      <w:r>
        <w:fldChar w:fldCharType="begin"/>
      </w:r>
      <w:r>
        <w:instrText xml:space="preserve"> PAGEREF _Toc1412 \h </w:instrText>
      </w:r>
      <w:r>
        <w:fldChar w:fldCharType="separate"/>
      </w:r>
      <w:r>
        <w:t>101</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_Toc18088 </w:instrText>
      </w:r>
      <w:r>
        <w:rPr>
          <w:bCs/>
          <w:lang w:val="zh-CN"/>
        </w:rPr>
        <w:fldChar w:fldCharType="separate"/>
      </w:r>
      <w:r>
        <w:rPr>
          <w:rFonts w:hint="eastAsia"/>
          <w:lang w:val="en-US" w:eastAsia="zh-CN"/>
        </w:rPr>
        <w:t>36</w:t>
      </w:r>
      <w:r>
        <w:rPr>
          <w:rFonts w:hint="eastAsia" w:ascii="Times New Roman" w:hAnsi="Times New Roman" w:cs="Times New Roman"/>
          <w:lang w:val="en-US" w:eastAsia="zh-CN"/>
        </w:rPr>
        <w:t>广东新大地生物科技股份有限公司</w:t>
      </w:r>
      <w:r>
        <w:tab/>
      </w:r>
      <w:r>
        <w:fldChar w:fldCharType="begin"/>
      </w:r>
      <w:r>
        <w:instrText xml:space="preserve"> PAGEREF _Toc18088 \h </w:instrText>
      </w:r>
      <w:r>
        <w:fldChar w:fldCharType="separate"/>
      </w:r>
      <w:r>
        <w:t>110</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_Toc28130 </w:instrText>
      </w:r>
      <w:r>
        <w:rPr>
          <w:bCs/>
          <w:lang w:val="zh-CN"/>
        </w:rPr>
        <w:fldChar w:fldCharType="separate"/>
      </w:r>
      <w:r>
        <w:rPr>
          <w:rFonts w:hint="eastAsia"/>
          <w:lang w:val="en-US" w:eastAsia="zh-CN"/>
        </w:rPr>
        <w:t>37</w:t>
      </w:r>
      <w:r>
        <w:rPr>
          <w:rFonts w:hint="eastAsia"/>
        </w:rPr>
        <w:t>辽宁振隆特产股份有限公司</w:t>
      </w:r>
      <w:r>
        <w:tab/>
      </w:r>
      <w:r>
        <w:fldChar w:fldCharType="begin"/>
      </w:r>
      <w:r>
        <w:instrText xml:space="preserve"> PAGEREF _Toc28130 \h </w:instrText>
      </w:r>
      <w:r>
        <w:fldChar w:fldCharType="separate"/>
      </w:r>
      <w:r>
        <w:t>116</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_Toc16558 </w:instrText>
      </w:r>
      <w:r>
        <w:rPr>
          <w:bCs/>
          <w:lang w:val="zh-CN"/>
        </w:rPr>
        <w:fldChar w:fldCharType="separate"/>
      </w:r>
      <w:r>
        <w:rPr>
          <w:rFonts w:hint="eastAsia"/>
          <w:lang w:val="en-US" w:eastAsia="zh-CN"/>
        </w:rPr>
        <w:t>38</w:t>
      </w:r>
      <w:r>
        <w:rPr>
          <w:rFonts w:hint="eastAsia" w:ascii="Times New Roman" w:hAnsi="Times New Roman" w:cs="Times New Roman"/>
          <w:lang w:val="en-US" w:eastAsia="zh-CN"/>
        </w:rPr>
        <w:t>广西康华农业股份有限公司</w:t>
      </w:r>
      <w:r>
        <w:tab/>
      </w:r>
      <w:r>
        <w:fldChar w:fldCharType="begin"/>
      </w:r>
      <w:r>
        <w:instrText xml:space="preserve"> PAGEREF _Toc16558 \h </w:instrText>
      </w:r>
      <w:r>
        <w:fldChar w:fldCharType="separate"/>
      </w:r>
      <w:r>
        <w:t>120</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_Toc5518 </w:instrText>
      </w:r>
      <w:r>
        <w:rPr>
          <w:bCs/>
          <w:lang w:val="zh-CN"/>
        </w:rPr>
        <w:fldChar w:fldCharType="separate"/>
      </w:r>
      <w:r>
        <w:rPr>
          <w:rFonts w:hint="eastAsia"/>
          <w:lang w:val="en-US" w:eastAsia="zh-CN"/>
        </w:rPr>
        <w:t>39</w:t>
      </w:r>
      <w:r>
        <w:rPr>
          <w:rFonts w:hint="default" w:ascii="Times New Roman" w:hAnsi="Times New Roman" w:cs="Times New Roman"/>
          <w:lang w:val="en-US" w:eastAsia="zh-CN"/>
        </w:rPr>
        <w:t>龙宝参茸股份有限公司</w:t>
      </w:r>
      <w:r>
        <w:tab/>
      </w:r>
      <w:r>
        <w:fldChar w:fldCharType="begin"/>
      </w:r>
      <w:r>
        <w:instrText xml:space="preserve"> PAGEREF _Toc5518 \h </w:instrText>
      </w:r>
      <w:r>
        <w:fldChar w:fldCharType="separate"/>
      </w:r>
      <w:r>
        <w:t>122</w:t>
      </w:r>
      <w:r>
        <w:fldChar w:fldCharType="end"/>
      </w:r>
      <w:r>
        <w:rPr>
          <w:bCs/>
          <w:lang w:val="zh-CN"/>
        </w:rPr>
        <w:fldChar w:fldCharType="end"/>
      </w:r>
    </w:p>
    <w:p>
      <w:pPr>
        <w:pStyle w:val="8"/>
        <w:tabs>
          <w:tab w:val="right" w:leader="dot" w:pos="8306"/>
        </w:tabs>
      </w:pPr>
      <w:r>
        <w:rPr>
          <w:bCs/>
          <w:lang w:val="zh-CN"/>
        </w:rPr>
        <w:fldChar w:fldCharType="begin"/>
      </w:r>
      <w:r>
        <w:rPr>
          <w:bCs/>
          <w:lang w:val="zh-CN"/>
        </w:rPr>
        <w:instrText xml:space="preserve"> HYPERLINK \l _Toc31512 </w:instrText>
      </w:r>
      <w:r>
        <w:rPr>
          <w:bCs/>
          <w:lang w:val="zh-CN"/>
        </w:rPr>
        <w:fldChar w:fldCharType="separate"/>
      </w:r>
      <w:r>
        <w:rPr>
          <w:rFonts w:hint="eastAsia" w:ascii="Times New Roman" w:hAnsi="Times New Roman" w:cs="Times New Roman"/>
          <w:lang w:val="en-US" w:eastAsia="zh-CN"/>
        </w:rPr>
        <w:t>40北京密农人家农业科技有限公司</w:t>
      </w:r>
      <w:r>
        <w:tab/>
      </w:r>
      <w:r>
        <w:fldChar w:fldCharType="begin"/>
      </w:r>
      <w:r>
        <w:instrText xml:space="preserve"> PAGEREF _Toc31512 \h </w:instrText>
      </w:r>
      <w:r>
        <w:fldChar w:fldCharType="separate"/>
      </w:r>
      <w:r>
        <w:t>132</w:t>
      </w:r>
      <w:r>
        <w:fldChar w:fldCharType="end"/>
      </w:r>
      <w:r>
        <w:rPr>
          <w:bCs/>
          <w:lang w:val="zh-CN"/>
        </w:rPr>
        <w:fldChar w:fldCharType="end"/>
      </w:r>
    </w:p>
    <w:p>
      <w:r>
        <w:rPr>
          <w:bCs/>
          <w:lang w:val="zh-CN"/>
        </w:rPr>
        <w:fldChar w:fldCharType="end"/>
      </w:r>
    </w:p>
    <w:p>
      <w:pPr>
        <w:tabs>
          <w:tab w:val="left" w:pos="2040"/>
          <w:tab w:val="left" w:pos="2340"/>
        </w:tabs>
      </w:pPr>
    </w:p>
    <w:p>
      <w:pPr>
        <w:widowControl/>
        <w:jc w:val="left"/>
      </w:pPr>
      <w:r>
        <w:br w:type="page"/>
      </w:r>
    </w:p>
    <w:p>
      <w:pPr>
        <w:pStyle w:val="2"/>
        <w:rPr>
          <w:rFonts w:hint="default" w:eastAsia="宋体"/>
          <w:lang w:val="en-US" w:eastAsia="zh-CN"/>
        </w:rPr>
      </w:pPr>
      <w:bookmarkStart w:id="0" w:name="_Toc1780"/>
      <w:bookmarkStart w:id="1" w:name="_Toc4954"/>
      <w:r>
        <w:rPr>
          <w:rFonts w:hint="eastAsia"/>
        </w:rPr>
        <w:t>01-</w:t>
      </w:r>
      <w:r>
        <w:t xml:space="preserve">10 </w:t>
      </w:r>
      <w:r>
        <w:rPr>
          <w:rFonts w:hint="eastAsia"/>
        </w:rPr>
        <w:t>主要分析人：</w:t>
      </w:r>
      <w:r>
        <w:rPr>
          <w:rFonts w:hint="eastAsia"/>
          <w:lang w:val="en-US" w:eastAsia="zh-CN"/>
        </w:rPr>
        <w:t>王可心</w:t>
      </w:r>
      <w:bookmarkEnd w:id="0"/>
      <w:bookmarkEnd w:id="1"/>
    </w:p>
    <w:p>
      <w:pPr>
        <w:pStyle w:val="2"/>
        <w:rPr>
          <w:rFonts w:hint="default"/>
          <w:lang w:val="en-US"/>
        </w:rPr>
      </w:pPr>
      <w:bookmarkStart w:id="2" w:name="_Toc22814"/>
      <w:r>
        <w:rPr>
          <w:rFonts w:hint="eastAsia"/>
        </w:rPr>
        <w:t>01</w:t>
      </w:r>
      <w:r>
        <w:rPr>
          <w:rFonts w:hint="eastAsia"/>
          <w:lang w:val="en-US" w:eastAsia="zh-CN"/>
        </w:rPr>
        <w:t>昆明机床案例</w:t>
      </w:r>
      <w:bookmarkEnd w:id="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沈机集团昆明机床股份有限公司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lang w:val="en-US" w:eastAsia="zh-CN"/>
              </w:rPr>
              <w:t>专用设备制造</w:t>
            </w:r>
            <w:r>
              <w:t>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rPr>
            </w:pPr>
            <w:r>
              <w:tab/>
            </w:r>
            <w:r>
              <w:rPr>
                <w:rFonts w:hint="eastAsia"/>
              </w:rPr>
              <w:t>沈机集团昆明机床股份有限公司（以下简称“昆明机床”，股份代码：600806）是中国制造大型精密机床的骨干企业，曾先后研发出140多个“中国第一台”。公司前身是筹建于1936年的中央机器厂，1953年更名为昆明机床厂，1993年10月19日正式注册成立昆明机床股份有限公司，成为我国首批九家到香港上市的股份制规范化试点企业，成为云南省和国内装备行业唯一在境内、外上市的A+H股上市公司。2000年与西安交通大学产业（集团）总公司实施战略性资产重组 ，2002年3月29日更名为交大昆机科技股份有限公司。</w:t>
            </w:r>
          </w:p>
          <w:p>
            <w:pPr>
              <w:rPr>
                <w:b/>
              </w:rPr>
            </w:pPr>
            <w:r>
              <w:rPr>
                <w:rFonts w:hint="eastAsia"/>
                <w:b/>
              </w:rPr>
              <w:t>【案情背景</w:t>
            </w:r>
            <w:r>
              <w:rPr>
                <w:b/>
              </w:rPr>
              <w:t>】</w:t>
            </w:r>
          </w:p>
          <w:p>
            <w:r>
              <w:rPr>
                <w:b/>
              </w:rPr>
              <w:tab/>
            </w:r>
            <w:r>
              <w:rPr>
                <w:rFonts w:hint="eastAsia"/>
                <w:b w:val="0"/>
                <w:bCs w:val="0"/>
                <w:lang w:val="en-US" w:eastAsia="zh-CN"/>
              </w:rPr>
              <w:t>昆明机床跨期确认收入</w:t>
            </w:r>
            <w:r>
              <w:rPr>
                <w:rFonts w:hint="eastAsia"/>
                <w:b/>
                <w:bCs/>
                <w:lang w:val="en-US" w:eastAsia="zh-CN"/>
              </w:rPr>
              <w:t>，</w:t>
            </w:r>
            <w:r>
              <w:rPr>
                <w:rFonts w:hint="eastAsia"/>
              </w:rPr>
              <w:t>2013年至2015年，昆明机床与部分经销商或客户签订合同，经销商或客户虚假采购昆明机床产品并预付定金，但最终并不提货，后期将定金退回客户，或者直接按照客户退货进行处理</w:t>
            </w:r>
            <w:r>
              <w:rPr>
                <w:rFonts w:hint="eastAsia"/>
                <w:lang w:eastAsia="zh-CN"/>
              </w:rPr>
              <w:t>，</w:t>
            </w:r>
            <w:r>
              <w:rPr>
                <w:rFonts w:hint="eastAsia"/>
                <w:lang w:val="en-US" w:eastAsia="zh-CN"/>
              </w:rPr>
              <w:t>客户产生怀疑</w:t>
            </w:r>
            <w:r>
              <w:rPr>
                <w:rFonts w:hint="eastAsia"/>
              </w:rPr>
              <w:t>。</w:t>
            </w:r>
            <w:r>
              <w:rPr>
                <w:rFonts w:hint="eastAsia"/>
                <w:b w:val="0"/>
                <w:bCs/>
                <w:lang w:val="en-US" w:eastAsia="zh-CN"/>
              </w:rPr>
              <w:t>2016年瑞华会计师事务所出具了无法表示意见的审计报告</w:t>
            </w:r>
            <w:r>
              <w:t>。</w:t>
            </w:r>
          </w:p>
          <w:p>
            <w:pPr>
              <w:rPr>
                <w:b/>
              </w:rPr>
            </w:pPr>
            <w:r>
              <w:rPr>
                <w:rFonts w:hint="eastAsia"/>
                <w:b/>
              </w:rPr>
              <w:t>【案情描述】</w:t>
            </w:r>
          </w:p>
          <w:p>
            <w:pPr>
              <w:rPr>
                <w:rFonts w:hint="eastAsia"/>
              </w:rPr>
            </w:pPr>
            <w:r>
              <w:rPr>
                <w:b/>
                <w:bCs/>
              </w:rPr>
              <w:tab/>
            </w:r>
            <w:r>
              <w:rPr>
                <w:rFonts w:hint="eastAsia"/>
              </w:rPr>
              <w:t>在此过程中，昆明机床虚构合同、发货单、运输协议等单据，通过虚构交易的方式来虚计收入，以达到虚增当年利润的目的。为避免虚计收入被审计人员发现，昆明机床采用在账外设立库房的方式，将存货以正常销售的方式出库，但存货并未实际发往客户，而是移送至账外库房。之后，昆明机床通过“二次”销售，虚构销售退回，或将产成品拆解为零配件从第三方虚构采购购回等方式处理账外存货，但原来虚计的应收账款无法冲减。为避免设立账外库房的事宜被审计人员察觉，昆明机床还要求出租外库的出租人将租金业务发票开具为运输费用发票。昆明机床2013年虚计收入115笔，共计122</w:t>
            </w:r>
            <w:r>
              <w:rPr>
                <w:rFonts w:hint="eastAsia"/>
                <w:lang w:eastAsia="zh-CN"/>
              </w:rPr>
              <w:t>，</w:t>
            </w:r>
            <w:r>
              <w:rPr>
                <w:rFonts w:hint="eastAsia"/>
              </w:rPr>
              <w:t>352</w:t>
            </w:r>
            <w:r>
              <w:rPr>
                <w:rFonts w:hint="eastAsia"/>
                <w:lang w:eastAsia="zh-CN"/>
              </w:rPr>
              <w:t>，</w:t>
            </w:r>
            <w:r>
              <w:rPr>
                <w:rFonts w:hint="eastAsia"/>
              </w:rPr>
              <w:t>581.32元，2014年虚计收入46笔，共计79</w:t>
            </w:r>
            <w:r>
              <w:rPr>
                <w:rFonts w:hint="eastAsia"/>
                <w:lang w:eastAsia="zh-CN"/>
              </w:rPr>
              <w:t>，</w:t>
            </w:r>
            <w:r>
              <w:rPr>
                <w:rFonts w:hint="eastAsia"/>
              </w:rPr>
              <w:t>459</w:t>
            </w:r>
            <w:r>
              <w:rPr>
                <w:rFonts w:hint="eastAsia"/>
                <w:lang w:eastAsia="zh-CN"/>
              </w:rPr>
              <w:t>，</w:t>
            </w:r>
            <w:r>
              <w:rPr>
                <w:rFonts w:hint="eastAsia"/>
              </w:rPr>
              <w:t>999.98元，2015年虚计收入34笔，共计20</w:t>
            </w:r>
            <w:r>
              <w:rPr>
                <w:rFonts w:hint="eastAsia"/>
                <w:lang w:eastAsia="zh-CN"/>
              </w:rPr>
              <w:t>，</w:t>
            </w:r>
            <w:r>
              <w:rPr>
                <w:rFonts w:hint="eastAsia"/>
              </w:rPr>
              <w:t>203</w:t>
            </w:r>
            <w:r>
              <w:rPr>
                <w:rFonts w:hint="eastAsia"/>
                <w:lang w:eastAsia="zh-CN"/>
              </w:rPr>
              <w:t>，</w:t>
            </w:r>
            <w:r>
              <w:rPr>
                <w:rFonts w:hint="eastAsia"/>
              </w:rPr>
              <w:t>582.87元。</w:t>
            </w:r>
          </w:p>
          <w:p>
            <w:pPr>
              <w:ind w:firstLine="420" w:firstLineChars="200"/>
              <w:rPr>
                <w:rFonts w:hint="eastAsia"/>
              </w:rPr>
            </w:pPr>
            <w:r>
              <w:rPr>
                <w:rFonts w:hint="eastAsia"/>
              </w:rPr>
              <w:t>此外，2013年至2014年，昆明机床还通过虚增合同价格的方式虚增收入2</w:t>
            </w:r>
            <w:r>
              <w:rPr>
                <w:rFonts w:hint="eastAsia"/>
                <w:lang w:eastAsia="zh-CN"/>
              </w:rPr>
              <w:t>，</w:t>
            </w:r>
            <w:r>
              <w:rPr>
                <w:rFonts w:hint="eastAsia"/>
              </w:rPr>
              <w:t>105</w:t>
            </w:r>
            <w:r>
              <w:rPr>
                <w:rFonts w:hint="eastAsia"/>
                <w:lang w:eastAsia="zh-CN"/>
              </w:rPr>
              <w:t>，</w:t>
            </w:r>
            <w:r>
              <w:rPr>
                <w:rFonts w:hint="eastAsia"/>
              </w:rPr>
              <w:t>786.33元。昆明机床在与部分客户签订合同后，单边虚增合同价格，其中，2013年昆明机床虚增合同价格1</w:t>
            </w:r>
            <w:r>
              <w:rPr>
                <w:rFonts w:hint="eastAsia"/>
                <w:lang w:eastAsia="zh-CN"/>
              </w:rPr>
              <w:t>，</w:t>
            </w:r>
            <w:r>
              <w:rPr>
                <w:rFonts w:hint="eastAsia"/>
              </w:rPr>
              <w:t>485</w:t>
            </w:r>
            <w:r>
              <w:rPr>
                <w:rFonts w:hint="eastAsia"/>
                <w:lang w:eastAsia="zh-CN"/>
              </w:rPr>
              <w:t>，</w:t>
            </w:r>
            <w:r>
              <w:rPr>
                <w:rFonts w:hint="eastAsia"/>
              </w:rPr>
              <w:t>581.20元，涉及客户14户，机床44台；2014年虚增合同价格620</w:t>
            </w:r>
            <w:r>
              <w:rPr>
                <w:rFonts w:hint="eastAsia"/>
                <w:lang w:eastAsia="zh-CN"/>
              </w:rPr>
              <w:t>，</w:t>
            </w:r>
            <w:r>
              <w:rPr>
                <w:rFonts w:hint="eastAsia"/>
              </w:rPr>
              <w:t>205.13元，涉及客户10户，机床22台。</w:t>
            </w:r>
          </w:p>
          <w:p>
            <w:pPr>
              <w:ind w:firstLine="420" w:firstLineChars="200"/>
            </w:pPr>
            <w:r>
              <w:rPr>
                <w:rFonts w:hint="eastAsia"/>
              </w:rPr>
              <w:t>2013年至2015年，昆明机床通过设置账外产成品库房、虚构生产业务、虚假降低实际产品制造成本等方式，多计各期营业成本，少计各年度期末存货。三年间累计多计成本235</w:t>
            </w:r>
            <w:r>
              <w:rPr>
                <w:rFonts w:hint="eastAsia"/>
                <w:lang w:eastAsia="zh-CN"/>
              </w:rPr>
              <w:t>，</w:t>
            </w:r>
            <w:r>
              <w:rPr>
                <w:rFonts w:hint="eastAsia"/>
              </w:rPr>
              <w:t>272</w:t>
            </w:r>
            <w:r>
              <w:rPr>
                <w:rFonts w:hint="eastAsia"/>
                <w:lang w:eastAsia="zh-CN"/>
              </w:rPr>
              <w:t>，</w:t>
            </w:r>
            <w:r>
              <w:rPr>
                <w:rFonts w:hint="eastAsia"/>
              </w:rPr>
              <w:t>252.56元，其中2013年多计成本120</w:t>
            </w:r>
            <w:r>
              <w:rPr>
                <w:rFonts w:hint="eastAsia"/>
                <w:lang w:eastAsia="zh-CN"/>
              </w:rPr>
              <w:t>，</w:t>
            </w:r>
            <w:r>
              <w:rPr>
                <w:rFonts w:hint="eastAsia"/>
              </w:rPr>
              <w:t>871</w:t>
            </w:r>
            <w:r>
              <w:rPr>
                <w:rFonts w:hint="eastAsia"/>
                <w:lang w:eastAsia="zh-CN"/>
              </w:rPr>
              <w:t>，</w:t>
            </w:r>
            <w:r>
              <w:rPr>
                <w:rFonts w:hint="eastAsia"/>
              </w:rPr>
              <w:t>685.64元，2014年多计成本69</w:t>
            </w:r>
            <w:r>
              <w:rPr>
                <w:rFonts w:hint="eastAsia"/>
                <w:lang w:eastAsia="zh-CN"/>
              </w:rPr>
              <w:t>，</w:t>
            </w:r>
            <w:r>
              <w:rPr>
                <w:rFonts w:hint="eastAsia"/>
              </w:rPr>
              <w:t>014</w:t>
            </w:r>
            <w:r>
              <w:rPr>
                <w:rFonts w:hint="eastAsia"/>
                <w:lang w:eastAsia="zh-CN"/>
              </w:rPr>
              <w:t>，</w:t>
            </w:r>
            <w:r>
              <w:rPr>
                <w:rFonts w:hint="eastAsia"/>
              </w:rPr>
              <w:t>625.10元，2015年多计成本45</w:t>
            </w:r>
            <w:r>
              <w:rPr>
                <w:rFonts w:hint="eastAsia"/>
                <w:lang w:eastAsia="zh-CN"/>
              </w:rPr>
              <w:t>，</w:t>
            </w:r>
            <w:r>
              <w:rPr>
                <w:rFonts w:hint="eastAsia"/>
              </w:rPr>
              <w:t>385</w:t>
            </w:r>
            <w:r>
              <w:rPr>
                <w:rFonts w:hint="eastAsia"/>
                <w:lang w:eastAsia="zh-CN"/>
              </w:rPr>
              <w:t>，</w:t>
            </w:r>
            <w:r>
              <w:rPr>
                <w:rFonts w:hint="eastAsia"/>
              </w:rPr>
              <w:t>341.82元；三年累计少计存货505</w:t>
            </w:r>
            <w:r>
              <w:rPr>
                <w:rFonts w:hint="eastAsia"/>
                <w:lang w:eastAsia="zh-CN"/>
              </w:rPr>
              <w:t>，</w:t>
            </w:r>
            <w:r>
              <w:rPr>
                <w:rFonts w:hint="eastAsia"/>
              </w:rPr>
              <w:t>985</w:t>
            </w:r>
            <w:r>
              <w:rPr>
                <w:rFonts w:hint="eastAsia"/>
                <w:lang w:eastAsia="zh-CN"/>
              </w:rPr>
              <w:t>，</w:t>
            </w:r>
            <w:r>
              <w:rPr>
                <w:rFonts w:hint="eastAsia"/>
              </w:rPr>
              <w:t>325.86元，其中2013年少计存货120</w:t>
            </w:r>
            <w:r>
              <w:rPr>
                <w:rFonts w:hint="eastAsia"/>
                <w:lang w:eastAsia="zh-CN"/>
              </w:rPr>
              <w:t>，</w:t>
            </w:r>
            <w:r>
              <w:rPr>
                <w:rFonts w:hint="eastAsia"/>
              </w:rPr>
              <w:t>871</w:t>
            </w:r>
            <w:r>
              <w:rPr>
                <w:rFonts w:hint="eastAsia"/>
                <w:lang w:eastAsia="zh-CN"/>
              </w:rPr>
              <w:t>，</w:t>
            </w:r>
            <w:r>
              <w:rPr>
                <w:rFonts w:hint="eastAsia"/>
              </w:rPr>
              <w:t>685.64元，2014年少计存货184</w:t>
            </w:r>
            <w:r>
              <w:rPr>
                <w:rFonts w:hint="eastAsia"/>
                <w:lang w:eastAsia="zh-CN"/>
              </w:rPr>
              <w:t>，</w:t>
            </w:r>
            <w:r>
              <w:rPr>
                <w:rFonts w:hint="eastAsia"/>
              </w:rPr>
              <w:t>926</w:t>
            </w:r>
            <w:r>
              <w:rPr>
                <w:rFonts w:hint="eastAsia"/>
                <w:lang w:eastAsia="zh-CN"/>
              </w:rPr>
              <w:t>，</w:t>
            </w:r>
            <w:r>
              <w:rPr>
                <w:rFonts w:hint="eastAsia"/>
              </w:rPr>
              <w:t>310.72元，2015年少计存货200</w:t>
            </w:r>
            <w:r>
              <w:rPr>
                <w:rFonts w:hint="eastAsia"/>
                <w:lang w:eastAsia="zh-CN"/>
              </w:rPr>
              <w:t>，</w:t>
            </w:r>
            <w:r>
              <w:rPr>
                <w:rFonts w:hint="eastAsia"/>
              </w:rPr>
              <w:t>187</w:t>
            </w:r>
            <w:r>
              <w:rPr>
                <w:rFonts w:hint="eastAsia"/>
                <w:lang w:eastAsia="zh-CN"/>
              </w:rPr>
              <w:t>，</w:t>
            </w:r>
            <w:r>
              <w:rPr>
                <w:rFonts w:hint="eastAsia"/>
              </w:rPr>
              <w:t>329.50元。昆明机床2013年至2015年披露的年度报告中有关存货的数据与实际不符。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rPr>
                <w:rFonts w:hint="default" w:eastAsia="宋体"/>
                <w:lang w:val="en-US" w:eastAsia="zh-CN"/>
              </w:rPr>
            </w:pPr>
            <w:r>
              <w:rPr>
                <w:rFonts w:hint="eastAsia"/>
                <w:lang w:val="en-US" w:eastAsia="zh-CN"/>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Fonts w:hint="eastAsia"/>
              </w:rPr>
            </w:pPr>
            <w:r>
              <w:rPr>
                <w:rFonts w:hint="eastAsia"/>
              </w:rPr>
              <w:t>在财务舞弊事件频发与舞弊手段技术化复杂化的时代背景下，投资者进行投资决策所依赖的信息来源有限，如昆明机床由于财务报告信息披露中进行了财务舞弊，导致投资者所依赖的上市公司披露的信息是存在错误的，故进行了错误的投资决策</w:t>
            </w:r>
            <w:r>
              <w:rPr>
                <w:rFonts w:hint="eastAsia"/>
                <w:lang w:eastAsia="zh-CN"/>
              </w:rPr>
              <w:t>。</w:t>
            </w:r>
            <w:r>
              <w:rPr>
                <w:rFonts w:hint="eastAsia"/>
              </w:rPr>
              <w:t>根据昆明机床财务舞弊事件分析，投资者可以在一定范围内对于上市公司的财务指标和非财务指标的异常变动进行警示，将其列入投资者进行投资决策的根据之一，提高投资者的风险意识，争取最大化保全投资者自身的利益。</w:t>
            </w:r>
          </w:p>
          <w:p>
            <w:pPr>
              <w:tabs>
                <w:tab w:val="left" w:pos="2160"/>
              </w:tabs>
              <w:ind w:firstLine="420" w:firstLineChars="200"/>
              <w:rPr>
                <w:rStyle w:val="19"/>
                <w:i w:val="0"/>
                <w:iCs w:val="0"/>
                <w:color w:val="auto"/>
              </w:rPr>
            </w:pPr>
            <w:r>
              <w:rPr>
                <w:rFonts w:hint="eastAsia"/>
              </w:rPr>
              <w:t>会计存在勾稽关系，一笔收入的进账，不止会导致成本损益类科目的变动，还会导致资产收益类科目的变动，同样也会导致现金流的变动。这一切的变动都勾勒成一种勾稽关系。投资者可以对上市公司披露的财务报表中隐含的勾稽关系进行核查，对于其异常变动探寻原因，保持谨慎态度，对于异常变动给予的警讯保持关于财务舞弊的怀疑态度，加强对于自身利益的保全。通过对于昆明机床财务舞弊案例的分析，发现其财务报表存在勾稽关系异常的问题，而财务报表作为上市公司公开披露的信息是投资者可以轻松获取的资料。财务报表勾稽关系异常可以作为财务舞弊识别的警讯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虚增收入</w:t>
            </w:r>
            <w:r>
              <w:rPr>
                <w:rFonts w:hint="eastAsia"/>
              </w:rPr>
              <w:t xml:space="preserve"> 无</w:t>
            </w:r>
            <w:r>
              <w:rPr>
                <w:rFonts w:hint="eastAsia"/>
                <w:lang w:val="en-US" w:eastAsia="zh-CN"/>
              </w:rPr>
              <w:t>法表示</w:t>
            </w:r>
            <w:r>
              <w:rPr>
                <w:rFonts w:hint="eastAsia"/>
              </w:rPr>
              <w:t>意见</w:t>
            </w:r>
          </w:p>
        </w:tc>
      </w:tr>
    </w:tbl>
    <w:p>
      <w:pPr>
        <w:pStyle w:val="2"/>
        <w:rPr>
          <w:rFonts w:hint="eastAsia" w:eastAsia="宋体"/>
          <w:lang w:val="en-US" w:eastAsia="zh-CN"/>
        </w:rPr>
      </w:pPr>
      <w:bookmarkStart w:id="3" w:name="_Toc13853"/>
      <w:r>
        <w:rPr>
          <w:rFonts w:hint="eastAsia"/>
        </w:rPr>
        <w:t>02飞翔股份</w:t>
      </w:r>
      <w:r>
        <w:rPr>
          <w:rFonts w:hint="eastAsia"/>
          <w:lang w:val="en-US" w:eastAsia="zh-CN"/>
        </w:rPr>
        <w:t>案例</w:t>
      </w:r>
      <w:bookmarkEnd w:id="3"/>
    </w:p>
    <w:tbl>
      <w:tblPr>
        <w:tblStyle w:val="1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552" w:type="dxa"/>
          </w:tcPr>
          <w:p>
            <w:pPr>
              <w:jc w:val="center"/>
            </w:pPr>
            <w:r>
              <w:rPr>
                <w:rFonts w:hint="eastAsia"/>
              </w:rPr>
              <w:t>0302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552" w:type="dxa"/>
          </w:tcPr>
          <w:p>
            <w:pPr>
              <w:jc w:val="center"/>
              <w:rPr>
                <w:rFonts w:hint="eastAsia" w:eastAsia="宋体"/>
                <w:lang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552" w:type="dxa"/>
          </w:tcPr>
          <w:p>
            <w:pPr>
              <w:jc w:val="center"/>
            </w:pPr>
            <w:r>
              <w:rPr>
                <w:rFonts w:hint="eastAsia"/>
              </w:rPr>
              <w:t>200</w:t>
            </w:r>
            <w:r>
              <w:rPr>
                <w:rFonts w:hint="eastAsia"/>
                <w:lang w:val="en-US" w:eastAsia="zh-CN"/>
              </w:rPr>
              <w:t>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552" w:type="dxa"/>
          </w:tcPr>
          <w:p>
            <w:pPr>
              <w:jc w:val="center"/>
            </w:pPr>
            <w:r>
              <w:rPr>
                <w:rFonts w:hint="eastAsia"/>
              </w:rPr>
              <w:t>飞翔股份有限公司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552" w:type="dxa"/>
          </w:tcPr>
          <w:p>
            <w:pPr>
              <w:jc w:val="center"/>
              <w:rPr>
                <w:rFonts w:hint="eastAsia" w:eastAsia="宋体"/>
                <w:lang w:val="en-US" w:eastAsia="zh-CN"/>
              </w:rPr>
            </w:pPr>
            <w:r>
              <w:rPr>
                <w:rFonts w:hint="eastAsia"/>
              </w:rPr>
              <w:t>轻工业类纺织品制造</w:t>
            </w:r>
            <w:r>
              <w:rPr>
                <w:rFonts w:hint="eastAsia"/>
                <w:lang w:val="en-US" w:eastAsia="zh-CN"/>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552" w:type="dxa"/>
          </w:tcPr>
          <w:p>
            <w:pPr>
              <w:rPr>
                <w:rFonts w:hint="eastAsia"/>
                <w:b/>
              </w:rPr>
            </w:pPr>
            <w:r>
              <w:rPr>
                <w:rFonts w:hint="eastAsia"/>
                <w:b/>
              </w:rPr>
              <w:t>【企业背景】</w:t>
            </w:r>
          </w:p>
          <w:p>
            <w:pPr>
              <w:ind w:firstLine="420" w:firstLineChars="200"/>
              <w:rPr>
                <w:rFonts w:hint="eastAsia"/>
              </w:rPr>
            </w:pPr>
            <w:r>
              <w:rPr>
                <w:rFonts w:hint="eastAsia"/>
              </w:rPr>
              <w:t>飞翔股份有限公司属于轻工业类纺织品制造企业，主要经营中高档布料的生产。在市场上具有一定的名牌声誉和形象。公司产品均可以达到国家质检安全的规格，在制作材料方面也均以环保材料为主，在经济和环境平衡上起到了模范的作用。</w:t>
            </w:r>
          </w:p>
          <w:p>
            <w:pPr>
              <w:ind w:firstLine="420" w:firstLineChars="200"/>
              <w:rPr>
                <w:rFonts w:hint="eastAsia"/>
              </w:rPr>
            </w:pPr>
            <w:r>
              <w:rPr>
                <w:rFonts w:hint="eastAsia"/>
              </w:rPr>
              <w:t>飞翔股份有限公司聘请了天翼会计师事务所在2008年2月15日至3月6日对该公司2007年度的汇集报表进行了审计。</w:t>
            </w:r>
          </w:p>
          <w:p>
            <w:pPr>
              <w:rPr>
                <w:b/>
              </w:rPr>
            </w:pPr>
            <w:r>
              <w:rPr>
                <w:rFonts w:hint="eastAsia"/>
                <w:b/>
              </w:rPr>
              <w:t>【案情背景</w:t>
            </w:r>
            <w:r>
              <w:rPr>
                <w:b/>
              </w:rPr>
              <w:t>】</w:t>
            </w:r>
          </w:p>
          <w:p>
            <w:pPr>
              <w:ind w:firstLine="420" w:firstLineChars="200"/>
            </w:pPr>
            <w:r>
              <w:rPr>
                <w:rFonts w:hint="eastAsia"/>
              </w:rPr>
              <w:t>负责公司</w:t>
            </w:r>
            <w:r>
              <w:t>20</w:t>
            </w:r>
            <w:r>
              <w:rPr>
                <w:rFonts w:hint="eastAsia"/>
                <w:lang w:val="en-US" w:eastAsia="zh-CN"/>
              </w:rPr>
              <w:t>08</w:t>
            </w:r>
            <w:r>
              <w:t>年审计的中勤万信会计师事务所对其20</w:t>
            </w:r>
            <w:r>
              <w:rPr>
                <w:rFonts w:hint="eastAsia"/>
                <w:lang w:val="en-US" w:eastAsia="zh-CN"/>
              </w:rPr>
              <w:t>07</w:t>
            </w:r>
            <w:r>
              <w:t>年年报出具了保留意见的审计报告。</w:t>
            </w:r>
          </w:p>
          <w:p>
            <w:pPr>
              <w:rPr>
                <w:b/>
              </w:rPr>
            </w:pPr>
            <w:r>
              <w:rPr>
                <w:rFonts w:hint="eastAsia"/>
                <w:b/>
              </w:rPr>
              <w:t>【案情描述】</w:t>
            </w:r>
          </w:p>
          <w:p>
            <w:pPr>
              <w:ind w:firstLine="420" w:firstLineChars="200"/>
              <w:rPr>
                <w:rFonts w:hint="eastAsia"/>
              </w:rPr>
            </w:pPr>
            <w:r>
              <w:rPr>
                <w:rFonts w:hint="eastAsia"/>
              </w:rPr>
              <w:t>审计人员对于损益形成分别进行了控制测试和实质性测试。</w:t>
            </w:r>
          </w:p>
          <w:p>
            <w:pPr>
              <w:rPr>
                <w:rFonts w:hint="eastAsia"/>
              </w:rPr>
            </w:pPr>
            <w:r>
              <w:rPr>
                <w:rFonts w:hint="eastAsia"/>
              </w:rPr>
              <w:t>(一)对损益形成进行控制测试</w:t>
            </w:r>
          </w:p>
          <w:p>
            <w:pPr>
              <w:ind w:firstLine="420" w:firstLineChars="200"/>
              <w:rPr>
                <w:rFonts w:hint="eastAsia"/>
              </w:rPr>
            </w:pPr>
            <w:r>
              <w:rPr>
                <w:rFonts w:hint="eastAsia"/>
              </w:rPr>
              <w:t>通过调查表、流程图对内部控制有了全面，测评与评价对被审计单位进行了控制性测试，以文字描述形式对检查结果。</w:t>
            </w:r>
          </w:p>
          <w:p>
            <w:pPr>
              <w:ind w:firstLine="420" w:firstLineChars="200"/>
              <w:rPr>
                <w:rFonts w:hint="eastAsia" w:eastAsia="宋体"/>
                <w:lang w:eastAsia="zh-CN"/>
              </w:rPr>
            </w:pPr>
            <w:r>
              <w:rPr>
                <w:rFonts w:hint="eastAsia"/>
              </w:rPr>
              <w:t>在控制测试过程中，审计人员对有关损益形成内部控制的调查情况进行了综合分析。根据测试结果，他们认为关于损益形成的内部控制有的方面是健全有效的，有的方面还存在着缺陷。概括其结果如下</w:t>
            </w:r>
            <w:r>
              <w:rPr>
                <w:rFonts w:hint="eastAsia"/>
                <w:lang w:eastAsia="zh-CN"/>
              </w:rPr>
              <w:t>：</w:t>
            </w:r>
          </w:p>
          <w:p>
            <w:pPr>
              <w:rPr>
                <w:rFonts w:hint="eastAsia" w:eastAsiaTheme="minorEastAsia"/>
                <w:lang w:val="en-US" w:eastAsia="zh-CN"/>
              </w:rPr>
            </w:pPr>
            <w:r>
              <w:rPr>
                <w:rFonts w:hint="eastAsia"/>
              </w:rPr>
              <w:t>1. 审计人员在对被审计单位的存货进行了内部控制的审计</w:t>
            </w:r>
            <w:r>
              <w:rPr>
                <w:rFonts w:hint="eastAsia"/>
                <w:lang w:eastAsia="zh-CN"/>
              </w:rPr>
              <w:t>：</w:t>
            </w:r>
            <w:r>
              <w:rPr>
                <w:rFonts w:hint="eastAsia"/>
              </w:rPr>
              <w:t>该企业在每次定期盘点原材料的时候都会发生一定数量的缺损，在对管理人员进行盘问后，得知除去一部分正常损失之外，有1/3的原材料属于非正常损失，其中主要是员工的监守自盗行为。在仓储环节的内部控制显得非常薄弱，导致了原材料的浪费，生产成本的增加，而被审计单位多年来一直没有很好的进行管理， 所以材料的领用和运用没有严格的制度。</w:t>
            </w:r>
          </w:p>
          <w:p>
            <w:pPr>
              <w:rPr>
                <w:rFonts w:hint="eastAsia"/>
              </w:rPr>
            </w:pPr>
          </w:p>
          <w:p>
            <w:pPr>
              <w:rPr>
                <w:rFonts w:hint="eastAsia"/>
              </w:rPr>
            </w:pPr>
            <w:r>
              <w:rPr>
                <w:rFonts w:hint="eastAsia"/>
              </w:rPr>
              <w:t>2. 该公司直接材料的会计核算采用非定额单耗制度，审计人员获取“材料费用分配汇总表”、“成本计算单”、“领料单”以及“材料明细账”</w:t>
            </w:r>
            <w:r>
              <w:rPr>
                <w:rFonts w:hint="eastAsia"/>
                <w:lang w:eastAsia="zh-CN"/>
              </w:rPr>
              <w:t>，</w:t>
            </w:r>
            <w:r>
              <w:rPr>
                <w:rFonts w:hint="eastAsia"/>
                <w:lang w:val="en-US" w:eastAsia="zh-CN"/>
              </w:rPr>
              <w:t>对“成本计算单”中直接材料成本与“材料费用分配汇总表”中该产品负担的</w:t>
            </w:r>
            <w:r>
              <w:rPr>
                <w:rFonts w:hint="eastAsia"/>
              </w:rPr>
              <w:t>直接材料费用进行核对，无误。</w:t>
            </w:r>
          </w:p>
          <w:p>
            <w:pPr>
              <w:rPr>
                <w:rFonts w:hint="eastAsia"/>
              </w:rPr>
            </w:pPr>
          </w:p>
          <w:p>
            <w:pPr>
              <w:rPr>
                <w:rFonts w:hint="eastAsia" w:eastAsia="宋体"/>
                <w:lang w:eastAsia="zh-CN"/>
              </w:rPr>
            </w:pPr>
            <w:r>
              <w:rPr>
                <w:rFonts w:hint="eastAsia"/>
              </w:rPr>
              <w:t>3. 审计人员对直接人工成本进行测试时统计记录”、“职员分类表”和“职员工资手册”、“人工费用分配汇总表”及“成本计算单”，将“成本计算单”中直接人工成本与“人工费用分配汇总表”中该样本的直接人工费用进行了核对，无误</w:t>
            </w:r>
            <w:r>
              <w:rPr>
                <w:rFonts w:hint="eastAsia"/>
                <w:lang w:eastAsia="zh-CN"/>
              </w:rPr>
              <w:t>。</w:t>
            </w:r>
            <w:r>
              <w:rPr>
                <w:rFonts w:hint="eastAsia"/>
              </w:rPr>
              <w:t>审计人员又将样本的“实际工时统计记录”与“人工费用分配汇总表”中该样本的实际工时进行了核对，无误</w:t>
            </w:r>
            <w:r>
              <w:rPr>
                <w:rFonts w:hint="eastAsia"/>
                <w:lang w:eastAsia="zh-CN"/>
              </w:rPr>
              <w:t>：</w:t>
            </w:r>
            <w:r>
              <w:rPr>
                <w:rFonts w:hint="eastAsia"/>
              </w:rPr>
              <w:t>审计人员还抽取了生产部门若干天的“工时台账”与“实际工时统计记录"进行了核对，无误。审计人员对从不同方面收回的生产成本内部控制调查表进行了综合分析</w:t>
            </w:r>
            <w:r>
              <w:rPr>
                <w:rFonts w:hint="eastAsia"/>
                <w:lang w:eastAsia="zh-CN"/>
              </w:rPr>
              <w:t>。</w:t>
            </w:r>
            <w:r>
              <w:rPr>
                <w:rFonts w:hint="eastAsia"/>
              </w:rPr>
              <w:t>根据测试结果认为生产成本内部控制有的方面是健全有效的，而有的方面还存在着缺陷。概括讲，其结果是</w:t>
            </w:r>
            <w:r>
              <w:rPr>
                <w:rFonts w:hint="eastAsia"/>
                <w:lang w:eastAsia="zh-CN"/>
              </w:rPr>
              <w:t>：</w:t>
            </w:r>
          </w:p>
          <w:p>
            <w:pPr>
              <w:rPr>
                <w:rFonts w:hint="eastAsia" w:eastAsia="宋体"/>
                <w:lang w:eastAsia="zh-CN"/>
              </w:rPr>
            </w:pPr>
            <w:r>
              <w:rPr>
                <w:rFonts w:hint="eastAsia"/>
              </w:rPr>
              <w:t>1.生产成本内部控制比较健全的方面有</w:t>
            </w:r>
            <w:r>
              <w:rPr>
                <w:rFonts w:hint="eastAsia"/>
                <w:lang w:eastAsia="zh-CN"/>
              </w:rPr>
              <w:t>：</w:t>
            </w:r>
          </w:p>
          <w:p>
            <w:pPr>
              <w:ind w:firstLine="420" w:firstLineChars="200"/>
              <w:rPr>
                <w:rFonts w:hint="eastAsia"/>
              </w:rPr>
            </w:pPr>
            <w:r>
              <w:rPr>
                <w:rFonts w:hint="eastAsia"/>
              </w:rPr>
              <w:t>领料单的签发经过了适当授权批准，材料发出汇总表经过适当的人员复核</w:t>
            </w:r>
            <w:r>
              <w:rPr>
                <w:rFonts w:hint="eastAsia"/>
                <w:lang w:eastAsia="zh-CN"/>
              </w:rPr>
              <w:t>；</w:t>
            </w:r>
            <w:r>
              <w:rPr>
                <w:rFonts w:hint="eastAsia"/>
              </w:rPr>
              <w:t>成本计算单中直接人工成本与人工费用分配汇总表中该样本的直接人工费用经核对相符</w:t>
            </w:r>
            <w:r>
              <w:rPr>
                <w:rFonts w:hint="eastAsia"/>
                <w:lang w:eastAsia="zh-CN"/>
              </w:rPr>
              <w:t>；</w:t>
            </w:r>
            <w:r>
              <w:rPr>
                <w:rFonts w:hint="eastAsia"/>
              </w:rPr>
              <w:t>样本的实际工时统计记录与人工费用分配汇总表中该样本的实际工时经核对相符</w:t>
            </w:r>
            <w:r>
              <w:rPr>
                <w:rFonts w:hint="eastAsia"/>
                <w:lang w:eastAsia="zh-CN"/>
              </w:rPr>
              <w:t>：</w:t>
            </w:r>
            <w:r>
              <w:rPr>
                <w:rFonts w:hint="eastAsia"/>
              </w:rPr>
              <w:t>制造费用分配汇总表中，样本分担的制造费用与成本计算单中的制造费用经核对相符</w:t>
            </w:r>
            <w:r>
              <w:rPr>
                <w:rFonts w:hint="eastAsia"/>
                <w:lang w:eastAsia="zh-CN"/>
              </w:rPr>
              <w:t>；</w:t>
            </w:r>
            <w:r>
              <w:rPr>
                <w:rFonts w:hint="eastAsia"/>
              </w:rPr>
              <w:t>制造费用分配汇总表中的合计数与样本所属成本报告期的制造费用明细账总计数经核对相符。</w:t>
            </w:r>
          </w:p>
          <w:p>
            <w:pPr>
              <w:numPr>
                <w:ilvl w:val="0"/>
                <w:numId w:val="1"/>
              </w:numPr>
              <w:rPr>
                <w:rFonts w:hint="eastAsia"/>
              </w:rPr>
            </w:pPr>
            <w:r>
              <w:rPr>
                <w:rFonts w:hint="eastAsia"/>
              </w:rPr>
              <w:t>生产成本内部控制存在的问题主要是</w:t>
            </w:r>
            <w:r>
              <w:rPr>
                <w:rFonts w:hint="eastAsia"/>
                <w:lang w:eastAsia="zh-CN"/>
              </w:rPr>
              <w:t>：</w:t>
            </w:r>
          </w:p>
          <w:p>
            <w:pPr>
              <w:numPr>
                <w:ilvl w:val="0"/>
                <w:numId w:val="0"/>
              </w:numPr>
              <w:ind w:firstLine="420" w:firstLineChars="200"/>
              <w:rPr>
                <w:rFonts w:hint="eastAsia"/>
              </w:rPr>
            </w:pPr>
            <w:r>
              <w:rPr>
                <w:rFonts w:hint="eastAsia"/>
              </w:rPr>
              <w:t>在审计中我们发现，被审单位生产领用材料虽有适当的授权批准手续，但材料的发出缺乏定额控制，容易造成材料领用环节的浪费，由于材料的发出缺乏定额控制，生产环节总会有一些领而未用的材料，被审单位没有建立“假退料”制度，这势必会影响生产成本的正确核算</w:t>
            </w:r>
            <w:r>
              <w:rPr>
                <w:rFonts w:hint="eastAsia"/>
                <w:lang w:eastAsia="zh-CN"/>
              </w:rPr>
              <w:t>：</w:t>
            </w:r>
            <w:r>
              <w:rPr>
                <w:rFonts w:hint="eastAsia"/>
              </w:rPr>
              <w:t>审计人员还发现材料单位成本年度内某些月份出现异</w:t>
            </w:r>
            <w:r>
              <w:rPr>
                <w:rFonts w:hint="eastAsia"/>
                <w:lang w:val="en-US" w:eastAsia="zh-CN"/>
              </w:rPr>
              <w:t>常</w:t>
            </w:r>
            <w:r>
              <w:rPr>
                <w:rFonts w:hint="eastAsia"/>
              </w:rPr>
              <w:t>波动，究竟是什么原因导致的，审计人员决定在实质性测试环节进</w:t>
            </w:r>
            <w:r>
              <w:rPr>
                <w:rFonts w:hint="eastAsia"/>
                <w:lang w:val="en-US" w:eastAsia="zh-CN"/>
              </w:rPr>
              <w:t>一</w:t>
            </w:r>
            <w:r>
              <w:rPr>
                <w:rFonts w:hint="eastAsia"/>
              </w:rPr>
              <w:t>步关注，审计人员需要在实质性测试程序中重点予以关注。</w:t>
            </w:r>
          </w:p>
          <w:p>
            <w:pPr>
              <w:numPr>
                <w:ilvl w:val="0"/>
                <w:numId w:val="0"/>
              </w:numPr>
              <w:ind w:firstLine="420" w:firstLineChars="200"/>
              <w:rPr>
                <w:rFonts w:hint="eastAsia" w:eastAsia="宋体"/>
                <w:lang w:val="en-US" w:eastAsia="zh-CN"/>
              </w:rPr>
            </w:pPr>
            <w:r>
              <w:rPr>
                <w:rFonts w:hint="eastAsia"/>
              </w:rPr>
              <w:t>根据上述情况，审计人员决定在实质性测试时对生产成本应重点进行分析性复核和计价测试。并对差异较大部分进行扩大凭证抽查数量。在对被审计单位内部控制进行调查和测试的基础上，审计人员实施下一步实质性</w:t>
            </w:r>
            <w:r>
              <w:rPr>
                <w:rFonts w:hint="eastAsia"/>
                <w:lang w:val="en-US" w:eastAsia="zh-CN"/>
              </w:rPr>
              <w:t>测试。</w:t>
            </w:r>
          </w:p>
          <w:p>
            <w:pPr>
              <w:numPr>
                <w:ilvl w:val="0"/>
                <w:numId w:val="0"/>
              </w:numPr>
              <w:rPr>
                <w:rFonts w:hint="eastAsia"/>
              </w:rPr>
            </w:pPr>
          </w:p>
          <w:p>
            <w:pPr>
              <w:numPr>
                <w:ilvl w:val="0"/>
                <w:numId w:val="0"/>
              </w:numPr>
              <w:rPr>
                <w:rFonts w:hint="eastAsia"/>
              </w:rPr>
            </w:pPr>
            <w:r>
              <w:rPr>
                <w:rFonts w:hint="eastAsia"/>
              </w:rPr>
              <w:t>(二)对存货进行实质性测试</w:t>
            </w:r>
          </w:p>
          <w:p>
            <w:pPr>
              <w:numPr>
                <w:ilvl w:val="0"/>
                <w:numId w:val="0"/>
              </w:numPr>
              <w:ind w:firstLine="420" w:firstLineChars="200"/>
              <w:rPr>
                <w:rFonts w:hint="eastAsia"/>
              </w:rPr>
            </w:pPr>
            <w:r>
              <w:rPr>
                <w:rFonts w:hint="eastAsia"/>
              </w:rPr>
              <w:t>审计人员重点抽查了11 月份的有关成本方面的凭证，发现了</w:t>
            </w:r>
            <w:r>
              <w:rPr>
                <w:rFonts w:hint="eastAsia"/>
                <w:lang w:val="en-US" w:eastAsia="zh-CN"/>
              </w:rPr>
              <w:t>一</w:t>
            </w:r>
            <w:r>
              <w:rPr>
                <w:rFonts w:hint="eastAsia"/>
              </w:rPr>
              <w:t>笔凭证需要进行调整</w:t>
            </w:r>
            <w:r>
              <w:rPr>
                <w:rFonts w:hint="eastAsia"/>
                <w:lang w:eastAsia="zh-CN"/>
              </w:rPr>
              <w:t>：</w:t>
            </w:r>
            <w:r>
              <w:rPr>
                <w:rFonts w:hint="eastAsia"/>
              </w:rPr>
              <w:t>公司管理人员顾某出国出差的费用30000全部记入在A产品的成本开支里，经过与有关人员询问，确认无误。审计人员经审查确定该产品年末无在产品，并且该批产品属于订单生产，产品完工已经在审计年度内完全销售。</w:t>
            </w:r>
          </w:p>
          <w:p>
            <w:pPr>
              <w:numPr>
                <w:ilvl w:val="0"/>
                <w:numId w:val="0"/>
              </w:numPr>
              <w:ind w:firstLine="420" w:firstLineChars="200"/>
              <w:rPr>
                <w:rFonts w:hint="eastAsia"/>
              </w:rPr>
            </w:pPr>
            <w:r>
              <w:rPr>
                <w:rFonts w:hint="eastAsia"/>
              </w:rPr>
              <w:t>审计人员进</w:t>
            </w:r>
            <w:r>
              <w:rPr>
                <w:rFonts w:hint="eastAsia"/>
                <w:lang w:val="en-US" w:eastAsia="zh-CN"/>
              </w:rPr>
              <w:t>一</w:t>
            </w:r>
            <w:r>
              <w:rPr>
                <w:rFonts w:hint="eastAsia"/>
              </w:rPr>
              <w:t>步检查了车间在产品盘存资料，与成本核算资料核对，发现被审单位生产环节确实存在领而未用材料的情况，也没有建立“假退料”制度，这势必会影响生产成本的正确核算。审计人员在车间盘点材料时发现了</w:t>
            </w:r>
            <w:r>
              <w:rPr>
                <w:rFonts w:hint="eastAsia"/>
                <w:lang w:val="en-US" w:eastAsia="zh-CN"/>
              </w:rPr>
              <w:t>一</w:t>
            </w:r>
            <w:r>
              <w:rPr>
                <w:rFonts w:hint="eastAsia"/>
              </w:rPr>
              <w:t>批材料闲置在角落中，经询问确认是一批为生产B产品领而未用的材料乙，需要做假退料处理，而被审单位没有恰当处理，经核算该批材料价值7200元，应相应调整原材料、生产成本和单位成本。</w:t>
            </w:r>
          </w:p>
          <w:p>
            <w:pPr>
              <w:numPr>
                <w:ilvl w:val="0"/>
                <w:numId w:val="0"/>
              </w:numPr>
              <w:ind w:firstLine="420" w:firstLineChars="200"/>
              <w:rPr>
                <w:b/>
              </w:rPr>
            </w:pPr>
            <w:r>
              <w:rPr>
                <w:rFonts w:hint="eastAsia"/>
              </w:rPr>
              <w:t>已领未用的材料1000元， 未做退料处理</w:t>
            </w:r>
            <w:r>
              <w:rPr>
                <w:rFonts w:hint="eastAsia"/>
                <w:lang w:eastAsia="zh-CN"/>
              </w:rPr>
              <w:t>；</w:t>
            </w:r>
            <w:r>
              <w:rPr>
                <w:rFonts w:hint="eastAsia"/>
              </w:rPr>
              <w:t>为在建工程发生的工人工资错记入生产成本2000元</w:t>
            </w:r>
            <w:r>
              <w:rPr>
                <w:rFonts w:hint="eastAsia"/>
                <w:lang w:eastAsia="zh-CN"/>
              </w:rPr>
              <w:t>；</w:t>
            </w:r>
            <w:r>
              <w:rPr>
                <w:rFonts w:hint="eastAsia"/>
              </w:rPr>
              <w:t>本期发生的大修理费用6000元全部记入当期制造费用(按规定应分为三期分摊)</w:t>
            </w:r>
            <w:r>
              <w:rPr>
                <w:rFonts w:hint="eastAsia"/>
                <w:lang w:eastAsia="zh-CN"/>
              </w:rPr>
              <w:t>；</w:t>
            </w:r>
            <w:r>
              <w:rPr>
                <w:rFonts w:hint="eastAsia"/>
              </w:rPr>
              <w:t>经对期末在产品的盘点发现，产品的实际金额为38000元，根据以上资料填写“生产成本及销售成本倒扎表"，计算结果得出审计结论。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552" w:type="dxa"/>
          </w:tcPr>
          <w:p>
            <w:pPr>
              <w:jc w:val="center"/>
              <w:rPr>
                <w:b/>
              </w:rPr>
            </w:pPr>
            <w:r>
              <w:rPr>
                <w:rFonts w:hint="eastAsia"/>
                <w:b w:val="0"/>
                <w:bCs/>
                <w:lang w:val="en-US" w:eastAsia="zh-CN"/>
              </w:rPr>
              <w:t>上海天翼</w:t>
            </w:r>
            <w:r>
              <w:rPr>
                <w:b w:val="0"/>
                <w:bCs/>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552" w:type="dxa"/>
          </w:tcPr>
          <w:p>
            <w:pPr>
              <w:widowControl w:val="0"/>
              <w:numPr>
                <w:ilvl w:val="0"/>
                <w:numId w:val="0"/>
              </w:numPr>
              <w:jc w:val="both"/>
              <w:rPr>
                <w:rFonts w:hint="eastAsia"/>
              </w:rPr>
            </w:pPr>
            <w:r>
              <w:rPr>
                <w:rFonts w:hint="eastAsia"/>
              </w:rPr>
              <w:t>(一) 审计人员在对被</w:t>
            </w:r>
            <w:r>
              <w:rPr>
                <w:rFonts w:hint="eastAsia"/>
                <w:lang w:val="en-US" w:eastAsia="zh-CN"/>
              </w:rPr>
              <w:t>审计</w:t>
            </w:r>
            <w:r>
              <w:rPr>
                <w:rFonts w:hint="eastAsia"/>
              </w:rPr>
              <w:t>单位</w:t>
            </w:r>
            <w:r>
              <w:rPr>
                <w:rFonts w:hint="eastAsia"/>
                <w:lang w:val="en-US" w:eastAsia="zh-CN"/>
              </w:rPr>
              <w:t>存货</w:t>
            </w:r>
            <w:r>
              <w:rPr>
                <w:rFonts w:hint="eastAsia"/>
              </w:rPr>
              <w:t>进行了审计，主要发现了原材料的仓储管理较弱，发生丢失和盗窃的情况。这一环节被审计单位应该加强制度上面的严格性，从</w:t>
            </w:r>
            <w:r>
              <w:rPr>
                <w:rFonts w:hint="eastAsia"/>
                <w:lang w:val="en-US" w:eastAsia="zh-CN"/>
              </w:rPr>
              <w:t>一</w:t>
            </w:r>
            <w:r>
              <w:rPr>
                <w:rFonts w:hint="eastAsia"/>
              </w:rPr>
              <w:t>定程度上改善仓储环节的管理混乱的状况，从而减少生产费用。</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w:t>
            </w:r>
            <w:r>
              <w:rPr>
                <w:rFonts w:hint="eastAsia"/>
                <w:lang w:val="en-US" w:eastAsia="zh-CN"/>
              </w:rPr>
              <w:t>二</w:t>
            </w:r>
            <w:r>
              <w:rPr>
                <w:rFonts w:hint="eastAsia"/>
              </w:rPr>
              <w:t>) 审计人员在对存货进行实地监盘和抽点，由于盘点在会计期末以后的时间进行的，必须编制从盘点日到期末的存货余额调节表。在发现存货余额调节表与实地盘点有误时，积极与管理人员交换意见，并且采取替代审计程序对管理人员的理由作出确定。</w:t>
            </w:r>
          </w:p>
          <w:p>
            <w:pPr>
              <w:widowControl w:val="0"/>
              <w:numPr>
                <w:ilvl w:val="0"/>
                <w:numId w:val="0"/>
              </w:numPr>
              <w:jc w:val="both"/>
              <w:rPr>
                <w:rFonts w:hint="eastAsia"/>
              </w:rPr>
            </w:pPr>
          </w:p>
          <w:p>
            <w:pPr>
              <w:widowControl w:val="0"/>
              <w:numPr>
                <w:ilvl w:val="0"/>
                <w:numId w:val="0"/>
              </w:numPr>
              <w:ind w:leftChars="0"/>
              <w:jc w:val="both"/>
              <w:rPr>
                <w:rFonts w:hint="eastAsia"/>
              </w:rPr>
            </w:pPr>
            <w:r>
              <w:rPr>
                <w:rFonts w:hint="eastAsia"/>
              </w:rPr>
              <w:t>(</w:t>
            </w:r>
            <w:r>
              <w:rPr>
                <w:rFonts w:hint="eastAsia"/>
                <w:lang w:val="en-US" w:eastAsia="zh-CN"/>
              </w:rPr>
              <w:t>三</w:t>
            </w:r>
            <w:r>
              <w:rPr>
                <w:rFonts w:hint="eastAsia"/>
              </w:rPr>
              <w:t>) 审计人员在审计生产成本内部控制调查表时发现被审计单位存在优点与缺点</w:t>
            </w:r>
            <w:r>
              <w:rPr>
                <w:rFonts w:hint="eastAsia"/>
                <w:lang w:eastAsia="zh-CN"/>
              </w:rPr>
              <w:t>：</w:t>
            </w:r>
            <w:r>
              <w:rPr>
                <w:rFonts w:hint="eastAsia"/>
              </w:rPr>
              <w:t>优点是领料单的签发经过了适当授权批准，材料发出汇总表经过适当的人员复核，成本计算单中直接人工成本与人工费用分配汇总表中该样本的直接人工费用经核对相符</w:t>
            </w:r>
            <w:r>
              <w:rPr>
                <w:rFonts w:hint="eastAsia"/>
                <w:lang w:eastAsia="zh-CN"/>
              </w:rPr>
              <w:t>；</w:t>
            </w:r>
            <w:r>
              <w:rPr>
                <w:rFonts w:hint="eastAsia"/>
              </w:rPr>
              <w:t>样本的实际工时统计记录与人工费用分配汇总表中该样本的实际工时经核对相符</w:t>
            </w:r>
            <w:r>
              <w:rPr>
                <w:rFonts w:hint="eastAsia"/>
                <w:lang w:eastAsia="zh-CN"/>
              </w:rPr>
              <w:t>。</w:t>
            </w:r>
            <w:r>
              <w:rPr>
                <w:rFonts w:hint="eastAsia"/>
              </w:rPr>
              <w:t>制造费用分配汇总表中，样本分担的制造费用与成本计算单中的制造费用经核对相符</w:t>
            </w:r>
            <w:r>
              <w:rPr>
                <w:rFonts w:hint="eastAsia"/>
                <w:lang w:eastAsia="zh-CN"/>
              </w:rPr>
              <w:t>；</w:t>
            </w:r>
            <w:r>
              <w:rPr>
                <w:rFonts w:hint="eastAsia"/>
              </w:rPr>
              <w:t>制造费用分配汇总表中的合计数与样本所属成本报告期的制造费用明细账总计数经核对相符。于此同时也存在着一-些问题，比如说没有建立“假退料”制度，这势必会影响生产成本的正确核算。</w:t>
            </w:r>
          </w:p>
          <w:p>
            <w:pPr>
              <w:widowControl w:val="0"/>
              <w:numPr>
                <w:ilvl w:val="0"/>
                <w:numId w:val="0"/>
              </w:numPr>
              <w:ind w:leftChars="0"/>
              <w:jc w:val="both"/>
              <w:rPr>
                <w:rFonts w:hint="eastAsia"/>
              </w:rPr>
            </w:pPr>
          </w:p>
          <w:p>
            <w:pPr>
              <w:widowControl w:val="0"/>
              <w:numPr>
                <w:ilvl w:val="0"/>
                <w:numId w:val="0"/>
              </w:numPr>
              <w:ind w:leftChars="0"/>
              <w:jc w:val="both"/>
              <w:rPr>
                <w:rStyle w:val="19"/>
                <w:i w:val="0"/>
                <w:iCs w:val="0"/>
                <w:color w:val="auto"/>
              </w:rPr>
            </w:pPr>
            <w:r>
              <w:rPr>
                <w:rFonts w:hint="eastAsia"/>
              </w:rPr>
              <w:t>(四)由于在审计生产费用时存货的品种、数量很多，收入支出频繁，存货金额在流动资产中占较大比重，另外，若管理不善存货环节很容易出现舞弊情况，会导致被审单位财产流失</w:t>
            </w:r>
            <w:r>
              <w:rPr>
                <w:rFonts w:hint="eastAsia"/>
                <w:lang w:eastAsia="zh-CN"/>
              </w:rPr>
              <w:t>，</w:t>
            </w:r>
            <w:r>
              <w:rPr>
                <w:rFonts w:hint="eastAsia"/>
              </w:rPr>
              <w:t>再者，若存货计价不正确，将既影响资产负债表的存货金额，又将影响利润表中的主营业务成本，进而影响利润的正确披露。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552" w:type="dxa"/>
          </w:tcPr>
          <w:p>
            <w:r>
              <w:rPr>
                <w:rFonts w:hint="eastAsia"/>
              </w:rPr>
              <w:t>原材料非正常损失</w:t>
            </w:r>
            <w:r>
              <w:rPr>
                <w:rFonts w:hint="eastAsia"/>
                <w:lang w:val="en-US" w:eastAsia="zh-CN"/>
              </w:rPr>
              <w:t xml:space="preserve"> </w:t>
            </w:r>
            <w:r>
              <w:rPr>
                <w:rFonts w:hint="eastAsia"/>
              </w:rPr>
              <w:t>仓储环节内部控制薄弱</w:t>
            </w:r>
          </w:p>
        </w:tc>
      </w:tr>
    </w:tbl>
    <w:p>
      <w:pPr>
        <w:widowControl/>
        <w:jc w:val="left"/>
      </w:pPr>
    </w:p>
    <w:p/>
    <w:p/>
    <w:p>
      <w:pPr>
        <w:pStyle w:val="2"/>
        <w:keepNext w:val="0"/>
        <w:keepLines w:val="0"/>
        <w:widowControl/>
        <w:spacing w:before="0" w:after="0"/>
      </w:pPr>
      <w:bookmarkStart w:id="4" w:name="_Toc20139"/>
      <w:r>
        <w:rPr>
          <w:rFonts w:hint="eastAsia"/>
        </w:rPr>
        <w:t>0</w:t>
      </w:r>
      <w:r>
        <w:rPr>
          <w:rFonts w:hint="eastAsia"/>
          <w:lang w:val="en-US" w:eastAsia="zh-CN"/>
        </w:rPr>
        <w:t>3</w:t>
      </w:r>
      <w:r>
        <w:rPr>
          <w:rFonts w:hint="eastAsia"/>
        </w:rPr>
        <w:t>皇台酒业</w:t>
      </w:r>
      <w:r>
        <w:rPr>
          <w:rFonts w:hint="eastAsia"/>
          <w:lang w:val="en-US" w:eastAsia="zh-CN"/>
        </w:rPr>
        <w:t>案例</w:t>
      </w:r>
      <w:bookmarkEnd w:id="4"/>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rPr>
                <w:rFonts w:hint="eastAsia"/>
                <w:lang w:val="en-US" w:eastAsia="zh-CN"/>
              </w:rPr>
              <w:t>0303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201</w:t>
            </w:r>
            <w:r>
              <w:rPr>
                <w:rFonts w:hint="eastAsia"/>
                <w:lang w:val="en-US" w:eastAsia="zh-CN"/>
              </w:rPr>
              <w:t>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甘肃皇台酒业股份有限公司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eastAsia"/>
                <w:lang w:val="en-US" w:eastAsia="zh-CN"/>
              </w:rPr>
              <w:t>酿酒行业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keepNext w:val="0"/>
              <w:keepLines w:val="0"/>
              <w:widowControl/>
              <w:suppressLineNumbers w:val="0"/>
              <w:shd w:val="clear" w:fill="FFFFFF"/>
              <w:spacing w:after="225" w:afterAutospacing="0" w:line="360" w:lineRule="atLeast"/>
              <w:ind w:left="0" w:firstLine="420"/>
              <w:jc w:val="left"/>
              <w:rPr>
                <w:rFonts w:hint="eastAsia" w:ascii="Arial" w:hAnsi="Arial" w:cs="Arial"/>
                <w:i w:val="0"/>
                <w:caps w:val="0"/>
                <w:color w:val="333333"/>
                <w:spacing w:val="0"/>
                <w:sz w:val="21"/>
                <w:szCs w:val="21"/>
              </w:rPr>
            </w:pPr>
            <w:r>
              <w:rPr>
                <w:rFonts w:hint="default" w:ascii="Arial" w:hAnsi="Arial" w:eastAsia="宋体" w:cs="Arial"/>
                <w:i w:val="0"/>
                <w:caps w:val="0"/>
                <w:color w:val="333333"/>
                <w:spacing w:val="0"/>
                <w:kern w:val="0"/>
                <w:sz w:val="21"/>
                <w:szCs w:val="21"/>
                <w:shd w:val="clear" w:fill="FFFFFF"/>
                <w:lang w:val="en-US" w:eastAsia="zh-CN" w:bidi="ar"/>
              </w:rPr>
              <w:t>皇台集团已成为集科、工、农、商于一体</w:t>
            </w:r>
            <w:r>
              <w:rPr>
                <w:rFonts w:hint="eastAsia" w:ascii="Arial" w:hAnsi="Arial" w:cs="Arial"/>
                <w:i w:val="0"/>
                <w:caps w:val="0"/>
                <w:color w:val="333333"/>
                <w:spacing w:val="0"/>
                <w:kern w:val="0"/>
                <w:sz w:val="21"/>
                <w:szCs w:val="21"/>
                <w:shd w:val="clear" w:fill="FFFFFF"/>
                <w:lang w:val="en-US" w:eastAsia="zh-CN" w:bidi="ar"/>
              </w:rPr>
              <w:t>，</w:t>
            </w:r>
            <w:r>
              <w:rPr>
                <w:rFonts w:hint="default" w:ascii="Arial" w:hAnsi="Arial" w:eastAsia="宋体" w:cs="Arial"/>
                <w:i w:val="0"/>
                <w:caps w:val="0"/>
                <w:color w:val="333333"/>
                <w:spacing w:val="0"/>
                <w:kern w:val="0"/>
                <w:sz w:val="21"/>
                <w:szCs w:val="21"/>
                <w:shd w:val="clear" w:fill="FFFFFF"/>
                <w:lang w:val="en-US" w:eastAsia="zh-CN" w:bidi="ar"/>
              </w:rPr>
              <w:t>产品经营和资本经营并重的大型企业集团。皇台集团具有年产1万吨的白酒生产能力</w:t>
            </w:r>
            <w:r>
              <w:rPr>
                <w:rFonts w:hint="eastAsia" w:ascii="Arial" w:hAnsi="Arial" w:cs="Arial"/>
                <w:i w:val="0"/>
                <w:caps w:val="0"/>
                <w:color w:val="333333"/>
                <w:spacing w:val="0"/>
                <w:kern w:val="0"/>
                <w:sz w:val="21"/>
                <w:szCs w:val="21"/>
                <w:shd w:val="clear" w:fill="FFFFFF"/>
                <w:lang w:val="en-US" w:eastAsia="zh-CN" w:bidi="ar"/>
              </w:rPr>
              <w:t>，</w:t>
            </w:r>
            <w:r>
              <w:rPr>
                <w:rFonts w:hint="default" w:ascii="Arial" w:hAnsi="Arial" w:eastAsia="宋体" w:cs="Arial"/>
                <w:i w:val="0"/>
                <w:caps w:val="0"/>
                <w:color w:val="333333"/>
                <w:spacing w:val="0"/>
                <w:kern w:val="0"/>
                <w:sz w:val="21"/>
                <w:szCs w:val="21"/>
                <w:shd w:val="clear" w:fill="FFFFFF"/>
                <w:lang w:val="en-US" w:eastAsia="zh-CN" w:bidi="ar"/>
              </w:rPr>
              <w:t>居甘肃第1位。</w:t>
            </w:r>
          </w:p>
          <w:p>
            <w:pPr>
              <w:keepNext w:val="0"/>
              <w:keepLines w:val="0"/>
              <w:widowControl/>
              <w:suppressLineNumbers w:val="0"/>
              <w:shd w:val="clear" w:fill="FFFFFF"/>
              <w:spacing w:after="225" w:afterAutospacing="0" w:line="360" w:lineRule="atLeast"/>
              <w:ind w:left="0" w:firstLine="420"/>
              <w:jc w:val="left"/>
              <w:rPr>
                <w:rFonts w:hint="default" w:ascii="Arial" w:hAnsi="Arial" w:eastAsia="宋体" w:cs="Arial"/>
                <w:i w:val="0"/>
                <w:caps w:val="0"/>
                <w:color w:val="333333"/>
                <w:spacing w:val="0"/>
                <w:kern w:val="0"/>
                <w:sz w:val="21"/>
                <w:szCs w:val="21"/>
                <w:shd w:val="clear" w:fill="FFFFFF"/>
                <w:lang w:val="en-US" w:eastAsia="zh-CN" w:bidi="ar"/>
              </w:rPr>
            </w:pPr>
            <w:r>
              <w:rPr>
                <w:rFonts w:hint="default" w:ascii="Arial" w:hAnsi="Arial" w:eastAsia="宋体" w:cs="Arial"/>
                <w:i w:val="0"/>
                <w:caps w:val="0"/>
                <w:color w:val="333333"/>
                <w:spacing w:val="0"/>
                <w:kern w:val="0"/>
                <w:sz w:val="21"/>
                <w:szCs w:val="21"/>
                <w:shd w:val="clear" w:fill="FFFFFF"/>
                <w:lang w:val="en-US" w:eastAsia="zh-CN" w:bidi="ar"/>
              </w:rPr>
              <w:t>其中采用的国内先进的酿造技术、工艺和设备</w:t>
            </w:r>
            <w:r>
              <w:rPr>
                <w:rFonts w:hint="eastAsia" w:ascii="Arial" w:hAnsi="Arial" w:cs="Arial"/>
                <w:i w:val="0"/>
                <w:caps w:val="0"/>
                <w:color w:val="333333"/>
                <w:spacing w:val="0"/>
                <w:kern w:val="0"/>
                <w:sz w:val="21"/>
                <w:szCs w:val="21"/>
                <w:shd w:val="clear" w:fill="FFFFFF"/>
                <w:lang w:val="en-US" w:eastAsia="zh-CN" w:bidi="ar"/>
              </w:rPr>
              <w:t>，</w:t>
            </w:r>
            <w:r>
              <w:rPr>
                <w:rFonts w:hint="default" w:ascii="Arial" w:hAnsi="Arial" w:eastAsia="宋体" w:cs="Arial"/>
                <w:i w:val="0"/>
                <w:caps w:val="0"/>
                <w:color w:val="333333"/>
                <w:spacing w:val="0"/>
                <w:kern w:val="0"/>
                <w:sz w:val="21"/>
                <w:szCs w:val="21"/>
                <w:shd w:val="clear" w:fill="FFFFFF"/>
                <w:lang w:val="en-US" w:eastAsia="zh-CN" w:bidi="ar"/>
              </w:rPr>
              <w:t>在规模和水平上处于同行业领先地位。1993年国家统计局在首届中国糖酒工业企业评价中</w:t>
            </w:r>
            <w:r>
              <w:rPr>
                <w:rFonts w:hint="eastAsia" w:ascii="Arial" w:hAnsi="Arial" w:cs="Arial"/>
                <w:i w:val="0"/>
                <w:caps w:val="0"/>
                <w:color w:val="333333"/>
                <w:spacing w:val="0"/>
                <w:kern w:val="0"/>
                <w:sz w:val="21"/>
                <w:szCs w:val="21"/>
                <w:shd w:val="clear" w:fill="FFFFFF"/>
                <w:lang w:val="en-US" w:eastAsia="zh-CN" w:bidi="ar"/>
              </w:rPr>
              <w:t>，</w:t>
            </w:r>
            <w:r>
              <w:rPr>
                <w:rFonts w:hint="default" w:ascii="Arial" w:hAnsi="Arial" w:eastAsia="宋体" w:cs="Arial"/>
                <w:i w:val="0"/>
                <w:caps w:val="0"/>
                <w:color w:val="333333"/>
                <w:spacing w:val="0"/>
                <w:kern w:val="0"/>
                <w:sz w:val="21"/>
                <w:szCs w:val="21"/>
                <w:shd w:val="clear" w:fill="FFFFFF"/>
                <w:lang w:val="en-US" w:eastAsia="zh-CN" w:bidi="ar"/>
              </w:rPr>
              <w:t>被评为中国饮料制造业最佳经济效益500强之一</w:t>
            </w:r>
            <w:r>
              <w:rPr>
                <w:rFonts w:hint="eastAsia" w:ascii="Arial" w:hAnsi="Arial" w:cs="Arial"/>
                <w:i w:val="0"/>
                <w:caps w:val="0"/>
                <w:color w:val="333333"/>
                <w:spacing w:val="0"/>
                <w:kern w:val="0"/>
                <w:sz w:val="21"/>
                <w:szCs w:val="21"/>
                <w:shd w:val="clear" w:fill="FFFFFF"/>
                <w:lang w:val="en-US" w:eastAsia="zh-CN" w:bidi="ar"/>
              </w:rPr>
              <w:t>；</w:t>
            </w:r>
          </w:p>
          <w:p>
            <w:pPr>
              <w:keepNext w:val="0"/>
              <w:keepLines w:val="0"/>
              <w:widowControl/>
              <w:suppressLineNumbers w:val="0"/>
              <w:shd w:val="clear" w:fill="FFFFFF"/>
              <w:spacing w:after="225" w:afterAutospacing="0" w:line="360" w:lineRule="atLeast"/>
              <w:ind w:left="0" w:firstLine="420"/>
              <w:jc w:val="left"/>
              <w:rPr>
                <w:rFonts w:hint="default" w:ascii="Arial" w:hAnsi="Arial" w:eastAsia="宋体" w:cs="Arial"/>
                <w:i w:val="0"/>
                <w:caps w:val="0"/>
                <w:color w:val="333333"/>
                <w:spacing w:val="0"/>
                <w:kern w:val="0"/>
                <w:sz w:val="21"/>
                <w:szCs w:val="21"/>
                <w:shd w:val="clear" w:fill="FFFFFF"/>
                <w:lang w:val="en-US" w:eastAsia="zh-CN" w:bidi="ar"/>
              </w:rPr>
            </w:pPr>
            <w:r>
              <w:rPr>
                <w:rFonts w:hint="default" w:ascii="Arial" w:hAnsi="Arial" w:eastAsia="宋体" w:cs="Arial"/>
                <w:i w:val="0"/>
                <w:caps w:val="0"/>
                <w:color w:val="333333"/>
                <w:spacing w:val="0"/>
                <w:kern w:val="0"/>
                <w:sz w:val="21"/>
                <w:szCs w:val="21"/>
                <w:shd w:val="clear" w:fill="FFFFFF"/>
                <w:lang w:val="en-US" w:eastAsia="zh-CN" w:bidi="ar"/>
              </w:rPr>
              <w:t>1994年被国家经贸委等6部委列入全国大型一档企业和国家一级酿造企业</w:t>
            </w:r>
            <w:r>
              <w:rPr>
                <w:rFonts w:hint="eastAsia" w:ascii="Arial" w:hAnsi="Arial" w:cs="Arial"/>
                <w:i w:val="0"/>
                <w:caps w:val="0"/>
                <w:color w:val="333333"/>
                <w:spacing w:val="0"/>
                <w:kern w:val="0"/>
                <w:sz w:val="21"/>
                <w:szCs w:val="21"/>
                <w:shd w:val="clear" w:fill="FFFFFF"/>
                <w:lang w:val="en-US" w:eastAsia="zh-CN" w:bidi="ar"/>
              </w:rPr>
              <w:t>；</w:t>
            </w:r>
            <w:r>
              <w:rPr>
                <w:rFonts w:hint="default" w:ascii="Arial" w:hAnsi="Arial" w:eastAsia="宋体" w:cs="Arial"/>
                <w:i w:val="0"/>
                <w:caps w:val="0"/>
                <w:color w:val="333333"/>
                <w:spacing w:val="0"/>
                <w:kern w:val="0"/>
                <w:sz w:val="21"/>
                <w:szCs w:val="21"/>
                <w:shd w:val="clear" w:fill="FFFFFF"/>
                <w:lang w:val="en-US" w:eastAsia="zh-CN" w:bidi="ar"/>
              </w:rPr>
              <w:t>1995年被甘肃省列为32家建立现代企业制度试点单位之一</w:t>
            </w:r>
            <w:r>
              <w:rPr>
                <w:rFonts w:hint="eastAsia" w:ascii="Arial" w:hAnsi="Arial" w:cs="Arial"/>
                <w:i w:val="0"/>
                <w:caps w:val="0"/>
                <w:color w:val="333333"/>
                <w:spacing w:val="0"/>
                <w:kern w:val="0"/>
                <w:sz w:val="21"/>
                <w:szCs w:val="21"/>
                <w:shd w:val="clear" w:fill="FFFFFF"/>
                <w:lang w:val="en-US" w:eastAsia="zh-CN" w:bidi="ar"/>
              </w:rPr>
              <w:t>；</w:t>
            </w:r>
            <w:r>
              <w:rPr>
                <w:rFonts w:hint="default" w:ascii="Arial" w:hAnsi="Arial" w:eastAsia="宋体" w:cs="Arial"/>
                <w:i w:val="0"/>
                <w:caps w:val="0"/>
                <w:color w:val="333333"/>
                <w:spacing w:val="0"/>
                <w:kern w:val="0"/>
                <w:sz w:val="21"/>
                <w:szCs w:val="21"/>
                <w:shd w:val="clear" w:fill="FFFFFF"/>
                <w:lang w:val="en-US" w:eastAsia="zh-CN" w:bidi="ar"/>
              </w:rPr>
              <w:t>1996年</w:t>
            </w:r>
            <w:r>
              <w:rPr>
                <w:rFonts w:hint="default" w:ascii="Arial" w:hAnsi="Arial" w:eastAsia="宋体" w:cs="Arial"/>
                <w:i w:val="0"/>
                <w:caps w:val="0"/>
                <w:color w:val="333333"/>
                <w:spacing w:val="0"/>
                <w:kern w:val="0"/>
                <w:sz w:val="21"/>
                <w:szCs w:val="21"/>
                <w:shd w:val="clear" w:fill="FFFFFF"/>
                <w:lang w:val="en-US" w:eastAsia="zh-CN" w:bidi="ar"/>
              </w:rPr>
              <w:fldChar w:fldCharType="begin"/>
            </w:r>
            <w:r>
              <w:rPr>
                <w:rFonts w:hint="default" w:ascii="Arial" w:hAnsi="Arial" w:eastAsia="宋体" w:cs="Arial"/>
                <w:i w:val="0"/>
                <w:caps w:val="0"/>
                <w:color w:val="333333"/>
                <w:spacing w:val="0"/>
                <w:kern w:val="0"/>
                <w:sz w:val="21"/>
                <w:szCs w:val="21"/>
                <w:shd w:val="clear" w:fill="FFFFFF"/>
                <w:lang w:val="en-US" w:eastAsia="zh-CN" w:bidi="ar"/>
              </w:rPr>
              <w:instrText xml:space="preserve"> HYPERLINK "https://baike.baidu.com/item/%E7%94%98%E8%82%83%E7%9C%81%E4%BA%BA%E6%B0%91%E6%94%BF%E5%BA%9C/6076402" \t "https://baike.baidu.com/item/%E7%9A%87%E5%8F%B0%E9%85%92%E4%B8%9A/_blank" </w:instrText>
            </w:r>
            <w:r>
              <w:rPr>
                <w:rFonts w:hint="default" w:ascii="Arial" w:hAnsi="Arial" w:eastAsia="宋体" w:cs="Arial"/>
                <w:i w:val="0"/>
                <w:caps w:val="0"/>
                <w:color w:val="333333"/>
                <w:spacing w:val="0"/>
                <w:kern w:val="0"/>
                <w:sz w:val="21"/>
                <w:szCs w:val="21"/>
                <w:shd w:val="clear" w:fill="FFFFFF"/>
                <w:lang w:val="en-US" w:eastAsia="zh-CN" w:bidi="ar"/>
              </w:rPr>
              <w:fldChar w:fldCharType="separate"/>
            </w:r>
            <w:r>
              <w:rPr>
                <w:rFonts w:hint="default" w:ascii="Arial" w:hAnsi="Arial" w:eastAsia="宋体" w:cs="Arial"/>
                <w:i w:val="0"/>
                <w:caps w:val="0"/>
                <w:color w:val="333333"/>
                <w:spacing w:val="0"/>
                <w:kern w:val="0"/>
                <w:sz w:val="21"/>
                <w:szCs w:val="21"/>
                <w:shd w:val="clear" w:fill="FFFFFF"/>
                <w:lang w:val="en-US" w:eastAsia="zh-CN" w:bidi="ar"/>
              </w:rPr>
              <w:t>甘肃省人民政府</w:t>
            </w:r>
            <w:r>
              <w:rPr>
                <w:rFonts w:hint="default" w:ascii="Arial" w:hAnsi="Arial" w:eastAsia="宋体" w:cs="Arial"/>
                <w:i w:val="0"/>
                <w:caps w:val="0"/>
                <w:color w:val="333333"/>
                <w:spacing w:val="0"/>
                <w:kern w:val="0"/>
                <w:sz w:val="21"/>
                <w:szCs w:val="21"/>
                <w:shd w:val="clear" w:fill="FFFFFF"/>
                <w:lang w:val="en-US" w:eastAsia="zh-CN" w:bidi="ar"/>
              </w:rPr>
              <w:fldChar w:fldCharType="end"/>
            </w:r>
            <w:r>
              <w:rPr>
                <w:rFonts w:hint="default" w:ascii="Arial" w:hAnsi="Arial" w:eastAsia="宋体" w:cs="Arial"/>
                <w:i w:val="0"/>
                <w:caps w:val="0"/>
                <w:color w:val="333333"/>
                <w:spacing w:val="0"/>
                <w:kern w:val="0"/>
                <w:sz w:val="21"/>
                <w:szCs w:val="21"/>
                <w:shd w:val="clear" w:fill="FFFFFF"/>
                <w:lang w:val="en-US" w:eastAsia="zh-CN" w:bidi="ar"/>
              </w:rPr>
              <w:t>授权其经营国有资产。</w:t>
            </w:r>
          </w:p>
          <w:p>
            <w:pPr>
              <w:keepNext w:val="0"/>
              <w:keepLines w:val="0"/>
              <w:widowControl/>
              <w:suppressLineNumbers w:val="0"/>
              <w:shd w:val="clear" w:fill="FFFFFF"/>
              <w:spacing w:after="225" w:afterAutospacing="0" w:line="360" w:lineRule="atLeast"/>
              <w:ind w:left="0" w:firstLine="420"/>
              <w:jc w:val="left"/>
              <w:rPr>
                <w:rFonts w:hint="default" w:ascii="Arial" w:hAnsi="Arial" w:eastAsia="宋体" w:cs="Arial"/>
                <w:i w:val="0"/>
                <w:caps w:val="0"/>
                <w:color w:val="333333"/>
                <w:spacing w:val="0"/>
                <w:kern w:val="0"/>
                <w:sz w:val="21"/>
                <w:szCs w:val="21"/>
                <w:shd w:val="clear" w:fill="FFFFFF"/>
                <w:lang w:val="en-US" w:eastAsia="zh-CN" w:bidi="ar"/>
              </w:rPr>
            </w:pPr>
            <w:r>
              <w:rPr>
                <w:rFonts w:hint="default" w:ascii="Arial" w:hAnsi="Arial" w:eastAsia="宋体" w:cs="Arial"/>
                <w:i w:val="0"/>
                <w:caps w:val="0"/>
                <w:color w:val="333333"/>
                <w:spacing w:val="0"/>
                <w:kern w:val="0"/>
                <w:sz w:val="21"/>
                <w:szCs w:val="21"/>
                <w:shd w:val="clear" w:fill="FFFFFF"/>
                <w:lang w:val="en-US" w:eastAsia="zh-CN" w:bidi="ar"/>
              </w:rPr>
              <w:t>公司开发的“皇台”牌、“凉州”牌两大系列、14个品种、32个花色规格的酒类产品全部达到国家规定的优级品标准</w:t>
            </w:r>
            <w:r>
              <w:rPr>
                <w:rFonts w:hint="eastAsia" w:ascii="Arial" w:hAnsi="Arial" w:cs="Arial"/>
                <w:i w:val="0"/>
                <w:caps w:val="0"/>
                <w:color w:val="333333"/>
                <w:spacing w:val="0"/>
                <w:kern w:val="0"/>
                <w:sz w:val="21"/>
                <w:szCs w:val="21"/>
                <w:shd w:val="clear" w:fill="FFFFFF"/>
                <w:lang w:val="en-US" w:eastAsia="zh-CN" w:bidi="ar"/>
              </w:rPr>
              <w:t>，</w:t>
            </w:r>
            <w:r>
              <w:rPr>
                <w:rFonts w:hint="default" w:ascii="Arial" w:hAnsi="Arial" w:eastAsia="宋体" w:cs="Arial"/>
                <w:i w:val="0"/>
                <w:caps w:val="0"/>
                <w:color w:val="333333"/>
                <w:spacing w:val="0"/>
                <w:kern w:val="0"/>
                <w:sz w:val="21"/>
                <w:szCs w:val="21"/>
                <w:shd w:val="clear" w:fill="FFFFFF"/>
                <w:lang w:val="en-US" w:eastAsia="zh-CN" w:bidi="ar"/>
              </w:rPr>
              <w:t>“凉州”牌、“皇台”牌注册商标被甘肃省工商局评为驰名商标。</w:t>
            </w:r>
          </w:p>
          <w:p>
            <w:pPr>
              <w:keepNext w:val="0"/>
              <w:keepLines w:val="0"/>
              <w:widowControl/>
              <w:suppressLineNumbers w:val="0"/>
              <w:shd w:val="clear" w:fill="FFFFFF"/>
              <w:spacing w:after="225" w:afterAutospacing="0" w:line="360" w:lineRule="atLeast"/>
              <w:ind w:left="0" w:firstLine="420"/>
              <w:jc w:val="left"/>
              <w:rPr>
                <w:rFonts w:hint="default" w:ascii="Arial" w:hAnsi="Arial" w:eastAsia="宋体" w:cs="Arial"/>
                <w:i w:val="0"/>
                <w:caps w:val="0"/>
                <w:color w:val="333333"/>
                <w:spacing w:val="0"/>
                <w:kern w:val="0"/>
                <w:sz w:val="21"/>
                <w:szCs w:val="21"/>
                <w:shd w:val="clear" w:fill="FFFFFF"/>
                <w:lang w:val="en-US" w:eastAsia="zh-CN" w:bidi="ar"/>
              </w:rPr>
            </w:pPr>
            <w:r>
              <w:rPr>
                <w:rFonts w:hint="default" w:ascii="Arial" w:hAnsi="Arial" w:eastAsia="宋体" w:cs="Arial"/>
                <w:i w:val="0"/>
                <w:caps w:val="0"/>
                <w:color w:val="333333"/>
                <w:spacing w:val="0"/>
                <w:kern w:val="0"/>
                <w:sz w:val="21"/>
                <w:szCs w:val="21"/>
                <w:shd w:val="clear" w:fill="FFFFFF"/>
                <w:lang w:val="en-US" w:eastAsia="zh-CN" w:bidi="ar"/>
              </w:rPr>
              <w:t>1994年在时隔80年的第二届</w:t>
            </w:r>
            <w:r>
              <w:rPr>
                <w:rFonts w:hint="default" w:ascii="Arial" w:hAnsi="Arial" w:eastAsia="宋体" w:cs="Arial"/>
                <w:i w:val="0"/>
                <w:caps w:val="0"/>
                <w:color w:val="333333"/>
                <w:spacing w:val="0"/>
                <w:kern w:val="0"/>
                <w:sz w:val="21"/>
                <w:szCs w:val="21"/>
                <w:shd w:val="clear" w:fill="FFFFFF"/>
                <w:lang w:val="en-US" w:eastAsia="zh-CN" w:bidi="ar"/>
              </w:rPr>
              <w:fldChar w:fldCharType="begin"/>
            </w:r>
            <w:r>
              <w:rPr>
                <w:rFonts w:hint="default" w:ascii="Arial" w:hAnsi="Arial" w:eastAsia="宋体" w:cs="Arial"/>
                <w:i w:val="0"/>
                <w:caps w:val="0"/>
                <w:color w:val="333333"/>
                <w:spacing w:val="0"/>
                <w:kern w:val="0"/>
                <w:sz w:val="21"/>
                <w:szCs w:val="21"/>
                <w:shd w:val="clear" w:fill="FFFFFF"/>
                <w:lang w:val="en-US" w:eastAsia="zh-CN" w:bidi="ar"/>
              </w:rPr>
              <w:instrText xml:space="preserve"> HYPERLINK "https://baike.baidu.com/item/%E5%B7%B4%E6%8B%BF%E9%A9%AC%E4%B8%87%E5%9B%BD%E5%8D%9A%E8%A7%88%E4%BC%9A/3141035" \t "https://baike.baidu.com/item/%E7%9A%87%E5%8F%B0%E9%85%92%E4%B8%9A/_blank" </w:instrText>
            </w:r>
            <w:r>
              <w:rPr>
                <w:rFonts w:hint="default" w:ascii="Arial" w:hAnsi="Arial" w:eastAsia="宋体" w:cs="Arial"/>
                <w:i w:val="0"/>
                <w:caps w:val="0"/>
                <w:color w:val="333333"/>
                <w:spacing w:val="0"/>
                <w:kern w:val="0"/>
                <w:sz w:val="21"/>
                <w:szCs w:val="21"/>
                <w:shd w:val="clear" w:fill="FFFFFF"/>
                <w:lang w:val="en-US" w:eastAsia="zh-CN" w:bidi="ar"/>
              </w:rPr>
              <w:fldChar w:fldCharType="separate"/>
            </w:r>
            <w:r>
              <w:rPr>
                <w:rFonts w:hint="default" w:ascii="Arial" w:hAnsi="Arial" w:eastAsia="宋体" w:cs="Arial"/>
                <w:i w:val="0"/>
                <w:caps w:val="0"/>
                <w:color w:val="333333"/>
                <w:spacing w:val="0"/>
                <w:kern w:val="0"/>
                <w:sz w:val="21"/>
                <w:szCs w:val="21"/>
                <w:shd w:val="clear" w:fill="FFFFFF"/>
                <w:lang w:val="en-US" w:eastAsia="zh-CN" w:bidi="ar"/>
              </w:rPr>
              <w:t>巴拿马万国博览会</w:t>
            </w:r>
            <w:r>
              <w:rPr>
                <w:rFonts w:hint="default" w:ascii="Arial" w:hAnsi="Arial" w:eastAsia="宋体" w:cs="Arial"/>
                <w:i w:val="0"/>
                <w:caps w:val="0"/>
                <w:color w:val="333333"/>
                <w:spacing w:val="0"/>
                <w:kern w:val="0"/>
                <w:sz w:val="21"/>
                <w:szCs w:val="21"/>
                <w:shd w:val="clear" w:fill="FFFFFF"/>
                <w:lang w:val="en-US" w:eastAsia="zh-CN" w:bidi="ar"/>
              </w:rPr>
              <w:fldChar w:fldCharType="end"/>
            </w:r>
            <w:r>
              <w:rPr>
                <w:rFonts w:hint="default" w:ascii="Arial" w:hAnsi="Arial" w:eastAsia="宋体" w:cs="Arial"/>
                <w:i w:val="0"/>
                <w:caps w:val="0"/>
                <w:color w:val="333333"/>
                <w:spacing w:val="0"/>
                <w:kern w:val="0"/>
                <w:sz w:val="21"/>
                <w:szCs w:val="21"/>
                <w:shd w:val="clear" w:fill="FFFFFF"/>
                <w:lang w:val="en-US" w:eastAsia="zh-CN" w:bidi="ar"/>
              </w:rPr>
              <w:t>上</w:t>
            </w:r>
            <w:r>
              <w:rPr>
                <w:rFonts w:hint="eastAsia" w:ascii="Arial" w:hAnsi="Arial" w:cs="Arial"/>
                <w:i w:val="0"/>
                <w:caps w:val="0"/>
                <w:color w:val="333333"/>
                <w:spacing w:val="0"/>
                <w:kern w:val="0"/>
                <w:sz w:val="21"/>
                <w:szCs w:val="21"/>
                <w:shd w:val="clear" w:fill="FFFFFF"/>
                <w:lang w:val="en-US" w:eastAsia="zh-CN" w:bidi="ar"/>
              </w:rPr>
              <w:t>，</w:t>
            </w:r>
            <w:r>
              <w:rPr>
                <w:rFonts w:hint="default" w:ascii="Arial" w:hAnsi="Arial" w:eastAsia="宋体" w:cs="Arial"/>
                <w:i w:val="0"/>
                <w:caps w:val="0"/>
                <w:color w:val="333333"/>
                <w:spacing w:val="0"/>
                <w:kern w:val="0"/>
                <w:sz w:val="21"/>
                <w:szCs w:val="21"/>
                <w:shd w:val="clear" w:fill="FFFFFF"/>
                <w:lang w:val="en-US" w:eastAsia="zh-CN" w:bidi="ar"/>
              </w:rPr>
              <w:t>皇台酒与茅台酒双双荣获金奖。</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bookmarkStart w:id="5" w:name="_Toc5322"/>
            <w:bookmarkStart w:id="6" w:name="_Toc1806"/>
            <w:r>
              <w:rPr>
                <w:rFonts w:hint="eastAsia" w:ascii="Times New Roman" w:hAnsi="Times New Roman"/>
                <w:bCs w:val="0"/>
                <w:kern w:val="2"/>
                <w:sz w:val="21"/>
                <w:szCs w:val="22"/>
              </w:rPr>
              <w:t>【案情背景】</w:t>
            </w:r>
            <w:bookmarkEnd w:id="5"/>
            <w:bookmarkEnd w:id="6"/>
          </w:p>
          <w:p>
            <w:pPr>
              <w:ind w:firstLine="420" w:firstLineChars="200"/>
              <w:jc w:val="left"/>
              <w:rPr>
                <w:rFonts w:hint="eastAsia"/>
                <w:lang w:val="en-US" w:eastAsia="zh-CN"/>
              </w:rPr>
            </w:pPr>
            <w:r>
              <w:rPr>
                <w:rFonts w:hint="eastAsia"/>
                <w:lang w:val="en-US" w:eastAsia="zh-CN"/>
              </w:rPr>
              <w:t>皇台酒业时任董事长卢鸿毅联系甘肃省酒类商品管理局出具批复，并筹集虚构专项补助资金500万元，由俪岛产业投资有限公司转给兰州恒远通商贸有限公司，再由兰州恒远通商贸有限公司转给甘肃省葡萄酒产业协会，最后由甘肃省葡萄酒产业协会拨付给皇台酒业，</w:t>
            </w:r>
            <w:r>
              <w:rPr>
                <w:rFonts w:hint="default"/>
                <w:lang w:val="en-US" w:eastAsia="zh-CN"/>
              </w:rPr>
              <w:t>虚增2015年度利润500万元，导致公司2015年年度报告存在虚记载。</w:t>
            </w:r>
            <w:r>
              <w:rPr>
                <w:rFonts w:hint="eastAsia"/>
                <w:lang w:val="en-US" w:eastAsia="zh-CN"/>
              </w:rPr>
              <w:br w:type="textWrapping"/>
            </w:r>
            <w:r>
              <w:rPr>
                <w:rFonts w:hint="eastAsia"/>
                <w:lang w:val="en-US" w:eastAsia="zh-CN"/>
              </w:rPr>
              <w:t>   </w:t>
            </w:r>
          </w:p>
          <w:p>
            <w:pPr>
              <w:rPr>
                <w:rFonts w:hint="eastAsia"/>
                <w:b/>
              </w:rPr>
            </w:pPr>
            <w:r>
              <w:rPr>
                <w:rFonts w:hint="eastAsia"/>
                <w:b/>
              </w:rPr>
              <w:t>【案情描述】</w:t>
            </w:r>
          </w:p>
          <w:p>
            <w:pPr>
              <w:rPr>
                <w:rFonts w:hint="eastAsia"/>
                <w:b/>
              </w:rPr>
            </w:pPr>
            <w:r>
              <w:drawing>
                <wp:inline distT="0" distB="0" distL="114300" distR="114300">
                  <wp:extent cx="3914140" cy="2590165"/>
                  <wp:effectExtent l="0" t="0" r="10160" b="63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4"/>
                          <a:srcRect l="4578"/>
                          <a:stretch>
                            <a:fillRect/>
                          </a:stretch>
                        </pic:blipFill>
                        <pic:spPr>
                          <a:xfrm>
                            <a:off x="0" y="0"/>
                            <a:ext cx="3914140" cy="2590165"/>
                          </a:xfrm>
                          <a:prstGeom prst="rect">
                            <a:avLst/>
                          </a:prstGeom>
                          <a:noFill/>
                          <a:ln>
                            <a:noFill/>
                          </a:ln>
                        </pic:spPr>
                      </pic:pic>
                    </a:graphicData>
                  </a:graphic>
                </wp:inline>
              </w:drawing>
            </w:r>
          </w:p>
          <w:p>
            <w:pPr>
              <w:rPr>
                <w:rFonts w:hint="eastAsia" w:ascii="宋体" w:hAnsi="宋体" w:eastAsia="宋体" w:cs="宋体"/>
                <w:kern w:val="2"/>
                <w:sz w:val="21"/>
                <w:szCs w:val="24"/>
                <w:lang w:val="en-US" w:eastAsia="zh-CN" w:bidi="ar-SA"/>
              </w:rPr>
            </w:pPr>
            <w:r>
              <w:rPr>
                <w:rFonts w:hint="eastAsia"/>
                <w:b/>
                <w:lang w:val="en-US" w:eastAsia="zh-CN"/>
              </w:rPr>
              <w:t xml:space="preserve">    </w:t>
            </w:r>
            <w:r>
              <w:rPr>
                <w:rFonts w:hint="eastAsia" w:ascii="宋体" w:hAnsi="宋体" w:eastAsia="宋体" w:cs="宋体"/>
                <w:kern w:val="2"/>
                <w:sz w:val="21"/>
                <w:szCs w:val="24"/>
                <w:lang w:val="en-US" w:eastAsia="zh-CN" w:bidi="ar-SA"/>
              </w:rPr>
              <w:t xml:space="preserve">审计人员认为，公司财务报表在所有重大方面按照企业会计准则的规定编制，公允反映了贵公司 2015 年 12 月 31 日的合并及母公司财务状况以及 2015年度的合并及母公司经营成果和现金流量。 </w:t>
            </w:r>
          </w:p>
          <w:p>
            <w:pPr>
              <w:pStyle w:val="11"/>
              <w:widowControl/>
              <w:shd w:val="clear" w:color="auto" w:fill="FFFFFF"/>
              <w:spacing w:before="132" w:beforeAutospacing="0" w:after="378" w:afterAutospacing="0"/>
              <w:ind w:firstLine="420" w:firstLineChars="200"/>
              <w:rPr>
                <w:kern w:val="2"/>
                <w:sz w:val="21"/>
              </w:rPr>
            </w:pPr>
            <w:r>
              <w:rPr>
                <w:rFonts w:hint="eastAsia" w:ascii="宋体" w:hAnsi="宋体" w:eastAsia="宋体" w:cs="宋体"/>
                <w:kern w:val="2"/>
                <w:sz w:val="21"/>
                <w:szCs w:val="24"/>
                <w:lang w:val="en-US" w:eastAsia="zh-CN" w:bidi="ar-SA"/>
              </w:rPr>
              <w:t>根据年报披露</w:t>
            </w:r>
            <w:r>
              <w:rPr>
                <w:rFonts w:hint="eastAsia"/>
                <w:kern w:val="2"/>
                <w:sz w:val="21"/>
              </w:rPr>
              <w:t>数据，皇台酒业于</w:t>
            </w:r>
            <w:r>
              <w:rPr>
                <w:kern w:val="2"/>
                <w:sz w:val="21"/>
              </w:rPr>
              <w:t>2014</w:t>
            </w:r>
            <w:r>
              <w:rPr>
                <w:rFonts w:hint="eastAsia"/>
                <w:kern w:val="2"/>
                <w:sz w:val="21"/>
              </w:rPr>
              <w:t>年、</w:t>
            </w:r>
            <w:r>
              <w:rPr>
                <w:kern w:val="2"/>
                <w:sz w:val="21"/>
              </w:rPr>
              <w:t>2015</w:t>
            </w:r>
            <w:r>
              <w:rPr>
                <w:rFonts w:hint="eastAsia"/>
                <w:kern w:val="2"/>
                <w:sz w:val="21"/>
              </w:rPr>
              <w:t>年、</w:t>
            </w:r>
            <w:r>
              <w:rPr>
                <w:kern w:val="2"/>
                <w:sz w:val="21"/>
              </w:rPr>
              <w:t>2016</w:t>
            </w:r>
            <w:r>
              <w:rPr>
                <w:rFonts w:hint="eastAsia"/>
                <w:kern w:val="2"/>
                <w:sz w:val="21"/>
              </w:rPr>
              <w:t>年分别实现营业收入</w:t>
            </w:r>
            <w:r>
              <w:rPr>
                <w:kern w:val="2"/>
                <w:sz w:val="21"/>
              </w:rPr>
              <w:t>0.57</w:t>
            </w:r>
            <w:r>
              <w:rPr>
                <w:rFonts w:hint="eastAsia"/>
                <w:kern w:val="2"/>
                <w:sz w:val="21"/>
              </w:rPr>
              <w:t>亿元、</w:t>
            </w:r>
            <w:r>
              <w:rPr>
                <w:kern w:val="2"/>
                <w:sz w:val="21"/>
              </w:rPr>
              <w:t>1.05</w:t>
            </w:r>
            <w:r>
              <w:rPr>
                <w:rFonts w:hint="eastAsia"/>
                <w:kern w:val="2"/>
                <w:sz w:val="21"/>
              </w:rPr>
              <w:t>亿元、</w:t>
            </w:r>
            <w:r>
              <w:rPr>
                <w:kern w:val="2"/>
                <w:sz w:val="21"/>
              </w:rPr>
              <w:t>1.78</w:t>
            </w:r>
            <w:r>
              <w:rPr>
                <w:rFonts w:hint="eastAsia"/>
                <w:kern w:val="2"/>
                <w:sz w:val="21"/>
              </w:rPr>
              <w:t>亿元，分别实现净利润</w:t>
            </w:r>
            <w:r>
              <w:rPr>
                <w:kern w:val="2"/>
                <w:sz w:val="21"/>
              </w:rPr>
              <w:t>-0.39</w:t>
            </w:r>
            <w:r>
              <w:rPr>
                <w:rFonts w:hint="eastAsia"/>
                <w:kern w:val="2"/>
                <w:sz w:val="21"/>
              </w:rPr>
              <w:t>亿元、</w:t>
            </w:r>
            <w:r>
              <w:rPr>
                <w:kern w:val="2"/>
                <w:sz w:val="21"/>
              </w:rPr>
              <w:t>0.01</w:t>
            </w:r>
            <w:r>
              <w:rPr>
                <w:rFonts w:hint="eastAsia"/>
                <w:kern w:val="2"/>
                <w:sz w:val="21"/>
              </w:rPr>
              <w:t>亿元、</w:t>
            </w:r>
            <w:r>
              <w:rPr>
                <w:kern w:val="2"/>
                <w:sz w:val="21"/>
              </w:rPr>
              <w:t>-1.27</w:t>
            </w:r>
            <w:r>
              <w:rPr>
                <w:rFonts w:hint="eastAsia"/>
                <w:kern w:val="2"/>
                <w:sz w:val="21"/>
              </w:rPr>
              <w:t>亿元，这种营收和净利润情况，绝对也是</w:t>
            </w:r>
            <w:r>
              <w:rPr>
                <w:kern w:val="2"/>
                <w:sz w:val="21"/>
              </w:rPr>
              <w:t>A</w:t>
            </w:r>
            <w:r>
              <w:rPr>
                <w:rFonts w:hint="eastAsia"/>
                <w:kern w:val="2"/>
                <w:sz w:val="21"/>
              </w:rPr>
              <w:t>股上市公司中的奇葩，自从皇台酒业上市以来营业收入基本就没有超过上市当年的营业收入，只有</w:t>
            </w:r>
            <w:r>
              <w:rPr>
                <w:kern w:val="2"/>
                <w:sz w:val="21"/>
              </w:rPr>
              <w:t>2016</w:t>
            </w:r>
            <w:r>
              <w:rPr>
                <w:rFonts w:hint="eastAsia"/>
                <w:kern w:val="2"/>
                <w:sz w:val="21"/>
              </w:rPr>
              <w:t>年勉强超过一些，但</w:t>
            </w:r>
            <w:r>
              <w:rPr>
                <w:kern w:val="2"/>
                <w:sz w:val="21"/>
              </w:rPr>
              <w:t>2016</w:t>
            </w:r>
            <w:r>
              <w:rPr>
                <w:rFonts w:hint="eastAsia"/>
                <w:kern w:val="2"/>
                <w:sz w:val="21"/>
              </w:rPr>
              <w:t>年的勉强超过也是全靠了光有营收不赚钱的番茄业务堆上去的。而上市当年</w:t>
            </w:r>
            <w:r>
              <w:rPr>
                <w:kern w:val="2"/>
                <w:sz w:val="21"/>
              </w:rPr>
              <w:t>0.29</w:t>
            </w:r>
            <w:r>
              <w:rPr>
                <w:rFonts w:hint="eastAsia"/>
                <w:kern w:val="2"/>
                <w:sz w:val="21"/>
              </w:rPr>
              <w:t>亿元的净利润竟然成了这将近</w:t>
            </w:r>
            <w:r>
              <w:rPr>
                <w:kern w:val="2"/>
                <w:sz w:val="21"/>
              </w:rPr>
              <w:t>20</w:t>
            </w:r>
            <w:r>
              <w:rPr>
                <w:rFonts w:hint="eastAsia"/>
                <w:kern w:val="2"/>
                <w:sz w:val="21"/>
              </w:rPr>
              <w:t>年来它盈利的巅峰水平，亏钱和戴帽成了“兵家常事”，就这种盈利水平，在</w:t>
            </w:r>
            <w:r>
              <w:rPr>
                <w:kern w:val="2"/>
                <w:sz w:val="21"/>
              </w:rPr>
              <w:t>A</w:t>
            </w:r>
            <w:r>
              <w:rPr>
                <w:rFonts w:hint="eastAsia"/>
                <w:kern w:val="2"/>
                <w:sz w:val="21"/>
              </w:rPr>
              <w:t>股苟延残喘</w:t>
            </w:r>
            <w:r>
              <w:rPr>
                <w:kern w:val="2"/>
                <w:sz w:val="21"/>
              </w:rPr>
              <w:t>20</w:t>
            </w:r>
            <w:r>
              <w:rPr>
                <w:rFonts w:hint="eastAsia"/>
                <w:kern w:val="2"/>
                <w:sz w:val="21"/>
              </w:rPr>
              <w:t>年也真是多亏了</w:t>
            </w:r>
            <w:r>
              <w:rPr>
                <w:kern w:val="2"/>
                <w:sz w:val="21"/>
              </w:rPr>
              <w:t>A</w:t>
            </w:r>
            <w:r>
              <w:rPr>
                <w:rFonts w:hint="eastAsia"/>
                <w:kern w:val="2"/>
                <w:sz w:val="21"/>
              </w:rPr>
              <w:t>股不完善的退市制度。</w:t>
            </w:r>
          </w:p>
          <w:p>
            <w:pPr>
              <w:pStyle w:val="11"/>
              <w:widowControl/>
              <w:shd w:val="clear" w:color="auto" w:fill="FFFFFF"/>
              <w:spacing w:before="132" w:beforeAutospacing="0" w:after="378" w:afterAutospacing="0"/>
              <w:ind w:firstLine="420" w:firstLineChars="200"/>
              <w:rPr>
                <w:kern w:val="2"/>
                <w:sz w:val="21"/>
              </w:rPr>
            </w:pPr>
            <w:r>
              <w:rPr>
                <w:kern w:val="2"/>
                <w:sz w:val="21"/>
              </w:rPr>
              <w:t>希格玛会计师事务所对甘肃皇台酒业股份有限 公司2017 年度内部控制进行了审计，并于 2018 年 4 月 24 日出具了希会审字1917 号否定意见内部控制审计 报告。其中，“导致否定意见的事项”具体内容如下：</w:t>
            </w:r>
          </w:p>
          <w:p>
            <w:pPr>
              <w:pStyle w:val="11"/>
              <w:widowControl/>
              <w:shd w:val="clear" w:color="auto" w:fill="FFFFFF"/>
              <w:spacing w:before="132" w:beforeAutospacing="0" w:after="378" w:afterAutospacing="0"/>
              <w:rPr>
                <w:kern w:val="2"/>
                <w:sz w:val="21"/>
              </w:rPr>
            </w:pPr>
            <w:r>
              <w:rPr>
                <w:kern w:val="2"/>
                <w:sz w:val="21"/>
              </w:rPr>
              <w:t xml:space="preserve"> </w:t>
            </w:r>
            <w:r>
              <w:rPr>
                <w:rFonts w:hint="eastAsia"/>
                <w:kern w:val="2"/>
                <w:sz w:val="21"/>
                <w:lang w:val="en-US" w:eastAsia="zh-CN"/>
              </w:rPr>
              <w:t xml:space="preserve">    </w:t>
            </w:r>
            <w:r>
              <w:rPr>
                <w:kern w:val="2"/>
                <w:sz w:val="21"/>
              </w:rPr>
              <w:t xml:space="preserve">重大缺陷是内部控制中存在的、可能导致不能及时防止或发现并 纠正财务报表出重大错报的一项控制缺陷或多项控制缺陷的组合。 公司财务报告内部控制存在以下重大缺陷： </w:t>
            </w:r>
          </w:p>
          <w:p>
            <w:pPr>
              <w:pStyle w:val="11"/>
              <w:widowControl/>
              <w:shd w:val="clear" w:color="auto" w:fill="FFFFFF"/>
              <w:spacing w:before="132" w:beforeAutospacing="0" w:after="378" w:afterAutospacing="0"/>
              <w:ind w:firstLine="420" w:firstLineChars="200"/>
              <w:rPr>
                <w:kern w:val="2"/>
                <w:sz w:val="21"/>
              </w:rPr>
            </w:pPr>
            <w:r>
              <w:rPr>
                <w:kern w:val="2"/>
                <w:sz w:val="21"/>
              </w:rPr>
              <w:t>公司存货管理制度规定存货应每月盘点一次和每半年至少应全 面盘点一次，但公司并没有完全执行该规定。公司在货物调拨时依据 经相关负责人签字批准的调拨单或书面申请由仓储部门发货，而货物 发出后财务部门并未对货物发出情况及时进行核算和反映。上述内部 控制重大缺陷是形成公司成品酒亏空的重要原因之一。 有效的内部控制能够为财务报告及相关信息的真实完整提供合 理保证，而上述重大缺陷使公司内部控制失去了这一功能。 管理层已识别出上述重大缺陷，并将其包含在企业内部控制评价 报告中，但未在所有重大方面得到公允反映。</w:t>
            </w:r>
          </w:p>
          <w:p>
            <w:pPr>
              <w:pStyle w:val="11"/>
              <w:widowControl/>
              <w:shd w:val="clear" w:color="auto" w:fill="FFFFFF"/>
              <w:spacing w:before="132" w:beforeAutospacing="0" w:after="378" w:afterAutospacing="0"/>
              <w:ind w:firstLine="420" w:firstLineChars="200"/>
              <w:rPr>
                <w:rFonts w:hint="eastAsia"/>
                <w:kern w:val="2"/>
                <w:sz w:val="21"/>
              </w:rPr>
            </w:pPr>
            <w:r>
              <w:rPr>
                <w:kern w:val="2"/>
                <w:sz w:val="21"/>
              </w:rPr>
              <w:t>在公司 2017 年财务报 表审计中，我们已经考虑了上述重大缺陷对审计程序的性质、时间安排和范围的影响。本报告并未对我们在 2018 年 4 月 24 日对贵公司 2017 年财务报表出具的审计报告产生影响。公司董事会认为：希格玛会计师事务所本次出 2 具的否定意见内部控制审计报告是为了提醒内部控制审计报告使用 者关注，该内控审计意见不影响对财务报告内部控制有效性发表的审 计意见。公司已经建立了比较完整的内控制度，涵盖所有业务层面及各个环节，但是从成品酒亏空事件反映出，制度自身尚存在缺陷，并存在 执行内控制度不到位的情形。2016 年 11 月之前的部分管理人员，绕开《存货管理制度》、《资产盘点管理办法》等内控制度，蓄意侵占公司财产，造成公司成品酒的大额盘亏损失，已涉嫌经济犯罪。成品酒亏空事件发生的时点在 2016 年及以前年度，现任管理层识别出此内控重大缺陷的时点是 2018 年 1 月，虽然发现的比较晚，但在 2017 年没有发生新的存货盘亏的事件，没有对公司造成经济损失。针对发现的成品酒亏空事件，现任管理层进行了认真整改。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pPr>
              <w:jc w:val="center"/>
            </w:pPr>
            <w:r>
              <w:rPr>
                <w:rFonts w:hint="eastAsia"/>
                <w:lang w:val="en-US" w:eastAsia="zh-CN"/>
              </w:rPr>
              <w:t>希格玛</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tabs>
                <w:tab w:val="left" w:pos="2160"/>
              </w:tabs>
            </w:pPr>
          </w:p>
          <w:p>
            <w:pPr>
              <w:tabs>
                <w:tab w:val="left" w:pos="2160"/>
              </w:tabs>
              <w:ind w:firstLine="420" w:firstLineChars="200"/>
              <w:rPr>
                <w:rFonts w:ascii="宋体" w:hAnsi="宋体" w:eastAsia="宋体" w:cs="宋体"/>
                <w:kern w:val="2"/>
                <w:sz w:val="21"/>
                <w:szCs w:val="24"/>
                <w:lang w:val="en-US" w:eastAsia="zh-CN" w:bidi="ar-SA"/>
              </w:rPr>
            </w:pPr>
            <w:r>
              <w:rPr>
                <w:rFonts w:ascii="宋体" w:hAnsi="宋体" w:eastAsia="宋体" w:cs="宋体"/>
                <w:kern w:val="2"/>
                <w:sz w:val="21"/>
                <w:szCs w:val="24"/>
                <w:lang w:val="en-US" w:eastAsia="zh-CN" w:bidi="ar-SA"/>
              </w:rPr>
              <w:t>从皇台酒业 2008 年、2011 年、2016 年财务报告重述的内容来看，涉及的会计差错调整事项并不复杂，也应该可以被执业能力较强的注册会计师发现，然而事实却并非如此，为皇台酒业提供了 11 年审计服务的希格玛会计师事务所</w:t>
            </w:r>
            <w:r>
              <w:rPr>
                <w:rFonts w:hint="eastAsia" w:ascii="宋体" w:hAnsi="宋体" w:cs="宋体"/>
                <w:kern w:val="2"/>
                <w:sz w:val="21"/>
                <w:szCs w:val="24"/>
                <w:lang w:val="en-US" w:eastAsia="zh-CN" w:bidi="ar-SA"/>
              </w:rPr>
              <w:t xml:space="preserve"> </w:t>
            </w:r>
            <w:r>
              <w:rPr>
                <w:rFonts w:ascii="宋体" w:hAnsi="宋体" w:eastAsia="宋体" w:cs="宋体"/>
                <w:kern w:val="2"/>
                <w:sz w:val="21"/>
                <w:szCs w:val="24"/>
                <w:lang w:val="en-US" w:eastAsia="zh-CN" w:bidi="ar-SA"/>
              </w:rPr>
              <w:t>2007 年、2010 年、2015 年的年报都出具了标准无保留意见的审计报告，事务所并没有在公司任何一次财务重述前识别出财务报告中的差错， 也没有识别出公司虚构政府补助的违法行为。</w:t>
            </w:r>
          </w:p>
          <w:p>
            <w:pPr>
              <w:tabs>
                <w:tab w:val="left" w:pos="2160"/>
              </w:tabs>
              <w:ind w:firstLine="420" w:firstLineChars="200"/>
              <w:rPr>
                <w:rFonts w:ascii="微软雅黑" w:hAnsi="微软雅黑" w:eastAsia="微软雅黑" w:cs="微软雅黑"/>
                <w:color w:val="333333"/>
                <w:sz w:val="24"/>
                <w:szCs w:val="24"/>
                <w:shd w:val="clear" w:color="auto" w:fill="FFFFFF"/>
              </w:rPr>
            </w:pPr>
            <w:r>
              <w:rPr>
                <w:rFonts w:ascii="宋体" w:hAnsi="宋体" w:eastAsia="宋体" w:cs="宋体"/>
                <w:kern w:val="2"/>
                <w:sz w:val="21"/>
                <w:szCs w:val="24"/>
                <w:lang w:val="en-US" w:eastAsia="zh-CN" w:bidi="ar-SA"/>
              </w:rPr>
              <w:t>由此，我们有必要怀疑注册会 计师在审计过程中失去了独立性，外部监督乏力。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lang w:val="en-US" w:eastAsia="zh-CN"/>
              </w:rPr>
              <w:t>保留</w:t>
            </w:r>
            <w:r>
              <w:rPr>
                <w:rFonts w:hint="eastAsia"/>
              </w:rPr>
              <w:t>意见</w:t>
            </w:r>
            <w:r>
              <w:t xml:space="preserve"> </w:t>
            </w:r>
            <w:r>
              <w:rPr>
                <w:rFonts w:hint="eastAsia"/>
              </w:rPr>
              <w:t>虚增收入</w:t>
            </w:r>
            <w:r>
              <w:t xml:space="preserve"> </w:t>
            </w:r>
            <w:r>
              <w:rPr>
                <w:kern w:val="2"/>
                <w:sz w:val="21"/>
              </w:rPr>
              <w:t>内控重大缺陷</w:t>
            </w:r>
          </w:p>
        </w:tc>
      </w:tr>
    </w:tbl>
    <w:p/>
    <w:p>
      <w:pPr>
        <w:pStyle w:val="2"/>
        <w:keepNext w:val="0"/>
        <w:keepLines w:val="0"/>
        <w:widowControl/>
        <w:spacing w:before="0" w:after="0"/>
        <w:rPr>
          <w:rFonts w:hint="eastAsia" w:eastAsia="宋体"/>
          <w:lang w:val="en-US" w:eastAsia="zh-CN"/>
        </w:rPr>
      </w:pPr>
      <w:bookmarkStart w:id="7" w:name="_Toc26036"/>
      <w:r>
        <w:t>0</w:t>
      </w:r>
      <w:r>
        <w:rPr>
          <w:rFonts w:hint="eastAsia"/>
          <w:lang w:val="en-US" w:eastAsia="zh-CN"/>
        </w:rPr>
        <w:t>4</w:t>
      </w:r>
      <w:r>
        <w:t xml:space="preserve"> </w:t>
      </w:r>
      <w:r>
        <w:rPr>
          <w:rFonts w:hint="eastAsia"/>
        </w:rPr>
        <w:t>延安必康</w:t>
      </w:r>
      <w:r>
        <w:rPr>
          <w:rFonts w:hint="eastAsia"/>
          <w:lang w:val="en-US" w:eastAsia="zh-CN"/>
        </w:rPr>
        <w:t>案例</w:t>
      </w:r>
      <w:bookmarkEnd w:id="7"/>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rPr>
                <w:rFonts w:hint="eastAsia"/>
                <w:lang w:val="en-US" w:eastAsia="zh-CN"/>
              </w:rPr>
              <w:t>0304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w:t>
            </w:r>
            <w:r>
              <w:rPr>
                <w:rFonts w:hint="eastAsia"/>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延安必康制药股份有限公司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专用化学产品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rPr>
            </w:pPr>
            <w:r>
              <w:rPr>
                <w:rFonts w:hint="eastAsia"/>
              </w:rPr>
              <w:t>【企业背景】</w:t>
            </w:r>
          </w:p>
          <w:p>
            <w:pPr>
              <w:ind w:firstLine="420" w:firstLineChars="200"/>
              <w:rPr>
                <w:rFonts w:hint="eastAsia"/>
              </w:rPr>
            </w:pPr>
            <w:r>
              <w:rPr>
                <w:rFonts w:hint="eastAsia"/>
              </w:rPr>
              <w:t>延安必康制药股份有限公司成立于2002年12月30日，注册地位于陕西省延安市宝塔区新区创新创业小镇E区，法定代表人为谷晓嘉。经营范围包括中药材收购；药品的生产及自产品的销售；7—氨基—3—去乙酰氧基头孢烷酸、5，5—二甲基海因及其衍生产品、三氯吡啶醇钠、六氟磷酸锂、锂电池隔膜、高强高模聚乙烯纤维、无纬布及制</w:t>
            </w:r>
            <w:r>
              <w:rPr>
                <w:rFonts w:hint="eastAsia"/>
                <w:lang w:val="en-US" w:eastAsia="zh-CN"/>
              </w:rPr>
              <w:t>品、盐酸、氟化氢、氢氟酸、苯乙酸、氯化铵、硫酸铵、硫酸吡啶盐、塑料制品的</w:t>
            </w:r>
            <w:r>
              <w:rPr>
                <w:rFonts w:hint="eastAsia"/>
              </w:rPr>
              <w:t>生产及自产品销售；化工设备、机械设备制造、安装；经营本企业自产产品及技术的出口业务和本企业所需的机械设备、零配件、原辅材料及技术的进口业务。延安必康制药股份有限公司对外投资8家公司。</w:t>
            </w:r>
            <w:r>
              <w:rPr>
                <w:rFonts w:hint="eastAsia"/>
              </w:rPr>
              <w:tab/>
            </w:r>
          </w:p>
          <w:p>
            <w:pPr>
              <w:rPr>
                <w:rFonts w:hint="eastAsia"/>
              </w:rPr>
            </w:pPr>
            <w:r>
              <w:rPr>
                <w:rFonts w:hint="eastAsia"/>
              </w:rPr>
              <w:t>【案情背景】</w:t>
            </w:r>
          </w:p>
          <w:p>
            <w:pPr>
              <w:ind w:firstLine="420" w:firstLineChars="200"/>
              <w:rPr>
                <w:rFonts w:hint="eastAsia"/>
              </w:rPr>
            </w:pPr>
            <w:r>
              <w:rPr>
                <w:rFonts w:hint="eastAsia"/>
              </w:rPr>
              <w:t>8月17日，延安必康公告称，收到陕西监管局下发的《行政处罚事先告知书》，公司涉嫌违法事实主要包括三方面：</w:t>
            </w:r>
          </w:p>
          <w:p>
            <w:pPr>
              <w:ind w:firstLine="420" w:firstLineChars="200"/>
              <w:rPr>
                <w:rFonts w:hint="eastAsia"/>
              </w:rPr>
            </w:pPr>
            <w:r>
              <w:rPr>
                <w:rFonts w:hint="eastAsia"/>
              </w:rPr>
              <w:t>一是实控人及关联方通过工程款及收购等事项对上市公司44.97亿资金进行违规占用；</w:t>
            </w:r>
          </w:p>
          <w:p>
            <w:pPr>
              <w:ind w:firstLine="420" w:firstLineChars="200"/>
              <w:rPr>
                <w:rFonts w:hint="eastAsia"/>
              </w:rPr>
            </w:pPr>
            <w:r>
              <w:rPr>
                <w:rFonts w:hint="eastAsia"/>
              </w:rPr>
              <w:t>二是相关年度报告存在虚假记载，累计虚增货币资金36.63亿元；</w:t>
            </w:r>
          </w:p>
          <w:p>
            <w:pPr>
              <w:ind w:firstLine="420" w:firstLineChars="200"/>
              <w:rPr>
                <w:rFonts w:hint="eastAsia"/>
              </w:rPr>
            </w:pPr>
            <w:r>
              <w:rPr>
                <w:rFonts w:hint="eastAsia"/>
              </w:rPr>
              <w:t>三是相关临时报告信息披露内容不准确、不完整，存在误导性陈述。</w:t>
            </w:r>
          </w:p>
          <w:p>
            <w:pPr>
              <w:rPr>
                <w:rFonts w:hint="eastAsia"/>
              </w:rPr>
            </w:pPr>
            <w:r>
              <w:rPr>
                <w:rFonts w:hint="eastAsia"/>
              </w:rPr>
              <w:t>【案情描述】</w:t>
            </w:r>
          </w:p>
          <w:p>
            <w:pPr>
              <w:ind w:firstLine="420" w:firstLineChars="200"/>
              <w:rPr>
                <w:rFonts w:hint="eastAsia"/>
              </w:rPr>
            </w:pPr>
            <w:r>
              <w:rPr>
                <w:rFonts w:hint="eastAsia"/>
              </w:rPr>
              <w:t>首先，2015年2月11日和2016年1月15日，控股关联方新沂必康以加快和推动与公司产业链配套的新沂必康项目建设等为由，申请延安必康全资子公司陕西必康向新沂必康进行资金调拨和拆借，以解决短期资金需求。并约定相关收购事项。不过约定的收购事项并未实施，且相应转出的款项亦未返还上市公司。经测算，2015至2018年延安必康的控股股东及其关联方非经营性占用上市公司资金累计44.97亿元而公司未及时进行披露，存在重大遗漏。</w:t>
            </w:r>
          </w:p>
          <w:p>
            <w:pPr>
              <w:ind w:firstLine="420" w:firstLineChars="200"/>
              <w:rPr>
                <w:rFonts w:hint="eastAsia"/>
              </w:rPr>
            </w:pPr>
            <w:r>
              <w:rPr>
                <w:rFonts w:hint="default"/>
              </w:rPr>
              <w:t>其次，延安必康通过虚假财务记账、伪造银行对账单等方式，掩盖上述关联方非经营性占用上市公司资金情况，导致上市公司相关年度报告披露的货币资金账实不符，存在虚增货币资金情形。</w:t>
            </w:r>
          </w:p>
          <w:p>
            <w:pPr>
              <w:ind w:firstLine="420" w:firstLineChars="200"/>
              <w:rPr>
                <w:rFonts w:hint="eastAsia"/>
              </w:rPr>
            </w:pPr>
            <w:r>
              <w:rPr>
                <w:rFonts w:hint="default"/>
              </w:rPr>
              <w:t>通过上述方式，延安必康2015年、2016年，2018年分别虚增货币资金7.94亿元20.57亿元，元和8.11亿元。累计虚增货币资金金额数量巨大。</w:t>
            </w:r>
          </w:p>
          <w:p>
            <w:pPr>
              <w:ind w:firstLine="420" w:firstLineChars="200"/>
              <w:rPr>
                <w:rFonts w:hint="eastAsia"/>
              </w:rPr>
            </w:pPr>
            <w:r>
              <w:rPr>
                <w:rFonts w:hint="default"/>
              </w:rPr>
              <w:t>另外，2020年2月5日起，延安必康披露加快口罩生产的通知及开展肺纤维化治疗等战略合作后，上市公司股价于2月5日、6日连续涨停，2月7日最高涨幅9.62%</w:t>
            </w:r>
            <w:r>
              <w:rPr>
                <w:rFonts w:hint="eastAsia"/>
                <w:lang w:eastAsia="zh-CN"/>
              </w:rPr>
              <w:t>；</w:t>
            </w:r>
            <w:r>
              <w:rPr>
                <w:rFonts w:hint="default"/>
              </w:rPr>
              <w:t>在深圳证券交易所2月7日问询关注及公司补充披露相关内容后，上市公司股价由涨转跌，2月7日涨幅1.53%，2月10日、11日跌幅达9.98%、5.65%(2月8日和9日为周末)，反映延安必康披露的上述相关信息对股价产生较大影响。延安必康2月5日、2月7日披露的相关临时公告不准确、不完整，对上市公司股价产生较大影响，构成误导性陈述。说白了，就是公司蹭热点，偷鸡不成蚀把米。</w:t>
            </w:r>
          </w:p>
          <w:p>
            <w:pPr>
              <w:ind w:firstLine="420" w:firstLineChars="200"/>
              <w:rPr>
                <w:rFonts w:hint="eastAsia"/>
              </w:rPr>
            </w:pPr>
            <w:r>
              <w:rPr>
                <w:rFonts w:hint="default"/>
              </w:rPr>
              <w:t>总而言之，主营医药的延安必康累计占用上市公司约45亿元资金，虚增了约36亿元的货币资金，这不禁让人联想到了此前的造假的一些个股案例。对于目前持有公司股票的8万股东来讲，想必又是一番煎熬了。</w:t>
            </w:r>
          </w:p>
          <w:p>
            <w:pPr>
              <w:ind w:firstLine="420" w:firstLineChars="200"/>
              <w:rPr>
                <w:rFonts w:hint="eastAsia"/>
              </w:rPr>
            </w:pPr>
            <w:r>
              <w:rPr>
                <w:rFonts w:hint="eastAsia"/>
              </w:rPr>
              <w:t>基于以上情况，延安必康及公司实控人李宗松拟各被罚款60万元，并被给予警告；另有20余名涉事人员拟被罚款3万元-30万元不等，各项拟罚款合计267万元。</w:t>
            </w:r>
          </w:p>
          <w:p>
            <w:pPr>
              <w:ind w:firstLine="420" w:firstLineChars="200"/>
              <w:rPr>
                <w:rFonts w:hint="eastAsia"/>
              </w:rPr>
            </w:pPr>
            <w:r>
              <w:rPr>
                <w:rFonts w:hint="default"/>
              </w:rPr>
              <w:t>于此同时，深交所也向延安必康下达关注函，要求其自查公司是否还存在其他大股东占用资金的情形，以及分拆子公司上市的进展等。</w:t>
            </w:r>
          </w:p>
          <w:p>
            <w:pPr>
              <w:ind w:firstLine="420" w:firstLineChars="200"/>
              <w:rPr>
                <w:rFonts w:hint="eastAsia"/>
              </w:rPr>
            </w:pPr>
            <w:r>
              <w:rPr>
                <w:rFonts w:hint="default"/>
              </w:rPr>
              <w:t>受此消息影响，延安必康股价应声下落，已经连续两个交易日大跌，市值蒸发12.7亿。值得注意的是，其股价距离今年一月的最高点，市值已经蒸发277亿元。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pPr>
              <w:jc w:val="center"/>
              <w:rPr>
                <w:rFonts w:hint="eastAsia"/>
              </w:rPr>
            </w:pPr>
            <w:r>
              <w:rPr>
                <w:rFonts w:hint="eastAsia"/>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11"/>
              <w:keepNext w:val="0"/>
              <w:keepLines w:val="0"/>
              <w:widowControl/>
              <w:suppressLineNumbers w:val="0"/>
              <w:spacing w:before="0" w:beforeAutospacing="0" w:after="0" w:afterAutospacing="0"/>
              <w:ind w:left="0" w:right="0" w:firstLine="420" w:firstLineChars="200"/>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对期末余额重大、发生额重大的账户全部采用现场跟函的方式，并亲自获得银行流水或者要求银行工作人员直接邮寄回本所，偏远地区及不重大的账户采取独立邮寄的方式。所有的银行账户都取得回函，回函比例100%。对独立获取的重大账户银行流水与企业银行日记账进行核对，未发现重大异常情况，本次检查结合年审时执行的上述程序，对货币资金存放的具体情况进行了逐一检查。</w:t>
            </w:r>
          </w:p>
          <w:p>
            <w:pPr>
              <w:pStyle w:val="11"/>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一次常规的年报审计，一次专门的货币资金核查，均没有发现货币资金造假的问题，但监管机构却在检查过程中发现了货币资金的造假事实，这之间到底出现了什么问题？</w:t>
            </w:r>
          </w:p>
          <w:p>
            <w:pPr>
              <w:pStyle w:val="11"/>
              <w:keepNext w:val="0"/>
              <w:keepLines w:val="0"/>
              <w:widowControl/>
              <w:suppressLineNumbers w:val="0"/>
              <w:spacing w:before="0" w:beforeAutospacing="0" w:after="0" w:afterAutospacing="0"/>
              <w:ind w:left="0" w:right="0" w:firstLine="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审计师的审计程序有没有问题？有！</w:t>
            </w:r>
          </w:p>
          <w:p>
            <w:pPr>
              <w:ind w:firstLine="420" w:firstLineChars="200"/>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瑞华对期末余额重大、发生额重大的账户全部采用现场跟函的方式，并亲自获得银行流水或者要求银行工作人员直接邮寄回本所，偏远地区及不重大的账户采取独立邮寄的方式。实操上可能这样最经济，但恰恰是对于期末余额重大或发生额重大的账户要求银行工作人员直接邮寄回事务所的做法正中上市公司的下怀，银企合谋，最具有证明力的第三方证据被篡改记录了，才出现了所谓的货币资金造假</w:t>
            </w:r>
            <w:r>
              <w:rPr>
                <w:rFonts w:hint="eastAsia" w:ascii="Times New Roman" w:hAnsi="Times New Roman" w:eastAsia="宋体" w:cs="Times New Roman"/>
                <w:kern w:val="2"/>
                <w:sz w:val="21"/>
                <w:szCs w:val="22"/>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pPr>
              <w:rPr>
                <w:rFonts w:hint="eastAsia" w:eastAsia="宋体"/>
                <w:lang w:val="en-US" w:eastAsia="zh-CN"/>
              </w:rPr>
            </w:pPr>
            <w:r>
              <w:rPr>
                <w:rFonts w:hint="default"/>
              </w:rPr>
              <w:t>虚增货币资金</w:t>
            </w:r>
            <w:r>
              <w:rPr>
                <w:rFonts w:hint="eastAsia"/>
                <w:lang w:val="en-US" w:eastAsia="zh-CN"/>
              </w:rPr>
              <w:t xml:space="preserve"> </w:t>
            </w:r>
            <w:r>
              <w:rPr>
                <w:rFonts w:hint="eastAsia"/>
              </w:rPr>
              <w:t>未及时披露</w:t>
            </w:r>
            <w:r>
              <w:rPr>
                <w:rFonts w:hint="eastAsia"/>
                <w:lang w:val="en-US" w:eastAsia="zh-CN"/>
              </w:rPr>
              <w:t xml:space="preserve"> </w:t>
            </w:r>
          </w:p>
        </w:tc>
      </w:tr>
    </w:tbl>
    <w:p/>
    <w:p>
      <w:pPr>
        <w:pStyle w:val="2"/>
        <w:rPr>
          <w:rFonts w:hint="eastAsia" w:eastAsia="宋体"/>
          <w:shd w:val="clear" w:color="auto" w:fill="FDFDFD"/>
          <w:lang w:val="en-US" w:eastAsia="zh-CN"/>
        </w:rPr>
      </w:pPr>
      <w:bookmarkStart w:id="8" w:name="_Toc18562"/>
      <w:r>
        <w:rPr>
          <w:rFonts w:hint="eastAsia"/>
        </w:rPr>
        <w:t>0</w:t>
      </w:r>
      <w:r>
        <w:rPr>
          <w:rFonts w:hint="eastAsia"/>
          <w:lang w:val="en-US" w:eastAsia="zh-CN"/>
        </w:rPr>
        <w:t>5</w:t>
      </w:r>
      <w:r>
        <w:rPr>
          <w:rFonts w:hint="eastAsia"/>
          <w:shd w:val="clear" w:color="auto" w:fill="FDFDFD"/>
          <w:lang w:val="en-US" w:eastAsia="zh-CN"/>
        </w:rPr>
        <w:t>林州重机</w:t>
      </w:r>
      <w:r>
        <w:rPr>
          <w:shd w:val="clear" w:color="auto" w:fill="FDFDFD"/>
        </w:rPr>
        <w:t>案</w:t>
      </w:r>
      <w:r>
        <w:rPr>
          <w:rFonts w:hint="eastAsia"/>
          <w:shd w:val="clear" w:color="auto" w:fill="FDFDFD"/>
          <w:lang w:val="en-US" w:eastAsia="zh-CN"/>
        </w:rPr>
        <w:t>例</w:t>
      </w:r>
      <w:bookmarkEnd w:id="8"/>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201</w:t>
            </w:r>
            <w:r>
              <w:rPr>
                <w:rFonts w:hint="eastAsia"/>
                <w:lang w:val="en-US" w:eastAsia="zh-CN"/>
              </w:rPr>
              <w:t>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lang w:val="en-US" w:eastAsia="zh-CN"/>
              </w:rPr>
              <w:t>林州重机集团股份有限公司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lang w:val="en-US" w:eastAsia="zh-CN"/>
              </w:rPr>
              <w:t>能源装备制造、军工装备制造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rPr>
            </w:pPr>
            <w:r>
              <w:rPr>
                <w:rFonts w:hint="eastAsia"/>
              </w:rPr>
              <w:t>【企业背景】</w:t>
            </w:r>
          </w:p>
          <w:p>
            <w:pPr>
              <w:ind w:firstLine="420" w:firstLineChars="200"/>
              <w:rPr>
                <w:rFonts w:hint="eastAsia"/>
              </w:rPr>
            </w:pPr>
            <w:r>
              <w:rPr>
                <w:rFonts w:hint="eastAsia"/>
                <w:lang w:val="en-US" w:eastAsia="zh-CN"/>
              </w:rPr>
              <w:t>林州重机集团股份有限公司始创于1982年，位于举世闻名的红旗渠畔，现已发展成为国内一家集铸钢锻压业务、能源装备制造、煤矿运营服务、融资租赁服务、军工装备制造于一体的能源装备综合服务企业。</w:t>
            </w:r>
          </w:p>
          <w:p>
            <w:pPr>
              <w:ind w:firstLine="420" w:firstLineChars="200"/>
              <w:rPr>
                <w:rFonts w:hint="eastAsia"/>
              </w:rPr>
            </w:pPr>
            <w:r>
              <w:rPr>
                <w:rFonts w:hint="eastAsia"/>
                <w:lang w:val="en-US" w:eastAsia="zh-CN"/>
              </w:rPr>
              <w:t>2011年1月11日，公司在深圳证券交易所挂牌上市（股票简称：林州重机；股票代码：002535）。公司注册资本人民币801，683，074元，总资产人民币4，691，007，680.11元。主营业务包括煤矿机械、防爆电器销售、维修及租赁服务、煤矿运营服务业务等。法定代表人郭现生，曾任第十二届全国人大代表。</w:t>
            </w:r>
          </w:p>
          <w:p>
            <w:pPr>
              <w:ind w:firstLine="420" w:firstLineChars="200"/>
              <w:rPr>
                <w:rFonts w:hint="eastAsia"/>
              </w:rPr>
            </w:pPr>
            <w:r>
              <w:rPr>
                <w:rFonts w:hint="eastAsia"/>
                <w:lang w:val="en-US" w:eastAsia="zh-CN"/>
              </w:rPr>
              <w:t>公司主要产品有液压支架、采煤机、掘进机、刮板输送机、带式输送机、矿井连续提升机、虹膜识别产品、电液控制系统、铸锻配件等。拥有矿用产品安全标志证书212项。荣获中国驰名商标、全国煤矿“十佳”支护产品、河南省著名商标、河南省名牌产品等荣誉称号。</w:t>
            </w:r>
          </w:p>
          <w:p>
            <w:pPr>
              <w:rPr>
                <w:rFonts w:hint="eastAsia"/>
              </w:rPr>
            </w:pPr>
            <w:r>
              <w:rPr>
                <w:rFonts w:hint="eastAsia"/>
              </w:rPr>
              <w:t>【案情背景】</w:t>
            </w:r>
          </w:p>
          <w:p>
            <w:pPr>
              <w:ind w:firstLine="420" w:firstLineChars="200"/>
              <w:rPr>
                <w:rFonts w:hint="eastAsia"/>
              </w:rPr>
            </w:pPr>
            <w:r>
              <w:rPr>
                <w:rFonts w:hint="default"/>
              </w:rPr>
              <w:t>林州重机 2019 年度财务报表被北京兴华会计师事务所出具无法表示意见的审计报告。形成无法表示意见的基础包括林州重机被中国证监会立案调查尚未有结论性意见或决定、无法判断对外担保损失金额以及担保损失的追偿金额。同时，林州重机 2019 年度内部控制被兴华事务所出具否定意见的审计报告。</w:t>
            </w:r>
          </w:p>
          <w:p>
            <w:pPr>
              <w:rPr>
                <w:rFonts w:hint="eastAsia"/>
              </w:rPr>
            </w:pPr>
            <w:r>
              <w:rPr>
                <w:rFonts w:hint="eastAsia"/>
              </w:rPr>
              <w:t>【案情分析】</w:t>
            </w:r>
          </w:p>
          <w:p>
            <w:pPr>
              <w:rPr>
                <w:rFonts w:hint="eastAsia"/>
              </w:rPr>
            </w:pPr>
            <w:r>
              <w:rPr>
                <w:rFonts w:hint="eastAsia"/>
              </w:rPr>
              <w:drawing>
                <wp:inline distT="0" distB="0" distL="114300" distR="114300">
                  <wp:extent cx="4025265" cy="1551940"/>
                  <wp:effectExtent l="0" t="0" r="13335" b="1016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4025265" cy="1551940"/>
                          </a:xfrm>
                          <a:prstGeom prst="rect">
                            <a:avLst/>
                          </a:prstGeom>
                          <a:noFill/>
                          <a:ln w="9525">
                            <a:noFill/>
                          </a:ln>
                        </pic:spPr>
                      </pic:pic>
                    </a:graphicData>
                  </a:graphic>
                </wp:inline>
              </w:drawing>
            </w:r>
          </w:p>
          <w:p>
            <w:pPr>
              <w:ind w:firstLine="210" w:firstLineChars="100"/>
              <w:rPr>
                <w:rFonts w:hint="eastAsia"/>
                <w:lang w:val="en-US" w:eastAsia="zh-CN"/>
              </w:rPr>
            </w:pP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"http://quote.eastmoney.com/sz002535.html" \t "http://finance.eastmoney.com/a/_blank" </w:instrText>
            </w:r>
            <w:r>
              <w:rPr>
                <w:rFonts w:hint="eastAsia"/>
                <w:lang w:val="en-US" w:eastAsia="zh-CN"/>
              </w:rPr>
              <w:fldChar w:fldCharType="separate"/>
            </w:r>
            <w:r>
              <w:rPr>
                <w:rFonts w:hint="eastAsia"/>
                <w:lang w:val="en-US" w:eastAsia="zh-CN"/>
              </w:rPr>
              <w:t>*ST林重</w:t>
            </w:r>
            <w:r>
              <w:rPr>
                <w:rFonts w:hint="eastAsia"/>
                <w:lang w:val="en-US" w:eastAsia="zh-CN"/>
              </w:rPr>
              <w:fldChar w:fldCharType="end"/>
            </w:r>
            <w:r>
              <w:rPr>
                <w:rFonts w:hint="eastAsia"/>
                <w:lang w:val="en-US" w:eastAsia="zh-CN"/>
              </w:rPr>
              <w:t>(002535)于7月16日晚间发布</w:t>
            </w:r>
            <w:r>
              <w:rPr>
                <w:rFonts w:hint="eastAsia"/>
                <w:lang w:val="en-US" w:eastAsia="zh-CN"/>
              </w:rPr>
              <w:fldChar w:fldCharType="begin"/>
            </w:r>
            <w:r>
              <w:rPr>
                <w:rFonts w:hint="eastAsia"/>
                <w:lang w:val="en-US" w:eastAsia="zh-CN"/>
              </w:rPr>
              <w:instrText xml:space="preserve"> HYPERLINK "http://data.eastmoney.com/notices/" \t "http://finance.eastmoney.com/a/_blank" </w:instrText>
            </w:r>
            <w:r>
              <w:rPr>
                <w:rFonts w:hint="eastAsia"/>
                <w:lang w:val="en-US" w:eastAsia="zh-CN"/>
              </w:rPr>
              <w:fldChar w:fldCharType="separate"/>
            </w:r>
            <w:r>
              <w:rPr>
                <w:rFonts w:hint="eastAsia"/>
                <w:lang w:val="en-US" w:eastAsia="zh-CN"/>
              </w:rPr>
              <w:t>公告</w:t>
            </w:r>
            <w:r>
              <w:rPr>
                <w:rFonts w:hint="eastAsia"/>
                <w:lang w:val="en-US" w:eastAsia="zh-CN"/>
              </w:rPr>
              <w:fldChar w:fldCharType="end"/>
            </w:r>
            <w:r>
              <w:rPr>
                <w:rFonts w:hint="eastAsia"/>
                <w:lang w:val="en-US" w:eastAsia="zh-CN"/>
              </w:rPr>
              <w:t>，证监会完成了对</w:t>
            </w:r>
            <w:r>
              <w:rPr>
                <w:rFonts w:hint="eastAsia"/>
                <w:lang w:val="en-US" w:eastAsia="zh-CN"/>
              </w:rPr>
              <w:fldChar w:fldCharType="begin"/>
            </w:r>
            <w:r>
              <w:rPr>
                <w:rFonts w:hint="eastAsia"/>
                <w:lang w:val="en-US" w:eastAsia="zh-CN"/>
              </w:rPr>
              <w:instrText xml:space="preserve"> HYPERLINK "http://baike.eastmoney.com/item/%E5%85%AC%E5%8F%B8" \t "http://finance.eastmoney.com/a/_blank" </w:instrText>
            </w:r>
            <w:r>
              <w:rPr>
                <w:rFonts w:hint="eastAsia"/>
                <w:lang w:val="en-US" w:eastAsia="zh-CN"/>
              </w:rPr>
              <w:fldChar w:fldCharType="separate"/>
            </w:r>
            <w:r>
              <w:rPr>
                <w:rFonts w:hint="eastAsia"/>
                <w:lang w:val="en-US" w:eastAsia="zh-CN"/>
              </w:rPr>
              <w:t>公司</w:t>
            </w:r>
            <w:r>
              <w:rPr>
                <w:rFonts w:hint="eastAsia"/>
                <w:lang w:val="en-US" w:eastAsia="zh-CN"/>
              </w:rPr>
              <w:fldChar w:fldCharType="end"/>
            </w:r>
            <w:r>
              <w:rPr>
                <w:rFonts w:hint="eastAsia"/>
                <w:lang w:val="en-US" w:eastAsia="zh-CN"/>
              </w:rPr>
              <w:t>的立案调查，并认定公司2017年</w:t>
            </w:r>
            <w:r>
              <w:rPr>
                <w:rFonts w:hint="eastAsia"/>
                <w:lang w:val="en-US" w:eastAsia="zh-CN"/>
              </w:rPr>
              <w:fldChar w:fldCharType="begin"/>
            </w:r>
            <w:r>
              <w:rPr>
                <w:rFonts w:hint="eastAsia"/>
                <w:lang w:val="en-US" w:eastAsia="zh-CN"/>
              </w:rPr>
              <w:instrText xml:space="preserve"> HYPERLINK "http://baike.eastmoney.com/item/%E8%B4%A2%E5%8A%A1" \t "http://finance.eastmoney.com/a/_blank" </w:instrText>
            </w:r>
            <w:r>
              <w:rPr>
                <w:rFonts w:hint="eastAsia"/>
                <w:lang w:val="en-US" w:eastAsia="zh-CN"/>
              </w:rPr>
              <w:fldChar w:fldCharType="separate"/>
            </w:r>
            <w:r>
              <w:rPr>
                <w:rFonts w:hint="eastAsia"/>
                <w:lang w:val="en-US" w:eastAsia="zh-CN"/>
              </w:rPr>
              <w:t>财务</w:t>
            </w:r>
            <w:r>
              <w:rPr>
                <w:rFonts w:hint="eastAsia"/>
                <w:lang w:val="en-US" w:eastAsia="zh-CN"/>
              </w:rPr>
              <w:fldChar w:fldCharType="end"/>
            </w:r>
            <w:r>
              <w:rPr>
                <w:rFonts w:hint="eastAsia"/>
                <w:lang w:val="en-US" w:eastAsia="zh-CN"/>
              </w:rPr>
              <w:t>造假。</w:t>
            </w:r>
          </w:p>
          <w:p>
            <w:pPr>
              <w:rPr>
                <w:rFonts w:hint="eastAsia"/>
                <w:lang w:val="en-US" w:eastAsia="zh-CN"/>
              </w:rPr>
            </w:pPr>
            <w:r>
              <w:rPr>
                <w:rFonts w:hint="eastAsia"/>
                <w:lang w:val="en-US" w:eastAsia="zh-CN"/>
              </w:rPr>
              <w:t>　  2017年2月10日，林州重机和兰州中煤支护装备</w:t>
            </w:r>
            <w:r>
              <w:rPr>
                <w:rFonts w:hint="eastAsia"/>
                <w:lang w:val="en-US" w:eastAsia="zh-CN"/>
              </w:rPr>
              <w:fldChar w:fldCharType="begin"/>
            </w:r>
            <w:r>
              <w:rPr>
                <w:rFonts w:hint="eastAsia"/>
                <w:lang w:val="en-US" w:eastAsia="zh-CN"/>
              </w:rPr>
              <w:instrText xml:space="preserve"> HYPERLINK "http://baike.eastmoney.com/item/%E6%9C%89%E9%99%90%E5%85%AC%E5%8F%B8" \t "http://finance.eastmoney.com/a/_blank" </w:instrText>
            </w:r>
            <w:r>
              <w:rPr>
                <w:rFonts w:hint="eastAsia"/>
                <w:lang w:val="en-US" w:eastAsia="zh-CN"/>
              </w:rPr>
              <w:fldChar w:fldCharType="separate"/>
            </w:r>
            <w:r>
              <w:rPr>
                <w:rFonts w:hint="eastAsia"/>
                <w:lang w:val="en-US" w:eastAsia="zh-CN"/>
              </w:rPr>
              <w:t>有限公司</w:t>
            </w:r>
            <w:r>
              <w:rPr>
                <w:rFonts w:hint="eastAsia"/>
                <w:lang w:val="en-US" w:eastAsia="zh-CN"/>
              </w:rPr>
              <w:fldChar w:fldCharType="end"/>
            </w:r>
            <w:r>
              <w:rPr>
                <w:rFonts w:hint="eastAsia"/>
                <w:lang w:val="en-US" w:eastAsia="zh-CN"/>
              </w:rPr>
              <w:t>签订</w:t>
            </w:r>
            <w:r>
              <w:rPr>
                <w:rFonts w:hint="eastAsia"/>
                <w:lang w:val="en-US" w:eastAsia="zh-CN"/>
              </w:rPr>
              <w:fldChar w:fldCharType="begin"/>
            </w:r>
            <w:r>
              <w:rPr>
                <w:rFonts w:hint="eastAsia"/>
                <w:lang w:val="en-US" w:eastAsia="zh-CN"/>
              </w:rPr>
              <w:instrText xml:space="preserve"> HYPERLINK "http://baike.eastmoney.com/item/%E5%B7%A5%E4%B8%9A" \t "http://finance.eastmoney.com/a/_blank" </w:instrText>
            </w:r>
            <w:r>
              <w:rPr>
                <w:rFonts w:hint="eastAsia"/>
                <w:lang w:val="en-US" w:eastAsia="zh-CN"/>
              </w:rPr>
              <w:fldChar w:fldCharType="separate"/>
            </w:r>
            <w:r>
              <w:rPr>
                <w:rFonts w:hint="eastAsia"/>
                <w:lang w:val="en-US" w:eastAsia="zh-CN"/>
              </w:rPr>
              <w:t>工业</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"http://baike.eastmoney.com/item/%E4%BA%A7%E5%93%81" \t "http://finance.eastmoney.com/a/_blank" </w:instrText>
            </w:r>
            <w:r>
              <w:rPr>
                <w:rFonts w:hint="eastAsia"/>
                <w:lang w:val="en-US" w:eastAsia="zh-CN"/>
              </w:rPr>
              <w:fldChar w:fldCharType="separate"/>
            </w:r>
            <w:r>
              <w:rPr>
                <w:rFonts w:hint="eastAsia"/>
                <w:lang w:val="en-US" w:eastAsia="zh-CN"/>
              </w:rPr>
              <w:t>产品</w:t>
            </w:r>
            <w:r>
              <w:rPr>
                <w:rFonts w:hint="eastAsia"/>
                <w:lang w:val="en-US" w:eastAsia="zh-CN"/>
              </w:rPr>
              <w:fldChar w:fldCharType="end"/>
            </w:r>
            <w:r>
              <w:rPr>
                <w:rFonts w:hint="eastAsia"/>
                <w:lang w:val="en-US" w:eastAsia="zh-CN"/>
              </w:rPr>
              <w:t>采购</w:t>
            </w:r>
            <w:r>
              <w:rPr>
                <w:rFonts w:hint="eastAsia"/>
                <w:lang w:val="en-US" w:eastAsia="zh-CN"/>
              </w:rPr>
              <w:fldChar w:fldCharType="begin"/>
            </w:r>
            <w:r>
              <w:rPr>
                <w:rFonts w:hint="eastAsia"/>
                <w:lang w:val="en-US" w:eastAsia="zh-CN"/>
              </w:rPr>
              <w:instrText xml:space="preserve"> HYPERLINK "http://data.eastmoney.com/zdht/" \t "http://finance.eastmoney.com/a/_blank" </w:instrText>
            </w:r>
            <w:r>
              <w:rPr>
                <w:rFonts w:hint="eastAsia"/>
                <w:lang w:val="en-US" w:eastAsia="zh-CN"/>
              </w:rPr>
              <w:fldChar w:fldCharType="separate"/>
            </w:r>
            <w:r>
              <w:rPr>
                <w:rFonts w:hint="eastAsia"/>
                <w:lang w:val="en-US" w:eastAsia="zh-CN"/>
              </w:rPr>
              <w:t>合同</w:t>
            </w:r>
            <w:r>
              <w:rPr>
                <w:rFonts w:hint="eastAsia"/>
                <w:lang w:val="en-US" w:eastAsia="zh-CN"/>
              </w:rPr>
              <w:fldChar w:fldCharType="end"/>
            </w:r>
            <w:r>
              <w:rPr>
                <w:rFonts w:hint="eastAsia"/>
                <w:lang w:val="en-US" w:eastAsia="zh-CN"/>
              </w:rPr>
              <w:t>，合同约定由兰州中煤向林州重机提供锂电池系列设备，合同总价款为3.9亿元，约定交、提货时间为2017年8月31日。2017年2月18日、2月21日，林州重机分两笔支付给兰州中煤1亿元、0.95亿元，记入对兰州中煤的预付账款。</w:t>
            </w:r>
          </w:p>
          <w:p>
            <w:pPr>
              <w:ind w:firstLine="420" w:firstLineChars="200"/>
              <w:rPr>
                <w:rFonts w:hint="eastAsia"/>
                <w:lang w:val="en-US" w:eastAsia="zh-CN"/>
              </w:rPr>
            </w:pPr>
            <w:r>
              <w:rPr>
                <w:rFonts w:hint="eastAsia"/>
                <w:lang w:val="en-US" w:eastAsia="zh-CN"/>
              </w:rPr>
              <w:t>2017年12月31日，林州重机将预付给兰州中煤的1.95亿元转为对子公司林州朗坤科技有限公司的</w:t>
            </w:r>
            <w:r>
              <w:rPr>
                <w:rFonts w:hint="eastAsia"/>
                <w:lang w:val="en-US" w:eastAsia="zh-CN"/>
              </w:rPr>
              <w:fldChar w:fldCharType="begin"/>
            </w:r>
            <w:r>
              <w:rPr>
                <w:rFonts w:hint="eastAsia"/>
                <w:lang w:val="en-US" w:eastAsia="zh-CN"/>
              </w:rPr>
              <w:instrText xml:space="preserve"> HYPERLINK "http://baike.eastmoney.com/item/%E5%85%B6%E4%BB%96%E5%BA%94%E6%94%B6%E6%AC%BE" \t "http://finance.eastmoney.com/a/_blank" </w:instrText>
            </w:r>
            <w:r>
              <w:rPr>
                <w:rFonts w:hint="eastAsia"/>
                <w:lang w:val="en-US" w:eastAsia="zh-CN"/>
              </w:rPr>
              <w:fldChar w:fldCharType="separate"/>
            </w:r>
            <w:r>
              <w:rPr>
                <w:rFonts w:hint="eastAsia"/>
                <w:lang w:val="en-US" w:eastAsia="zh-CN"/>
              </w:rPr>
              <w:t>其他应收款</w:t>
            </w:r>
            <w:r>
              <w:rPr>
                <w:rFonts w:hint="eastAsia"/>
                <w:lang w:val="en-US" w:eastAsia="zh-CN"/>
              </w:rPr>
              <w:fldChar w:fldCharType="end"/>
            </w:r>
            <w:r>
              <w:rPr>
                <w:rFonts w:hint="eastAsia"/>
                <w:lang w:val="en-US" w:eastAsia="zh-CN"/>
              </w:rPr>
              <w:t>，朗坤科技确认对林州重机的其他应</w:t>
            </w:r>
            <w:r>
              <w:rPr>
                <w:rFonts w:hint="eastAsia"/>
                <w:lang w:val="en-US" w:eastAsia="zh-CN"/>
              </w:rPr>
              <w:fldChar w:fldCharType="begin"/>
            </w:r>
            <w:r>
              <w:rPr>
                <w:rFonts w:hint="eastAsia"/>
                <w:lang w:val="en-US" w:eastAsia="zh-CN"/>
              </w:rPr>
              <w:instrText xml:space="preserve"> HYPERLINK "http://baike.eastmoney.com/item/%E4%BB%98%E6%AC%BE" \t "http://finance.eastmoney.com/a/_blank" </w:instrText>
            </w:r>
            <w:r>
              <w:rPr>
                <w:rFonts w:hint="eastAsia"/>
                <w:lang w:val="en-US" w:eastAsia="zh-CN"/>
              </w:rPr>
              <w:fldChar w:fldCharType="separate"/>
            </w:r>
            <w:r>
              <w:rPr>
                <w:rFonts w:hint="eastAsia"/>
                <w:lang w:val="en-US" w:eastAsia="zh-CN"/>
              </w:rPr>
              <w:t>付款</w:t>
            </w:r>
            <w:r>
              <w:rPr>
                <w:rFonts w:hint="eastAsia"/>
                <w:lang w:val="en-US" w:eastAsia="zh-CN"/>
              </w:rPr>
              <w:fldChar w:fldCharType="end"/>
            </w:r>
            <w:r>
              <w:rPr>
                <w:rFonts w:hint="eastAsia"/>
                <w:lang w:val="en-US" w:eastAsia="zh-CN"/>
              </w:rPr>
              <w:t>，并将</w:t>
            </w:r>
            <w:r>
              <w:rPr>
                <w:rFonts w:hint="eastAsia"/>
                <w:lang w:val="en-US" w:eastAsia="zh-CN"/>
              </w:rPr>
              <w:fldChar w:fldCharType="begin"/>
            </w:r>
            <w:r>
              <w:rPr>
                <w:rFonts w:hint="eastAsia"/>
                <w:lang w:val="en-US" w:eastAsia="zh-CN"/>
              </w:rPr>
              <w:instrText xml:space="preserve"> HYPERLINK "http://baike.eastmoney.com/item/%E5%85%B6%E4%BB%96%E5%BA%94%E4%BB%98%E6%AC%BE" \t "http://finance.eastmoney.com/a/_blank" </w:instrText>
            </w:r>
            <w:r>
              <w:rPr>
                <w:rFonts w:hint="eastAsia"/>
                <w:lang w:val="en-US" w:eastAsia="zh-CN"/>
              </w:rPr>
              <w:fldChar w:fldCharType="separate"/>
            </w:r>
            <w:r>
              <w:rPr>
                <w:rFonts w:hint="eastAsia"/>
                <w:lang w:val="en-US" w:eastAsia="zh-CN"/>
              </w:rPr>
              <w:t>其他应付款</w:t>
            </w:r>
            <w:r>
              <w:rPr>
                <w:rFonts w:hint="eastAsia"/>
                <w:lang w:val="en-US" w:eastAsia="zh-CN"/>
              </w:rPr>
              <w:fldChar w:fldCharType="end"/>
            </w:r>
            <w:r>
              <w:rPr>
                <w:rFonts w:hint="eastAsia"/>
                <w:lang w:val="en-US" w:eastAsia="zh-CN"/>
              </w:rPr>
              <w:t>1.95亿元转入</w:t>
            </w:r>
            <w:r>
              <w:rPr>
                <w:rFonts w:hint="eastAsia"/>
                <w:lang w:val="en-US" w:eastAsia="zh-CN"/>
              </w:rPr>
              <w:fldChar w:fldCharType="begin"/>
            </w:r>
            <w:r>
              <w:rPr>
                <w:rFonts w:hint="eastAsia"/>
                <w:lang w:val="en-US" w:eastAsia="zh-CN"/>
              </w:rPr>
              <w:instrText xml:space="preserve"> HYPERLINK "http://baike.eastmoney.com/item/%E5%9C%A8%E5%BB%BA%E5%B7%A5%E7%A8%8B" \t "http://finance.eastmoney.com/a/_blank" </w:instrText>
            </w:r>
            <w:r>
              <w:rPr>
                <w:rFonts w:hint="eastAsia"/>
                <w:lang w:val="en-US" w:eastAsia="zh-CN"/>
              </w:rPr>
              <w:fldChar w:fldCharType="separate"/>
            </w:r>
            <w:r>
              <w:rPr>
                <w:rFonts w:hint="eastAsia"/>
                <w:lang w:val="en-US" w:eastAsia="zh-CN"/>
              </w:rPr>
              <w:t>在建工程</w:t>
            </w:r>
            <w:r>
              <w:rPr>
                <w:rFonts w:hint="eastAsia"/>
                <w:lang w:val="en-US" w:eastAsia="zh-CN"/>
              </w:rPr>
              <w:fldChar w:fldCharType="end"/>
            </w:r>
            <w:r>
              <w:rPr>
                <w:rFonts w:hint="eastAsia"/>
                <w:lang w:val="en-US" w:eastAsia="zh-CN"/>
              </w:rPr>
              <w:t>科目。同时，朗坤科技将其对林州重机的其他应付款利息进行资本化，即根据林州重机向兰州中煤支付预付账款起计算的利息(313天、年</w:t>
            </w:r>
            <w:r>
              <w:rPr>
                <w:rFonts w:hint="eastAsia"/>
                <w:lang w:val="en-US" w:eastAsia="zh-CN"/>
              </w:rPr>
              <w:fldChar w:fldCharType="begin"/>
            </w:r>
            <w:r>
              <w:rPr>
                <w:rFonts w:hint="eastAsia"/>
                <w:lang w:val="en-US" w:eastAsia="zh-CN"/>
              </w:rPr>
              <w:instrText xml:space="preserve"> HYPERLINK "http://data.eastmoney.com/cjsj/yhll.html" \t "http://finance.eastmoney.com/a/_blank" </w:instrText>
            </w:r>
            <w:r>
              <w:rPr>
                <w:rFonts w:hint="eastAsia"/>
                <w:lang w:val="en-US" w:eastAsia="zh-CN"/>
              </w:rPr>
              <w:fldChar w:fldCharType="separate"/>
            </w:r>
            <w:r>
              <w:rPr>
                <w:rFonts w:hint="eastAsia"/>
                <w:lang w:val="en-US" w:eastAsia="zh-CN"/>
              </w:rPr>
              <w:t>利率</w:t>
            </w:r>
            <w:r>
              <w:rPr>
                <w:rFonts w:hint="eastAsia"/>
                <w:lang w:val="en-US" w:eastAsia="zh-CN"/>
              </w:rPr>
              <w:fldChar w:fldCharType="end"/>
            </w:r>
            <w:r>
              <w:rPr>
                <w:rFonts w:hint="eastAsia"/>
                <w:lang w:val="en-US" w:eastAsia="zh-CN"/>
              </w:rPr>
              <w:t>7.03%)共计11918779.16元，记入在建工程，同时贷记对林州重机的其他应付款；林州重机将此笔资本化利息</w:t>
            </w:r>
            <w:r>
              <w:rPr>
                <w:rFonts w:hint="eastAsia"/>
                <w:lang w:val="en-US" w:eastAsia="zh-CN"/>
              </w:rPr>
              <w:fldChar w:fldCharType="begin"/>
            </w:r>
            <w:r>
              <w:rPr>
                <w:rFonts w:hint="eastAsia"/>
                <w:lang w:val="en-US" w:eastAsia="zh-CN"/>
              </w:rPr>
              <w:instrText xml:space="preserve"> HYPERLINK "http://baike.eastmoney.com/item/%E5%80%9F" \t "http://finance.eastmoney.com/a/_blank" </w:instrText>
            </w:r>
            <w:r>
              <w:rPr>
                <w:rFonts w:hint="eastAsia"/>
                <w:lang w:val="en-US" w:eastAsia="zh-CN"/>
              </w:rPr>
              <w:fldChar w:fldCharType="separate"/>
            </w:r>
            <w:r>
              <w:rPr>
                <w:rFonts w:hint="eastAsia"/>
                <w:lang w:val="en-US" w:eastAsia="zh-CN"/>
              </w:rPr>
              <w:t>借</w:t>
            </w:r>
            <w:r>
              <w:rPr>
                <w:rFonts w:hint="eastAsia"/>
                <w:lang w:val="en-US" w:eastAsia="zh-CN"/>
              </w:rPr>
              <w:fldChar w:fldCharType="end"/>
            </w:r>
            <w:r>
              <w:rPr>
                <w:rFonts w:hint="eastAsia"/>
                <w:lang w:val="en-US" w:eastAsia="zh-CN"/>
              </w:rPr>
              <w:t>记对朗坤科技的其他应收款，同时抵减</w:t>
            </w:r>
            <w:r>
              <w:rPr>
                <w:rFonts w:hint="eastAsia"/>
                <w:lang w:val="en-US" w:eastAsia="zh-CN"/>
              </w:rPr>
              <w:fldChar w:fldCharType="begin"/>
            </w:r>
            <w:r>
              <w:rPr>
                <w:rFonts w:hint="eastAsia"/>
                <w:lang w:val="en-US" w:eastAsia="zh-CN"/>
              </w:rPr>
              <w:instrText xml:space="preserve"> HYPERLINK "http://baike.eastmoney.com/item/%E8%B4%A2%E5%8A%A1%E8%B4%B9%E7%94%A8" \t "http://finance.eastmoney.com/a/_blank" </w:instrText>
            </w:r>
            <w:r>
              <w:rPr>
                <w:rFonts w:hint="eastAsia"/>
                <w:lang w:val="en-US" w:eastAsia="zh-CN"/>
              </w:rPr>
              <w:fldChar w:fldCharType="separate"/>
            </w:r>
            <w:r>
              <w:rPr>
                <w:rFonts w:hint="eastAsia"/>
                <w:lang w:val="en-US" w:eastAsia="zh-CN"/>
              </w:rPr>
              <w:t>财务费用</w:t>
            </w:r>
            <w:r>
              <w:rPr>
                <w:rFonts w:hint="eastAsia"/>
                <w:lang w:val="en-US" w:eastAsia="zh-CN"/>
              </w:rPr>
              <w:fldChar w:fldCharType="end"/>
            </w:r>
            <w:r>
              <w:rPr>
                <w:rFonts w:hint="eastAsia"/>
                <w:lang w:val="en-US" w:eastAsia="zh-CN"/>
              </w:rPr>
              <w:t>并确认</w:t>
            </w:r>
            <w:r>
              <w:rPr>
                <w:rFonts w:hint="eastAsia"/>
                <w:lang w:val="en-US" w:eastAsia="zh-CN"/>
              </w:rPr>
              <w:fldChar w:fldCharType="begin"/>
            </w:r>
            <w:r>
              <w:rPr>
                <w:rFonts w:hint="eastAsia"/>
                <w:lang w:val="en-US" w:eastAsia="zh-CN"/>
              </w:rPr>
              <w:instrText xml:space="preserve"> HYPERLINK "http://baike.eastmoney.com/item/%E5%BA%94%E4%BA%A4%E5%A2%9E%E5%80%BC%E7%A8%8E" \t "http://finance.eastmoney.com/a/_blank" </w:instrText>
            </w:r>
            <w:r>
              <w:rPr>
                <w:rFonts w:hint="eastAsia"/>
                <w:lang w:val="en-US" w:eastAsia="zh-CN"/>
              </w:rPr>
              <w:fldChar w:fldCharType="separate"/>
            </w:r>
            <w:r>
              <w:rPr>
                <w:rFonts w:hint="eastAsia"/>
                <w:lang w:val="en-US" w:eastAsia="zh-CN"/>
              </w:rPr>
              <w:t>应交增值税</w:t>
            </w:r>
            <w:r>
              <w:rPr>
                <w:rFonts w:hint="eastAsia"/>
                <w:lang w:val="en-US" w:eastAsia="zh-CN"/>
              </w:rPr>
              <w:fldChar w:fldCharType="end"/>
            </w:r>
            <w:r>
              <w:rPr>
                <w:rFonts w:hint="eastAsia"/>
                <w:lang w:val="en-US" w:eastAsia="zh-CN"/>
              </w:rPr>
              <w:t>销项税。</w:t>
            </w:r>
          </w:p>
          <w:p>
            <w:pPr>
              <w:ind w:firstLine="420" w:firstLineChars="200"/>
              <w:rPr>
                <w:rFonts w:hint="eastAsia"/>
                <w:lang w:val="en-US" w:eastAsia="zh-CN"/>
              </w:rPr>
            </w:pPr>
            <w:r>
              <w:rPr>
                <w:rFonts w:hint="eastAsia"/>
                <w:lang w:val="en-US" w:eastAsia="zh-CN"/>
              </w:rPr>
              <w:t>这些操作导致林州重机2017年</w:t>
            </w:r>
            <w:r>
              <w:rPr>
                <w:rFonts w:hint="eastAsia"/>
                <w:lang w:val="en-US" w:eastAsia="zh-CN"/>
              </w:rPr>
              <w:fldChar w:fldCharType="begin"/>
            </w:r>
            <w:r>
              <w:rPr>
                <w:rFonts w:hint="eastAsia"/>
                <w:lang w:val="en-US" w:eastAsia="zh-CN"/>
              </w:rPr>
              <w:instrText xml:space="preserve"> HYPERLINK "http://baike.eastmoney.com/item/%E5%90%88%E5%B9%B6%E8%B5%84%E4%BA%A7%E8%B4%9F%E5%80%BA%E8%A1%A8" \t "http://finance.eastmoney.com/a/_blank" </w:instrText>
            </w:r>
            <w:r>
              <w:rPr>
                <w:rFonts w:hint="eastAsia"/>
                <w:lang w:val="en-US" w:eastAsia="zh-CN"/>
              </w:rPr>
              <w:fldChar w:fldCharType="separate"/>
            </w:r>
            <w:r>
              <w:rPr>
                <w:rFonts w:hint="eastAsia"/>
                <w:lang w:val="en-US" w:eastAsia="zh-CN"/>
              </w:rPr>
              <w:t>合并资产负债表</w:t>
            </w:r>
            <w:r>
              <w:rPr>
                <w:rFonts w:hint="eastAsia"/>
                <w:lang w:val="en-US" w:eastAsia="zh-CN"/>
              </w:rPr>
              <w:fldChar w:fldCharType="end"/>
            </w:r>
            <w:r>
              <w:rPr>
                <w:rFonts w:hint="eastAsia"/>
                <w:lang w:val="en-US" w:eastAsia="zh-CN"/>
              </w:rPr>
              <w:t>虚增在建工程2.07亿元，虚减预付账款1.95亿元，虚增</w:t>
            </w:r>
            <w:r>
              <w:rPr>
                <w:rFonts w:hint="eastAsia"/>
                <w:lang w:val="en-US" w:eastAsia="zh-CN"/>
              </w:rPr>
              <w:fldChar w:fldCharType="begin"/>
            </w:r>
            <w:r>
              <w:rPr>
                <w:rFonts w:hint="eastAsia"/>
                <w:lang w:val="en-US" w:eastAsia="zh-CN"/>
              </w:rPr>
              <w:instrText xml:space="preserve"> HYPERLINK "http://baike.eastmoney.com/item/%E5%88%A9%E6%B6%A6" \t "http://finance.eastmoney.com/a/_blank" </w:instrText>
            </w:r>
            <w:r>
              <w:rPr>
                <w:rFonts w:hint="eastAsia"/>
                <w:lang w:val="en-US" w:eastAsia="zh-CN"/>
              </w:rPr>
              <w:fldChar w:fldCharType="separate"/>
            </w:r>
            <w:r>
              <w:rPr>
                <w:rFonts w:hint="eastAsia"/>
                <w:lang w:val="en-US" w:eastAsia="zh-CN"/>
              </w:rPr>
              <w:t>利润</w:t>
            </w:r>
            <w:r>
              <w:rPr>
                <w:rFonts w:hint="eastAsia"/>
                <w:lang w:val="en-US" w:eastAsia="zh-CN"/>
              </w:rPr>
              <w:fldChar w:fldCharType="end"/>
            </w:r>
            <w:r>
              <w:rPr>
                <w:rFonts w:hint="eastAsia"/>
                <w:lang w:val="en-US" w:eastAsia="zh-CN"/>
              </w:rPr>
              <w:t>总额11244131.28元，占当期披露合并利润总额的比例为48.72%。基于此，在2018年4月3日至2019年11月21日期间买入</w:t>
            </w:r>
            <w:r>
              <w:rPr>
                <w:rFonts w:hint="eastAsia"/>
                <w:lang w:val="en-US" w:eastAsia="zh-CN"/>
              </w:rPr>
              <w:fldChar w:fldCharType="begin"/>
            </w:r>
            <w:r>
              <w:rPr>
                <w:rFonts w:hint="eastAsia"/>
                <w:lang w:val="en-US" w:eastAsia="zh-CN"/>
              </w:rPr>
              <w:instrText xml:space="preserve"> HYPERLINK "http://quote.eastmoney.com/sz002535.html" \t "http://finance.eastmoney.com/a/_blank" </w:instrText>
            </w:r>
            <w:r>
              <w:rPr>
                <w:rFonts w:hint="eastAsia"/>
                <w:lang w:val="en-US" w:eastAsia="zh-CN"/>
              </w:rPr>
              <w:fldChar w:fldCharType="separate"/>
            </w:r>
            <w:r>
              <w:rPr>
                <w:rFonts w:hint="eastAsia"/>
                <w:lang w:val="en-US" w:eastAsia="zh-CN"/>
              </w:rPr>
              <w:t>*ST林重</w:t>
            </w:r>
            <w:r>
              <w:rPr>
                <w:rFonts w:hint="eastAsia"/>
                <w:lang w:val="en-US" w:eastAsia="zh-CN"/>
              </w:rPr>
              <w:fldChar w:fldCharType="end"/>
            </w:r>
            <w:r>
              <w:rPr>
                <w:rFonts w:hint="eastAsia"/>
                <w:lang w:val="en-US" w:eastAsia="zh-CN"/>
              </w:rPr>
              <w:t>且在2019年11月21日晚间依然持有的</w:t>
            </w:r>
            <w:r>
              <w:rPr>
                <w:rFonts w:hint="eastAsia"/>
                <w:lang w:val="en-US" w:eastAsia="zh-CN"/>
              </w:rPr>
              <w:fldChar w:fldCharType="begin"/>
            </w:r>
            <w:r>
              <w:rPr>
                <w:rFonts w:hint="eastAsia"/>
                <w:lang w:val="en-US" w:eastAsia="zh-CN"/>
              </w:rPr>
              <w:instrText xml:space="preserve"> HYPERLINK "http://baike.eastmoney.com/item/%E6%8A%95%E8%B5%84" \t "http://finance.eastmoney.com/a/_blank" </w:instrText>
            </w:r>
            <w:r>
              <w:rPr>
                <w:rFonts w:hint="eastAsia"/>
                <w:lang w:val="en-US" w:eastAsia="zh-CN"/>
              </w:rPr>
              <w:fldChar w:fldCharType="separate"/>
            </w:r>
            <w:r>
              <w:rPr>
                <w:rFonts w:hint="eastAsia"/>
                <w:lang w:val="en-US" w:eastAsia="zh-CN"/>
              </w:rPr>
              <w:t>投资</w:t>
            </w:r>
            <w:r>
              <w:rPr>
                <w:rFonts w:hint="eastAsia"/>
                <w:lang w:val="en-US" w:eastAsia="zh-CN"/>
              </w:rPr>
              <w:fldChar w:fldCharType="end"/>
            </w:r>
            <w:r>
              <w:rPr>
                <w:rFonts w:hint="eastAsia"/>
                <w:lang w:val="en-US" w:eastAsia="zh-CN"/>
              </w:rPr>
              <w:t>者可以索赔。</w:t>
            </w:r>
          </w:p>
          <w:p>
            <w:pPr>
              <w:ind w:firstLine="420" w:firstLineChars="200"/>
              <w:rPr>
                <w:rFonts w:hint="eastAsia"/>
              </w:rPr>
            </w:pPr>
            <w:r>
              <w:rPr>
                <w:rFonts w:hint="eastAsia"/>
                <w:lang w:val="en-US" w:eastAsia="zh-CN"/>
              </w:rPr>
              <w:t>除了已经被处罚的事件以外，</w:t>
            </w:r>
            <w:r>
              <w:rPr>
                <w:rFonts w:hint="eastAsia"/>
                <w:lang w:val="en-US" w:eastAsia="zh-CN"/>
              </w:rPr>
              <w:fldChar w:fldCharType="begin"/>
            </w:r>
            <w:r>
              <w:rPr>
                <w:rFonts w:hint="eastAsia"/>
                <w:lang w:val="en-US" w:eastAsia="zh-CN"/>
              </w:rPr>
              <w:instrText xml:space="preserve"> HYPERLINK "http://quote.eastmoney.com/sz002535.html" \t "http://finance.eastmoney.com/a/_blank" </w:instrText>
            </w:r>
            <w:r>
              <w:rPr>
                <w:rFonts w:hint="eastAsia"/>
                <w:lang w:val="en-US" w:eastAsia="zh-CN"/>
              </w:rPr>
              <w:fldChar w:fldCharType="separate"/>
            </w:r>
            <w:r>
              <w:rPr>
                <w:rFonts w:hint="eastAsia"/>
                <w:lang w:val="en-US" w:eastAsia="zh-CN"/>
              </w:rPr>
              <w:t>*ST林重</w:t>
            </w:r>
            <w:r>
              <w:rPr>
                <w:rFonts w:hint="eastAsia"/>
                <w:lang w:val="en-US" w:eastAsia="zh-CN"/>
              </w:rPr>
              <w:fldChar w:fldCharType="end"/>
            </w:r>
            <w:r>
              <w:rPr>
                <w:rFonts w:hint="eastAsia"/>
                <w:lang w:val="en-US" w:eastAsia="zh-CN"/>
              </w:rPr>
              <w:t>最近的一桩资产出售</w:t>
            </w:r>
            <w:r>
              <w:rPr>
                <w:rFonts w:hint="eastAsia"/>
                <w:lang w:val="en-US" w:eastAsia="zh-CN"/>
              </w:rPr>
              <w:fldChar w:fldCharType="begin"/>
            </w:r>
            <w:r>
              <w:rPr>
                <w:rFonts w:hint="eastAsia"/>
                <w:lang w:val="en-US" w:eastAsia="zh-CN"/>
              </w:rPr>
              <w:instrText xml:space="preserve"> HYPERLINK "http://baike.eastmoney.com/item/%E8%A1%8C%E4%B8%BA" \t "http://finance.eastmoney.com/a/_blank" </w:instrText>
            </w:r>
            <w:r>
              <w:rPr>
                <w:rFonts w:hint="eastAsia"/>
                <w:lang w:val="en-US" w:eastAsia="zh-CN"/>
              </w:rPr>
              <w:fldChar w:fldCharType="separate"/>
            </w:r>
            <w:r>
              <w:rPr>
                <w:rFonts w:hint="eastAsia"/>
                <w:lang w:val="en-US" w:eastAsia="zh-CN"/>
              </w:rPr>
              <w:t>行为</w:t>
            </w:r>
            <w:r>
              <w:rPr>
                <w:rFonts w:hint="eastAsia"/>
                <w:lang w:val="en-US" w:eastAsia="zh-CN"/>
              </w:rPr>
              <w:fldChar w:fldCharType="end"/>
            </w:r>
            <w:r>
              <w:rPr>
                <w:rFonts w:hint="eastAsia"/>
                <w:lang w:val="en-US" w:eastAsia="zh-CN"/>
              </w:rPr>
              <w:t>也引发了不少质疑。6月30日时，*ST林重宣布拟将持有的林州重机林钢钢铁有限公司100%的</w:t>
            </w:r>
            <w:r>
              <w:rPr>
                <w:rFonts w:hint="eastAsia"/>
                <w:lang w:val="en-US" w:eastAsia="zh-CN"/>
              </w:rPr>
              <w:fldChar w:fldCharType="begin"/>
            </w:r>
            <w:r>
              <w:rPr>
                <w:rFonts w:hint="eastAsia"/>
                <w:lang w:val="en-US" w:eastAsia="zh-CN"/>
              </w:rPr>
              <w:instrText xml:space="preserve"> HYPERLINK "http://data.eastmoney.com/bgcz/" \t "http://finance.eastmoney.com/a/_blank" </w:instrText>
            </w:r>
            <w:r>
              <w:rPr>
                <w:rFonts w:hint="eastAsia"/>
                <w:lang w:val="en-US" w:eastAsia="zh-CN"/>
              </w:rPr>
              <w:fldChar w:fldCharType="separate"/>
            </w:r>
            <w:r>
              <w:rPr>
                <w:rFonts w:hint="eastAsia"/>
                <w:lang w:val="en-US" w:eastAsia="zh-CN"/>
              </w:rPr>
              <w:t>股权转让</w:t>
            </w:r>
            <w:r>
              <w:rPr>
                <w:rFonts w:hint="eastAsia"/>
                <w:lang w:val="en-US" w:eastAsia="zh-CN"/>
              </w:rPr>
              <w:fldChar w:fldCharType="end"/>
            </w:r>
            <w:r>
              <w:rPr>
                <w:rFonts w:hint="eastAsia"/>
                <w:lang w:val="en-US" w:eastAsia="zh-CN"/>
              </w:rPr>
              <w:t>给内蒙古锦达煤焦有限责任公司，重机林钢在2019年12月31日的</w:t>
            </w:r>
            <w:r>
              <w:rPr>
                <w:rFonts w:hint="eastAsia"/>
                <w:lang w:val="en-US" w:eastAsia="zh-CN"/>
              </w:rPr>
              <w:fldChar w:fldCharType="begin"/>
            </w:r>
            <w:r>
              <w:rPr>
                <w:rFonts w:hint="eastAsia"/>
                <w:lang w:val="en-US" w:eastAsia="zh-CN"/>
              </w:rPr>
              <w:instrText xml:space="preserve"> HYPERLINK "http://baike.eastmoney.com/item/%E5%87%80%E8%B5%84%E4%BA%A7" \t "http://finance.eastmoney.com/a/_blank" </w:instrText>
            </w:r>
            <w:r>
              <w:rPr>
                <w:rFonts w:hint="eastAsia"/>
                <w:lang w:val="en-US" w:eastAsia="zh-CN"/>
              </w:rPr>
              <w:fldChar w:fldCharType="separate"/>
            </w:r>
            <w:r>
              <w:rPr>
                <w:rFonts w:hint="eastAsia"/>
                <w:lang w:val="en-US" w:eastAsia="zh-CN"/>
              </w:rPr>
              <w:t>净资产</w:t>
            </w:r>
            <w:r>
              <w:rPr>
                <w:rFonts w:hint="eastAsia"/>
                <w:lang w:val="en-US" w:eastAsia="zh-CN"/>
              </w:rPr>
              <w:fldChar w:fldCharType="end"/>
            </w:r>
            <w:r>
              <w:rPr>
                <w:rFonts w:hint="eastAsia"/>
                <w:lang w:val="en-US" w:eastAsia="zh-CN"/>
              </w:rPr>
              <w:t>被认定为-2762.28万元，转让金额设定为2.58亿元。但在2019年12月14日，*ST林重曾披露过一次转让重机林钢的计划，重机林钢2019年9月底时的所有者权益数据还有6.38亿元。这一大幅降价的行为，令人们对这次转让产生了疑惑。</w:t>
            </w:r>
            <w:r>
              <w:rPr>
                <w:rFonts w:hint="eastAsia"/>
                <w:lang w:val="en-US" w:eastAsia="zh-CN"/>
              </w:rPr>
              <w:tab/>
            </w: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rPr>
                <w:rFonts w:hint="default"/>
                <w:lang w:val="en-US" w:eastAsia="zh-CN"/>
              </w:rPr>
            </w:pPr>
            <w:r>
              <w:rPr>
                <w:rFonts w:hint="eastAsia"/>
              </w:rPr>
              <w:tab/>
            </w:r>
            <w:r>
              <w:rPr>
                <w:rFonts w:hint="eastAsia"/>
                <w:lang w:val="en-US" w:eastAsia="zh-CN"/>
              </w:rPr>
              <w:t>2020年8月20日晚间，</w:t>
            </w:r>
            <w:r>
              <w:rPr>
                <w:rFonts w:hint="default"/>
                <w:lang w:val="en-US" w:eastAsia="zh-CN"/>
              </w:rPr>
              <w:fldChar w:fldCharType="begin"/>
            </w:r>
            <w:r>
              <w:rPr>
                <w:rFonts w:hint="default"/>
                <w:lang w:val="en-US" w:eastAsia="zh-CN"/>
              </w:rPr>
              <w:instrText xml:space="preserve"> HYPERLINK "https://xueqiu.com/S/SZ002535?from=status_stock_match" </w:instrText>
            </w:r>
            <w:r>
              <w:rPr>
                <w:rFonts w:hint="default"/>
                <w:lang w:val="en-US" w:eastAsia="zh-CN"/>
              </w:rPr>
              <w:fldChar w:fldCharType="separate"/>
            </w:r>
            <w:r>
              <w:rPr>
                <w:rFonts w:hint="default"/>
                <w:lang w:val="en-US" w:eastAsia="zh-CN"/>
              </w:rPr>
              <w:t>林州重机</w:t>
            </w:r>
            <w:r>
              <w:rPr>
                <w:rFonts w:hint="default"/>
                <w:lang w:val="en-US" w:eastAsia="zh-CN"/>
              </w:rPr>
              <w:fldChar w:fldCharType="end"/>
            </w:r>
            <w:r>
              <w:rPr>
                <w:rFonts w:hint="default"/>
                <w:lang w:val="en-US" w:eastAsia="zh-CN"/>
              </w:rPr>
              <w:t>集团股份有限公司发布公告称</w:t>
            </w:r>
            <w:r>
              <w:rPr>
                <w:rFonts w:hint="eastAsia"/>
                <w:lang w:val="en-US" w:eastAsia="zh-CN"/>
              </w:rPr>
              <w:t>，</w:t>
            </w:r>
            <w:r>
              <w:rPr>
                <w:rFonts w:hint="default"/>
                <w:lang w:val="en-US" w:eastAsia="zh-CN"/>
              </w:rPr>
              <w:t>公司收到中国证券监督管理委员会下发的</w:t>
            </w:r>
            <w:r>
              <w:rPr>
                <w:rFonts w:hint="eastAsia"/>
                <w:lang w:val="en-US" w:eastAsia="zh-CN"/>
              </w:rPr>
              <w:t>《</w:t>
            </w:r>
            <w:r>
              <w:rPr>
                <w:rFonts w:hint="default"/>
                <w:lang w:val="en-US" w:eastAsia="zh-CN"/>
              </w:rPr>
              <w:t>行政处罚决定书</w:t>
            </w:r>
            <w:r>
              <w:rPr>
                <w:rFonts w:hint="eastAsia"/>
                <w:lang w:val="en-US" w:eastAsia="zh-CN"/>
              </w:rPr>
              <w:t>》。</w:t>
            </w:r>
            <w:r>
              <w:rPr>
                <w:rFonts w:hint="default"/>
                <w:lang w:val="en-US" w:eastAsia="zh-CN"/>
              </w:rPr>
              <w:t>中国证券监督管理委员会决定对林州重机集团股份有限公司给予警告</w:t>
            </w:r>
            <w:r>
              <w:rPr>
                <w:rFonts w:hint="eastAsia"/>
                <w:lang w:val="en-US" w:eastAsia="zh-CN"/>
              </w:rPr>
              <w:t>，</w:t>
            </w:r>
            <w:r>
              <w:rPr>
                <w:rFonts w:hint="default"/>
                <w:lang w:val="en-US" w:eastAsia="zh-CN"/>
              </w:rPr>
              <w:t>并处以30万元罚款</w:t>
            </w:r>
            <w:r>
              <w:rPr>
                <w:rFonts w:hint="eastAsia"/>
                <w:lang w:val="en-US" w:eastAsia="zh-CN"/>
              </w:rPr>
              <w:t>。</w:t>
            </w:r>
            <w:r>
              <w:rPr>
                <w:rFonts w:hint="default"/>
                <w:lang w:val="en-US" w:eastAsia="zh-CN"/>
              </w:rPr>
              <w:t>同时</w:t>
            </w:r>
            <w:r>
              <w:rPr>
                <w:rFonts w:hint="eastAsia"/>
                <w:lang w:val="en-US" w:eastAsia="zh-CN"/>
              </w:rPr>
              <w:t>，</w:t>
            </w:r>
            <w:r>
              <w:rPr>
                <w:rFonts w:hint="default"/>
                <w:lang w:val="en-US" w:eastAsia="zh-CN"/>
              </w:rPr>
              <w:t>对郭现生</w:t>
            </w:r>
            <w:r>
              <w:rPr>
                <w:rFonts w:hint="eastAsia"/>
                <w:lang w:val="en-US" w:eastAsia="zh-CN"/>
              </w:rPr>
              <w:t>、</w:t>
            </w:r>
            <w:r>
              <w:rPr>
                <w:rFonts w:hint="default"/>
                <w:lang w:val="en-US" w:eastAsia="zh-CN"/>
              </w:rPr>
              <w:t>郭钏</w:t>
            </w:r>
            <w:r>
              <w:rPr>
                <w:rFonts w:hint="eastAsia"/>
                <w:lang w:val="en-US" w:eastAsia="zh-CN"/>
              </w:rPr>
              <w:t>、</w:t>
            </w:r>
            <w:r>
              <w:rPr>
                <w:rFonts w:hint="default"/>
                <w:lang w:val="en-US" w:eastAsia="zh-CN"/>
              </w:rPr>
              <w:t>曹庆平给予警告</w:t>
            </w:r>
            <w:r>
              <w:rPr>
                <w:rFonts w:hint="eastAsia"/>
                <w:lang w:val="en-US" w:eastAsia="zh-CN"/>
              </w:rPr>
              <w:t>，</w:t>
            </w:r>
            <w:r>
              <w:rPr>
                <w:rFonts w:hint="default"/>
                <w:lang w:val="en-US" w:eastAsia="zh-CN"/>
              </w:rPr>
              <w:t>并分别处以10万元罚款</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top"/>
          </w:tcPr>
          <w:p>
            <w:pPr>
              <w:rPr>
                <w:rFonts w:hint="eastAsia"/>
              </w:rPr>
            </w:pPr>
            <w:r>
              <w:rPr>
                <w:rFonts w:hint="eastAsia"/>
              </w:rPr>
              <w:t>关联审计机构名称</w:t>
            </w:r>
          </w:p>
        </w:tc>
        <w:tc>
          <w:tcPr>
            <w:tcW w:w="6316" w:type="dxa"/>
            <w:vAlign w:val="top"/>
          </w:tcPr>
          <w:p>
            <w:pPr>
              <w:jc w:val="center"/>
              <w:rPr>
                <w:rFonts w:hint="eastAsia"/>
              </w:rPr>
            </w:pPr>
            <w:r>
              <w:rPr>
                <w:rFonts w:hint="eastAsia"/>
              </w:rPr>
              <w:t>北京兴华会计师事务所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shd w:val="clear" w:fill="FFFFFF"/>
              <w:spacing w:before="294" w:beforeAutospacing="0" w:after="294" w:afterAutospacing="0"/>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纵观银行账户资金被冻结，原因通常无非以下三个：</w:t>
            </w:r>
          </w:p>
          <w:p>
            <w:pPr>
              <w:pStyle w:val="11"/>
              <w:keepNext w:val="0"/>
              <w:keepLines w:val="0"/>
              <w:widowControl/>
              <w:numPr>
                <w:ilvl w:val="0"/>
                <w:numId w:val="2"/>
              </w:numPr>
              <w:suppressLineNumbers w:val="0"/>
              <w:shd w:val="clear" w:fill="FFFFFF"/>
              <w:spacing w:before="294" w:beforeAutospacing="0" w:after="294" w:afterAutospacing="0"/>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巨额债务，突然导致企业无法继续经营，银行无奈只能通过冻结账户保全资产；</w:t>
            </w:r>
          </w:p>
          <w:p>
            <w:pPr>
              <w:pStyle w:val="11"/>
              <w:keepNext w:val="0"/>
              <w:keepLines w:val="0"/>
              <w:widowControl/>
              <w:numPr>
                <w:ilvl w:val="0"/>
                <w:numId w:val="2"/>
              </w:numPr>
              <w:suppressLineNumbers w:val="0"/>
              <w:shd w:val="clear" w:fill="FFFFFF"/>
              <w:spacing w:before="294" w:beforeAutospacing="0" w:after="294" w:afterAutospacing="0"/>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因为债务纠纷，例如被担保人债务出现问题，公司被牵连进去，因而被冻结账户；</w:t>
            </w:r>
          </w:p>
          <w:p>
            <w:pPr>
              <w:pStyle w:val="11"/>
              <w:keepNext w:val="0"/>
              <w:keepLines w:val="0"/>
              <w:widowControl/>
              <w:numPr>
                <w:ilvl w:val="0"/>
                <w:numId w:val="2"/>
              </w:numPr>
              <w:suppressLineNumbers w:val="0"/>
              <w:shd w:val="clear" w:fill="FFFFFF"/>
              <w:spacing w:before="294" w:beforeAutospacing="0" w:after="294" w:afterAutospacing="0"/>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涉及相关合同诉讼，被申请冻结账户；也就是说，债务问题通常是账户被冻结最常见现象。而经过笔者对林州重机的深入研究，此次银行账户之所以被冻结，可能上述原因都有。</w:t>
            </w:r>
          </w:p>
          <w:p>
            <w:pPr>
              <w:pStyle w:val="11"/>
              <w:keepNext w:val="0"/>
              <w:keepLines w:val="0"/>
              <w:widowControl/>
              <w:suppressLineNumbers w:val="0"/>
              <w:shd w:val="clear" w:fill="FFFFFF"/>
              <w:spacing w:before="294" w:beforeAutospacing="0" w:after="294" w:afterAutospacing="0"/>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具体来看，第一个因素，由于公司自身经营不善，带来不了现金流，自身造血功能差，造成财务问题凸显。同时，偿债能力较差，最终让财务状况问题暴露。第二个因素，母公司和子公司之间错综复杂的相互担保关系。第三个因素，大股东有占用资金的嫌疑以及股权高质押比例。</w:t>
            </w:r>
          </w:p>
          <w:p>
            <w:pPr>
              <w:pStyle w:val="11"/>
              <w:keepNext w:val="0"/>
              <w:keepLines w:val="0"/>
              <w:widowControl/>
              <w:suppressLineNumbers w:val="0"/>
              <w:shd w:val="clear" w:fill="FFFFFF"/>
              <w:spacing w:before="294" w:beforeAutospacing="0" w:after="294" w:afterAutospacing="0"/>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林州重机与子公司之间的相互担保，以及对外相互担保，可谓是规模庞大，关系错综复杂。根据公司2019年中报财报数据，公司共对外担保3项，涉及金额2.82亿；公司对子公司担保9项，涉及金额5.27亿；报告期末实际担保余额合计8.09亿，占公司净资产的比例高达28.7%。这种公司之间的相互担保，就犹如铁链将船绑一起，“风”一吹时能够提供足够强的稳定性，但一旦遇上债务危机式的大爆发，结果只能火烧连环船，逃都逃不掉。果不其然，林州重机在对于上市公司担保的问题，这里的水太深，倘若被担保公司出现违约，则上市公司则可能不得不承担连带责任，上市公司的偿债风险则越发暴露出来，要小心。</w:t>
            </w:r>
          </w:p>
          <w:p>
            <w:pPr>
              <w:pStyle w:val="11"/>
              <w:keepNext w:val="0"/>
              <w:keepLines w:val="0"/>
              <w:widowControl/>
              <w:suppressLineNumbers w:val="0"/>
              <w:shd w:val="clear" w:fill="FFFFFF"/>
              <w:spacing w:before="294" w:beforeAutospacing="0" w:after="294" w:afterAutospacing="0"/>
              <w:ind w:left="0" w:right="0" w:firstLine="420" w:firstLineChars="200"/>
              <w:rPr>
                <w:rStyle w:val="19"/>
                <w:i w:val="0"/>
                <w:iCs w:val="0"/>
                <w:color w:val="auto"/>
              </w:rPr>
            </w:pPr>
            <w:r>
              <w:rPr>
                <w:rFonts w:hint="eastAsia" w:ascii="Times New Roman" w:hAnsi="Times New Roman" w:eastAsia="宋体" w:cs="Times New Roman"/>
                <w:kern w:val="2"/>
                <w:sz w:val="21"/>
                <w:szCs w:val="22"/>
                <w:lang w:val="en-US" w:eastAsia="zh-CN" w:bidi="ar-SA"/>
              </w:rPr>
              <w:t>高质押比例似乎暗示大股东资金不充裕，除了担保以外，林州重机的隐性危机还包括大股东的股权质押。据公开数据显示，截至2019年前三季度，林州重机前三大股东合计质押了29848.8万股，质押比例高达95%以上。另外，11月5日、6日，林州重机都发布了公告，“关于公司控股股东部分股份质押延期购回的公告”。同时，在本次延迟购回股权的行为被交易所公告之前，林州重机此前也曾数次发布公告，称大股东股权质押并延期购回。例如，今年的7月、6月、3月和去年8月、去年6月，林州重机均发了大股东股权质押被延迟的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虚增在建工程 虚减预付账款</w:t>
            </w:r>
          </w:p>
        </w:tc>
      </w:tr>
    </w:tbl>
    <w:p/>
    <w:p>
      <w:pPr>
        <w:pStyle w:val="2"/>
      </w:pPr>
      <w:bookmarkStart w:id="9" w:name="_Toc8518"/>
      <w:r>
        <w:rPr>
          <w:rFonts w:hint="eastAsia"/>
          <w:lang w:val="en-US" w:eastAsia="zh-CN"/>
        </w:rPr>
        <w:t>06斯太尔案例</w:t>
      </w:r>
      <w:bookmarkEnd w:id="9"/>
      <w:r>
        <w:tab/>
      </w:r>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eastAsia" w:eastAsia="宋体"/>
                <w:lang w:val="en-US" w:eastAsia="zh-CN"/>
              </w:rPr>
            </w:pPr>
            <w:r>
              <w:rPr>
                <w:rFonts w:hint="eastAsia"/>
              </w:rPr>
              <w:t>030</w:t>
            </w:r>
            <w:r>
              <w:rPr>
                <w:rFonts w:hint="eastAsia"/>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rPr>
                <w:rFonts w:hint="eastAsia" w:eastAsia="宋体"/>
                <w:lang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pPr>
            <w:r>
              <w:rPr>
                <w:rFonts w:hint="eastAsia"/>
              </w:rPr>
              <w:t>2017年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ascii="Arial" w:hAnsi="Arial" w:eastAsia="宋体" w:cs="Arial"/>
                <w:i w:val="0"/>
                <w:caps w:val="0"/>
                <w:color w:val="333333"/>
                <w:spacing w:val="0"/>
                <w:sz w:val="22"/>
                <w:szCs w:val="22"/>
                <w:shd w:val="clear" w:fill="FFFFFF"/>
              </w:rPr>
              <w:t>斯太尔动力股份有限公司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rPr>
                <w:rFonts w:hint="default"/>
                <w:lang w:val="en-US"/>
              </w:rPr>
            </w:pPr>
            <w:r>
              <w:rPr>
                <w:rFonts w:hint="default" w:ascii="Arial" w:hAnsi="Arial" w:eastAsia="宋体" w:cs="Arial"/>
                <w:i w:val="0"/>
                <w:caps w:val="0"/>
                <w:color w:val="333333"/>
                <w:spacing w:val="0"/>
                <w:kern w:val="0"/>
                <w:sz w:val="21"/>
                <w:szCs w:val="21"/>
                <w:shd w:val="clear" w:fill="FFFFFF"/>
                <w:lang w:val="en-US" w:eastAsia="zh-CN" w:bidi="ar"/>
              </w:rPr>
              <w:t>重型载重汽车</w:t>
            </w:r>
            <w:r>
              <w:rPr>
                <w:rFonts w:hint="eastAsia" w:ascii="Arial" w:hAnsi="Arial" w:cs="Arial"/>
                <w:i w:val="0"/>
                <w:caps w:val="0"/>
                <w:color w:val="333333"/>
                <w:spacing w:val="0"/>
                <w:kern w:val="0"/>
                <w:sz w:val="21"/>
                <w:szCs w:val="21"/>
                <w:shd w:val="clear" w:fill="FFFFFF"/>
                <w:lang w:val="en-US" w:eastAsia="zh-CN" w:bidi="ar"/>
              </w:rPr>
              <w:t>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5" w:hRule="atLeast"/>
        </w:trPr>
        <w:tc>
          <w:tcPr>
            <w:tcW w:w="2007" w:type="dxa"/>
          </w:tcPr>
          <w:p>
            <w:r>
              <w:rPr>
                <w:rFonts w:hint="eastAsia"/>
              </w:rPr>
              <w:t>企业单位案情描述</w:t>
            </w:r>
          </w:p>
        </w:tc>
        <w:tc>
          <w:tcPr>
            <w:tcW w:w="6402" w:type="dxa"/>
          </w:tcPr>
          <w:p>
            <w:pPr>
              <w:rPr>
                <w:rFonts w:hint="eastAsia"/>
              </w:rPr>
            </w:pPr>
            <w:r>
              <w:rPr>
                <w:rFonts w:hint="eastAsia"/>
              </w:rPr>
              <w:t>【企业背景】</w:t>
            </w:r>
          </w:p>
          <w:p>
            <w:pPr>
              <w:ind w:firstLine="420" w:firstLineChars="200"/>
              <w:rPr>
                <w:rFonts w:hint="eastAsia"/>
              </w:rPr>
            </w:pPr>
            <w:r>
              <w:rPr>
                <w:rFonts w:hint="default"/>
                <w:lang w:val="en-US" w:eastAsia="zh-CN"/>
              </w:rPr>
              <w:t>斯太尔是中国生产的重型载重汽车。新中国成立后，为解决</w:t>
            </w:r>
            <w:r>
              <w:rPr>
                <w:rFonts w:hint="default"/>
                <w:lang w:val="en-US" w:eastAsia="zh-CN"/>
              </w:rPr>
              <w:fldChar w:fldCharType="begin"/>
            </w:r>
            <w:r>
              <w:rPr>
                <w:rFonts w:hint="default"/>
                <w:lang w:val="en-US" w:eastAsia="zh-CN"/>
              </w:rPr>
              <w:instrText xml:space="preserve"> HYPERLINK "https://baike.baidu.com/item/%E6%B1%BD%E8%BD%A6%E5%B7%A5%E4%B8%9A/6908382" \t "https://baike.baidu.com/item/%E6%96%AF%E5%A4%AA%E5%B0%94/_blank" </w:instrText>
            </w:r>
            <w:r>
              <w:rPr>
                <w:rFonts w:hint="default"/>
                <w:lang w:val="en-US" w:eastAsia="zh-CN"/>
              </w:rPr>
              <w:fldChar w:fldCharType="separate"/>
            </w:r>
            <w:r>
              <w:rPr>
                <w:rFonts w:hint="default"/>
              </w:rPr>
              <w:t>汽车工业</w:t>
            </w:r>
            <w:r>
              <w:rPr>
                <w:rFonts w:hint="default"/>
                <w:lang w:val="en-US" w:eastAsia="zh-CN"/>
              </w:rPr>
              <w:fldChar w:fldCharType="end"/>
            </w:r>
            <w:r>
              <w:rPr>
                <w:rFonts w:hint="default"/>
                <w:lang w:val="en-US" w:eastAsia="zh-CN"/>
              </w:rPr>
              <w:t>严重“缺重”（载重8吨以上的重型汽车）的问题，我国组织了对重型载重汽车的仿制生产。</w:t>
            </w:r>
          </w:p>
          <w:p>
            <w:pPr>
              <w:ind w:firstLine="420" w:firstLineChars="200"/>
              <w:rPr>
                <w:rFonts w:hint="default"/>
              </w:rPr>
            </w:pPr>
            <w:r>
              <w:rPr>
                <w:rFonts w:hint="default"/>
                <w:lang w:val="en-US" w:eastAsia="zh-CN"/>
              </w:rPr>
              <w:t>1960年，重汽</w:t>
            </w:r>
            <w:r>
              <w:rPr>
                <w:rFonts w:hint="default"/>
                <w:lang w:val="en-US" w:eastAsia="zh-CN"/>
              </w:rPr>
              <w:fldChar w:fldCharType="begin"/>
            </w:r>
            <w:r>
              <w:rPr>
                <w:rFonts w:hint="default"/>
                <w:lang w:val="en-US" w:eastAsia="zh-CN"/>
              </w:rPr>
              <w:instrText xml:space="preserve"> HYPERLINK "https://baike.baidu.com/item/%E6%B5%8E%E5%8D%97/135066" \t "https://baike.baidu.com/item/%E6%96%AF%E5%A4%AA%E5%B0%94/_blank" </w:instrText>
            </w:r>
            <w:r>
              <w:rPr>
                <w:rFonts w:hint="default"/>
                <w:lang w:val="en-US" w:eastAsia="zh-CN"/>
              </w:rPr>
              <w:fldChar w:fldCharType="separate"/>
            </w:r>
            <w:r>
              <w:rPr>
                <w:rFonts w:hint="default"/>
              </w:rPr>
              <w:t>济南</w:t>
            </w:r>
            <w:r>
              <w:rPr>
                <w:rFonts w:hint="default"/>
                <w:lang w:val="en-US" w:eastAsia="zh-CN"/>
              </w:rPr>
              <w:fldChar w:fldCharType="end"/>
            </w:r>
            <w:r>
              <w:rPr>
                <w:rFonts w:hint="default"/>
                <w:lang w:val="en-US" w:eastAsia="zh-CN"/>
              </w:rPr>
              <w:t>汽车厂利用外援生产出了中国第一辆“黄河”牌JN 150型8吨载重汽车，实现了我国重型汽车工业零的突破，也拉开了中国</w:t>
            </w:r>
            <w:r>
              <w:rPr>
                <w:rFonts w:hint="default"/>
                <w:lang w:val="en-US" w:eastAsia="zh-CN"/>
              </w:rPr>
              <w:fldChar w:fldCharType="begin"/>
            </w:r>
            <w:r>
              <w:rPr>
                <w:rFonts w:hint="default"/>
                <w:lang w:val="en-US" w:eastAsia="zh-CN"/>
              </w:rPr>
              <w:instrText xml:space="preserve"> HYPERLINK "https://baike.baidu.com/item/%E9%87%8D%E5%9E%8B%E6%B1%BD%E8%BD%A6/10927422" \t "https://baike.baidu.com/item/%E6%96%AF%E5%A4%AA%E5%B0%94/_blank" </w:instrText>
            </w:r>
            <w:r>
              <w:rPr>
                <w:rFonts w:hint="default"/>
                <w:lang w:val="en-US" w:eastAsia="zh-CN"/>
              </w:rPr>
              <w:fldChar w:fldCharType="separate"/>
            </w:r>
            <w:r>
              <w:rPr>
                <w:rFonts w:hint="default"/>
              </w:rPr>
              <w:t>重型汽车</w:t>
            </w:r>
            <w:r>
              <w:rPr>
                <w:rFonts w:hint="default"/>
                <w:lang w:val="en-US" w:eastAsia="zh-CN"/>
              </w:rPr>
              <w:fldChar w:fldCharType="end"/>
            </w:r>
            <w:r>
              <w:rPr>
                <w:rFonts w:hint="default"/>
                <w:lang w:val="en-US" w:eastAsia="zh-CN"/>
              </w:rPr>
              <w:t>工业发展的序幕。</w:t>
            </w:r>
          </w:p>
          <w:p>
            <w:pPr>
              <w:rPr>
                <w:rFonts w:hint="eastAsia"/>
              </w:rPr>
            </w:pPr>
            <w:r>
              <w:rPr>
                <w:rFonts w:hint="eastAsia"/>
              </w:rPr>
              <w:t>【案情背景】</w:t>
            </w:r>
          </w:p>
          <w:p>
            <w:pPr>
              <w:ind w:firstLine="420" w:firstLineChars="200"/>
              <w:rPr>
                <w:rFonts w:hint="eastAsia"/>
              </w:rPr>
            </w:pPr>
            <w:r>
              <w:rPr>
                <w:rFonts w:hint="eastAsia"/>
              </w:rPr>
              <w:tab/>
            </w:r>
            <w:r>
              <w:rPr>
                <w:rFonts w:hint="eastAsia"/>
              </w:rPr>
              <w:t>斯太尔动力股份有限公司收到证监会下发的《行政处罚及市场禁入事先告知书》，涉嫌违法事实包括2014年度、2015年度、2016年度财务造假，以及实际控制人披露不当，或将成为今年首家重大违法强制退市的公司。尤为引人瞩目的是，斯太尔财务造假的背后，竟是已沉寂多年的昔日神话“德隆系”。</w:t>
            </w:r>
          </w:p>
          <w:p>
            <w:pPr>
              <w:rPr>
                <w:rFonts w:hint="eastAsia"/>
              </w:rPr>
            </w:pPr>
            <w:r>
              <w:rPr>
                <w:rFonts w:hint="eastAsia"/>
              </w:rPr>
              <w:t>【案情分析】</w:t>
            </w:r>
          </w:p>
          <w:p>
            <w:pPr>
              <w:ind w:firstLine="420" w:firstLineChars="200"/>
              <w:rPr>
                <w:rFonts w:hint="eastAsia"/>
              </w:rPr>
            </w:pPr>
            <w:r>
              <w:rPr>
                <w:rFonts w:hint="eastAsia"/>
              </w:rPr>
              <w:t>*ST斯太前身为湖北博盈投资股份有限公司，成立于1978年9月，于1997年6月在深圳证券交易所上市。官网显示，2014年5月，公司在常州设立全资子公司斯太尔动力常州发动机有限公司（以下简称：常州斯太尔），开始着手推进柴油发动机国产化项目进程；2015年2月，公司对青海恒信融锂业科技有限公司增资1.53亿元并实现控股，开始推进年产1.8万吨碳酸锂项目建设；2015年5月，公司将湖北车桥有限公司63.28%股权和荆州车桥有限公司100%股权剥离，专注于高性能柴油发动机及新能源领域上下游投资并购机会。也就是从这个时期开始，斯太尔走上了一条不归路。</w:t>
            </w:r>
          </w:p>
          <w:p>
            <w:pPr>
              <w:ind w:firstLine="420" w:firstLineChars="200"/>
              <w:rPr>
                <w:rFonts w:hint="eastAsia"/>
              </w:rPr>
            </w:pPr>
            <w:r>
              <w:rPr>
                <w:rFonts w:hint="default"/>
              </w:rPr>
              <w:t>据2014年度报告显示，营业总收入74073.20万元，同比增长17.20%，归属净利润984.69万元，同比增长188.70%。*ST斯太于2014年1月10日收购斯太尔江苏投资有限公司（以下简称：江苏斯太尔）100%股权，江苏斯太尔及其下属公司的主营业务是提供柴油引擎的咨询、设计、生产、安装及售后服务。收购完成后，如下图所示，*ST斯太分产品披露的营收情况中多出了一项发动机技术服务，营业收入9433.96万元，营业成本69.71万元，毛利率高达99.26%。</w:t>
            </w:r>
          </w:p>
          <w:p>
            <w:pPr>
              <w:rPr>
                <w:rFonts w:hint="default"/>
              </w:rPr>
            </w:pPr>
            <w:r>
              <w:rPr>
                <w:rFonts w:hint="default"/>
                <w:lang w:val="en-US" w:eastAsia="zh-CN"/>
              </w:rPr>
              <w:drawing>
                <wp:inline distT="0" distB="0" distL="114300" distR="114300">
                  <wp:extent cx="3992880" cy="1653540"/>
                  <wp:effectExtent l="0" t="0" r="7620" b="381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6"/>
                          <a:stretch>
                            <a:fillRect/>
                          </a:stretch>
                        </pic:blipFill>
                        <pic:spPr>
                          <a:xfrm>
                            <a:off x="0" y="0"/>
                            <a:ext cx="3992880" cy="1653540"/>
                          </a:xfrm>
                          <a:prstGeom prst="rect">
                            <a:avLst/>
                          </a:prstGeom>
                          <a:noFill/>
                          <a:ln w="9525">
                            <a:noFill/>
                          </a:ln>
                        </pic:spPr>
                      </pic:pic>
                    </a:graphicData>
                  </a:graphic>
                </wp:inline>
              </w:drawing>
            </w:r>
          </w:p>
          <w:p>
            <w:pPr>
              <w:ind w:firstLine="420" w:firstLineChars="200"/>
              <w:rPr>
                <w:rFonts w:hint="eastAsia"/>
              </w:rPr>
            </w:pPr>
            <w:r>
              <w:rPr>
                <w:rFonts w:hint="default"/>
              </w:rPr>
              <w:t>（来自斯太尔2014年度报告）</w:t>
            </w:r>
          </w:p>
          <w:p>
            <w:pPr>
              <w:ind w:firstLine="420" w:firstLineChars="200"/>
              <w:rPr>
                <w:rFonts w:hint="eastAsia"/>
              </w:rPr>
            </w:pPr>
            <w:r>
              <w:rPr>
                <w:rFonts w:hint="default"/>
              </w:rPr>
              <w:t>另据前五大客户情况显示，*ST斯太2014年对第一大客户销售额为9433.96万元，占比12.51%，与发动机技术服务的销售收入完全相同。但奇怪的是，对于这项占营收比重12.51%之高、且为单一客户销售收入最高的新业务，斯太尔竟然没有着以任何笔墨。</w:t>
            </w:r>
          </w:p>
          <w:p>
            <w:pPr>
              <w:rPr>
                <w:rFonts w:hint="default"/>
              </w:rPr>
            </w:pPr>
            <w:r>
              <w:rPr>
                <w:rFonts w:hint="default"/>
                <w:lang w:val="en-US" w:eastAsia="zh-CN"/>
              </w:rPr>
              <w:drawing>
                <wp:inline distT="0" distB="0" distL="114300" distR="114300">
                  <wp:extent cx="4005580" cy="1195705"/>
                  <wp:effectExtent l="0" t="0" r="13970" b="4445"/>
                  <wp:docPr id="3"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7"/>
                          <pic:cNvPicPr>
                            <a:picLocks noChangeAspect="1"/>
                          </pic:cNvPicPr>
                        </pic:nvPicPr>
                        <pic:blipFill>
                          <a:blip r:embed="rId7"/>
                          <a:stretch>
                            <a:fillRect/>
                          </a:stretch>
                        </pic:blipFill>
                        <pic:spPr>
                          <a:xfrm>
                            <a:off x="0" y="0"/>
                            <a:ext cx="4005580" cy="1195705"/>
                          </a:xfrm>
                          <a:prstGeom prst="rect">
                            <a:avLst/>
                          </a:prstGeom>
                          <a:noFill/>
                          <a:ln w="9525">
                            <a:noFill/>
                          </a:ln>
                        </pic:spPr>
                      </pic:pic>
                    </a:graphicData>
                  </a:graphic>
                </wp:inline>
              </w:drawing>
            </w:r>
          </w:p>
          <w:p>
            <w:pPr>
              <w:ind w:firstLine="420" w:firstLineChars="200"/>
              <w:rPr>
                <w:rFonts w:hint="eastAsia"/>
              </w:rPr>
            </w:pPr>
            <w:r>
              <w:rPr>
                <w:rFonts w:hint="default"/>
              </w:rPr>
              <w:t>（来自斯太尔2014年度报告）</w:t>
            </w:r>
          </w:p>
          <w:p>
            <w:pPr>
              <w:ind w:firstLine="420" w:firstLineChars="200"/>
              <w:rPr>
                <w:rFonts w:hint="eastAsia"/>
              </w:rPr>
            </w:pPr>
            <w:r>
              <w:rPr>
                <w:rFonts w:hint="default"/>
              </w:rPr>
              <w:t>从2015年度起，*ST斯太的经营业绩急转直下，营业总收入34657.52万元，同比下降53.21%，归属净利润-19338.12万元，同比下降2063.87%。这一年，发动机技术服务销售收入为零。发动机技术服务业的营业成本也为零，比较异常。按道理来说，即便*ST斯太这一年没有提供技术服务，但相关的人员薪资、设备折旧、资质摊销都在持续发生，营业成本为零不太合理。</w:t>
            </w:r>
          </w:p>
          <w:p>
            <w:pPr>
              <w:rPr>
                <w:rFonts w:hint="default"/>
              </w:rPr>
            </w:pPr>
            <w:r>
              <w:rPr>
                <w:rFonts w:hint="default"/>
                <w:lang w:val="en-US" w:eastAsia="zh-CN"/>
              </w:rPr>
              <w:drawing>
                <wp:inline distT="0" distB="0" distL="114300" distR="114300">
                  <wp:extent cx="3943350" cy="1602105"/>
                  <wp:effectExtent l="0" t="0" r="0" b="17145"/>
                  <wp:docPr id="6"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8"/>
                          <pic:cNvPicPr>
                            <a:picLocks noChangeAspect="1"/>
                          </pic:cNvPicPr>
                        </pic:nvPicPr>
                        <pic:blipFill>
                          <a:blip r:embed="rId8"/>
                          <a:stretch>
                            <a:fillRect/>
                          </a:stretch>
                        </pic:blipFill>
                        <pic:spPr>
                          <a:xfrm>
                            <a:off x="0" y="0"/>
                            <a:ext cx="3943350" cy="1602105"/>
                          </a:xfrm>
                          <a:prstGeom prst="rect">
                            <a:avLst/>
                          </a:prstGeom>
                          <a:noFill/>
                          <a:ln w="9525">
                            <a:noFill/>
                          </a:ln>
                        </pic:spPr>
                      </pic:pic>
                    </a:graphicData>
                  </a:graphic>
                </wp:inline>
              </w:drawing>
            </w:r>
          </w:p>
          <w:p>
            <w:pPr>
              <w:ind w:firstLine="420" w:firstLineChars="200"/>
              <w:rPr>
                <w:rFonts w:hint="eastAsia"/>
              </w:rPr>
            </w:pPr>
            <w:r>
              <w:rPr>
                <w:rFonts w:hint="default"/>
              </w:rPr>
              <w:t>（来自斯太尔2015年度报告）</w:t>
            </w:r>
          </w:p>
          <w:p>
            <w:pPr>
              <w:ind w:firstLine="420" w:firstLineChars="200"/>
              <w:rPr>
                <w:rFonts w:hint="eastAsia"/>
              </w:rPr>
            </w:pPr>
            <w:r>
              <w:rPr>
                <w:rFonts w:hint="default"/>
              </w:rPr>
              <w:t>转眼到2016年度，营业总收入35640.67万元，同比小幅增长2.84%，归属净利润4605.31万元，由亏转盈。为斯太尔2016年度业绩救场的是发动机技术服务，营业收入18867.92万元，占营收比重高达52.94%，毛利率高达99.89%，而且对应的客户也是*ST斯太当年的第一大客户。这次公司对技术服务作了一些解释，称子公司江苏斯太尔于2016年12与江苏中关村科技产业园控股集团有限公司签订《技术许可协议》，合同总金额2亿元，截至报告期末，江苏斯太尔已收到两笔款项共计1.4亿元，并按照合同约定，在规定期限内移交了柴油发动机相关知识产权核心技术信息、技术图纸等全套技术资料。在此后在2017年度、2018年度报告中，*ST斯太的发动机技术服务营业收入与营业成本持续为零。</w:t>
            </w:r>
          </w:p>
          <w:p>
            <w:pPr>
              <w:rPr>
                <w:rFonts w:hint="default"/>
              </w:rPr>
            </w:pPr>
            <w:r>
              <w:rPr>
                <w:rFonts w:hint="default"/>
                <w:lang w:val="en-US" w:eastAsia="zh-CN"/>
              </w:rPr>
              <w:drawing>
                <wp:inline distT="0" distB="0" distL="114300" distR="114300">
                  <wp:extent cx="3884930" cy="2106930"/>
                  <wp:effectExtent l="0" t="0" r="1270" b="7620"/>
                  <wp:docPr id="5"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9"/>
                          <pic:cNvPicPr>
                            <a:picLocks noChangeAspect="1"/>
                          </pic:cNvPicPr>
                        </pic:nvPicPr>
                        <pic:blipFill>
                          <a:blip r:embed="rId9"/>
                          <a:stretch>
                            <a:fillRect/>
                          </a:stretch>
                        </pic:blipFill>
                        <pic:spPr>
                          <a:xfrm>
                            <a:off x="0" y="0"/>
                            <a:ext cx="3884930" cy="2106930"/>
                          </a:xfrm>
                          <a:prstGeom prst="rect">
                            <a:avLst/>
                          </a:prstGeom>
                          <a:noFill/>
                          <a:ln w="9525">
                            <a:noFill/>
                          </a:ln>
                        </pic:spPr>
                      </pic:pic>
                    </a:graphicData>
                  </a:graphic>
                </wp:inline>
              </w:drawing>
            </w:r>
          </w:p>
          <w:p>
            <w:pPr>
              <w:ind w:firstLine="420" w:firstLineChars="200"/>
              <w:rPr>
                <w:rFonts w:hint="eastAsia"/>
              </w:rPr>
            </w:pPr>
            <w:r>
              <w:rPr>
                <w:rFonts w:hint="default"/>
              </w:rPr>
              <w:t>（来自斯太尔2016年度报告）</w:t>
            </w:r>
          </w:p>
          <w:p>
            <w:pPr>
              <w:ind w:firstLine="420" w:firstLineChars="200"/>
              <w:rPr>
                <w:rFonts w:hint="eastAsia"/>
              </w:rPr>
            </w:pPr>
            <w:r>
              <w:rPr>
                <w:rFonts w:hint="default"/>
              </w:rPr>
              <w:t>这一神秘的发动机技术服务终于在2020年6月3日的《行政处罚及市场禁入事先告知书》中揭开。原来，2014年的9433.96万元其实是武进国家高新技术产业开发区管理委员会（以下简称：武进高新区管委会）拨付的1亿元用于斯太尔柴油发动机项目的专项扶持资金，2016年的18867.92万元也是江苏中关村科技产业园管理委员会预拨付的2亿元政府奖励资金。但*ST斯太将这两项政府补助金包装成为子公司江苏斯太尔的技术许可业务收入，将扣除相关税费的金额计入主营业务收入。</w:t>
            </w:r>
          </w:p>
          <w:p>
            <w:pPr>
              <w:ind w:firstLine="420" w:firstLineChars="200"/>
              <w:rPr>
                <w:rFonts w:hint="eastAsia"/>
              </w:rPr>
            </w:pPr>
            <w:r>
              <w:rPr>
                <w:rFonts w:hint="default"/>
              </w:rPr>
              <w:t>2015年度没有产生所谓的技术服务收入，是因为*ST斯太通过变更政府奖励款受益人的方式，将武进高新区管委会应付子公司常州斯太尔的8050万元政府奖励款实际支付给其他公司。*ST斯太在2015年报中未披露这一事项，造成虚减2015年度营业外收入8050万元，虚减利润总额8050万元。</w:t>
            </w:r>
          </w:p>
          <w:p>
            <w:pPr>
              <w:ind w:firstLine="420" w:firstLineChars="200"/>
              <w:rPr>
                <w:rFonts w:hint="eastAsia"/>
              </w:rPr>
            </w:pPr>
            <w:r>
              <w:rPr>
                <w:rFonts w:hint="default"/>
              </w:rPr>
              <w:t>据证监会下发的《行政处罚及市场禁入事先告知书》显示，*ST斯太通过虚构业务和财务操纵，虚增2014年度营业收入9433.96万元，虚增利润总额9433.96万元，虚增净利润7075.47万元，并将亏损披露为盈利；虚减2015年度营业外收入8050万元，虚减利润总额8050万元；虚增2016年度营业收入18867.92万元，扣除相关成本后虚增利润总额18847.72万元，虚增净利润14135.79万元，并将亏损披露为盈利。</w:t>
            </w:r>
          </w:p>
          <w:p>
            <w:pPr>
              <w:ind w:firstLine="420" w:firstLineChars="200"/>
              <w:rPr>
                <w:rFonts w:hint="eastAsia"/>
              </w:rPr>
            </w:pPr>
            <w:r>
              <w:rPr>
                <w:rFonts w:hint="default"/>
              </w:rPr>
              <w:t>根据《行政处罚及市场禁入事先告知书》认定的事实，公司2015年至2018年连续四年净利润为负，触及《深圳证券交易所上市公司重大违法强制退市实施办法》第四条第（三）项规定的重大违法强制退市情形，公司股票可能被实施重大违法强制退市。</w:t>
            </w:r>
          </w:p>
          <w:p>
            <w:pPr>
              <w:ind w:firstLine="420" w:firstLineChars="200"/>
              <w:rPr>
                <w:rFonts w:hint="eastAsia"/>
              </w:rPr>
            </w:pPr>
            <w:r>
              <w:rPr>
                <w:rFonts w:hint="default"/>
              </w:rPr>
              <w:t>*ST斯太的第二重罪是对实际控制人披露不当。据2014年度报告披露，自2013年12月10日起，公司的控股股东变更为山东英达钢结构有限公司，实际控制人为英达钢构董事长冯文杰。然而，经证监会立案调查发现，唐万新、唐万川、张业光通过主导*ST斯太非公开发行、与投资人约定收益分成、实际承担业绩补偿、派驻管理团队控制董事会和管理层等方式，取得了公司的经营管理权，能够实际支配公司的行为，是斯太尔的实际控制人。</w:t>
            </w:r>
          </w:p>
          <w:p>
            <w:pPr>
              <w:ind w:firstLine="420" w:firstLineChars="200"/>
              <w:rPr>
                <w:rFonts w:hint="eastAsia"/>
              </w:rPr>
            </w:pPr>
            <w:r>
              <w:rPr>
                <w:rFonts w:hint="default"/>
              </w:rPr>
              <w:t>令人震惊的是，唐万新、唐万川、张业光三人，如果不是全都同名同姓，那他们就是曾经叱咤中国资本市场的“德隆系”的核心成员。1992年，唐万新成立新疆德隆实业公司，随后参股新疆金融租赁有限公司作为融资平台。1996年至1997年，新疆德隆相继坐庄新疆屯河、合金股份和湘火炬。三年期间内，三只股票价格大涨。其后，新疆德隆进一步控制了金新信托、德恒证券、恒信证券、中富证券等证券公司和昆明商业银行、株洲商业银行、南昌商业银行等商业银行，将其作为提款机，挪用大量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rPr>
                <w:rFonts w:hint="eastAsia"/>
              </w:rPr>
            </w:pPr>
            <w:r>
              <w:rPr>
                <w:rFonts w:hint="eastAsia"/>
              </w:rPr>
              <w:t>众华会计师事务所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5" w:hRule="atLeast"/>
        </w:trPr>
        <w:tc>
          <w:tcPr>
            <w:tcW w:w="2007" w:type="dxa"/>
          </w:tcPr>
          <w:p>
            <w:r>
              <w:rPr>
                <w:rFonts w:hint="eastAsia"/>
              </w:rPr>
              <w:t>审计</w:t>
            </w:r>
            <w:r>
              <w:t>受罚或责任描述</w:t>
            </w:r>
          </w:p>
        </w:tc>
        <w:tc>
          <w:tcPr>
            <w:tcW w:w="6402"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引发这一后果的直接责任人均受到处罚。上市公司时任董事长刘晓疆、吴晓白被处以10年证券市场禁入。在这10年间，此2人不得继续在原机构从事证券业务或者担任原上市公司、非上市公司董事、非上市公众公司董事、监事、高级管理人员职务外，也不得在其他任何机构中从事证券业务或者担任其他上市公司、非上市公众公司董事、监事、高级管理人员职务。这意味着，上述2人未来10年证券职业生涯路就此断绝。</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其余在年报上签字的董监高们被处以不同数额的罚款，从3万到30万不等。而唐万新、康万川以及张业光被罚款60万，在金额上，这已属顶格。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8" w:hRule="atLeast"/>
        </w:trPr>
        <w:tc>
          <w:tcPr>
            <w:tcW w:w="2007" w:type="dxa"/>
          </w:tcPr>
          <w:p>
            <w:r>
              <w:rPr>
                <w:rFonts w:hint="eastAsia"/>
              </w:rPr>
              <w:t>引发</w:t>
            </w:r>
            <w:r>
              <w:t>的审计</w:t>
            </w:r>
            <w:r>
              <w:rPr>
                <w:rFonts w:hint="eastAsia"/>
              </w:rPr>
              <w:t>实施</w:t>
            </w:r>
            <w:r>
              <w:t>思考</w:t>
            </w:r>
          </w:p>
        </w:tc>
        <w:tc>
          <w:tcPr>
            <w:tcW w:w="6402" w:type="dxa"/>
          </w:tcPr>
          <w:p>
            <w:pPr>
              <w:ind w:firstLine="420" w:firstLineChars="200"/>
              <w:rPr>
                <w:rFonts w:hint="eastAsia" w:ascii="Times New Roman" w:hAnsi="Times New Roman" w:eastAsia="宋体" w:cs="Times New Roman"/>
                <w:kern w:val="2"/>
                <w:sz w:val="21"/>
                <w:szCs w:val="22"/>
                <w:lang w:val="en-US" w:eastAsia="zh-CN" w:bidi="ar-SA"/>
              </w:rPr>
            </w:pP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商誉的审计风险成为发表审计意见需要重点考虑的因素</w:t>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商誉采用公允价值计量</w:t>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难以获得活跃的公开市场报价</w:t>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管理层有较大的自由裁量权</w:t>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使得商誉的初始确认及其减值处理主观性较大</w:t>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增加了注册会计师的审计难度和审计风险</w:t>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因此</w:t>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研究如何识别和评估商誉的重大错报风险</w:t>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降低商誉的审计风险</w:t>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具有较强的现实意义。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vAlign w:val="top"/>
          </w:tcPr>
          <w:p>
            <w:pPr>
              <w:rPr>
                <w:rFonts w:hint="eastAsia"/>
              </w:rPr>
            </w:pPr>
            <w:r>
              <w:rPr>
                <w:rFonts w:hint="eastAsia"/>
              </w:rPr>
              <w:t>关联</w:t>
            </w:r>
            <w:r>
              <w:t>的审计术语与审计方法</w:t>
            </w:r>
          </w:p>
        </w:tc>
        <w:tc>
          <w:tcPr>
            <w:tcW w:w="6402" w:type="dxa"/>
            <w:vAlign w:val="top"/>
          </w:tcPr>
          <w:p>
            <w:pPr>
              <w:rPr>
                <w:rStyle w:val="19"/>
                <w:rFonts w:hint="default" w:eastAsia="宋体"/>
                <w:i w:val="0"/>
                <w:iCs w:val="0"/>
                <w:color w:val="auto"/>
                <w:lang w:val="en-US" w:eastAsia="zh-CN"/>
              </w:rPr>
            </w:pPr>
            <w:r>
              <w:rPr>
                <w:rFonts w:hint="default"/>
              </w:rPr>
              <w:t>虚增利润总额</w:t>
            </w:r>
            <w:r>
              <w:rPr>
                <w:rFonts w:hint="eastAsia"/>
                <w:lang w:val="en-US" w:eastAsia="zh-CN"/>
              </w:rPr>
              <w:t xml:space="preserve"> 关联方交易</w:t>
            </w:r>
          </w:p>
        </w:tc>
      </w:tr>
    </w:tbl>
    <w:p>
      <w:pPr>
        <w:pStyle w:val="2"/>
        <w:rPr>
          <w:rFonts w:hint="eastAsia" w:eastAsia="宋体"/>
          <w:lang w:val="en-US" w:eastAsia="zh-CN"/>
        </w:rPr>
      </w:pPr>
      <w:bookmarkStart w:id="10" w:name="_Toc23329"/>
      <w:r>
        <w:rPr>
          <w:rFonts w:hint="eastAsia"/>
        </w:rPr>
        <w:t>0</w:t>
      </w:r>
      <w:r>
        <w:rPr>
          <w:rFonts w:hint="eastAsia"/>
          <w:lang w:val="en-US" w:eastAsia="zh-CN"/>
        </w:rPr>
        <w:t>7</w:t>
      </w:r>
      <w:r>
        <w:rPr>
          <w:rFonts w:hint="eastAsia"/>
        </w:rPr>
        <w:t>新纶科技</w:t>
      </w:r>
      <w:r>
        <w:rPr>
          <w:rFonts w:hint="eastAsia"/>
          <w:lang w:val="en-US" w:eastAsia="zh-CN"/>
        </w:rPr>
        <w:t>案例</w:t>
      </w:r>
      <w:bookmarkEnd w:id="10"/>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eastAsia" w:eastAsia="宋体"/>
                <w:lang w:eastAsia="zh-CN"/>
              </w:rPr>
            </w:pPr>
            <w:r>
              <w:rPr>
                <w:rFonts w:hint="eastAsia"/>
              </w:rPr>
              <w:t>030</w:t>
            </w:r>
            <w:r>
              <w:rPr>
                <w:rFonts w:hint="eastAsia"/>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rPr>
                <w:rFonts w:hint="eastAsia" w:eastAsia="宋体"/>
                <w:lang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pPr>
            <w:r>
              <w:rPr>
                <w:rFonts w:hint="eastAsia"/>
                <w:lang w:val="en-US" w:eastAsia="zh-CN"/>
              </w:rPr>
              <w:t>2019</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rPr>
              <w:t>新纶科技</w:t>
            </w:r>
            <w:r>
              <w:rPr>
                <w:rFonts w:ascii="Arial" w:hAnsi="Arial" w:eastAsia="宋体" w:cs="Arial"/>
                <w:i w:val="0"/>
                <w:caps w:val="0"/>
                <w:color w:val="333333"/>
                <w:spacing w:val="0"/>
                <w:sz w:val="19"/>
                <w:szCs w:val="19"/>
                <w:shd w:val="clear" w:fill="FFFFFF"/>
              </w:rPr>
              <w:t>股份</w:t>
            </w:r>
            <w:r>
              <w:rPr>
                <w:rFonts w:hint="eastAsia"/>
                <w:lang w:val="en-US" w:eastAsia="zh-CN"/>
              </w:rPr>
              <w:t>有限</w:t>
            </w:r>
            <w:r>
              <w:t>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pPr>
            <w:r>
              <w:t>新材料精密制造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1" w:hRule="atLeast"/>
        </w:trPr>
        <w:tc>
          <w:tcPr>
            <w:tcW w:w="2007" w:type="dxa"/>
          </w:tcPr>
          <w:p>
            <w:r>
              <w:rPr>
                <w:rFonts w:hint="eastAsia"/>
              </w:rPr>
              <w:t>企业单位案情描述</w:t>
            </w:r>
          </w:p>
        </w:tc>
        <w:tc>
          <w:tcPr>
            <w:tcW w:w="6402" w:type="dxa"/>
          </w:tcPr>
          <w:p>
            <w:pPr>
              <w:rPr>
                <w:b/>
              </w:rPr>
            </w:pPr>
            <w:r>
              <w:rPr>
                <w:rFonts w:hint="eastAsia"/>
                <w:b/>
              </w:rPr>
              <w:t>【企业背景】</w:t>
            </w:r>
          </w:p>
          <w:p>
            <w:r>
              <w:rPr>
                <w:b/>
              </w:rPr>
              <w:tab/>
            </w:r>
            <w:r>
              <w:t>新纶科技已构筑起以新材料及新材料精密制造为核心产业方向，产品与服务涵盖电子功能材料、新能源材料-铝塑复合膜、光电显示材料、精密制造、超净工程、个人防护用品等业务领域。</w:t>
            </w:r>
          </w:p>
          <w:p>
            <w:pPr>
              <w:ind w:firstLine="420" w:firstLineChars="200"/>
            </w:pPr>
            <w:r>
              <w:t>聚焦新材料与新材料精密制造产业方向，以高端精密涂布技术为核心，业务涵盖电子功能材料、光电显示材料、新能源材料、精密制造等领域。 服务领域：3C消费类电子、光电显示、新能源、汽车制造、医药、食品、日化等行业。</w:t>
            </w:r>
          </w:p>
          <w:p>
            <w:pPr>
              <w:rPr>
                <w:b/>
              </w:rPr>
            </w:pPr>
            <w:r>
              <w:rPr>
                <w:rFonts w:hint="eastAsia"/>
                <w:b/>
              </w:rPr>
              <w:t>【案情背景</w:t>
            </w:r>
            <w:r>
              <w:rPr>
                <w:b/>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2019年6月25日，新纶科技收到中国证监会《立案调查通知书》。因新纶科技涉嫌信息披露违法违规，中国证监会决定对新纶科技立案调查。9个多月后，中国证监会最终向新纶科技下发了行政处罚事先告知书。</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公告显示，2016年至2018年，新纶科技通过全资子公司新纶科技（常州）有限公司（以下简称常州新纶）与自然人张和春控制的多家公司虚构贸易业务方式，虚增收入、成本及利润。</w:t>
            </w:r>
          </w:p>
          <w:p>
            <w:pPr>
              <w:rPr>
                <w:rFonts w:hint="eastAsia"/>
                <w:b/>
              </w:rPr>
            </w:pPr>
            <w:r>
              <w:rPr>
                <w:rFonts w:hint="eastAsia"/>
                <w:b/>
              </w:rPr>
              <w:t>【案情分析】</w:t>
            </w:r>
          </w:p>
          <w:p>
            <w:pPr>
              <w:rPr>
                <w:rFonts w:hint="eastAsia"/>
              </w:rPr>
            </w:pPr>
            <w:r>
              <w:rPr>
                <w:rFonts w:hint="eastAsia"/>
              </w:rPr>
              <w:t>连续三年虚增超7.3亿营收</w:t>
            </w:r>
          </w:p>
          <w:p>
            <w:pPr>
              <w:rPr>
                <w:rFonts w:hint="eastAsia"/>
              </w:rPr>
            </w:pPr>
            <w:r>
              <w:rPr>
                <w:rFonts w:hint="eastAsia"/>
              </w:rPr>
              <w:drawing>
                <wp:inline distT="0" distB="0" distL="114300" distR="114300">
                  <wp:extent cx="4005580" cy="805815"/>
                  <wp:effectExtent l="0" t="0" r="13970" b="1333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0"/>
                          <a:srcRect b="33651"/>
                          <a:stretch>
                            <a:fillRect/>
                          </a:stretch>
                        </pic:blipFill>
                        <pic:spPr>
                          <a:xfrm>
                            <a:off x="0" y="0"/>
                            <a:ext cx="4005580" cy="805815"/>
                          </a:xfrm>
                          <a:prstGeom prst="rect">
                            <a:avLst/>
                          </a:prstGeom>
                          <a:noFill/>
                          <a:ln w="9525">
                            <a:noFill/>
                          </a:ln>
                        </pic:spPr>
                      </pic:pic>
                    </a:graphicData>
                  </a:graphic>
                </wp:inline>
              </w:drawing>
            </w:r>
            <w:r>
              <w:rPr>
                <w:rFonts w:hint="default"/>
              </w:rPr>
              <w:t>从数据上看，2016年、2017年的虚增情况最为严重。其中2016年虚增营业收入3.37亿元，占当年收入的20.29%，虚增采购成本2.49亿元，虚增利润7643.34万元，占当年利润总额的142.73%；2017年虚增营业收入3.38亿元，占当年收入的16.39%，虚增采购成本2.44亿元，虚增利润9330.50万元，占当年利润总额的50.67%；2018年虚增营业收入6233.97万元，占当年收入的1.94%，虚增采购成本4425.41万元，虚增利润1072.30万元，占当年利润总额的3.03%。</w:t>
            </w:r>
          </w:p>
          <w:p>
            <w:pPr>
              <w:ind w:firstLine="420" w:firstLineChars="200"/>
              <w:rPr>
                <w:rFonts w:hint="eastAsia"/>
              </w:rPr>
            </w:pPr>
            <w:r>
              <w:rPr>
                <w:rFonts w:hint="default"/>
              </w:rPr>
              <w:t>三年合算下来，新纶科技总计虚增收入超过7.3亿元，虚增利润达1.8亿元。《每日经济新闻》记者注意到，新纶科技2016年利润总额才5355.09万元，去除虚增利润，新纶科技2016年的利润总额将由盈利变亏损。</w:t>
            </w:r>
          </w:p>
          <w:p>
            <w:pPr>
              <w:ind w:firstLine="420" w:firstLineChars="200"/>
              <w:rPr>
                <w:rFonts w:hint="eastAsia"/>
              </w:rPr>
            </w:pPr>
            <w:r>
              <w:rPr>
                <w:rFonts w:hint="default"/>
              </w:rPr>
              <w:t>行政处罚事先告知书还详细列举了新纶科技虚构贸易业务的操作手法。常州新纶主要是从张春和控制的公司采购保护膜产品，再销售给张春和控制的东莞市麦克斯韦电子材料有限公司、东莞市智凝光学科技有限公司、深圳市维克哈德科技有限公司等多家公司。</w:t>
            </w:r>
          </w:p>
          <w:p>
            <w:pPr>
              <w:ind w:firstLine="420" w:firstLineChars="200"/>
              <w:rPr>
                <w:rFonts w:hint="eastAsia"/>
              </w:rPr>
            </w:pPr>
            <w:r>
              <w:rPr>
                <w:rFonts w:hint="default"/>
              </w:rPr>
              <w:t>以东莞市麦克斯韦电子材料有限公司为例，2016 年至 2018 年期间</w:t>
            </w:r>
            <w:r>
              <w:rPr>
                <w:rFonts w:hint="eastAsia"/>
                <w:lang w:eastAsia="zh-CN"/>
              </w:rPr>
              <w:t>，</w:t>
            </w:r>
            <w:r>
              <w:rPr>
                <w:rFonts w:hint="default"/>
              </w:rPr>
              <w:t xml:space="preserve"> 常州新纶向张和春控制的东莞市麦克斯韦电子材料有限公司销售保护膜产品，确认主营业务收入共计1.38亿元，结转主营业务成本共计1.01亿元；销售回款共计1.11亿元，其中9547.72万元在回款当日或近日由新纶科技实际控制的银行账户向张和春相关银行账户转账相同金额，形成资金闭环；扣除相应计提的坏账准备后，形成利润总额共计3350.84万元。而上述保护膜产品全部采购自张和春控制的7家供应商。</w:t>
            </w:r>
          </w:p>
          <w:p>
            <w:pPr>
              <w:ind w:firstLine="420" w:firstLineChars="200"/>
              <w:rPr>
                <w:rFonts w:hint="eastAsia"/>
              </w:rPr>
            </w:pPr>
            <w:r>
              <w:rPr>
                <w:rFonts w:hint="default"/>
              </w:rPr>
              <w:t>公告显示，上述业务没有物流发生，新纶科技伪造相应的出库和入库单，并按采购金额的15%计算税费和采购金额的3%计算手续费支付给张和春控制的公司，同时再将同一批货物销售给张和春控制的相关公司，整个贸易业务的物料购销形成闭环，对应的收付款形成资金闭环；上述贸易物料循环、资金闭环均可追溯至财务账，且资金闭环与贸易物料销售产生的应收账款存在对应关系。上述业务没有商业实质，为虚构业务。</w:t>
            </w:r>
          </w:p>
          <w:p>
            <w:pPr>
              <w:ind w:firstLine="420" w:firstLineChars="200"/>
              <w:rPr>
                <w:rFonts w:hint="eastAsia"/>
              </w:rPr>
            </w:pPr>
            <w:r>
              <w:rPr>
                <w:rFonts w:hint="default"/>
              </w:rPr>
              <w:t>公开资料显示，常州新纶从事新材料及其衍生产品的研发、生产与销售。2016-2018年，常州新纶分别实现营业收入7.12亿元、7.88亿元和6.10亿元，分别实现净利润5794万元、1.31亿元和1.43亿元。以业绩增幅计，2017年，常州新纶营业收入同比增长10.67%，净利润同比大增126.24%。而按照行政处罚事先告知书的说法，常州新纶2016年、2017年营收可以说是有近半的“水分”。</w:t>
            </w:r>
          </w:p>
          <w:p>
            <w:pPr>
              <w:ind w:firstLine="420" w:firstLineChars="200"/>
              <w:rPr>
                <w:rFonts w:hint="default"/>
              </w:rPr>
            </w:pPr>
            <w:r>
              <w:rPr>
                <w:rFonts w:hint="default"/>
              </w:rPr>
              <w:t>为进一步了解常州新纶的情况，4月10日，记者联系上了新纶科技董秘办工作人员。该工作人员告诉《每日经济新闻》记者，“一切以公告为准。其实这个（行政）处罚，等了这么久，（对于公司而言）算是一个结束，也算是一个新的起点。”</w:t>
            </w:r>
          </w:p>
          <w:p>
            <w:pPr>
              <w:ind w:firstLine="420" w:firstLineChars="200"/>
              <w:rPr>
                <w:rFonts w:hint="eastAsia"/>
                <w:lang w:val="en-US" w:eastAsia="zh-CN"/>
              </w:rPr>
            </w:pPr>
            <w:r>
              <w:rPr>
                <w:rFonts w:hint="eastAsia"/>
                <w:lang w:val="en-US" w:eastAsia="zh-CN"/>
              </w:rPr>
              <w:t>2、</w:t>
            </w:r>
            <w:r>
              <w:rPr>
                <w:rFonts w:hint="eastAsia"/>
              </w:rPr>
              <w:t>未按规定披露关联交易</w:t>
            </w:r>
          </w:p>
          <w:p>
            <w:pPr>
              <w:ind w:firstLine="420" w:firstLineChars="200"/>
              <w:rPr>
                <w:rFonts w:hint="eastAsia"/>
              </w:rPr>
            </w:pPr>
            <w:r>
              <w:rPr>
                <w:rFonts w:hint="default"/>
              </w:rPr>
              <w:t>除了虚构贸易业务虚增收入及利润外，新纶科技还未按规定披露关联交易、未按规定披露对外担保。</w:t>
            </w:r>
          </w:p>
          <w:p>
            <w:pPr>
              <w:ind w:firstLine="420" w:firstLineChars="200"/>
              <w:rPr>
                <w:rFonts w:hint="eastAsia"/>
              </w:rPr>
            </w:pPr>
            <w:r>
              <w:rPr>
                <w:rFonts w:hint="default"/>
              </w:rPr>
              <w:t>公告显示，广州宏辉电子科技有限公司（以下简称宏辉电子）为新纶科技关联方。宏辉电子成立于2011年，原始股东为卢志辉及罗洪。卢志辉还是新纶科技员工。2016 年，卢志辉持有宏辉电子部分股权且系公司实际控制人。2016年7月，新纶科技发现卢志辉私下违规从公司采购产品通过宏辉电子对外销售。2016年12月，新纶科技对卢志辉作出处理并要求其停止运行宏辉电子。</w:t>
            </w:r>
          </w:p>
          <w:p>
            <w:pPr>
              <w:ind w:firstLine="420" w:firstLineChars="200"/>
              <w:rPr>
                <w:rFonts w:hint="eastAsia"/>
              </w:rPr>
            </w:pPr>
            <w:r>
              <w:rPr>
                <w:rFonts w:hint="default"/>
              </w:rPr>
              <w:t>2017年4月，经新纶科技介绍，马素清堂弟马素成之妻周婷受让了宏辉电子100%股权并成为法定代表人。自2017年1月至2018年9月，宏辉电子日常经营活动由新纶科技控制，所有做账所需的原始凭证及单据由新纶科技出纳提供给税务服务机构，工商、税务、银行等手续均为新纶科技人员办理，宏辉电子的各类印章、网银盾由新纶科技保管并使用，宏辉电子名下银行账户内资金主要来源于银行贷款，宏辉电子银行贷款事项均由新纶科技及其子公司提供存单质押担保，宏辉电子银行账户的资金均为新纶科技办理业务合作使用。可以说，宏辉电子2017年至调查截止日实际由新纶科技控制，为新纶科技的关联方。</w:t>
            </w:r>
          </w:p>
          <w:p>
            <w:pPr>
              <w:ind w:firstLine="420" w:firstLineChars="200"/>
              <w:rPr>
                <w:rFonts w:hint="eastAsia"/>
              </w:rPr>
            </w:pPr>
            <w:r>
              <w:rPr>
                <w:rFonts w:hint="default"/>
              </w:rPr>
              <w:t>马素清自2015年6月25日起任新纶科技财务总监。经计算，2017年度，新纶科技与宏辉电子发生关联交易合计3.85亿元，占新纶科技最近一期经审计净资产的11.62%；2018年度，新纶科技与宏辉电子发生关联交易合计7.01亿元，占新纶科技最近一期经审计净资产的20.98%。</w:t>
            </w:r>
          </w:p>
          <w:p>
            <w:pPr>
              <w:ind w:firstLine="420" w:firstLineChars="200"/>
            </w:pPr>
            <w:r>
              <w:rPr>
                <w:rFonts w:hint="default"/>
              </w:rPr>
              <w:t>此外，2017年5月至2017年12月期间，新纶科技及其全资子公司金耀辉使用自身在银行的定期存款，为宏辉电子和深圳市前海贝斯曼科技有限公司两家公司的银行贷款提供存单质押担保，2017年度担保额度为4亿元。新纶科技应在2017年年报中披露相关担保情况，但新纶科技未在2017年年报中披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eastAsia"/>
              </w:rPr>
              <w:t>德阳市</w:t>
            </w:r>
            <w: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审计</w:t>
            </w:r>
            <w:r>
              <w:t>受罚或责任描述</w:t>
            </w:r>
          </w:p>
        </w:tc>
        <w:tc>
          <w:tcPr>
            <w:tcW w:w="6402" w:type="dxa"/>
          </w:tcPr>
          <w:p>
            <w:r>
              <w:tab/>
            </w:r>
            <w:r>
              <w:rPr>
                <w:rFonts w:hint="eastAsia"/>
              </w:rPr>
              <w:t>4月9日晚间，新纶科技公告称，收到中国证监会下发的《行政处罚事先告知书》。因虚构贸易业务虚增收入及利润、未按规定披露关联交易、未按规定披露对外担保，新纶科技被处以60万元罚款，多位高管也被处以3万-30万不等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1. 在IPO财务核查的时候，我们对于财务数据造假的情形，最关注的就是体外资金循环的问题，这里就涉及两个问题，一个是虚增收入，一个是垫付费用。而今天这个案例，给了我们标准的样本去学习。</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2. 本案例的财务造假案例，最关键的人物就是这个张某，尽管公开信息没有披露张某是谁，不过根据披露的公司信息，我们通过天眼查应该推断张某就是张家文。</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3. 上市公司从张某控制的企业采购产品，然后向张某控制的公司销售，张某向上市公司回款，上市公司回款当日或者过几天又把钱转到张某控制的相关账户。这样的情况下，上市公司损失了税费和相关费用，取得了虚增收入和利润的效果。而张某呢？理论上不会有什么损失，应该还会有一些好处费。</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4. 在这样的造假过程中，资金流是闭环的，物流的空转的，为了更加真实，上市公司还伪造了入库单和出库单。而根据披露的信息，上市公司按采购金额的15%计算税费和采购金额的3%计算手续费支付给张某控制的公司，同时将同一批货物销售给张某控制的相关公司，整个贸易业务的物料购销形成闭环，对应的收付款形成资金闭环。</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5. 上市公司本质上是业绩造假，但是形式上其实是这样的：“上市公司向企业A采购产品，然后销售给B，B向上市公司支付货款，上市公司然后向A支付采购款，A和B之间不存在关联关系。”但是，监管机构可以通过资金流和相关账务处理的对应关系，来认证这样的交易是虚构的，更何况这么大的窟窿，想填平那也是很难的。</w:t>
            </w:r>
          </w:p>
          <w:p>
            <w:pPr>
              <w:pStyle w:val="11"/>
              <w:keepNext w:val="0"/>
              <w:keepLines w:val="0"/>
              <w:widowControl/>
              <w:suppressLineNumbers w:val="0"/>
              <w:shd w:val="clear" w:fill="FFFFFF"/>
              <w:spacing w:before="294" w:beforeAutospacing="0" w:after="294" w:afterAutospacing="0"/>
              <w:ind w:left="0" w:right="0" w:firstLine="0"/>
              <w:rPr>
                <w:rStyle w:val="19"/>
                <w:i w:val="0"/>
                <w:iCs w:val="0"/>
                <w:color w:val="auto"/>
              </w:rPr>
            </w:pPr>
            <w:r>
              <w:rPr>
                <w:rFonts w:hint="eastAsia" w:ascii="Times New Roman" w:hAnsi="Times New Roman" w:eastAsia="宋体" w:cs="Times New Roman"/>
                <w:kern w:val="2"/>
                <w:sz w:val="21"/>
                <w:szCs w:val="22"/>
                <w:lang w:val="en-US" w:eastAsia="zh-CN" w:bidi="ar-SA"/>
              </w:rPr>
              <w:t>6. 从最终的处罚结果来看，监管机构处罚了上市公司相关责任人21人，基本上涉及公司全部的董事、监事和高级管理人员，但是闹出那么大动静的张某却只字未提并且还保护了隐私，连个全名都没有，我觉得这也不是好的监管思路。真所谓没有买卖就没有伤害，对于这种配合做假的主体，也应该加大处罚力度，这样以后配合造假的人就会少一些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9"/>
                <w:rFonts w:hint="default" w:eastAsia="宋体"/>
                <w:i w:val="0"/>
                <w:iCs w:val="0"/>
                <w:color w:val="auto"/>
                <w:lang w:val="en-US" w:eastAsia="zh-CN"/>
              </w:rPr>
            </w:pPr>
            <w:r>
              <w:rPr>
                <w:rFonts w:hint="eastAsia"/>
              </w:rPr>
              <w:t>虚增营</w:t>
            </w:r>
            <w:r>
              <w:rPr>
                <w:rFonts w:hint="eastAsia"/>
                <w:lang w:val="en-US" w:eastAsia="zh-CN"/>
              </w:rPr>
              <w:t xml:space="preserve">业收入 </w:t>
            </w:r>
            <w:r>
              <w:rPr>
                <w:rFonts w:hint="eastAsia"/>
              </w:rPr>
              <w:t>未按规定披露交易</w:t>
            </w:r>
            <w:r>
              <w:rPr>
                <w:rFonts w:hint="eastAsia"/>
                <w:lang w:val="en-US" w:eastAsia="zh-CN"/>
              </w:rPr>
              <w:t xml:space="preserve"> 关联方</w:t>
            </w:r>
          </w:p>
        </w:tc>
      </w:tr>
    </w:tbl>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pPr>
      <w:bookmarkStart w:id="11" w:name="_Toc18959"/>
      <w:r>
        <w:rPr>
          <w:rFonts w:hint="eastAsia"/>
        </w:rPr>
        <w:t>0</w:t>
      </w:r>
      <w:r>
        <w:rPr>
          <w:rFonts w:hint="eastAsia"/>
          <w:lang w:val="en-US" w:eastAsia="zh-CN"/>
        </w:rPr>
        <w:t xml:space="preserve">8 </w:t>
      </w:r>
      <w:r>
        <w:rPr>
          <w:rFonts w:hint="default"/>
        </w:rPr>
        <w:t>宁波东力</w:t>
      </w:r>
      <w:r>
        <w:t>案例</w:t>
      </w:r>
      <w:bookmarkEnd w:id="11"/>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0308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rPr>
                <w:rFonts w:hint="default" w:eastAsia="宋体"/>
                <w:lang w:val="en-US"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pPr>
            <w:r>
              <w:rPr>
                <w:rFonts w:hint="eastAsia"/>
              </w:rPr>
              <w:t>20</w:t>
            </w:r>
            <w:r>
              <w:rPr>
                <w:rFonts w:hint="eastAsia"/>
                <w:lang w:val="en-US" w:eastAsia="zh-CN"/>
              </w:rPr>
              <w:t>2</w:t>
            </w:r>
            <w:r>
              <w:rPr>
                <w:rFonts w:hint="eastAsia"/>
              </w:rPr>
              <w:t>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rPr>
              <w:t>宁波东力股份有限公司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rPr>
                <w:rFonts w:hint="default"/>
                <w:lang w:val="en-US"/>
              </w:rPr>
            </w:pPr>
            <w:r>
              <w:rPr>
                <w:rFonts w:hint="eastAsia"/>
                <w:lang w:val="en-US" w:eastAsia="zh-CN"/>
              </w:rPr>
              <w:t>齿轮箱、电机及传动装置的制造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2007" w:type="dxa"/>
          </w:tcPr>
          <w:p>
            <w:r>
              <w:rPr>
                <w:rFonts w:hint="eastAsia"/>
              </w:rPr>
              <w:t>企业单位案情描述</w:t>
            </w:r>
          </w:p>
        </w:tc>
        <w:tc>
          <w:tcPr>
            <w:tcW w:w="6402" w:type="dxa"/>
          </w:tcPr>
          <w:p>
            <w:pPr>
              <w:rPr>
                <w:b/>
              </w:rPr>
            </w:pPr>
            <w:r>
              <w:rPr>
                <w:rFonts w:hint="eastAsia"/>
                <w:b/>
              </w:rPr>
              <w:t>【企业背景】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宁波东力股份有限公司始创于1997年，于2007年在深圳中小板挂牌上市，是中国齿轮行业首家A股上市公司。经过二十年的发展，逐步确立了以传动设备、门控系统、工程技术服务三大产业为主体，多元并进、专业化发展的经营格局。生产经营基地分设于宁波江北工业区、宁波国家高新区、四川德阳，总占地面积32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宁波东力传动设备有限公司位于宁波江北工业区，是一家专注于齿轮箱、电机及传动装置的研发、生产和服务的高新技术企业。公司拥有高精度和规格齐全的齿轮加工，箱体加工，热处理，检测理化和实验设备。公司的产品链从标准齿轮箱到专用齿轮箱、非标齿轮箱，从0.12kw微型齿轮箱到10000kw大功率重载齿轮箱。公司拥有一大批世界500强合作伙伴，产品销售网络遍布全球。在冶金行业，连续多年国内市场占有率第一。东力传动“专注于传动设备，服务于高端市场”，以卓越的品质向客户提供整体的传动解决方案。</w:t>
            </w:r>
          </w:p>
          <w:p/>
          <w:p>
            <w:pPr>
              <w:rPr>
                <w:b/>
              </w:rPr>
            </w:pPr>
            <w:r>
              <w:rPr>
                <w:rFonts w:hint="eastAsia"/>
                <w:b/>
              </w:rPr>
              <w:t>【案情背景</w:t>
            </w:r>
            <w:r>
              <w:rPr>
                <w:b/>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宁波东力的立案调查结果总算浮出水面，2020年7月4日，公司就收到了来自证监会的《行政处罚及市场禁入事先告知书》。</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据事先告知书，公司2017年完成的重大资产重组被注入了水分，重组前和重组后都有造假的情形。对此，监管层拟对上市公司及相关人等进行行政处罚，其中还有人被采取了终身市场禁入措施，令人为之一叹。</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据律师表示，虽然目前只是收到事先告知书，一旦监管层作出正式处罚，符合一定条件的受损投资者，可通过维权进行索赔。</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imes New Roman" w:hAnsi="Times New Roman" w:eastAsia="宋体" w:cs="Times New Roman"/>
                <w:kern w:val="2"/>
                <w:sz w:val="21"/>
                <w:szCs w:val="22"/>
                <w:lang w:val="en-US" w:eastAsia="zh-CN" w:bidi="ar-SA"/>
              </w:rPr>
            </w:pPr>
          </w:p>
          <w:p>
            <w:pPr>
              <w:rPr>
                <w:rFonts w:hint="eastAsia"/>
                <w:b/>
              </w:rPr>
            </w:pPr>
            <w:r>
              <w:rPr>
                <w:rFonts w:hint="eastAsia"/>
                <w:b/>
              </w:rPr>
              <w:t>【案情分析】</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rPr>
                <w:rFonts w:hint="default"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1、</w:t>
            </w:r>
            <w:r>
              <w:rPr>
                <w:rFonts w:hint="default" w:ascii="Times New Roman" w:hAnsi="Times New Roman" w:eastAsia="宋体" w:cs="Times New Roman"/>
                <w:kern w:val="2"/>
                <w:sz w:val="21"/>
                <w:szCs w:val="22"/>
                <w:lang w:val="en-US" w:eastAsia="zh-CN" w:bidi="ar-SA"/>
              </w:rPr>
              <w:t>“注水”的重组资产</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事情要从2015年说起。2015年12月17日，宁波东力停牌筹划重大资产重组，初定重组标的为深圳市年富实业发展有限公司（下称年富实业），但因年富实业存在关联方资金占用、子公司牵涉诉讼等问题，经交易各方商定，将年富实业相关业务整合至年富供应链，并通过引入投资方补足资金占用，年富实业供应链管理服务业务的资产、负债、收入、利润完整纳入年富供应链合并报表，重组标的也就更换为年富供应链。</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一年之后的2016年12月，宁波东力便抛出了并购方案。据描述，宁波东力2015年度经审计的合并财务报表期末资产净额为107921.9万元，交易拟购买年富供应链100%股权的交易价格为216000万元，交易构成了重大资产重组。待到2017年7月17日，交易完成并且年富供应链100%股权过户及完成工商变更登记手续。宁波东力于2017年8月将年富供应链纳入合并财务报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值得一提的是，据调查，2014年7月至2018年3月，年富供应链存在虚增营业收入、利润，虚增应收款项，隐瞒关联关系及关联交易等行为。年富供应链向宁波东力提供了含有上述虚假信息的财务报表，进而导致宁波东力2016年12月13日披露的《深圳市年富供应链有限公司审计报告及财务报表（2014年1月1日至2016年9月30日止）》和《交易报告书（草案）》、2017年7月15日披露的《交易报告书（修订稿）》、2018年4月26日披露的2017年年度报告和2018年第一季度报告存在虚假记载，2017年年度报告存在重大遗漏。</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在重大资产重组阶段，李文国作为年富供应链实际控制人、董事长，是上述财务造假行为的决策者，并在披露的含有虚假信息的财务报表法定代表人处签字。杨战武作为年富供应链总经理，全面负责年富供应链业务工作；刘斌作为年富供应链财务总监，在披露的含有虚假信息的财务报表主管会计工作负责人处签字；杨战武、刘斌是上述财务造假行为的主要组织者和参与者。徐梓栋、秦理、林文胜作为年富供应链高级管理人员，与李文国、杨战武、刘斌共同组成执行委员会作为决策执行机构，知悉并参与上述财务造假行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rPr>
                <w:rFonts w:hint="default"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2、</w:t>
            </w:r>
            <w:r>
              <w:rPr>
                <w:rFonts w:hint="default" w:ascii="Times New Roman" w:hAnsi="Times New Roman" w:eastAsia="宋体" w:cs="Times New Roman"/>
                <w:kern w:val="2"/>
                <w:sz w:val="21"/>
                <w:szCs w:val="22"/>
                <w:lang w:val="en-US" w:eastAsia="zh-CN" w:bidi="ar-SA"/>
              </w:rPr>
              <w:t>重组后继续造假</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2018年4月24日，宁波东力董事会审议通过了2017年年度报告和2018年第一季度报告，宋济隆、宋和涛、李文国、罗岳芳、刘斌、杨战武、陈一红等人在董事会决议和2017年年度报告、2018年第一季度报告上签字，陈晓忠在2017年年度报告、2018年第一季度报告上签字。上述董事、高级管理人员均在2017年年度报告、2018年第一季度报告书面确认意见中保证“公司2017年年度报告、2018年一季度报告内容真实、准确、完整，不存在任何虚假记载，误导性陈述或者重大遗漏”。</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2015年12月宁波东力开始停牌筹划重大资产重组，并最终于2017年以21.6亿元的总价收购了年富供应链100%的股权，但宁波东力耗费21.6亿元却买来了灾祸。年富供应链其实早在2014年就开始了财务造假、隐瞒关联关系与关联交易的行为，而且在被宁波东力收购后，造假行为仍在继续。</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根据处罚书显示，2014年7月至2018年3月间，年富供应链通过虚增出口代理、境外代采业务的数据，共虚增营业收入34.82亿元，相应虚增营业利润 4.36亿元。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其中，2014年虚增营业收入3627.41万元，相应虚增营业利润3627.41万元，占年富供应链当期披露营业利润的84.50%；2015年虚增营业收入9114.41万元，相应虚增营业利润9114.41万元，占年富供应链当期披露营业利润的71.96%；2016年1月至9月虚增营业收入3678.45万元，相应虚增营业利润3678.45万元，占年富供应链当期披露营业利润的 75.64%；2017年虚增收入10.70亿元，相应虚增营业利润1.01亿元，占宁波东力当期披露营业利润的56.54%；2018年第一季度虚增收入11.98亿元，相应虚增营业利润6359.16万元，占宁波东力当期披露营业利润的108.72%。</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另外年富供应链还存在虚增应收款项的情形，年富供应链未将相关账款计提坏账准备，而是将坏账转为年富供应链对其关联公司的虚假应收款项，导致2016年9月30日虚增应收款项3.17亿元，在2017年和2018年第一季度虚增应收款项3.17亿元，导致宁波东力披露的《审计报告及财务报表》、2017年年度报告和2018年第一季度报告存在虚假记载。</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pPr>
            <w:r>
              <w:rPr>
                <w:rFonts w:hint="default" w:ascii="Times New Roman" w:hAnsi="Times New Roman" w:eastAsia="宋体" w:cs="Times New Roman"/>
                <w:kern w:val="2"/>
                <w:sz w:val="21"/>
                <w:szCs w:val="22"/>
                <w:lang w:val="en-US" w:eastAsia="zh-CN" w:bidi="ar-SA"/>
              </w:rPr>
              <w:t>年富供应链还曾隐瞒关联关系及关联交易，2017年年富供应链与关联方世博、威隆、天逸通、云路泰发生的销售、采购商品交易总额分别为15.73亿元、6.16亿元、9.03亿元、1.87亿元，均占宁波东力最近一期经审计净资产值5%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default" w:ascii="Times New Roman" w:hAnsi="Times New Roman" w:eastAsia="宋体" w:cs="Times New Roman"/>
                <w:kern w:val="2"/>
                <w:sz w:val="21"/>
                <w:szCs w:val="22"/>
                <w:lang w:val="en-US" w:eastAsia="zh-CN" w:bidi="ar-SA"/>
              </w:rPr>
              <w:t>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1" w:hRule="atLeast"/>
        </w:trPr>
        <w:tc>
          <w:tcPr>
            <w:tcW w:w="2007" w:type="dxa"/>
          </w:tcPr>
          <w:p>
            <w:r>
              <w:rPr>
                <w:rFonts w:hint="eastAsia"/>
              </w:rPr>
              <w:t>审计</w:t>
            </w:r>
            <w:r>
              <w:t>受罚或责任描述</w:t>
            </w:r>
          </w:p>
        </w:tc>
        <w:tc>
          <w:tcPr>
            <w:tcW w:w="6402"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rPr>
                <w:rFonts w:hint="default" w:ascii="Times New Roman" w:hAnsi="Times New Roman" w:eastAsia="宋体" w:cs="Times New Roman"/>
                <w:kern w:val="2"/>
                <w:sz w:val="21"/>
                <w:szCs w:val="22"/>
                <w:lang w:val="en-US" w:eastAsia="zh-CN" w:bidi="ar-SA"/>
              </w:rPr>
            </w:pPr>
            <w:r>
              <w:tab/>
            </w:r>
            <w:r>
              <w:rPr>
                <w:rFonts w:hint="default" w:ascii="Times New Roman" w:hAnsi="Times New Roman" w:eastAsia="宋体" w:cs="Times New Roman"/>
                <w:kern w:val="2"/>
                <w:sz w:val="21"/>
                <w:szCs w:val="22"/>
                <w:lang w:val="en-US" w:eastAsia="zh-CN" w:bidi="ar-SA"/>
              </w:rPr>
              <w:t>针对重大资产重组阶段年富供应链的信息披露违法行为，根据当事人违法行为的事实、性质、情节与社会危害程度，证监会拟决定：责令年富供应链改正，给予警告，并处以60万元罚款；对年富供应链直接负责的主管人员李文国、杨战武、刘斌给予警告，并分别处以30万元罚款；对年富供应链其他直接责任人员徐梓栋、秦理、林文胜给予警告，并分别处以20万元罚款。</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针对重大资产重组完成后宁波东力的信息披露违法行为，证监会拟决定：责令宁波东力改正，给予警告，并处以30万元罚款；对李文国、杨战武、刘斌给予警告，并分别处以30万元罚款；对徐梓栋、秦理、林文胜给予警告，并分别处以20万元罚款；对宋济隆、宋和涛、罗岳芳、陈一红给予警告，并分别处以3万元罚款。</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pPr>
            <w:r>
              <w:rPr>
                <w:rFonts w:hint="default" w:ascii="Times New Roman" w:hAnsi="Times New Roman" w:eastAsia="宋体" w:cs="Times New Roman"/>
                <w:kern w:val="2"/>
                <w:sz w:val="21"/>
                <w:szCs w:val="22"/>
                <w:lang w:val="en-US" w:eastAsia="zh-CN" w:bidi="ar-SA"/>
              </w:rPr>
              <w:t>另外，由于当事人李文国、杨战武、刘斌的违法情节特别严重，证监会拟决定对他们分别釆取终身市场禁入措施。当事人徐梓栋、秦理、林文胜的违法情节较为严重，证监会拟决定对他们分别采取10年市场禁入措施。自证监会宣布决定之日起，在禁入期间内，除不得继续在原机构从事证券业务或者担任原上市公司、非上市公众公司董事、监事、高级管理人员职务外，也不得在其他任何机构中从事证券业务或者担任其他上市公司、非上市公众公司董事、监事、高级管理人员职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7" w:hRule="atLeast"/>
        </w:trPr>
        <w:tc>
          <w:tcPr>
            <w:tcW w:w="2007" w:type="dxa"/>
          </w:tcPr>
          <w:p>
            <w:r>
              <w:rPr>
                <w:rFonts w:hint="eastAsia"/>
              </w:rPr>
              <w:t>引发</w:t>
            </w:r>
            <w:r>
              <w:t>的审计</w:t>
            </w:r>
            <w:r>
              <w:rPr>
                <w:rFonts w:hint="eastAsia"/>
              </w:rPr>
              <w:t>实施</w:t>
            </w:r>
            <w:r>
              <w:t>思考</w:t>
            </w:r>
          </w:p>
        </w:tc>
        <w:tc>
          <w:tcPr>
            <w:tcW w:w="6402" w:type="dxa"/>
          </w:tcPr>
          <w:p>
            <w:pPr>
              <w:tabs>
                <w:tab w:val="left" w:pos="2160"/>
              </w:tabs>
              <w:ind w:firstLine="420" w:firstLineChars="200"/>
              <w:rPr>
                <w:rFonts w:hint="default" w:ascii="Times New Roman" w:hAnsi="Times New Roman" w:eastAsia="宋体" w:cs="Times New Roman"/>
                <w:kern w:val="2"/>
                <w:sz w:val="21"/>
                <w:szCs w:val="22"/>
                <w:lang w:val="en-US" w:eastAsia="zh-CN" w:bidi="ar-SA"/>
              </w:rPr>
            </w:pPr>
          </w:p>
          <w:p>
            <w:pPr>
              <w:tabs>
                <w:tab w:val="left" w:pos="2160"/>
              </w:tabs>
              <w:ind w:firstLine="420" w:firstLineChars="200"/>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一方面对年富供应链历史毛利率的分析不够充分在分客户的，收入毛利预测中，对年富供应链的客户收益率偏高的现象没有予以充分关注</w:t>
            </w:r>
            <w:r>
              <w:rPr>
                <w:rFonts w:hint="eastAsia" w:ascii="Times New Roman" w:hAnsi="Times New Roman" w:eastAsia="宋体" w:cs="Times New Roman"/>
                <w:kern w:val="2"/>
                <w:sz w:val="21"/>
                <w:szCs w:val="22"/>
                <w:lang w:val="en-US" w:eastAsia="zh-CN" w:bidi="ar-SA"/>
              </w:rPr>
              <w:t>。</w:t>
            </w:r>
          </w:p>
          <w:p>
            <w:pPr>
              <w:tabs>
                <w:tab w:val="left" w:pos="2160"/>
              </w:tabs>
              <w:ind w:firstLine="420" w:firstLineChars="200"/>
            </w:pPr>
            <w:r>
              <w:rPr>
                <w:rFonts w:hint="default" w:ascii="Times New Roman" w:hAnsi="Times New Roman" w:eastAsia="宋体" w:cs="Times New Roman"/>
                <w:kern w:val="2"/>
                <w:sz w:val="21"/>
                <w:szCs w:val="22"/>
                <w:lang w:val="en-US" w:eastAsia="zh-CN" w:bidi="ar-SA"/>
              </w:rPr>
              <w:t>另一方面，对其他应收款的评估程序执行不到位，工作底稿中仅收集了年富供应链对其关联公司应收账款余额的回函，但未收集应付账款余额的回函，而该应付账款余额的借方才是最终审计确认其他应收款金额。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9"/>
                <w:rFonts w:hint="default"/>
                <w:i w:val="0"/>
                <w:iCs w:val="0"/>
                <w:color w:val="auto"/>
                <w:lang w:val="en-US"/>
              </w:rPr>
            </w:pPr>
            <w:r>
              <w:rPr>
                <w:rFonts w:hint="default" w:ascii="Times New Roman" w:hAnsi="Times New Roman" w:eastAsia="宋体" w:cs="Times New Roman"/>
                <w:kern w:val="2"/>
                <w:sz w:val="21"/>
                <w:szCs w:val="22"/>
                <w:lang w:val="en-US" w:eastAsia="zh-CN" w:bidi="ar-SA"/>
              </w:rPr>
              <w:t>虚增营业利润</w:t>
            </w:r>
            <w:r>
              <w:rPr>
                <w:rFonts w:hint="eastAsia" w:cs="Times New Roman"/>
                <w:kern w:val="2"/>
                <w:sz w:val="21"/>
                <w:szCs w:val="22"/>
                <w:lang w:val="en-US" w:eastAsia="zh-CN" w:bidi="ar-SA"/>
              </w:rPr>
              <w:t xml:space="preserve"> </w:t>
            </w:r>
            <w:r>
              <w:rPr>
                <w:rFonts w:hint="default" w:ascii="Times New Roman" w:hAnsi="Times New Roman" w:eastAsia="宋体" w:cs="Times New Roman"/>
                <w:kern w:val="2"/>
                <w:sz w:val="21"/>
                <w:szCs w:val="22"/>
                <w:lang w:val="en-US" w:eastAsia="zh-CN" w:bidi="ar-SA"/>
              </w:rPr>
              <w:t>重组资产注水</w:t>
            </w:r>
            <w:r>
              <w:rPr>
                <w:rFonts w:hint="eastAsia" w:cs="Times New Roman"/>
                <w:kern w:val="2"/>
                <w:sz w:val="21"/>
                <w:szCs w:val="22"/>
                <w:lang w:val="en-US" w:eastAsia="zh-CN" w:bidi="ar-SA"/>
              </w:rPr>
              <w:t xml:space="preserve"> </w:t>
            </w:r>
            <w:r>
              <w:rPr>
                <w:rFonts w:hint="default" w:ascii="Times New Roman" w:hAnsi="Times New Roman" w:eastAsia="宋体" w:cs="Times New Roman"/>
                <w:kern w:val="2"/>
                <w:sz w:val="21"/>
                <w:szCs w:val="22"/>
                <w:lang w:val="en-US" w:eastAsia="zh-CN" w:bidi="ar-SA"/>
              </w:rPr>
              <w:t>重组后继续造假</w:t>
            </w:r>
          </w:p>
          <w:p>
            <w:pPr>
              <w:tabs>
                <w:tab w:val="left" w:pos="2160"/>
              </w:tabs>
              <w:rPr>
                <w:rStyle w:val="19"/>
                <w:i w:val="0"/>
                <w:iCs w:val="0"/>
                <w:color w:val="auto"/>
              </w:rPr>
            </w:pPr>
          </w:p>
        </w:tc>
      </w:tr>
    </w:tbl>
    <w:p>
      <w:pPr>
        <w:rPr>
          <w:rFonts w:hint="eastAsia"/>
        </w:rPr>
      </w:pPr>
    </w:p>
    <w:p>
      <w:pPr>
        <w:pStyle w:val="2"/>
        <w:rPr>
          <w:rFonts w:hint="eastAsia" w:eastAsia="宋体"/>
          <w:lang w:eastAsia="zh-CN"/>
        </w:rPr>
      </w:pPr>
      <w:bookmarkStart w:id="12" w:name="_Toc11510"/>
      <w:bookmarkStart w:id="13" w:name="_Toc15291"/>
      <w:bookmarkStart w:id="14" w:name="_Toc25026"/>
      <w:r>
        <w:rPr>
          <w:rFonts w:hint="eastAsia"/>
        </w:rPr>
        <w:t>0</w:t>
      </w:r>
      <w:r>
        <w:rPr>
          <w:rFonts w:hint="eastAsia"/>
          <w:lang w:val="en-US" w:eastAsia="zh-CN"/>
        </w:rPr>
        <w:t>9</w:t>
      </w:r>
      <w:r>
        <w:rPr>
          <w:rFonts w:hint="default" w:asciiTheme="minorEastAsia" w:hAnsiTheme="minorEastAsia" w:cstheme="minorEastAsia"/>
        </w:rPr>
        <w:t>佳木斯</w:t>
      </w:r>
      <w:r>
        <w:rPr>
          <w:rFonts w:hint="eastAsia"/>
          <w:lang w:val="en-US" w:eastAsia="zh-CN"/>
        </w:rPr>
        <w:t>案例</w:t>
      </w:r>
      <w:bookmarkEnd w:id="1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pPr>
              <w:rPr>
                <w:rFonts w:asciiTheme="minorEastAsia" w:hAnsiTheme="minorEastAsia" w:cstheme="minorEastAsia"/>
              </w:rPr>
            </w:pPr>
            <w:r>
              <w:rPr>
                <w:rFonts w:hint="eastAsia" w:asciiTheme="minorEastAsia" w:hAnsiTheme="minorEastAsia" w:cstheme="minorEastAsia"/>
              </w:rPr>
              <w:t>案例数据编号</w:t>
            </w:r>
          </w:p>
        </w:tc>
        <w:tc>
          <w:tcPr>
            <w:tcW w:w="6316" w:type="dxa"/>
          </w:tcPr>
          <w:p>
            <w:pPr>
              <w:jc w:val="center"/>
              <w:rPr>
                <w:rFonts w:hint="default" w:eastAsia="宋体" w:asciiTheme="minorEastAsia" w:hAnsiTheme="minorEastAsia" w:cstheme="minorEastAsia"/>
                <w:lang w:val="en-US" w:eastAsia="zh-CN"/>
              </w:rPr>
            </w:pPr>
            <w:r>
              <w:rPr>
                <w:rFonts w:hint="eastAsia" w:asciiTheme="minorEastAsia" w:hAnsiTheme="minorEastAsia" w:cstheme="minorEastAsia"/>
                <w:lang w:val="en-US" w:eastAsia="zh-CN"/>
              </w:rPr>
              <w:t>0309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案例行业类别</w:t>
            </w:r>
          </w:p>
        </w:tc>
        <w:tc>
          <w:tcPr>
            <w:tcW w:w="6316" w:type="dxa"/>
          </w:tcPr>
          <w:p>
            <w:pPr>
              <w:jc w:val="center"/>
              <w:rPr>
                <w:rFonts w:hint="eastAsia" w:eastAsia="宋体" w:asciiTheme="minorEastAsia" w:hAnsiTheme="minorEastAsia" w:cstheme="minorEastAsia"/>
                <w:lang w:eastAsia="zh-CN"/>
              </w:rPr>
            </w:pPr>
            <w:r>
              <w:rPr>
                <w:rFonts w:hint="eastAsia" w:asciiTheme="minorEastAsia" w:hAnsiTheme="minorEastAsia" w:cstheme="minor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案例发生时间</w:t>
            </w:r>
          </w:p>
        </w:tc>
        <w:tc>
          <w:tcPr>
            <w:tcW w:w="6316" w:type="dxa"/>
          </w:tcPr>
          <w:p>
            <w:pPr>
              <w:jc w:val="center"/>
              <w:rPr>
                <w:rFonts w:asciiTheme="minorEastAsia" w:hAnsiTheme="minorEastAsia" w:cstheme="minorEastAsia"/>
              </w:rPr>
            </w:pPr>
            <w:r>
              <w:rPr>
                <w:rFonts w:hint="eastAsia" w:asciiTheme="minorEastAsia" w:hAnsiTheme="minorEastAsia" w:cstheme="minorEastAsia"/>
                <w:lang w:val="en-US" w:eastAsia="zh-CN"/>
              </w:rPr>
              <w:t>2017</w:t>
            </w:r>
            <w:r>
              <w:rPr>
                <w:rFonts w:hint="eastAsia" w:asciiTheme="minorEastAsia" w:hAnsiTheme="minorEastAsia" w:cstheme="minor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案例企业名称</w:t>
            </w:r>
          </w:p>
        </w:tc>
        <w:tc>
          <w:tcPr>
            <w:tcW w:w="6316" w:type="dxa"/>
          </w:tcPr>
          <w:p>
            <w:pPr>
              <w:jc w:val="center"/>
              <w:rPr>
                <w:rFonts w:hint="eastAsia" w:asciiTheme="minorEastAsia" w:hAnsiTheme="minorEastAsia" w:cstheme="minorEastAsia"/>
              </w:rPr>
            </w:pPr>
            <w:r>
              <w:rPr>
                <w:rFonts w:hint="default" w:asciiTheme="minorEastAsia" w:hAnsiTheme="minorEastAsia" w:cstheme="minorEastAsia"/>
              </w:rPr>
              <w:t>哈尔滨电气集团佳木斯电机股份有限公司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案例企业经营范围</w:t>
            </w:r>
          </w:p>
        </w:tc>
        <w:tc>
          <w:tcPr>
            <w:tcW w:w="6316" w:type="dxa"/>
          </w:tcPr>
          <w:p>
            <w:pPr>
              <w:jc w:val="center"/>
              <w:rPr>
                <w:rFonts w:hint="eastAsia" w:asciiTheme="minorEastAsia" w:hAnsiTheme="minorEastAsia" w:cstheme="minorEastAsia"/>
              </w:rPr>
            </w:pPr>
            <w:r>
              <w:rPr>
                <w:rFonts w:hint="eastAsia" w:asciiTheme="minorEastAsia" w:hAnsiTheme="minorEastAsia" w:cstheme="minorEastAsia"/>
              </w:rPr>
              <w:t xml:space="preserve"> </w:t>
            </w:r>
            <w:r>
              <w:rPr>
                <w:rFonts w:hint="default" w:asciiTheme="minorEastAsia" w:hAnsiTheme="minorEastAsia" w:cstheme="minorEastAsia"/>
              </w:rPr>
              <w:t>生产电动机</w:t>
            </w:r>
            <w:r>
              <w:rPr>
                <w:rFonts w:hint="eastAsia" w:asciiTheme="minorEastAsia" w:hAnsiTheme="minorEastAsia" w:cstheme="minor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企业单位案情描述</w:t>
            </w:r>
          </w:p>
        </w:tc>
        <w:tc>
          <w:tcPr>
            <w:tcW w:w="6316" w:type="dxa"/>
          </w:tcPr>
          <w:p>
            <w:pPr>
              <w:rPr>
                <w:rFonts w:asciiTheme="minorEastAsia" w:hAnsiTheme="minorEastAsia" w:cstheme="minorEastAsia"/>
                <w:b/>
              </w:rPr>
            </w:pPr>
            <w:r>
              <w:rPr>
                <w:rFonts w:hint="eastAsia" w:asciiTheme="minorEastAsia" w:hAnsiTheme="minorEastAsia" w:cstheme="minorEastAsia"/>
                <w:b/>
              </w:rPr>
              <w:t>【企业背景】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哈尔滨电气集团佳木斯电机股份有限公司隶属于哈尔滨电气集团有限公司。哈尔滨电气集团有限公司是党中央管理的51户国有重要骨干企业之一。公司是哈尔滨电气集团有限公司在国内A股上市公司，股票简称“佳电股份”，股票代码“000922”。</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asciiTheme="minorEastAsia" w:hAnsiTheme="minorEastAsia" w:cstheme="minorEastAsia"/>
              </w:rPr>
            </w:pPr>
            <w:r>
              <w:rPr>
                <w:rFonts w:hint="default" w:ascii="Times New Roman" w:hAnsi="Times New Roman" w:eastAsia="宋体" w:cs="Times New Roman"/>
                <w:kern w:val="2"/>
                <w:sz w:val="21"/>
                <w:szCs w:val="22"/>
                <w:lang w:val="en-US" w:eastAsia="zh-CN" w:bidi="ar-SA"/>
              </w:rPr>
              <w:t>公司承继了佳木斯电机厂全部优质资产，延续了80余年生产电动机的历史，是我国大中型、特种电机的创始厂和主导厂，研制出了我国第一台防爆电机、第一台起重冶金电机、第一台屏蔽电机、第一台局部扇风机和第一台正压型防爆电机，现已发展成为拥有产品269个系列、1,909个品种、2,555,799个规格，单机功率覆盖0.12~25 ,000千瓦、年生产能力1000万千瓦以上的国内产品链齐全、具有一定竞争力的特种电机企业，先后获得了国家标准化一级企业、国家一级计量单位、国家出口创汇先进企业、全国五一劳动奖状等荣誉称号。</w:t>
            </w:r>
          </w:p>
          <w:p>
            <w:pPr>
              <w:rPr>
                <w:rFonts w:hint="eastAsia" w:asciiTheme="minorEastAsia" w:hAnsiTheme="minorEastAsia" w:cstheme="minorEastAsia"/>
                <w:b/>
              </w:rPr>
            </w:pPr>
            <w:r>
              <w:rPr>
                <w:rFonts w:hint="eastAsia" w:asciiTheme="minorEastAsia" w:hAnsiTheme="minorEastAsia" w:cstheme="minorEastAsia"/>
                <w:b/>
              </w:rPr>
              <w:t>【案情背景】</w:t>
            </w:r>
          </w:p>
          <w:p>
            <w:pPr>
              <w:ind w:firstLine="420" w:firstLineChars="200"/>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2017年12月，证监会依法对佳电股份及其22名相关责任人员依法作出行政处罚。本案系2017年证监会专项执法行动首批部署重点案件。本案的查处再次警示上市公司全体董事、监事和高级管理人员应勤勉尽责，了解并持续关注上市公司的生产经营情况、财务状况、重大事件及其影响，“不知情、不了解、未参与”不应成为免责事由。</w:t>
            </w:r>
          </w:p>
          <w:p>
            <w:pPr>
              <w:rPr>
                <w:rFonts w:asciiTheme="minorEastAsia" w:hAnsiTheme="minorEastAsia" w:cstheme="minorEastAsia"/>
              </w:rPr>
            </w:pPr>
            <w:r>
              <w:rPr>
                <w:rFonts w:hint="eastAsia" w:asciiTheme="minorEastAsia" w:hAnsiTheme="minorEastAsia" w:cstheme="minorEastAsia"/>
                <w:b/>
              </w:rPr>
              <w:t>【案情分析】</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虚增利润近2亿 佳电股份22名高管被罚</w:t>
            </w:r>
            <w:r>
              <w:rPr>
                <w:rFonts w:hint="eastAsia" w:ascii="Times New Roman" w:hAnsi="Times New Roman" w:eastAsia="宋体" w:cs="Times New Roman"/>
                <w:kern w:val="2"/>
                <w:sz w:val="21"/>
                <w:szCs w:val="22"/>
                <w:lang w:val="en-US" w:eastAsia="zh-CN" w:bidi="ar-SA"/>
              </w:rPr>
              <w:t>，</w:t>
            </w:r>
            <w:r>
              <w:rPr>
                <w:rFonts w:hint="default" w:ascii="Times New Roman" w:hAnsi="Times New Roman" w:eastAsia="宋体" w:cs="Times New Roman"/>
                <w:kern w:val="2"/>
                <w:sz w:val="21"/>
                <w:szCs w:val="22"/>
                <w:lang w:val="en-US" w:eastAsia="zh-CN" w:bidi="ar-SA"/>
              </w:rPr>
              <w:t>这场财务造假还要追溯到佳木斯电机股份有限公司(以下简称佳电公司)借壳ST阿继上市时。2011年，ST阿继收购佳电公司100%股权，佳电公司顺利借壳上市。此后更名为佳电股份。</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根据证监会下发的行政处罚通知书，收购时，收购双方签订了对赌协议，其中，佳电公司对2011至2014年度实际净利润进行了承诺。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为保证业绩承诺的完成，佳电股份董事长兼总经理赵明决定从财务处理上做一些调整安排，以弥补完成业绩承诺不足。财务总监梁喜华负责具体实施。</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“2013、2014年，佳电股份通过少结转佳电公司的主营业务成本、少计销售费用的方式，在2013年和2014年分别虚增利润1.58亿元、0.40亿元，分别占当期披露利润总额的82.58%、446.15%，占当期净利润的93.48%、706.86%。”</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此外，为掩盖财务数据造假事实，佳电股份做了“善后”。“2015年，佳电股份将前期调节的利润从2015年1月份开始逐月分期消化，直至全部转回，恢复真实的财务状况。”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2017年4月8日，佳电股份被证监会立案调查。东窗事发后，佳电股份多名董监高颇有异议，称“对公司造假行为不知情，对隐蔽的财务手段无法、无能力识别”，甚至“甩锅”给审计，但都于事无补。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Style w:val="16"/>
                <w:rFonts w:hint="default" w:ascii="\5FAE软雅黑" w:hAnsi="\5FAE软雅黑" w:eastAsia="\5FAE软雅黑" w:cs="\5FAE软雅黑"/>
                <w:i w:val="0"/>
                <w:caps w:val="0"/>
                <w:color w:val="196199"/>
                <w:spacing w:val="0"/>
                <w:sz w:val="24"/>
                <w:szCs w:val="24"/>
                <w:shd w:val="clear"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企业受罚或责任描述</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因两年虚增利润近2亿，上市公司佳电股份22名高管被证监会罚款167万元，原董事长和财务总监分别被禁止禁入市场5年、3年。证监会表示，对责任人员的认定和划分于法有据。从处罚结果来看，证监会通过责任人的任职的年限、岗位职责，以及尽责情况等标准，确定了处罚幅度，按照罚款金额分为60万元、30万元、20万元、10万元、8万元、7万元、5万元和3万元八个层级。</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对于张志祥等高管被处罚，志能祥赢昨日发公告撇清关系，“该事项仅针对张志祥、高全宏、常忠个人，警告、罚款事项也将由个人承担，不会对公司的日常经营造成重大影响”。</w:t>
            </w:r>
          </w:p>
          <w:p>
            <w:pPr>
              <w:rPr>
                <w:rFonts w:asciiTheme="minorEastAsia" w:hAnsiTheme="minorEastAsia" w:cstheme="minor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关联审计机构名称</w:t>
            </w:r>
          </w:p>
        </w:tc>
        <w:tc>
          <w:tcPr>
            <w:tcW w:w="6316" w:type="dxa"/>
          </w:tcPr>
          <w:p>
            <w:pPr>
              <w:jc w:val="center"/>
              <w:rPr>
                <w:rFonts w:hint="eastAsia" w:eastAsia="宋体" w:asciiTheme="minorEastAsia" w:hAnsiTheme="minorEastAsia" w:cstheme="minorEastAsia"/>
                <w:lang w:val="en-US" w:eastAsia="zh-CN"/>
              </w:rPr>
            </w:pPr>
            <w:r>
              <w:rPr>
                <w:rFonts w:hint="eastAsia" w:asciiTheme="minorEastAsia" w:hAnsiTheme="minorEastAsia" w:cstheme="minorEastAsia"/>
                <w:lang w:val="en-US" w:eastAsia="zh-CN"/>
              </w:rPr>
              <w:t>大华事务所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审计机构案情描述</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此次大华所被证监会处罚，主要是由于2013年至2015年期间，其所审计的上市公司佳电股份存在财务报表虚假记载情况。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据披露，2013年，佳电股份财务报表披露利润总额1.92亿元，虚增金额1.58亿元；2014年，佳电股份财务报表披露利润总额895万元，虚增金额0.40亿元；2015年，佳电股份财务报表披露利润总额-4.61亿元，虚减金额1.98亿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在三年的财务审计中，大华所未执行对佳电股份的多项审计程序，涉及营业成本结转数据的真实性、准确性，自行开发的成本核算信息系统的测试，“销售费用”的异常，存货跌价准备的会计估计发生变更等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然而三年里，大华所均为佳电股份出具了标准无保留意见的审计报告。证监会表示，这些事实有审计报告、审计工作底稿、相关人员询问笔录、佳电股份和大华所提供的情况说明、大华所提供的审计收费发票等证据证明，认定大华所未勤勉尽责，出具的审计报告存在虚假记载，对其所及相关责任人进行处罚。</w:t>
            </w:r>
          </w:p>
          <w:p>
            <w:pPr>
              <w:rPr>
                <w:rFonts w:asciiTheme="minorEastAsia" w:hAnsiTheme="minorEastAsia" w:cstheme="minor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top"/>
          </w:tcPr>
          <w:p>
            <w:pPr>
              <w:rPr>
                <w:rFonts w:hint="eastAsia" w:asciiTheme="minorEastAsia" w:hAnsiTheme="minorEastAsia" w:cstheme="minorEastAsia"/>
              </w:rPr>
            </w:pPr>
            <w:r>
              <w:rPr>
                <w:rFonts w:hint="eastAsia" w:asciiTheme="minorEastAsia" w:hAnsiTheme="minorEastAsia" w:cstheme="minorEastAsia"/>
                <w:lang w:val="en-US" w:eastAsia="zh-CN"/>
              </w:rPr>
              <w:t>审计</w:t>
            </w:r>
            <w:r>
              <w:rPr>
                <w:rFonts w:hint="eastAsia" w:asciiTheme="minorEastAsia" w:hAnsiTheme="minorEastAsia" w:cstheme="minorEastAsia"/>
              </w:rPr>
              <w:t>受罚或责任描述</w:t>
            </w:r>
          </w:p>
        </w:tc>
        <w:tc>
          <w:tcPr>
            <w:tcW w:w="6316" w:type="dxa"/>
            <w:vAlign w:val="top"/>
          </w:tcPr>
          <w:p>
            <w:pPr>
              <w:ind w:firstLine="420" w:firstLineChars="200"/>
              <w:rPr>
                <w:rFonts w:asciiTheme="minorEastAsia" w:hAnsiTheme="minorEastAsia" w:cstheme="minorEastAsia"/>
              </w:rPr>
            </w:pPr>
            <w:r>
              <w:rPr>
                <w:rFonts w:hint="default" w:ascii="Times New Roman" w:hAnsi="Times New Roman" w:eastAsia="宋体" w:cs="Times New Roman"/>
                <w:kern w:val="2"/>
                <w:sz w:val="21"/>
                <w:szCs w:val="22"/>
                <w:lang w:val="en-US" w:eastAsia="zh-CN" w:bidi="ar-SA"/>
              </w:rPr>
              <w:t>证监会官网挂出的一则处罚决定书显示，在佳电股份2013年至2015年财务报表审计过程中，大华所未勤勉尽责，出具的审计报告存在虚假记载，没收其业务收入150万元，罚款450万元。同时对三名责任人给予警告及罚款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引发的审计实施思考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rPr>
                <w:rFonts w:hint="default"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1.对于营业成本的审计常常容易被忽略，审计人员应该设计审计程序，对营业成本的变化进行分析，比如月度变化分析，年度变化分析，以及结合</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"http://baike.esnai.com/view.aspx?w=%ca%d5%c8%eb" \o "会计百科:收入" \t "http://app.news.esnai.com/_blank"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收入</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的</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"http://baike.esnai.com/view.aspx?w=%c3%ab%c0%fb%c2%ca" \o "会计百科:毛利率" \t "http://app.news.esnai.com/_blank"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毛利率</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分析；以及与存货的结合设计相关审计程序，包括存货结转，</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"http://baike.esnai.com/view.aspx?w=%b4%e6%bb%f5%bc%e0%c5%cc" \o "会计百科:存货监盘" \t "http://app.news.esnai.com/_blank"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存货监盘</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，存货倒扎表，存货计价测试等等。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2.由于成本的结转需要自行开发的系统来进行，所以要对企业自行设计的系统要进行了解，测试其稳定性和可靠性。</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3.对费用的审计程序，应注意截止性测试，注意对月度的变化趋势，分析结合细节测试，检查费用的完整性和准确性。</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rPr>
                <w:rStyle w:val="33"/>
                <w:rFonts w:asciiTheme="minorEastAsia" w:hAnsiTheme="minorEastAsia" w:cstheme="minorEastAsia"/>
                <w:i w:val="0"/>
                <w:iCs w:val="0"/>
                <w:color w:val="auto"/>
              </w:rPr>
            </w:pPr>
            <w:r>
              <w:rPr>
                <w:rFonts w:hint="eastAsia" w:ascii="Times New Roman" w:hAnsi="Times New Roman" w:eastAsia="宋体" w:cs="Times New Roman"/>
                <w:kern w:val="2"/>
                <w:sz w:val="21"/>
                <w:szCs w:val="22"/>
                <w:lang w:val="en-US" w:eastAsia="zh-CN" w:bidi="ar-SA"/>
              </w:rPr>
              <w:t>4.对于企业</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"http://baike.esnai.com/view.aspx?w=%bb%e1%bc%c6%d5%fe%b2%df%b1%e4%b8%fc" \o "会计百科:会计政策变更" \t "http://app.news.esnai.com/_blank"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会计政策变更</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或企业会计估计变更，应特别关注其合理性，并设计审计程序，获取充分、适当的证据，核实其合理性。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heme="minorEastAsia" w:hAnsiTheme="minorEastAsia" w:cstheme="minorEastAsia"/>
              </w:rPr>
            </w:pPr>
            <w:r>
              <w:rPr>
                <w:rFonts w:hint="eastAsia" w:asciiTheme="minorEastAsia" w:hAnsiTheme="minorEastAsia" w:cstheme="minorEastAsia"/>
              </w:rPr>
              <w:t>关联的审计术语与审计方法</w:t>
            </w:r>
          </w:p>
        </w:tc>
        <w:tc>
          <w:tcPr>
            <w:tcW w:w="6316" w:type="dxa"/>
          </w:tcPr>
          <w:p>
            <w:pPr>
              <w:rPr>
                <w:rFonts w:hint="default" w:asciiTheme="minorEastAsia" w:hAnsiTheme="minorEastAsia" w:cstheme="minorEastAsia"/>
                <w:lang w:val="en-US"/>
              </w:rPr>
            </w:pPr>
            <w:r>
              <w:rPr>
                <w:rFonts w:hint="default" w:ascii="Times New Roman" w:hAnsi="Times New Roman" w:eastAsia="宋体" w:cs="Times New Roman"/>
                <w:kern w:val="2"/>
                <w:sz w:val="21"/>
                <w:szCs w:val="22"/>
                <w:lang w:val="en-US" w:eastAsia="zh-CN" w:bidi="ar-SA"/>
              </w:rPr>
              <w:t>虚增利润</w:t>
            </w:r>
            <w:r>
              <w:rPr>
                <w:rFonts w:hint="eastAsia" w:cs="Times New Roman"/>
                <w:kern w:val="2"/>
                <w:sz w:val="21"/>
                <w:szCs w:val="22"/>
                <w:lang w:val="en-US" w:eastAsia="zh-CN" w:bidi="ar-SA"/>
              </w:rPr>
              <w:t xml:space="preserve"> 审计失败</w:t>
            </w:r>
          </w:p>
        </w:tc>
      </w:tr>
    </w:tbl>
    <w:p>
      <w:pPr>
        <w:pStyle w:val="2"/>
        <w:rPr>
          <w:rFonts w:hint="default"/>
          <w:lang w:val="en-US" w:eastAsia="zh-CN"/>
        </w:rPr>
      </w:pPr>
      <w:bookmarkStart w:id="15" w:name="_Toc9629"/>
      <w:r>
        <w:rPr>
          <w:rFonts w:hint="eastAsia"/>
          <w:lang w:val="en-US" w:eastAsia="zh-CN"/>
        </w:rPr>
        <w:t xml:space="preserve">10 </w:t>
      </w:r>
      <w:r>
        <w:rPr>
          <w:rFonts w:hint="default"/>
          <w:lang w:val="en-US" w:eastAsia="zh-CN"/>
        </w:rPr>
        <w:t>山东雅百特</w:t>
      </w:r>
      <w:r>
        <w:rPr>
          <w:rFonts w:hint="eastAsia"/>
          <w:lang w:val="en-US" w:eastAsia="zh-CN"/>
        </w:rPr>
        <w:t>案例</w:t>
      </w:r>
      <w:bookmarkEnd w:id="1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asciiTheme="minorEastAsia" w:hAnsiTheme="minorEastAsia" w:cstheme="minorEastAsia"/>
                <w:lang w:val="en-US" w:eastAsia="zh-CN"/>
              </w:rPr>
            </w:pPr>
            <w:r>
              <w:rPr>
                <w:rFonts w:hint="eastAsia" w:asciiTheme="minorEastAsia" w:hAnsiTheme="minorEastAsia" w:cstheme="minorEastAsia"/>
              </w:rPr>
              <w:t>0</w:t>
            </w:r>
            <w:r>
              <w:rPr>
                <w:rFonts w:hint="eastAsia" w:asciiTheme="minorEastAsia" w:hAnsiTheme="minorEastAsia" w:cstheme="minorEastAsia"/>
                <w:lang w:val="en-US" w:eastAsia="zh-CN"/>
              </w:rPr>
              <w:t>310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asciiTheme="minorEastAsia" w:hAnsiTheme="minorEastAsia" w:cstheme="minorEastAsia"/>
                <w:lang w:val="en-US" w:eastAsia="zh-CN"/>
              </w:rPr>
            </w:pPr>
            <w:r>
              <w:rPr>
                <w:rFonts w:hint="eastAsia" w:asciiTheme="minorEastAsia" w:hAnsiTheme="minorEastAsia" w:cstheme="minor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asciiTheme="minorEastAsia" w:hAnsiTheme="minorEastAsia" w:cstheme="minorEastAsia"/>
              </w:rPr>
            </w:pPr>
            <w:r>
              <w:rPr>
                <w:rFonts w:hint="eastAsia" w:asciiTheme="minorEastAsia" w:hAnsiTheme="minorEastAsia" w:cstheme="minorEastAsia"/>
              </w:rPr>
              <w:t>201</w:t>
            </w:r>
            <w:r>
              <w:rPr>
                <w:rFonts w:hint="eastAsia" w:asciiTheme="minorEastAsia" w:hAnsiTheme="minorEastAsia" w:cstheme="minorEastAsia"/>
                <w:lang w:val="en-US" w:eastAsia="zh-CN"/>
              </w:rPr>
              <w:t>7</w:t>
            </w:r>
            <w:r>
              <w:rPr>
                <w:rFonts w:hint="eastAsia" w:asciiTheme="minorEastAsia" w:hAnsiTheme="minorEastAsia" w:cstheme="minor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asciiTheme="minorEastAsia" w:hAnsiTheme="minorEastAsia" w:cstheme="minorEastAsia"/>
              </w:rPr>
            </w:pPr>
            <w:r>
              <w:rPr>
                <w:rFonts w:hint="default" w:ascii="Times New Roman" w:hAnsi="Times New Roman" w:eastAsia="宋体" w:cs="Times New Roman"/>
                <w:kern w:val="2"/>
                <w:sz w:val="21"/>
                <w:szCs w:val="22"/>
                <w:lang w:val="en-US" w:eastAsia="zh-CN" w:bidi="ar-SA"/>
              </w:rPr>
              <w:t>山东雅百特科技有限公司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left"/>
            </w:pPr>
            <w:r>
              <w:rPr>
                <w:rFonts w:hint="default" w:ascii="Times New Roman" w:hAnsi="Times New Roman" w:eastAsia="宋体" w:cs="Times New Roman"/>
                <w:kern w:val="2"/>
                <w:sz w:val="21"/>
                <w:szCs w:val="22"/>
                <w:lang w:val="en-US" w:eastAsia="zh-CN" w:bidi="ar-SA"/>
              </w:rPr>
              <w:t>金属屋墙面围护系统的制作、安装、设计、研发;金属板定型加工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keepNext w:val="0"/>
              <w:keepLines w:val="0"/>
              <w:widowControl/>
              <w:suppressLineNumbers w:val="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【企业背景】</w:t>
            </w:r>
          </w:p>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山东雅百特科技有限公司， 成立于2009年04月28日，位于</w:t>
            </w:r>
            <w:r>
              <w:rPr>
                <w:rFonts w:hint="default" w:ascii="Times New Roman" w:hAnsi="Times New Roman" w:eastAsia="宋体" w:cs="Times New Roman"/>
                <w:kern w:val="2"/>
                <w:sz w:val="21"/>
                <w:szCs w:val="22"/>
                <w:lang w:val="en-US" w:eastAsia="zh-CN" w:bidi="ar-SA"/>
              </w:rPr>
              <w:fldChar w:fldCharType="begin"/>
            </w:r>
            <w:r>
              <w:rPr>
                <w:rFonts w:hint="default" w:ascii="Times New Roman" w:hAnsi="Times New Roman" w:eastAsia="宋体" w:cs="Times New Roman"/>
                <w:kern w:val="2"/>
                <w:sz w:val="21"/>
                <w:szCs w:val="22"/>
                <w:lang w:val="en-US" w:eastAsia="zh-CN" w:bidi="ar-SA"/>
              </w:rPr>
              <w:instrText xml:space="preserve"> HYPERLINK "https://baike.baidu.com/item/%E6%9E%A3%E5%BA%84%E5%B8%82%E5%B8%82%E4%B8%AD%E5%8C%BA/8453813" \t "https://baike.baidu.com/item/%E5%B1%B1%E4%B8%9C%E9%9B%85%E7%99%BE%E7%89%B9%E7%A7%91%E6%8A%80%E6%9C%89%E9%99%90%E5%85%AC%E5%8F%B8/_blank" </w:instrText>
            </w:r>
            <w:r>
              <w:rPr>
                <w:rFonts w:hint="default" w:ascii="Times New Roman" w:hAnsi="Times New Roman" w:eastAsia="宋体" w:cs="Times New Roman"/>
                <w:kern w:val="2"/>
                <w:sz w:val="21"/>
                <w:szCs w:val="22"/>
                <w:lang w:val="en-US" w:eastAsia="zh-CN" w:bidi="ar-SA"/>
              </w:rPr>
              <w:fldChar w:fldCharType="separate"/>
            </w:r>
            <w:r>
              <w:rPr>
                <w:rFonts w:hint="default" w:ascii="Times New Roman" w:hAnsi="Times New Roman" w:eastAsia="宋体" w:cs="Times New Roman"/>
                <w:kern w:val="2"/>
                <w:sz w:val="21"/>
                <w:szCs w:val="22"/>
                <w:lang w:val="en-US" w:eastAsia="zh-CN" w:bidi="ar-SA"/>
              </w:rPr>
              <w:t>枣庄市市中区</w:t>
            </w:r>
            <w:r>
              <w:rPr>
                <w:rFonts w:hint="default" w:ascii="Times New Roman" w:hAnsi="Times New Roman" w:eastAsia="宋体" w:cs="Times New Roman"/>
                <w:kern w:val="2"/>
                <w:sz w:val="21"/>
                <w:szCs w:val="22"/>
                <w:lang w:val="en-US" w:eastAsia="zh-CN" w:bidi="ar-SA"/>
              </w:rPr>
              <w:fldChar w:fldCharType="end"/>
            </w:r>
            <w:r>
              <w:rPr>
                <w:rFonts w:hint="default" w:ascii="Times New Roman" w:hAnsi="Times New Roman" w:eastAsia="宋体" w:cs="Times New Roman"/>
                <w:kern w:val="2"/>
                <w:sz w:val="21"/>
                <w:szCs w:val="22"/>
                <w:lang w:val="en-US" w:eastAsia="zh-CN" w:bidi="ar-SA"/>
              </w:rPr>
              <w:t>光明大道北侧2699号第1幢，注册资本6815.92万元人民币，主要经营金属屋墙面围护系统的制作、安装、设计、研发;金属板定型加工等。</w:t>
            </w:r>
          </w:p>
          <w:p>
            <w:pPr>
              <w:keepNext w:val="0"/>
              <w:keepLines w:val="0"/>
              <w:widowControl/>
              <w:suppressLineNumbers w:val="0"/>
              <w:ind w:firstLine="420" w:firstLineChars="20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经营范围</w:t>
            </w:r>
            <w:r>
              <w:rPr>
                <w:rFonts w:hint="eastAsia" w:ascii="Times New Roman" w:hAnsi="Times New Roman" w:eastAsia="宋体" w:cs="Times New Roman"/>
                <w:kern w:val="2"/>
                <w:sz w:val="21"/>
                <w:szCs w:val="22"/>
                <w:lang w:val="en-US" w:eastAsia="zh-CN" w:bidi="ar-SA"/>
              </w:rPr>
              <w:t>包括</w:t>
            </w:r>
            <w:r>
              <w:rPr>
                <w:rFonts w:hint="default" w:ascii="Times New Roman" w:hAnsi="Times New Roman" w:eastAsia="宋体" w:cs="Times New Roman"/>
                <w:kern w:val="2"/>
                <w:sz w:val="21"/>
                <w:szCs w:val="22"/>
                <w:lang w:val="en-US" w:eastAsia="zh-CN" w:bidi="ar-SA"/>
              </w:rPr>
              <w:t>金属屋墙面围护系统的制作、安装、设计、研发;金属板定型加工;金属板及配套材料的制作及销售;新材料的设计、研发、销售;软件的开发运用及销售;钢结构工程、建筑装修装饰工程、建筑幕墙工程、金属门窗工程的专业承包;钢结构、幕墙配件的制作安装销售;建筑</w:t>
            </w:r>
            <w:r>
              <w:rPr>
                <w:rFonts w:hint="default" w:ascii="Times New Roman" w:hAnsi="Times New Roman" w:eastAsia="宋体" w:cs="Times New Roman"/>
                <w:kern w:val="2"/>
                <w:sz w:val="21"/>
                <w:szCs w:val="22"/>
                <w:lang w:val="en-US" w:eastAsia="zh-CN" w:bidi="ar-SA"/>
              </w:rPr>
              <w:fldChar w:fldCharType="begin"/>
            </w:r>
            <w:r>
              <w:rPr>
                <w:rFonts w:hint="default" w:ascii="Times New Roman" w:hAnsi="Times New Roman" w:eastAsia="宋体" w:cs="Times New Roman"/>
                <w:kern w:val="2"/>
                <w:sz w:val="21"/>
                <w:szCs w:val="22"/>
                <w:lang w:val="en-US" w:eastAsia="zh-CN" w:bidi="ar-SA"/>
              </w:rPr>
              <w:instrText xml:space="preserve"> HYPERLINK "https://baike.baidu.com/item/%E8%A3%85%E9%A5%B0%E6%9D%90%E6%96%99/2471" \t "https://baike.baidu.com/item/%E5%B1%B1%E4%B8%9C%E9%9B%85%E7%99%BE%E7%89%B9%E7%A7%91%E6%8A%80%E6%9C%89%E9%99%90%E5%85%AC%E5%8F%B8/_blank" </w:instrText>
            </w:r>
            <w:r>
              <w:rPr>
                <w:rFonts w:hint="default" w:ascii="Times New Roman" w:hAnsi="Times New Roman" w:eastAsia="宋体" w:cs="Times New Roman"/>
                <w:kern w:val="2"/>
                <w:sz w:val="21"/>
                <w:szCs w:val="22"/>
                <w:lang w:val="en-US" w:eastAsia="zh-CN" w:bidi="ar-SA"/>
              </w:rPr>
              <w:fldChar w:fldCharType="separate"/>
            </w:r>
            <w:r>
              <w:rPr>
                <w:rFonts w:hint="default" w:ascii="Times New Roman" w:hAnsi="Times New Roman" w:eastAsia="宋体" w:cs="Times New Roman"/>
                <w:kern w:val="2"/>
                <w:sz w:val="21"/>
                <w:szCs w:val="22"/>
                <w:lang w:val="en-US" w:eastAsia="zh-CN" w:bidi="ar-SA"/>
              </w:rPr>
              <w:t>装饰材料</w:t>
            </w:r>
            <w:r>
              <w:rPr>
                <w:rFonts w:hint="default" w:ascii="Times New Roman" w:hAnsi="Times New Roman" w:eastAsia="宋体" w:cs="Times New Roman"/>
                <w:kern w:val="2"/>
                <w:sz w:val="21"/>
                <w:szCs w:val="22"/>
                <w:lang w:val="en-US" w:eastAsia="zh-CN" w:bidi="ar-SA"/>
              </w:rPr>
              <w:fldChar w:fldCharType="end"/>
            </w:r>
            <w:r>
              <w:rPr>
                <w:rFonts w:hint="default" w:ascii="Times New Roman" w:hAnsi="Times New Roman" w:eastAsia="宋体" w:cs="Times New Roman"/>
                <w:kern w:val="2"/>
                <w:sz w:val="21"/>
                <w:szCs w:val="22"/>
                <w:lang w:val="en-US" w:eastAsia="zh-CN" w:bidi="ar-SA"/>
              </w:rPr>
              <w:t>、五金百货的销售;光伏分布式电站系统安装、调试以及组件的销售。</w:t>
            </w:r>
          </w:p>
          <w:p>
            <w:pPr>
              <w:keepNext w:val="0"/>
              <w:keepLines w:val="0"/>
              <w:widowControl/>
              <w:suppressLineNumbers w:val="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【案情背景】</w:t>
            </w:r>
          </w:p>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江苏雅百特科技股份有限公司始建于2009年，公司于2015年借壳江苏中联电气股份有限公司在深圳证券交易所成功上市，自上市以来发展极其迅速，利润成倍增长，然而，事实却并非如此。2017 年 12 月 14 日，中国证监会出具了对雅百特的《行政处罚决定书》，证监会认为雅百特于 2015 至 2016 年 9 月通过虚构巨额跨境订单、虚构建材进出口业务等手段，累计虚增营业收入 约5.8亿元，虚增利润近 2.6亿元，财务造假行为嚣张。2018年7月6日深交所发布消息称，已正式启动对雅百特的强制退市机制，公司股票存在被暂停及终止上市的风险。</w:t>
            </w:r>
          </w:p>
          <w:p>
            <w:pPr>
              <w:keepNext w:val="0"/>
              <w:keepLines w:val="0"/>
              <w:widowControl/>
              <w:suppressLineNumbers w:val="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【案情分析】</w:t>
            </w:r>
          </w:p>
          <w:p>
            <w:pPr>
              <w:keepNext w:val="0"/>
              <w:keepLines w:val="0"/>
              <w:widowControl/>
              <w:suppressLineNumbers w:val="0"/>
              <w:ind w:firstLine="420" w:firstLineChars="200"/>
              <w:jc w:val="left"/>
              <w:rPr>
                <w:rFonts w:hint="default"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公司在上市之初就承诺在2015至2017三个年度的净利润需分别达到25500万元</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36100万元</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47600万元</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若雅百特在2015年至2017年内的实际净利润数未达到上市之初的承诺，中联电气将得到瑞鸿投资</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纳贤投资和智度德诚以股份及现金方式进行的补偿，并由上市公司回购并注销需补偿的股份数</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面对2015年和2016年归属于上市公司股东的扣除非经常性损益和虚增利润后的实际净利润与上市之初的承诺净利润的巨大差距，雅百特管理层急需短时间内大幅提高其盈利能力以满足盈利承诺的要求</w:t>
            </w:r>
            <w:r>
              <w:rPr>
                <w:rFonts w:hint="default" w:ascii="Times New Roman" w:hAnsi="Times New Roman" w:eastAsia="宋体" w:cs="Times New Roman"/>
                <w:kern w:val="2"/>
                <w:sz w:val="21"/>
                <w:szCs w:val="22"/>
                <w:lang w:val="en-US" w:eastAsia="zh-CN" w:bidi="ar-SA"/>
              </w:rPr>
              <w:t>。</w:t>
            </w:r>
          </w:p>
          <w:p>
            <w:pPr>
              <w:keepNext w:val="0"/>
              <w:keepLines w:val="0"/>
              <w:widowControl/>
              <w:suppressLineNumbers w:val="0"/>
              <w:ind w:firstLine="420" w:firstLineChars="200"/>
              <w:jc w:val="left"/>
              <w:rPr>
                <w:rFonts w:hint="default"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公司净利润总体增长趋势与经营活动现金流量净额连续负数不匹配</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虽然2016年净利润有所下降，但2012至2015年雅百特合并净利润均实现了稳步增长</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但公司经营活动现金流量净额除2015年度为正数外，其余2012至2016年各年度均为负数，且负数金额逐年上升</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由此可见，雅百特财务报表信息可能存在未能真实反映公司实际经营的情况</w:t>
            </w:r>
            <w:r>
              <w:rPr>
                <w:rFonts w:hint="default" w:ascii="Times New Roman" w:hAnsi="Times New Roman" w:eastAsia="宋体" w:cs="Times New Roman"/>
                <w:kern w:val="2"/>
                <w:sz w:val="21"/>
                <w:szCs w:val="22"/>
                <w:lang w:val="en-US" w:eastAsia="zh-CN" w:bidi="ar-SA"/>
              </w:rPr>
              <w:t xml:space="preserve">。 </w:t>
            </w:r>
          </w:p>
          <w:p>
            <w:pPr>
              <w:keepNext w:val="0"/>
              <w:keepLines w:val="0"/>
              <w:widowControl/>
              <w:suppressLineNumbers w:val="0"/>
              <w:ind w:firstLine="420" w:firstLineChars="200"/>
              <w:jc w:val="left"/>
              <w:rPr>
                <w:rFonts w:hint="default"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市场竞争程度逐步提升</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随着大型钢结构公司产业链的延伸以及新进入金属屋面围护系统市场的竞争者的出现，雅百特所处的行业也将面临更激烈的竞争</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从雅百特对2012至2015年前五大客户的销售收入占比来看，其存在主要客户集中的潜在风险</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随着市场整体竞争的加剧，主要客户的潜在流失可能将冲击雅百特的经营和盈利能力，增加了其舞弊的压力</w:t>
            </w:r>
            <w:r>
              <w:rPr>
                <w:rFonts w:hint="default" w:ascii="Times New Roman" w:hAnsi="Times New Roman" w:eastAsia="宋体" w:cs="Times New Roman"/>
                <w:kern w:val="2"/>
                <w:sz w:val="21"/>
                <w:szCs w:val="22"/>
                <w:lang w:val="en-US" w:eastAsia="zh-CN" w:bidi="ar-SA"/>
              </w:rPr>
              <w:t xml:space="preserve">。 </w:t>
            </w:r>
          </w:p>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借壳上市成功使瑞鸿投资</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纳贤投资和智度德诚创业投资所持有的雅百特股票价值迅速增长</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例如，2014年12月智度德诚持有雅百特9.27% 的股份，出资额仅631.84万元</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仅几个月后的2015年，中联电气与雅百特实现资产置换时，重新评估的智度德诚持有的雅百特股份估价暴涨至3亿元</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同时，由于2015年和2016年业绩的</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大幅增长</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，从而使瑞鸿投资</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纳贤投资和智度德诚持有的雅百特股价进一步暴涨</w:t>
            </w:r>
            <w:r>
              <w:rPr>
                <w:rFonts w:hint="default" w:ascii="Times New Roman" w:hAnsi="Times New Roman" w:eastAsia="宋体" w:cs="Times New Roman"/>
                <w:kern w:val="2"/>
                <w:sz w:val="21"/>
                <w:szCs w:val="22"/>
                <w:lang w:val="en-US" w:eastAsia="zh-CN" w:bidi="ar-SA"/>
              </w:rPr>
              <w:t>。</w:t>
            </w:r>
          </w:p>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虚构海外工程项目。雅百特利用我国跨境项目审核和控制的疏漏，谎称公司于2015年承接了巴基斯坦国木尔坦城市的快速公交项目，实现当年营业收入2.01亿元。为了让跨境交易显得更加真实，其通过伪造巴基斯坦信函以及工程建设合同来取得审计师的信任;其次，雅百特还特地向海关报关出口了一批建材，称这批建材将会用于巴基斯坦木尔坦的快速公交车站的建设，但经查，这些建材并未实际运往巴基斯坦，而是将报关出口的建材运至香港，再由其控制的关联公司将货物运回国内。</w:t>
            </w:r>
          </w:p>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虚假采购。根据证监会的调查，雅百特通过注册大量空壳公司来充当上下游，进行频繁的关联方交易，虚假采购，伪造资金循环，虚增营业收入。具体手段为：先将其自有资金以虚假采购的方式转入其控制的关联企业，然后再以销售回款的名义转回的方式虚构销售收入，其工程款大多来源于雅百特本身控制的关联公司，为了隐蔽资金循环，其还通过100多个银行帐户进行资金划转和走账，运用银行票据和第三方支付划转，企图利用资金划转渠道的复杂性来瞒天过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t>受罚或责任描述</w:t>
            </w:r>
          </w:p>
        </w:tc>
        <w:tc>
          <w:tcPr>
            <w:tcW w:w="6316" w:type="dxa"/>
          </w:tcPr>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证监会表示，雅百特财务造假事件性质极其恶劣，证监会依据证券法规定的顶格处罚，对其处以60万元的罚款；对直接负责的主管人员处以30万元顶格罚款，并采取终身市场今日措施。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pPr>
              <w:keepNext w:val="0"/>
              <w:keepLines w:val="0"/>
              <w:widowControl/>
              <w:suppressLineNumbers w:val="0"/>
              <w:jc w:val="center"/>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众华会计师事务所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审计机构案情描述</w:t>
            </w:r>
          </w:p>
        </w:tc>
        <w:tc>
          <w:tcPr>
            <w:tcW w:w="6316" w:type="dxa"/>
          </w:tcPr>
          <w:p>
            <w:pPr>
              <w:keepNext w:val="0"/>
              <w:keepLines w:val="0"/>
              <w:widowControl/>
              <w:suppressLineNumbers w:val="0"/>
              <w:ind w:firstLine="420" w:firstLineChars="200"/>
              <w:jc w:val="left"/>
              <w:rPr>
                <w:rFonts w:hint="default"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众华会计师事务所自2012年以来，一直担任雅百特的外部审计，且在证监会通报的2015年度审计</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评估机构检查处理情况中，其对众华会计师事务所采取了责令改正的行政监管措施</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2015年和2016年，众华会计师事务所在雅百特通过虚构海外工程和国内外贸易方式大额虚增营业收入和利润的情况下仍分别对其出具了标准无保留意见和带强调事项段的无保留意见的审计报告</w:t>
            </w:r>
            <w:r>
              <w:rPr>
                <w:rFonts w:hint="default" w:ascii="Times New Roman" w:hAnsi="Times New Roman" w:eastAsia="宋体" w:cs="Times New Roman"/>
                <w:kern w:val="2"/>
                <w:sz w:val="21"/>
                <w:szCs w:val="22"/>
                <w:lang w:val="en-US" w:eastAsia="zh-CN" w:bidi="ar-SA"/>
              </w:rPr>
              <w:t>。</w:t>
            </w:r>
          </w:p>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因此众华会计师事务所的独立性和其在对该公司的年报审计中是否勤勉尽责都是值得质疑的</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第二，违法成本低</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证监会在</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证券法</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规定的范围内对雅百特处以60万元的顶格罚款</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但处罚金额相较于雅百特在2015至2016年9月期间累计虚增约5.8亿元的营业收入和近2.6亿元的利润简直是小巫见大巫</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同时，由于虚假信息披露违法行为造成的业绩</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大幅增长</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使得股价高涨，其间，雅百特董监高实现减持套现数亿元</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低违法</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成本</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与造假获得的高额</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收益</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之间的巨大差异使得上市公司铤而走险，财务造假行为屡禁不止</w:t>
            </w:r>
            <w:r>
              <w:rPr>
                <w:rFonts w:hint="default" w:ascii="Times New Roman" w:hAnsi="Times New Roman" w:eastAsia="宋体" w:cs="Times New Roman"/>
                <w:kern w:val="2"/>
                <w:sz w:val="21"/>
                <w:szCs w:val="22"/>
                <w:lang w:val="en-US" w:eastAsia="zh-CN" w:bidi="ar-SA"/>
              </w:rPr>
              <w:t xml:space="preserve">。 </w:t>
            </w:r>
          </w:p>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w:t>
            </w:r>
            <w:r>
              <w:rPr>
                <w:rFonts w:hint="default" w:ascii="Times New Roman" w:hAnsi="Times New Roman" w:eastAsia="宋体" w:cs="Times New Roman"/>
                <w:kern w:val="2"/>
                <w:sz w:val="21"/>
                <w:szCs w:val="22"/>
                <w:lang w:val="en-US" w:eastAsia="zh-CN" w:bidi="ar-SA"/>
              </w:rPr>
              <w:t>一）未保持职业怀疑态度。从以上对雅百特财务造假手段的分析来看，其造假行为也并非无迹可寻，但众华会计师事务所因常年为雅百特提供审计和评估服务，双方有着良好且密切的合作关系，因此，审计师在对雅百特进行风险评估和执行相关的审计程序时，未能保持应有的职业怀疑态度，在未对被审计单位及其环境以及内部控制有充分了解的情况下，对被审计单位过于信任，一时疏忽酿成大祸。</w:t>
            </w:r>
          </w:p>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二）未执行充分的审计程序。雅百特通过大量的虚假采购和巨额的跨境建材贸易来虚增营业收入，其间，雅百特必须得有大量的实物周转才能“支撑”其谎言，但实际上，雅百特只持有极少量的实物资产，审计师如果对其仓库现存、购入以及发出的实物资产进行盘点核实，定能发现其中的猫腻。另外，雅百特通过注册空壳公司充当上下游进行频繁的虚假采购与销售，以粉饰经营业绩，审计师如果对其上下游公司进行实地察访，雅百特的财务造假也能被轻易识别，但是众华会计师事务所的审计师却没有执行实地考察这一审计程序，未执行充分的审计程序也是致使众华审计师审计失误的原因之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审计受罚或责任描述</w:t>
            </w:r>
          </w:p>
        </w:tc>
        <w:tc>
          <w:tcPr>
            <w:tcW w:w="6316" w:type="dxa"/>
          </w:tcPr>
          <w:p>
            <w:pPr>
              <w:keepNext w:val="0"/>
              <w:keepLines w:val="0"/>
              <w:widowControl/>
              <w:suppressLineNumbers w:val="0"/>
              <w:ind w:firstLine="420" w:firstLineChars="200"/>
              <w:jc w:val="left"/>
              <w:rPr>
                <w:rFonts w:asciiTheme="minorEastAsia" w:hAnsiTheme="minorEastAsia" w:cstheme="minorEastAsia"/>
              </w:rPr>
            </w:pPr>
            <w:r>
              <w:rPr>
                <w:rFonts w:hint="eastAsia" w:ascii="Times New Roman" w:hAnsi="Times New Roman" w:eastAsia="宋体" w:cs="Times New Roman"/>
                <w:kern w:val="2"/>
                <w:sz w:val="21"/>
                <w:szCs w:val="22"/>
                <w:lang w:val="en-US" w:eastAsia="zh-CN" w:bidi="ar-SA"/>
              </w:rPr>
              <w:t>2017年4月，因涉嫌虚构海外工程和国内外贸易,江苏雅百特被证监会立案稽查，并于2017年12月遭到证监会行政处罚</w:t>
            </w:r>
            <w:r>
              <w:rPr>
                <w:rFonts w:hint="default"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证监会对雅百特公司处以60万元罚款，并对相关舞弊责任人处以3万元至30万元不等的罚款和3年至终身证券市场禁入的处罚</w:t>
            </w:r>
            <w:r>
              <w:rPr>
                <w:rFonts w:hint="default" w:ascii="Times New Roman" w:hAnsi="Times New Roman" w:eastAsia="宋体" w:cs="Times New Roman"/>
                <w:kern w:val="2"/>
                <w:sz w:val="21"/>
                <w:szCs w:val="22"/>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ind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企业的高管是企业发展的“领头羊”，对整个企业的管理负全面责任。他们主要负责制定组织的总目标、总战略，掌握组织的大致方针，而且企业高管的能力、性格及职业道德等对企业的文化建设及形成起着决定性作用。因此，高层管理者的职业道德对企业的生存发展至关重要。如果一个企业的高层管理人员没有职业道德，那么公司的发展会止步于当前的利益而没有办法长远发展。正如雅百特公司，其高层管理人员丧失职业道德，进行财务造假欺骗广大投资者，在 2015 年借壳上市之后，2017 年便进入强制退市程序，给公司的发展造成了非常严重的阻碍。因此，对高层管理人员的职业道德培养应该放在与创造利润同样的重要的位置。相关监管机构可以通过面授等方式对高管人员进行定期职业道德教育及法制教育并进行追踪观察及评估，在高管执业活动中推行法治与德治教育，以在整个公司中形成诚信敬业的企业文化氛围，从源头上减少企业舞弊行为的发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firstLineChars="20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雅百特的舞弊成因包括：第一，雅百特的高级管理人员道德品质存在问题；第二，借壳上市时签订的业绩补偿协议及公司发展的融资需要的压力使雅百特产生了舞弊动机；第三，雅百特由于大股东控制导致其治理机制失效给其舞弊行为提供了机会；第四，中介机构失职和政府监管不到位等因素使雅百特的舞弊行为没有被及时发现；第五，政府相关机构处罚力度不大使雅百特的高管人员产生了侥幸心理。</w:t>
            </w:r>
          </w:p>
          <w:p>
            <w:pPr>
              <w:ind w:firstLine="420" w:firstLineChars="200"/>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本文针对以上问题提出了相应的对策和建议。</w:t>
            </w:r>
            <w:r>
              <w:rPr>
                <w:rFonts w:hint="default" w:ascii="Times New Roman" w:hAnsi="Times New Roman" w:eastAsia="宋体" w:cs="Times New Roman"/>
                <w:kern w:val="2"/>
                <w:sz w:val="21"/>
                <w:szCs w:val="22"/>
                <w:lang w:val="en-US" w:eastAsia="zh-CN" w:bidi="ar-SA"/>
              </w:rPr>
              <w:br w:type="textWrapping"/>
            </w:r>
            <w:r>
              <w:rPr>
                <w:rFonts w:hint="default" w:ascii="Times New Roman" w:hAnsi="Times New Roman" w:eastAsia="宋体" w:cs="Times New Roman"/>
                <w:kern w:val="2"/>
                <w:sz w:val="21"/>
                <w:szCs w:val="22"/>
                <w:lang w:val="en-US" w:eastAsia="zh-CN" w:bidi="ar-SA"/>
              </w:rPr>
              <w:t>第一，要加强对企业高管的职业道德教育。江苏雅百特的舞弊行为是由高层管理人员主导的，因此归根结底高管的道德品质是存在一定问题的。雅百特的高管明知进行财务舞弊是违法行为，会对广大投资者造成损害，但依然选择了进行财务舞弊，可见其高管职业道德的缺失。为从根本上治理该问题，应该加强对企业人员的职业道德培养，从源头上减少企业舞弊行为的发生。</w:t>
            </w:r>
          </w:p>
          <w:p>
            <w:pPr>
              <w:keepNext w:val="0"/>
              <w:keepLines w:val="0"/>
              <w:widowControl/>
              <w:suppressLineNumbers w:val="0"/>
              <w:ind w:firstLine="420" w:firstLineChars="20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br w:type="textWrapping"/>
            </w:r>
            <w:r>
              <w:rPr>
                <w:rFonts w:hint="default" w:ascii="Times New Roman" w:hAnsi="Times New Roman" w:eastAsia="宋体" w:cs="Times New Roman"/>
                <w:kern w:val="2"/>
                <w:sz w:val="21"/>
                <w:szCs w:val="22"/>
                <w:lang w:val="en-US" w:eastAsia="zh-CN" w:bidi="ar-SA"/>
              </w:rPr>
              <w:t>第二，企业要优化上市公司治理结构。江苏雅百特正是由于其“一股独大”的现象导致其公司治理结构失效，监事会和独立董事未起到其应有的监管作用，才给财务舞弊行为提供了可乘之机；而其企业股权“一股独大”的问题导致了大股东只为自己的利益考虑，采取财务舞弊行为以避免可能出现的赔偿，从而伤害了中小股东的利益。因此，要优化上市公司的治理结构，保障各部门权利的实施，使舞弊行为及早被发现；要分散上市公司的股权，或者限制大股东的经营决策参与权以防止大股东为了自己的利益实施舞弊对中小股东的利益造成损害。</w:t>
            </w:r>
          </w:p>
          <w:p>
            <w:pPr>
              <w:keepNext w:val="0"/>
              <w:keepLines w:val="0"/>
              <w:widowControl/>
              <w:suppressLineNumbers w:val="0"/>
              <w:ind w:firstLine="420" w:firstLineChars="200"/>
              <w:jc w:val="left"/>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一）保持应有的职业怀疑态度。由于现今企业的交易方式日趋复杂多样，交易量也异常庞大，对审计师而言，要对公司的所有账目进行详细审计显然不够实际，而基于抽样原理的风险导向型审计又有其固有的局限性，面对这种两难的情形，审计师应时刻保持应有的职业谨慎和怀疑态度，重视风险评估程序，在执行审计程序之前，要对被审计单位及其环境做充分的了解，以便对审计风险有一个更为准确的预估。</w:t>
            </w:r>
          </w:p>
          <w:p>
            <w:pPr>
              <w:keepNext w:val="0"/>
              <w:keepLines w:val="0"/>
              <w:widowControl/>
              <w:suppressLineNumbers w:val="0"/>
              <w:ind w:firstLine="420" w:firstLineChars="200"/>
              <w:jc w:val="left"/>
              <w:rPr>
                <w:rFonts w:hint="default" w:ascii="Tahoma" w:hAnsi="Tahoma" w:eastAsia="Tahoma" w:cs="Tahoma"/>
                <w:i w:val="0"/>
                <w:caps w:val="0"/>
                <w:color w:val="000000"/>
                <w:spacing w:val="0"/>
                <w:kern w:val="0"/>
                <w:sz w:val="21"/>
                <w:szCs w:val="21"/>
                <w:shd w:val="clear" w:fill="FFFFFF"/>
                <w:lang w:val="en-US" w:eastAsia="zh-CN" w:bidi="ar"/>
              </w:rPr>
            </w:pPr>
            <w:r>
              <w:rPr>
                <w:rFonts w:hint="default" w:ascii="Times New Roman" w:hAnsi="Times New Roman" w:eastAsia="宋体" w:cs="Times New Roman"/>
                <w:kern w:val="2"/>
                <w:sz w:val="21"/>
                <w:szCs w:val="22"/>
                <w:lang w:val="en-US" w:eastAsia="zh-CN" w:bidi="ar-SA"/>
              </w:rPr>
              <w:t>（二）不断调整并更新审计方法。审计师在进行审计时常用的审计方法大体可分为审查书面资料的方法和证实客观事物的方法，其中，审查书面资料的方法有核对法、审阅法、复算法、比较法和分析法，而证实客观事物的方法有盘点法、调节法和鉴定法。审计师在审计时应综合运用各种审计方法来获取必要的审计证据，不能仅仅停留在审查相关账项上，这种疏于对被审计单位实际生产经营状况考察的审计方法，很容易被一些企业“钻空子”。审计师要根据被审计单位及其环境的特殊性，不断调整并更新審计方法，执行充分、恰当的审计程序，以提高审计的效果和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 xml:space="preserve">审计事务所帮助舞弊 </w:t>
            </w:r>
            <w:r>
              <w:rPr>
                <w:rFonts w:hint="default" w:ascii="Times New Roman" w:hAnsi="Times New Roman" w:eastAsia="宋体" w:cs="Times New Roman"/>
                <w:kern w:val="2"/>
                <w:sz w:val="21"/>
                <w:szCs w:val="22"/>
                <w:lang w:val="en-US" w:eastAsia="zh-CN" w:bidi="ar-SA"/>
              </w:rPr>
              <w:t>虚假采购</w:t>
            </w:r>
            <w:r>
              <w:rPr>
                <w:rFonts w:hint="eastAsia" w:cs="Times New Roman"/>
                <w:kern w:val="2"/>
                <w:sz w:val="21"/>
                <w:szCs w:val="22"/>
                <w:lang w:val="en-US" w:eastAsia="zh-CN" w:bidi="ar-SA"/>
              </w:rPr>
              <w:t xml:space="preserve"> </w:t>
            </w:r>
            <w:r>
              <w:rPr>
                <w:rFonts w:hint="eastAsia" w:ascii="Times New Roman" w:hAnsi="Times New Roman" w:eastAsia="宋体" w:cs="Times New Roman"/>
                <w:kern w:val="2"/>
                <w:sz w:val="21"/>
                <w:szCs w:val="22"/>
                <w:lang w:val="en-US" w:eastAsia="zh-CN" w:bidi="ar-SA"/>
              </w:rPr>
              <w:t>净利润增长趋势与经营活动现金流量净额不匹配</w:t>
            </w:r>
          </w:p>
        </w:tc>
      </w:tr>
    </w:tbl>
    <w:p>
      <w:pPr>
        <w:pStyle w:val="2"/>
        <w:rPr>
          <w:rFonts w:hint="eastAsia"/>
          <w:lang w:val="en-US" w:eastAsia="zh-CN"/>
        </w:rPr>
      </w:pPr>
      <w:bookmarkStart w:id="16" w:name="_Toc1604"/>
      <w:r>
        <w:rPr>
          <w:rFonts w:hint="eastAsia"/>
        </w:rPr>
        <w:t>1</w:t>
      </w:r>
      <w:r>
        <w:t>1</w:t>
      </w:r>
      <w:r>
        <w:rPr>
          <w:rFonts w:hint="eastAsia"/>
        </w:rPr>
        <w:t>-</w:t>
      </w:r>
      <w:r>
        <w:t xml:space="preserve">20 </w:t>
      </w:r>
      <w:r>
        <w:rPr>
          <w:rFonts w:hint="eastAsia"/>
        </w:rPr>
        <w:t>主要分析人：</w:t>
      </w:r>
      <w:r>
        <w:rPr>
          <w:rFonts w:hint="eastAsia"/>
          <w:lang w:val="en-US" w:eastAsia="zh-CN"/>
        </w:rPr>
        <w:t>刘婷</w:t>
      </w:r>
      <w:bookmarkEnd w:id="16"/>
    </w:p>
    <w:bookmarkEnd w:id="13"/>
    <w:bookmarkEnd w:id="14"/>
    <w:p>
      <w:pPr>
        <w:pStyle w:val="2"/>
      </w:pPr>
      <w:bookmarkStart w:id="17" w:name="_Toc14443"/>
      <w:r>
        <w:rPr>
          <w:rFonts w:hint="eastAsia"/>
          <w:lang w:val="en-US" w:eastAsia="zh-CN"/>
        </w:rPr>
        <w:t>1</w:t>
      </w:r>
      <w:r>
        <w:rPr>
          <w:rFonts w:hint="eastAsia"/>
        </w:rPr>
        <w:t>1</w:t>
      </w:r>
      <w:r>
        <w:rPr>
          <w:rFonts w:hint="eastAsia"/>
          <w:lang w:val="en-US" w:eastAsia="zh-CN"/>
        </w:rPr>
        <w:t>康尼机电舞弊</w:t>
      </w:r>
      <w:r>
        <w:rPr>
          <w:rFonts w:hint="eastAsia"/>
        </w:rPr>
        <w:t>事件</w:t>
      </w:r>
      <w:bookmarkEnd w:id="1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03</w:t>
            </w:r>
            <w:r>
              <w:rPr>
                <w:rFonts w:hint="eastAsia"/>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建筑业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南京康尼机电股份有限公司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轨道交通门系统的研发、制造和销售及提供轨道交通装备配套产品与技术服务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rPr>
                <w:rFonts w:hint="eastAsia"/>
              </w:rPr>
              <w:t>南京康尼机电股份有限公司，是中国轨道车辆门系统国产化研发和制造基地。以南京工程学院为依托，是国家重点高新技术企业，是国家“高技术产业化示范工程”单位。</w:t>
            </w:r>
          </w:p>
          <w:p>
            <w:pPr>
              <w:rPr>
                <w:b/>
              </w:rPr>
            </w:pPr>
            <w:r>
              <w:rPr>
                <w:rFonts w:hint="eastAsia"/>
                <w:b/>
              </w:rPr>
              <w:t>【案情背景</w:t>
            </w:r>
            <w:r>
              <w:rPr>
                <w:b/>
              </w:rPr>
              <w:t>】</w:t>
            </w:r>
          </w:p>
          <w:p>
            <w:r>
              <w:rPr>
                <w:b/>
              </w:rPr>
              <w:tab/>
            </w:r>
            <w:r>
              <w:rPr>
                <w:rFonts w:hint="eastAsia"/>
                <w:b w:val="0"/>
                <w:bCs/>
                <w:lang w:val="en-US" w:eastAsia="zh-CN"/>
              </w:rPr>
              <w:t>2017年江苏苏亚金诚会计师事务所为本公司出具了标准无保留意见的审计报告。南京康尼机电股份有限公司因涉嫌信息披露违法违规，于2018年8月22日收到中国证监会的《调查通知书》</w:t>
            </w:r>
            <w:r>
              <w:rPr>
                <w:b w:val="0"/>
                <w:bCs/>
              </w:rPr>
              <w:t>。</w:t>
            </w:r>
          </w:p>
          <w:p>
            <w:pPr>
              <w:rPr>
                <w:b/>
              </w:rPr>
            </w:pPr>
            <w:r>
              <w:rPr>
                <w:rFonts w:hint="eastAsia"/>
                <w:b/>
              </w:rPr>
              <w:t>【案情描述】</w:t>
            </w:r>
          </w:p>
          <w:p>
            <w:pPr>
              <w:rPr>
                <w:rFonts w:hint="eastAsia"/>
                <w:b w:val="0"/>
                <w:bCs w:val="0"/>
              </w:rPr>
            </w:pPr>
            <w:r>
              <w:rPr>
                <w:rFonts w:hint="eastAsia"/>
                <w:b w:val="0"/>
                <w:bCs w:val="0"/>
              </w:rPr>
              <w:t>广东龙昕科技是康尼机电2017年7月以34亿元高价收购的全资子公司，龙昕科技为消费电子精密结构件表面处理整体解决方案提供商，主营业务为塑胶、金属及新材料精密结构件的表面处理工艺研发和生产制造服务，具体包括塑胶精密结构件的生产及表面处理，金属精密结构件的表面处理，并具备其他各类材质结构件的特殊涂装、真空镀膜等表面处理服务能力。收购后，广东龙昕科技承诺2017、2018、2019年实现的净利润将分别不低于2.38亿元、3.08亿元、3.88亿元，如未达标将进行业绩补偿。</w:t>
            </w:r>
          </w:p>
          <w:p>
            <w:r>
              <w:rPr>
                <w:rFonts w:hint="eastAsia"/>
                <w:b w:val="0"/>
                <w:bCs w:val="0"/>
              </w:rPr>
              <w:t>龙昕科技将3.045亿元定期存单质押后作定期存款核算，未向康尼机电汇报质押情况，导致康尼机电披露的《重组报告书》和《2017年年度报告》存在重大遗漏。同时，2015年至2017年，龙昕科技通过虚开增值税发票或未开票即确认收入的方式，累计虚增收入9亿多元，虚增利润3.5亿元，导致康尼机电披露的相关重组报告存在虚假记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b w:val="0"/>
                <w:bCs/>
                <w:lang w:val="en-US" w:eastAsia="zh-CN"/>
              </w:rPr>
              <w:t>江苏苏亚金诚会计师事务所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default" w:eastAsia="宋体"/>
                <w:i w:val="0"/>
                <w:iCs w:val="0"/>
                <w:color w:val="auto"/>
                <w:lang w:val="en-US" w:eastAsia="zh-CN"/>
              </w:rPr>
            </w:pPr>
            <w:r>
              <w:rPr>
                <w:rStyle w:val="19"/>
                <w:rFonts w:hint="eastAsia"/>
                <w:i w:val="0"/>
                <w:iCs w:val="0"/>
                <w:color w:val="auto"/>
                <w:lang w:val="en-US" w:eastAsia="zh-CN"/>
              </w:rPr>
              <w:t>那么上市公司董监高在并购重组过程当中，当然他就是要按照我们证券法的要求，要求他们是要勤勉尽责，要诚实守信。那么对于并购的资产，对并购的对象的资质，对于并购的交易，它的全面性应该进行审慎的把关，特别是在它的交易的合理性，信息披露的合规性方面来进行审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收购、虚增利润</w:t>
            </w:r>
          </w:p>
        </w:tc>
      </w:tr>
    </w:tbl>
    <w:p>
      <w:pPr>
        <w:pStyle w:val="2"/>
      </w:pPr>
      <w:bookmarkStart w:id="18" w:name="_Toc18900"/>
      <w:r>
        <w:rPr>
          <w:rFonts w:hint="eastAsia"/>
          <w:lang w:val="en-US" w:eastAsia="zh-CN"/>
        </w:rPr>
        <w:t>1</w:t>
      </w:r>
      <w:r>
        <w:rPr>
          <w:rFonts w:hint="eastAsia"/>
        </w:rPr>
        <w:t>2</w:t>
      </w:r>
      <w:r>
        <w:rPr>
          <w:rFonts w:hint="eastAsia"/>
          <w:lang w:val="en-US" w:eastAsia="zh-CN"/>
        </w:rPr>
        <w:t>抚顺特钢</w:t>
      </w:r>
      <w:r>
        <w:t>财务造假</w:t>
      </w:r>
      <w:bookmarkEnd w:id="18"/>
    </w:p>
    <w:tbl>
      <w:tblPr>
        <w:tblStyle w:val="1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552" w:type="dxa"/>
          </w:tcPr>
          <w:p>
            <w:pPr>
              <w:jc w:val="center"/>
            </w:pPr>
            <w:r>
              <w:rPr>
                <w:rFonts w:hint="eastAsia"/>
              </w:rPr>
              <w:t>03</w:t>
            </w:r>
            <w:r>
              <w:rPr>
                <w:rFonts w:hint="eastAsia"/>
                <w:lang w:val="en-US" w:eastAsia="zh-CN"/>
              </w:rPr>
              <w:t>1</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552" w:type="dxa"/>
          </w:tcPr>
          <w:p>
            <w:pPr>
              <w:jc w:val="center"/>
            </w:pPr>
            <w:r>
              <w:rPr>
                <w:rFonts w:hint="eastAsia"/>
              </w:rPr>
              <w:t>建筑业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552" w:type="dxa"/>
          </w:tcPr>
          <w:p>
            <w:pPr>
              <w:jc w:val="center"/>
            </w:pPr>
            <w:r>
              <w:rPr>
                <w:rFonts w:hint="eastAsia"/>
              </w:rPr>
              <w:t>20</w:t>
            </w:r>
            <w:r>
              <w:rPr>
                <w:rFonts w:hint="eastAsia"/>
                <w:lang w:val="en-US" w:eastAsia="zh-CN"/>
              </w:rPr>
              <w:t>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552" w:type="dxa"/>
          </w:tcPr>
          <w:p>
            <w:pPr>
              <w:jc w:val="center"/>
            </w:pPr>
            <w:r>
              <w:rPr>
                <w:rFonts w:hint="eastAsia"/>
              </w:rPr>
              <w:t>抚顺特殊钢股份有限公司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552" w:type="dxa"/>
          </w:tcPr>
          <w:p>
            <w:pPr>
              <w:jc w:val="center"/>
              <w:rPr>
                <w:rFonts w:hint="eastAsia" w:eastAsia="宋体"/>
                <w:lang w:val="en-US" w:eastAsia="zh-CN"/>
              </w:rPr>
            </w:pPr>
            <w:r>
              <w:rPr>
                <w:rFonts w:hint="eastAsia"/>
                <w:lang w:val="en-US" w:eastAsia="zh-CN"/>
              </w:rPr>
              <w:t>特殊钢材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552" w:type="dxa"/>
          </w:tcPr>
          <w:p>
            <w:pPr>
              <w:rPr>
                <w:rFonts w:hint="eastAsia"/>
              </w:rPr>
            </w:pPr>
            <w:r>
              <w:rPr>
                <w:rFonts w:hint="eastAsia"/>
                <w:b/>
              </w:rPr>
              <w:t>【企业背景】</w:t>
            </w:r>
            <w:r>
              <w:rPr>
                <w:rFonts w:hint="eastAsia"/>
              </w:rPr>
              <w:t xml:space="preserve"> 抚顺特钢是“抚顺特殊钢股份有限公司”的简称，公司位于素有“中国煤都”的辽宁省抚顺市，是东北特钢集团旗下最重要的生产基地之一，是中国不可替代的国防军工、航空航天等高科技领域使用特殊钢材料的生产研发基地。</w:t>
            </w:r>
          </w:p>
          <w:p>
            <w:pPr>
              <w:rPr>
                <w:rFonts w:hint="default" w:eastAsia="宋体"/>
                <w:b w:val="0"/>
                <w:bCs/>
                <w:lang w:val="en-US" w:eastAsia="zh-CN"/>
              </w:rPr>
            </w:pPr>
            <w:r>
              <w:rPr>
                <w:rFonts w:hint="eastAsia"/>
                <w:b/>
              </w:rPr>
              <w:t>【案情背景</w:t>
            </w:r>
            <w:r>
              <w:rPr>
                <w:b/>
              </w:rPr>
              <w:t>】</w:t>
            </w:r>
            <w:r>
              <w:rPr>
                <w:rFonts w:hint="eastAsia"/>
                <w:b w:val="0"/>
                <w:bCs/>
                <w:lang w:val="en-US" w:eastAsia="zh-CN"/>
              </w:rPr>
              <w:t>2017年中准会计师事务所出具了对公司的无保留审计意见报告，2018年，抚顺特钢涉嫌信息披露违法违规，中国证监会对该公司立案调查。2019年中国证监会对抚顺特钢处以行政处罚。</w:t>
            </w:r>
          </w:p>
          <w:p>
            <w:pPr>
              <w:rPr>
                <w:rFonts w:hint="eastAsia"/>
                <w:b w:val="0"/>
                <w:bCs w:val="0"/>
              </w:rPr>
            </w:pPr>
            <w:r>
              <w:rPr>
                <w:rFonts w:hint="eastAsia"/>
                <w:b/>
                <w:bCs w:val="0"/>
              </w:rPr>
              <w:t>【案情描述】</w:t>
            </w:r>
          </w:p>
          <w:p>
            <w:pPr>
              <w:numPr>
                <w:ilvl w:val="0"/>
                <w:numId w:val="3"/>
              </w:numPr>
              <w:rPr>
                <w:rFonts w:hint="eastAsia"/>
                <w:b w:val="0"/>
                <w:bCs w:val="0"/>
              </w:rPr>
            </w:pPr>
            <w:r>
              <w:rPr>
                <w:rFonts w:hint="eastAsia"/>
                <w:b w:val="0"/>
                <w:bCs w:val="0"/>
              </w:rPr>
              <w:t>抚顺特钢2010年至 2016年年度报告和2017年第三季度报告中披露的期末存货余额存在虚假记载2010年至 2016年度、2017年1月至9月，抚顺特钢通过伪造、变造原始凭证及记账凭证、修改物供系统、成本核算系统、财务系统数据等方式调整存货中“返回钢”数量、金额，虚增涉案期间各定期报告期末存货。</w:t>
            </w:r>
          </w:p>
          <w:p>
            <w:pPr>
              <w:numPr>
                <w:ilvl w:val="0"/>
                <w:numId w:val="3"/>
              </w:numPr>
              <w:ind w:left="0" w:leftChars="0" w:firstLine="0" w:firstLineChars="0"/>
              <w:rPr>
                <w:rFonts w:hint="eastAsia"/>
                <w:b w:val="0"/>
                <w:bCs w:val="0"/>
              </w:rPr>
            </w:pPr>
            <w:r>
              <w:rPr>
                <w:rFonts w:hint="eastAsia"/>
                <w:b w:val="0"/>
                <w:bCs w:val="0"/>
              </w:rPr>
              <w:t>抚顺特钢2013年2014年年度报告中披露的期末在建工程余额存在虚假记载2013年至2014年，抚顺特钢通过伪造、变造原始凭证及记账凭证等方式虚假领用原材料，将以前年度虚增的存货转入在建工程，虚增 2013 年至 2014 年年度报告期末在建工程。</w:t>
            </w:r>
          </w:p>
          <w:p>
            <w:pPr>
              <w:numPr>
                <w:ilvl w:val="0"/>
                <w:numId w:val="0"/>
              </w:numPr>
              <w:ind w:leftChars="0"/>
              <w:rPr>
                <w:rFonts w:hint="eastAsia"/>
                <w:b w:val="0"/>
                <w:bCs w:val="0"/>
              </w:rPr>
            </w:pPr>
            <w:r>
              <w:rPr>
                <w:rFonts w:hint="eastAsia"/>
                <w:b w:val="0"/>
                <w:bCs w:val="0"/>
              </w:rPr>
              <w:t>三、抚顺特钢2013年和2015年年度报告中披露的期末固定资产余额存在虚假记载2013年和2015年，抚顺特钢通过伪造、变造记账凭证及原始凭证等方式将虚增的在建工程转入固定资产，虚增2013年和2015年度报告期末固定资产。</w:t>
            </w:r>
          </w:p>
          <w:p>
            <w:pPr>
              <w:rPr>
                <w:rFonts w:hint="eastAsia"/>
                <w:b w:val="0"/>
                <w:bCs w:val="0"/>
                <w:lang w:eastAsia="zh-CN"/>
              </w:rPr>
            </w:pPr>
            <w:r>
              <w:rPr>
                <w:rFonts w:hint="eastAsia"/>
                <w:b w:val="0"/>
                <w:bCs w:val="0"/>
              </w:rPr>
              <w:t>四、抚顺特钢 2014 年至2016年年度报告、2017年第三季度报告中披露的固定资产折旧数据存在虚假记载2014年至2016年度、2017年1月至9月，抚顺特钢将虚增后的固定资产计提折旧，虚增2014年至2016年年度报告和2017年第三季度报告期末固定资产折旧额，2014 年至 2017 年 9 月累计虚增固定资产折旧87</w:t>
            </w:r>
            <w:r>
              <w:rPr>
                <w:rFonts w:hint="eastAsia"/>
                <w:b w:val="0"/>
                <w:bCs w:val="0"/>
                <w:lang w:eastAsia="zh-CN"/>
              </w:rPr>
              <w:t>，</w:t>
            </w:r>
            <w:r>
              <w:rPr>
                <w:rFonts w:hint="eastAsia"/>
                <w:b w:val="0"/>
                <w:bCs w:val="0"/>
              </w:rPr>
              <w:t>394</w:t>
            </w:r>
            <w:r>
              <w:rPr>
                <w:rFonts w:hint="eastAsia"/>
                <w:b w:val="0"/>
                <w:bCs w:val="0"/>
                <w:lang w:eastAsia="zh-CN"/>
              </w:rPr>
              <w:t>，</w:t>
            </w:r>
            <w:r>
              <w:rPr>
                <w:rFonts w:hint="eastAsia"/>
                <w:b w:val="0"/>
                <w:bCs w:val="0"/>
              </w:rPr>
              <w:t>705.44元</w:t>
            </w:r>
            <w:r>
              <w:rPr>
                <w:rFonts w:hint="eastAsia"/>
                <w:b w:val="0"/>
                <w:bCs w:val="0"/>
                <w:lang w:eastAsia="zh-CN"/>
              </w:rPr>
              <w:t>。</w:t>
            </w:r>
          </w:p>
          <w:p>
            <w:pPr>
              <w:rPr>
                <w:rFonts w:hint="eastAsia" w:eastAsia="宋体"/>
                <w:b w:val="0"/>
                <w:bCs w:val="0"/>
                <w:lang w:eastAsia="zh-CN"/>
              </w:rPr>
            </w:pPr>
            <w:r>
              <w:rPr>
                <w:rFonts w:hint="eastAsia"/>
                <w:b w:val="0"/>
                <w:bCs w:val="0"/>
              </w:rPr>
              <w:t>五、抚顺特钢2010年至2016年年度报告和2017年第三季度报告中披露的主营业务成本数据存在虚假记载2010 年至 2016 年度、2017年1月至9月，抚顺特钢通过伪造、变造记账凭证及原始凭证、修改物供系统、成本核算系统、财务系统数据等方式调整存货中“返回钢”数量、金额，将应计入当期成本的原材料计入存货，导致涉案期间少结转主营业务成本1</w:t>
            </w:r>
            <w:r>
              <w:rPr>
                <w:rFonts w:hint="eastAsia"/>
                <w:b w:val="0"/>
                <w:bCs w:val="0"/>
                <w:lang w:eastAsia="zh-CN"/>
              </w:rPr>
              <w:t>，</w:t>
            </w:r>
            <w:r>
              <w:rPr>
                <w:rFonts w:hint="eastAsia"/>
                <w:b w:val="0"/>
                <w:bCs w:val="0"/>
              </w:rPr>
              <w:t>989</w:t>
            </w:r>
            <w:r>
              <w:rPr>
                <w:rFonts w:hint="eastAsia"/>
                <w:b w:val="0"/>
                <w:bCs w:val="0"/>
                <w:lang w:eastAsia="zh-CN"/>
              </w:rPr>
              <w:t>，</w:t>
            </w:r>
            <w:r>
              <w:rPr>
                <w:rFonts w:hint="eastAsia"/>
                <w:b w:val="0"/>
                <w:bCs w:val="0"/>
              </w:rPr>
              <w:t>340</w:t>
            </w:r>
            <w:r>
              <w:rPr>
                <w:rFonts w:hint="eastAsia"/>
                <w:b w:val="0"/>
                <w:bCs w:val="0"/>
                <w:lang w:eastAsia="zh-CN"/>
              </w:rPr>
              <w:t>，</w:t>
            </w:r>
            <w:r>
              <w:rPr>
                <w:rFonts w:hint="eastAsia"/>
                <w:b w:val="0"/>
                <w:bCs w:val="0"/>
              </w:rPr>
              <w:t>046.30元</w:t>
            </w:r>
            <w:r>
              <w:rPr>
                <w:rFonts w:hint="eastAsia"/>
                <w:b w:val="0"/>
                <w:bCs w:val="0"/>
                <w:lang w:eastAsia="zh-CN"/>
              </w:rPr>
              <w:t>。</w:t>
            </w:r>
          </w:p>
          <w:p>
            <w:pPr>
              <w:rPr>
                <w:rFonts w:hint="eastAsia" w:eastAsia="宋体"/>
                <w:b w:val="0"/>
                <w:bCs w:val="0"/>
                <w:lang w:eastAsia="zh-CN"/>
              </w:rPr>
            </w:pPr>
            <w:r>
              <w:rPr>
                <w:rFonts w:hint="eastAsia"/>
                <w:b w:val="0"/>
                <w:bCs w:val="0"/>
              </w:rPr>
              <w:t>六、抚顺特钢2010年至2016年年度报告和2017年第三季度报告中披露的 利润总额 数据存在虚假记载2010 年至 2016 年度、2017年1月至9月，抚顺特钢通过虚增存货、减少生产成本、将部分虚增存货转入在建工程和固定资产进行资本化等方式，累计虚增利润总1</w:t>
            </w:r>
            <w:r>
              <w:rPr>
                <w:rFonts w:hint="eastAsia"/>
                <w:b w:val="0"/>
                <w:bCs w:val="0"/>
                <w:lang w:eastAsia="zh-CN"/>
              </w:rPr>
              <w:t>，</w:t>
            </w:r>
            <w:r>
              <w:rPr>
                <w:rFonts w:hint="eastAsia"/>
                <w:b w:val="0"/>
                <w:bCs w:val="0"/>
              </w:rPr>
              <w:t>901</w:t>
            </w:r>
            <w:r>
              <w:rPr>
                <w:rFonts w:hint="eastAsia"/>
                <w:b w:val="0"/>
                <w:bCs w:val="0"/>
                <w:lang w:eastAsia="zh-CN"/>
              </w:rPr>
              <w:t>，</w:t>
            </w:r>
            <w:r>
              <w:rPr>
                <w:rFonts w:hint="eastAsia"/>
                <w:b w:val="0"/>
                <w:bCs w:val="0"/>
              </w:rPr>
              <w:t>945</w:t>
            </w:r>
            <w:r>
              <w:rPr>
                <w:rFonts w:hint="eastAsia"/>
                <w:b w:val="0"/>
                <w:bCs w:val="0"/>
                <w:lang w:eastAsia="zh-CN"/>
              </w:rPr>
              <w:t>，</w:t>
            </w:r>
            <w:r>
              <w:rPr>
                <w:rFonts w:hint="eastAsia"/>
                <w:b w:val="0"/>
                <w:bCs w:val="0"/>
              </w:rPr>
              <w:t>340.86元</w:t>
            </w:r>
            <w:r>
              <w:rPr>
                <w:rFonts w:hint="eastAsia"/>
                <w:b w:val="0"/>
                <w:bCs w:val="0"/>
                <w:lang w:eastAsia="zh-CN"/>
              </w:rPr>
              <w:t>。</w:t>
            </w:r>
          </w:p>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552" w:type="dxa"/>
          </w:tcPr>
          <w:p>
            <w:pPr>
              <w:jc w:val="center"/>
              <w:rPr>
                <w:b/>
              </w:rPr>
            </w:pPr>
            <w:r>
              <w:rPr>
                <w:rFonts w:hint="eastAsia"/>
                <w:b/>
                <w:lang w:val="en-US" w:eastAsia="zh-CN"/>
              </w:rPr>
              <w:t>中准</w:t>
            </w:r>
            <w:r>
              <w:rPr>
                <w:b/>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552" w:type="dxa"/>
          </w:tcPr>
          <w:p>
            <w:pPr>
              <w:ind w:firstLine="420" w:firstLineChars="200"/>
              <w:rPr>
                <w:rStyle w:val="19"/>
                <w:rFonts w:hint="eastAsia"/>
                <w:i w:val="0"/>
                <w:iCs w:val="0"/>
                <w:color w:val="auto"/>
              </w:rPr>
            </w:pPr>
            <w:r>
              <w:rPr>
                <w:rStyle w:val="19"/>
                <w:rFonts w:hint="eastAsia"/>
                <w:i w:val="0"/>
                <w:iCs w:val="0"/>
                <w:color w:val="auto"/>
              </w:rPr>
              <w:t>抚顺特钢属于国资控股上市公司，作为国资控股上市公司如此财务造假，实属少见，同时说明目前我国企业的风险管理还不够重视，忽略其重要性。</w:t>
            </w:r>
          </w:p>
          <w:p>
            <w:pPr>
              <w:ind w:firstLine="420" w:firstLineChars="200"/>
              <w:rPr>
                <w:rStyle w:val="19"/>
                <w:rFonts w:hint="eastAsia"/>
                <w:i w:val="0"/>
                <w:iCs w:val="0"/>
                <w:color w:val="auto"/>
              </w:rPr>
            </w:pPr>
            <w:r>
              <w:rPr>
                <w:rStyle w:val="19"/>
                <w:rFonts w:hint="eastAsia"/>
                <w:i w:val="0"/>
                <w:iCs w:val="0"/>
                <w:color w:val="auto"/>
              </w:rPr>
              <w:t>有效的风险管理，能够降低企业所面临的风险，促进企业持续健康地发展，从而实现企业价值最大化的目标。</w:t>
            </w:r>
          </w:p>
          <w:p>
            <w:pPr>
              <w:ind w:firstLine="420" w:firstLineChars="200"/>
              <w:rPr>
                <w:rStyle w:val="19"/>
                <w:i w:val="0"/>
                <w:iCs w:val="0"/>
                <w:color w:val="auto"/>
              </w:rPr>
            </w:pPr>
            <w:r>
              <w:rPr>
                <w:rStyle w:val="19"/>
                <w:rFonts w:hint="eastAsia"/>
                <w:i w:val="0"/>
                <w:iCs w:val="0"/>
                <w:color w:val="auto"/>
              </w:rPr>
              <w:t>企业</w:t>
            </w:r>
            <w:r>
              <w:rPr>
                <w:rStyle w:val="19"/>
                <w:rFonts w:hint="eastAsia"/>
                <w:i w:val="0"/>
                <w:iCs w:val="0"/>
                <w:color w:val="auto"/>
                <w:lang w:val="en-US" w:eastAsia="zh-CN"/>
              </w:rPr>
              <w:t>需要</w:t>
            </w:r>
            <w:r>
              <w:rPr>
                <w:rStyle w:val="19"/>
                <w:rFonts w:hint="eastAsia"/>
                <w:i w:val="0"/>
                <w:iCs w:val="0"/>
                <w:color w:val="auto"/>
              </w:rPr>
              <w:t>建立并</w:t>
            </w:r>
            <w:r>
              <w:rPr>
                <w:rStyle w:val="19"/>
                <w:rFonts w:hint="eastAsia"/>
                <w:i w:val="0"/>
                <w:iCs w:val="0"/>
                <w:color w:val="auto"/>
                <w:lang w:val="en-US" w:eastAsia="zh-CN"/>
              </w:rPr>
              <w:t>不断</w:t>
            </w:r>
            <w:r>
              <w:rPr>
                <w:rStyle w:val="19"/>
                <w:rFonts w:hint="eastAsia"/>
                <w:i w:val="0"/>
                <w:iCs w:val="0"/>
                <w:color w:val="auto"/>
              </w:rPr>
              <w:t>完善风险管理与内部控制体系，道破企业内控薄弱环节，快速诊断企业的内控难点，帮助企业抵御内外风险，助力企业稳健发展。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552" w:type="dxa"/>
          </w:tcPr>
          <w:p>
            <w:pPr>
              <w:rPr>
                <w:rFonts w:hint="default" w:eastAsia="宋体"/>
                <w:lang w:val="en-US" w:eastAsia="zh-CN"/>
              </w:rPr>
            </w:pPr>
            <w:r>
              <w:rPr>
                <w:rFonts w:hint="eastAsia"/>
                <w:lang w:val="en-US" w:eastAsia="zh-CN"/>
              </w:rPr>
              <w:t>虚增存货、伪造变造原始凭证</w:t>
            </w:r>
          </w:p>
        </w:tc>
      </w:tr>
    </w:tbl>
    <w:p>
      <w:pPr>
        <w:widowControl/>
        <w:jc w:val="left"/>
      </w:pPr>
    </w:p>
    <w:p>
      <w:pPr>
        <w:pStyle w:val="2"/>
        <w:rPr>
          <w:rFonts w:hint="default" w:eastAsia="宋体"/>
          <w:lang w:val="en-US" w:eastAsia="zh-CN"/>
        </w:rPr>
      </w:pPr>
      <w:bookmarkStart w:id="19" w:name="_Toc29037"/>
      <w:r>
        <w:rPr>
          <w:rFonts w:hint="eastAsia"/>
          <w:lang w:val="en-US" w:eastAsia="zh-CN"/>
        </w:rPr>
        <w:t>13盈方微财务造假事件</w:t>
      </w:r>
      <w:bookmarkEnd w:id="19"/>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0313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lang w:val="en-US" w:eastAsia="zh-CN"/>
              </w:rPr>
              <w:t>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w:t>
            </w:r>
            <w:r>
              <w:rPr>
                <w:rFonts w:hint="eastAsia"/>
                <w:lang w:val="en-US" w:eastAsia="zh-CN"/>
              </w:rPr>
              <w:t>19</w:t>
            </w:r>
            <w: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盈方微电子股份有限公司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集成电路芯片、电子产品及计算机软硬件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r>
              <w:rPr>
                <w:rFonts w:hint="eastAsia"/>
                <w:b/>
              </w:rPr>
              <w:t>【企业背景】</w:t>
            </w:r>
            <w:r>
              <w:rPr>
                <w:rFonts w:hint="eastAsia"/>
              </w:rPr>
              <w:t>盈方微电子股份有限公司于1993年2月22日在荆州市工商行政管理局登记成立。法定代表人陈志成，公司经营范围包括集成电路芯片、电子产品及计算机软硬件（除计算机信息系统安全专用产品）等。</w:t>
            </w:r>
          </w:p>
          <w:p>
            <w:pPr>
              <w:rPr>
                <w:b/>
              </w:rPr>
            </w:pPr>
            <w:r>
              <w:rPr>
                <w:rFonts w:hint="eastAsia"/>
                <w:b/>
              </w:rPr>
              <w:t>【案情描述</w:t>
            </w:r>
            <w:r>
              <w:rPr>
                <w:b/>
              </w:rPr>
              <w:t>】</w:t>
            </w:r>
          </w:p>
          <w:p>
            <w:pPr>
              <w:rPr>
                <w:rFonts w:hint="eastAsia"/>
                <w:b w:val="0"/>
                <w:bCs/>
              </w:rPr>
            </w:pPr>
            <w:r>
              <w:rPr>
                <w:b/>
              </w:rPr>
              <w:tab/>
            </w:r>
            <w:r>
              <w:rPr>
                <w:rFonts w:hint="eastAsia"/>
                <w:b w:val="0"/>
                <w:bCs/>
              </w:rPr>
              <w:t>2019年11月4日，盈方微收到证监会下发的《行政处罚决定书》（〔2019〕114 号）。盈方微于2016年10月14日收到证监会《调查通知书》，因公司相关行为涉嫌违法违规，证监会决定立案调查。</w:t>
            </w:r>
          </w:p>
          <w:p>
            <w:pPr>
              <w:rPr>
                <w:rFonts w:hint="eastAsia"/>
                <w:b w:val="0"/>
                <w:bCs/>
              </w:rPr>
            </w:pPr>
            <w:r>
              <w:rPr>
                <w:rFonts w:hint="eastAsia"/>
                <w:b w:val="0"/>
                <w:bCs/>
              </w:rPr>
              <w:t>根据证监会的调查结果，盈方微存在的违法事实有：约定开展数据中心服务业务，但2015年8月、9月并未实际履行相关合同义务；盈方微披露的信息存在虚假记载。</w:t>
            </w:r>
          </w:p>
          <w:p>
            <w:pPr>
              <w:rPr>
                <w:rFonts w:hint="eastAsia"/>
                <w:b w:val="0"/>
                <w:bCs/>
              </w:rPr>
            </w:pPr>
            <w:r>
              <w:rPr>
                <w:rFonts w:hint="eastAsia"/>
                <w:b w:val="0"/>
                <w:bCs/>
              </w:rPr>
              <w:t>经计算，盈方微2015年年度报告合并报表虚增利润总额2356.571万元，占当期披露利润总额的245.08%。</w:t>
            </w:r>
          </w:p>
          <w:p>
            <w:pPr>
              <w:rPr>
                <w:rFonts w:hint="eastAsia" w:eastAsia="宋体"/>
                <w:b/>
                <w:lang w:eastAsia="zh-CN"/>
              </w:rPr>
            </w:pPr>
            <w:r>
              <w:rPr>
                <w:rFonts w:hint="eastAsia"/>
                <w:b w:val="0"/>
                <w:bCs/>
              </w:rPr>
              <w:t>2016年4月29日，盈方微披露了2015年年度报告，致同会计师事务所（特殊普通合伙）对财务报告出具了无法表示意见的审计报告</w:t>
            </w:r>
            <w:r>
              <w:rPr>
                <w:rFonts w:hint="eastAsia"/>
                <w:b w:val="0"/>
                <w:bCs/>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top"/>
          </w:tcPr>
          <w:p>
            <w:pPr>
              <w:rPr>
                <w:rFonts w:ascii="Times New Roman" w:hAnsi="Times New Roman" w:eastAsia="宋体" w:cs="Times New Roman"/>
                <w:kern w:val="2"/>
                <w:sz w:val="21"/>
                <w:szCs w:val="22"/>
                <w:lang w:val="en-US" w:eastAsia="zh-CN" w:bidi="ar-SA"/>
              </w:rPr>
            </w:pPr>
            <w:r>
              <w:rPr>
                <w:rFonts w:hint="eastAsia"/>
              </w:rPr>
              <w:t>引发</w:t>
            </w:r>
            <w:r>
              <w:t>的审计</w:t>
            </w:r>
            <w:r>
              <w:rPr>
                <w:rFonts w:hint="eastAsia"/>
              </w:rPr>
              <w:t>实施</w:t>
            </w:r>
            <w:r>
              <w:t>思考</w:t>
            </w:r>
          </w:p>
        </w:tc>
        <w:tc>
          <w:tcPr>
            <w:tcW w:w="6316" w:type="dxa"/>
            <w:vAlign w:val="top"/>
          </w:tcPr>
          <w:p>
            <w:pPr>
              <w:ind w:firstLine="420" w:firstLineChars="200"/>
              <w:rPr>
                <w:rStyle w:val="19"/>
                <w:rFonts w:hint="default"/>
                <w:i w:val="0"/>
                <w:iCs w:val="0"/>
                <w:color w:val="auto"/>
                <w:lang w:val="en-US" w:eastAsia="zh-CN"/>
              </w:rPr>
            </w:pPr>
            <w:r>
              <w:rPr>
                <w:rStyle w:val="19"/>
                <w:rFonts w:hint="eastAsia"/>
                <w:i w:val="0"/>
                <w:iCs w:val="0"/>
                <w:color w:val="auto"/>
                <w:lang w:val="en-US" w:eastAsia="zh-CN"/>
              </w:rPr>
              <w:t>企业要注重完善内部控制制度确保会计信息的真实可靠，以职责分工为基础所实施企业内部控制制度，让企业各部门之间可以相互制约、相互调控、相互监督。另一方面，企业也需要加强外部监督，减少财务造假的可行性，同时证监会等相关机构需要加大对财务造假的监管和处罚力度。</w:t>
            </w:r>
          </w:p>
          <w:p>
            <w:pPr>
              <w:ind w:firstLine="420" w:firstLineChars="200"/>
              <w:rPr>
                <w:rStyle w:val="19"/>
                <w:rFonts w:hint="default"/>
                <w:i w:val="0"/>
                <w:iCs w:val="0"/>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widowControl/>
              <w:jc w:val="left"/>
              <w:rPr>
                <w:rFonts w:hint="eastAsia" w:eastAsia="宋体"/>
                <w:lang w:val="en-US" w:eastAsia="zh-CN"/>
              </w:rPr>
            </w:pPr>
            <w:r>
              <w:rPr>
                <w:rFonts w:hint="eastAsia"/>
                <w:lang w:val="en-US" w:eastAsia="zh-CN"/>
              </w:rPr>
              <w:t>虚增利润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eastAsia="宋体"/>
                <w:lang w:val="en-US" w:eastAsia="zh-CN"/>
              </w:rPr>
            </w:pPr>
            <w:r>
              <w:rPr>
                <w:rFonts w:hint="eastAsia"/>
                <w:lang w:val="en-US" w:eastAsia="zh-CN"/>
              </w:rPr>
              <w:t>关联审计机构名称</w:t>
            </w:r>
          </w:p>
        </w:tc>
        <w:tc>
          <w:tcPr>
            <w:tcW w:w="6316" w:type="dxa"/>
          </w:tcPr>
          <w:p>
            <w:pPr>
              <w:widowControl/>
              <w:jc w:val="left"/>
              <w:rPr>
                <w:rFonts w:hint="default" w:eastAsia="宋体"/>
                <w:lang w:val="en-US" w:eastAsia="zh-CN"/>
              </w:rPr>
            </w:pPr>
            <w:r>
              <w:rPr>
                <w:rFonts w:hint="eastAsia"/>
                <w:lang w:val="en-US" w:eastAsia="zh-CN"/>
              </w:rPr>
              <w:t>致同会计师事务所</w:t>
            </w:r>
          </w:p>
        </w:tc>
      </w:tr>
    </w:tbl>
    <w:p/>
    <w:p>
      <w:pPr>
        <w:pStyle w:val="2"/>
      </w:pPr>
      <w:bookmarkStart w:id="20" w:name="_Toc11475"/>
      <w:r>
        <w:rPr>
          <w:rFonts w:hint="eastAsia"/>
          <w:lang w:val="en-US" w:eastAsia="zh-CN"/>
        </w:rPr>
        <w:t>14康得新财务造假</w:t>
      </w:r>
      <w:r>
        <w:t>案例</w:t>
      </w:r>
      <w:bookmarkEnd w:id="20"/>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lang w:val="en-US"/>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19</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rPr>
              <w:t>康得新复合材料集团股份有限公司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b w:val="0"/>
                <w:bCs/>
              </w:rPr>
              <w:t>新材料（以预涂材料和光电材料为核心）、智能显示（以SR、3D、大屏触控为核心）、碳纤维。公司六大核心市场为：新兴行业、聚焦消费、新能源、交通、智慧生活和医疗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rPr>
                <w:rFonts w:hint="eastAsia"/>
                <w:b w:val="0"/>
                <w:bCs/>
              </w:rPr>
            </w:pPr>
            <w:r>
              <w:rPr>
                <w:rFonts w:hint="eastAsia"/>
                <w:b w:val="0"/>
                <w:bCs/>
              </w:rPr>
              <w:t>康得新复合材料集团股份有限公司（*ST康得，股票代码002450，以下简称“康得新”）成立于2001年8月，公司总部位于深圳，是一家中小板上市公司一家材料高科技企业，公司致力于“打造先进高分子材料平台”。钟玉作为康得新的实际控制人、控股股东、董事长。在面对新的发展机遇，公司三大核心主营业务分别为：新材料（以预涂材料和光电材料为核心）、智能显示（以SR、3D、大屏触控为核心）、碳纤维。公司六大核心市场为：新兴行业、聚焦消费、新能源、交通、智慧生活和医疗等。</w:t>
            </w:r>
          </w:p>
          <w:p>
            <w:pPr>
              <w:ind w:firstLine="420"/>
              <w:rPr>
                <w:b/>
              </w:rPr>
            </w:pPr>
            <w:r>
              <w:rPr>
                <w:rFonts w:hint="eastAsia"/>
                <w:b/>
              </w:rPr>
              <w:t>【案情背景</w:t>
            </w:r>
            <w:r>
              <w:rPr>
                <w:b/>
              </w:rPr>
              <w:t>】</w:t>
            </w:r>
          </w:p>
          <w:p>
            <w:pPr>
              <w:ind w:firstLine="420"/>
              <w:rPr>
                <w:rFonts w:hint="eastAsia" w:eastAsia="宋体"/>
                <w:b w:val="0"/>
                <w:bCs/>
                <w:lang w:eastAsia="zh-CN"/>
              </w:rPr>
            </w:pPr>
            <w:r>
              <w:rPr>
                <w:rFonts w:hint="eastAsia"/>
                <w:b w:val="0"/>
                <w:bCs/>
              </w:rPr>
              <w:t>在2019年7月5日，收到中国证监会下发的《中国证券监督管理委员会行政处罚及市场禁入事先告知书》（处罚字〔2019〕90 号）。证监会官网也公布消息，说康得新涉嫌在 2015 年到 2018 年这段期间虚增了利润总额高达 119.21亿元。证监会还强调到，康得新所涉及的信息披露违法行为持续时间长达4年之久、涉及的数额之巨大、手段也是极其的恶劣、违法情节也特别严重。随后康得新也发布公告称，收到了证监会对其的“行政处罚事先告知书”，根据行政处罚事先告知书得知的事实，康得新复合材料集团股份有限公司触范了《深圳证券交易所上市公司重大违法强制退市实施办法》第四条第（三）项规定的重大违法强制退市情形，公司股票自 2019年7 月 8 日起开始停牌，很可能被实施重大违法强制退市。深交所也发布消息称，如果证监会对康得新作出最终行政处罚决定，深交所将第一时间启动对该公司重大违法行为采取强制退市流程</w:t>
            </w:r>
            <w:r>
              <w:rPr>
                <w:rFonts w:hint="eastAsia"/>
                <w:b w:val="0"/>
                <w:bCs/>
                <w:lang w:eastAsia="zh-CN"/>
              </w:rPr>
              <w:t>。</w:t>
            </w:r>
          </w:p>
          <w:p>
            <w:pPr>
              <w:pStyle w:val="23"/>
              <w:numPr>
                <w:ilvl w:val="0"/>
                <w:numId w:val="4"/>
              </w:numPr>
              <w:ind w:firstLineChars="0"/>
              <w:rPr>
                <w:b w:val="0"/>
                <w:bCs/>
              </w:rPr>
            </w:pPr>
            <w:r>
              <w:rPr>
                <w:rFonts w:hint="eastAsia"/>
                <w:b/>
              </w:rPr>
              <w:t>【案情描述】</w:t>
            </w:r>
            <w:r>
              <w:rPr>
                <w:rFonts w:hint="eastAsia"/>
                <w:b w:val="0"/>
                <w:bCs/>
              </w:rPr>
              <w:t>2014 年，康得新与大股东康得集团与北京银行西单支行违规签订了《现金管理服务协议》，导致上市公司与控股股东在资金管理和使用上产生了混同。2019 年 1 月 21 日，康得新发布公告称，因主要银行账号被冻结，康得新股票触发其他风险警示，股票简称变成“*ST 康得”。2019年4 月 30 日，康得新披露 2018 年年报，公司账面货币资金 153.16 亿元，其中 122.10 亿元存放于北京银行西单支行。2019年5 月 7 日，北京银行西单支行却回函称“账户余额为 0”。122.10 亿元的存款“不见踪影”。2019年7月1日，具有民生银行背景的邬兴均成为康得新现任董事长。但根据2019年3月至9月的季节报告显示，康得新3月份营业收入为 5.3727 亿元，实际亏损 3.0524 亿元；6月份的营业收入 8.4269 亿元，实际亏损 6.6834 亿元；9月份的营业收入为 11.6342 亿元，实际亏损 9.6801 亿元。由此可见，即使是新的董事长上位也无法弥补康得新遗留下来的漏洞。2019年7月5日，证监会决定，拟对康得新责令改正，给予警告，并处以顶格处罚 60 万元；对康得新董事长钟玉采取终身证券市场禁入措施，并处以罚款 90 万元给予警告；对直接负责的主管人员处以 30 万元的罚款；对财务总监王瑜采取终身证券市场禁入措施，并处以罚款 30 万元给予警告 ；对总经理徐曙采取 10 年证券市场禁入措施并处以罚款 20 万元给予警告。2019年7月8日，康得新股票全面停牌！2019年7月12日康得新收到证监会向其下发的《听证通知书》。于2019年7月31日上午9；00在证监会召开。公司股票也继续处于停牌状态。2019年11 月 19 日，康得新财务造假听证会在证监会召开，据江苏证监局相关人士在质证环节介绍，在钟玉的指挥下，康得新外销业务实际上是以PET等外品(基材)冒充光学膜运到海外，免费送给别人，再由康得新相关人员一手炮制虚假业务合同，临摹国外客户签名，黏贴打印，虚构外销业务产业链。“相当于以面粉冒充了面包。”江苏证监局人士称，调查组对此违法事实进行了确认，不仅有言辞证据还有客观证据，可以互相印证康得新如何系统性地上下勾结造假。可以看出康得新使用的造假手段是如此的高明</w:t>
            </w:r>
            <w:r>
              <w:rPr>
                <w:rFonts w:hint="eastAsia"/>
                <w:b w:val="0"/>
                <w:bCs/>
                <w:lang w:eastAsia="zh-CN"/>
              </w:rPr>
              <w:t>。</w:t>
            </w:r>
            <w:r>
              <w:rPr>
                <w:rFonts w:hint="eastAsia"/>
                <w:b w:val="0"/>
                <w:bCs/>
              </w:rPr>
              <w:t>2019年12月17日，*ST康得实控人钟玉被采取刑事强制措施，被称为"新材料任正非"。而负责这几年康得新审计的瑞华所自然难逃其责，也被中国证监会启动了调查程序。号称国内最大的事务所之一的瑞华事务所，2015年至2018年这 4 年时间里总共收取康得新审计费用高达 840 万元，但却丝毫没有察觉康得新的财务造假，这说出来肯定会引起社会普遍质疑，严重怀疑瑞华事务所的专业审计能力水平。上述康得新的做法严重违反了证监会的“四条底线”，不披露虚假信息；不从事内幕交易；不操纵股票价格；不损害上市公司利益。所以康得新受到的处罚也是理所应当。</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lang w:val="en-US" w:eastAsia="zh-CN"/>
              </w:rPr>
              <w:t>瑞华</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rFonts w:hint="eastAsia"/>
                <w:i w:val="0"/>
                <w:iCs w:val="0"/>
                <w:color w:val="auto"/>
              </w:rPr>
            </w:pPr>
            <w:r>
              <w:rPr>
                <w:rStyle w:val="19"/>
                <w:rFonts w:hint="eastAsia"/>
                <w:i w:val="0"/>
                <w:iCs w:val="0"/>
                <w:color w:val="auto"/>
                <w:lang w:val="en-US" w:eastAsia="zh-CN"/>
              </w:rPr>
              <w:t>可以</w:t>
            </w:r>
            <w:r>
              <w:rPr>
                <w:rStyle w:val="19"/>
                <w:rFonts w:hint="eastAsia"/>
                <w:i w:val="0"/>
                <w:iCs w:val="0"/>
                <w:color w:val="auto"/>
              </w:rPr>
              <w:t>运用宏观管理手段</w:t>
            </w:r>
            <w:r>
              <w:rPr>
                <w:rStyle w:val="19"/>
                <w:rFonts w:hint="eastAsia"/>
                <w:i w:val="0"/>
                <w:iCs w:val="0"/>
                <w:color w:val="auto"/>
                <w:lang w:eastAsia="zh-CN"/>
              </w:rPr>
              <w:t>，</w:t>
            </w:r>
            <w:r>
              <w:rPr>
                <w:rStyle w:val="19"/>
                <w:rFonts w:hint="eastAsia"/>
                <w:i w:val="0"/>
                <w:iCs w:val="0"/>
                <w:color w:val="auto"/>
              </w:rPr>
              <w:t xml:space="preserve"> 对企业的财务会计工作所实施的监督和检查。外部监督机构主要有国家各级税务机关，财政局，审计事务所，会计事务所，证监会等。外部监督主要以企业为监督对象，通过对企业内部会计监督和内部控制的再监督来实施，进而加强企业会计信息的真实性，减少财务造假的可行性。</w:t>
            </w:r>
          </w:p>
          <w:p>
            <w:pPr>
              <w:tabs>
                <w:tab w:val="left" w:pos="2160"/>
              </w:tabs>
              <w:ind w:firstLine="420" w:firstLineChars="200"/>
              <w:rPr>
                <w:rStyle w:val="19"/>
                <w:rFonts w:hint="eastAsia"/>
                <w:i w:val="0"/>
                <w:iCs w:val="0"/>
                <w:color w:val="auto"/>
              </w:rPr>
            </w:pPr>
            <w:r>
              <w:rPr>
                <w:rStyle w:val="19"/>
                <w:rFonts w:hint="eastAsia"/>
                <w:i w:val="0"/>
                <w:iCs w:val="0"/>
                <w:color w:val="auto"/>
              </w:rPr>
              <w:t>证监会</w:t>
            </w:r>
            <w:r>
              <w:rPr>
                <w:rStyle w:val="19"/>
                <w:rFonts w:hint="eastAsia"/>
                <w:i w:val="0"/>
                <w:iCs w:val="0"/>
                <w:color w:val="auto"/>
                <w:lang w:val="en-US" w:eastAsia="zh-CN"/>
              </w:rPr>
              <w:t>也可以</w:t>
            </w:r>
            <w:r>
              <w:rPr>
                <w:rStyle w:val="19"/>
                <w:rFonts w:hint="eastAsia"/>
                <w:i w:val="0"/>
                <w:iCs w:val="0"/>
                <w:color w:val="auto"/>
              </w:rPr>
              <w:t>在网络平台上建立一个举报系统，专门由人负责收集举报信息，这个举报平台必须实名登记，可以由个人、投资者、企业、同行业、社会公众进行举报，同行业在市场中虽然是竞争者，但往往也能成为合作者，同样也是监督者，如若发现同行业有造假违法行为，都可以到这个系统里面去举报，这样才能促进各个企业各个公司之间相互监督，相互鼓励，实现共同进步，缔造出一个良好稳定的市场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t>虚增</w:t>
            </w:r>
            <w:r>
              <w:rPr>
                <w:rFonts w:hint="eastAsia"/>
              </w:rPr>
              <w:t>利润</w:t>
            </w:r>
            <w:r>
              <w:t>，虚增收入</w:t>
            </w:r>
          </w:p>
        </w:tc>
      </w:tr>
    </w:tbl>
    <w:p/>
    <w:p/>
    <w:p>
      <w:pPr>
        <w:pStyle w:val="2"/>
        <w:rPr>
          <w:shd w:val="clear" w:color="auto" w:fill="FFFFFF"/>
        </w:rPr>
      </w:pPr>
      <w:bookmarkStart w:id="21" w:name="_Toc21252"/>
      <w:r>
        <w:rPr>
          <w:rFonts w:hint="eastAsia"/>
          <w:lang w:val="en-US" w:eastAsia="zh-CN"/>
        </w:rPr>
        <w:t>15</w:t>
      </w:r>
      <w:r>
        <w:t xml:space="preserve"> </w:t>
      </w:r>
      <w:r>
        <w:rPr>
          <w:rFonts w:hint="eastAsia"/>
          <w:shd w:val="clear" w:color="auto" w:fill="FFFFFF"/>
          <w:lang w:val="en-US" w:eastAsia="zh-CN"/>
        </w:rPr>
        <w:t>新绿公司舞弊及北京兴华审计失败</w:t>
      </w:r>
      <w:r>
        <w:rPr>
          <w:shd w:val="clear" w:color="auto" w:fill="FFFFFF"/>
        </w:rPr>
        <w:t>案例</w:t>
      </w:r>
      <w:bookmarkEnd w:id="21"/>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03</w:t>
            </w:r>
            <w:r>
              <w:rPr>
                <w:rFonts w:hint="eastAsia"/>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200</w:t>
            </w:r>
            <w:r>
              <w:t>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山东新绿食品股份有限公司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Arial" w:hAnsi="Arial" w:cs="Arial"/>
                <w:color w:val="333333"/>
                <w:szCs w:val="21"/>
                <w:shd w:val="clear" w:color="auto" w:fill="FFFFFF"/>
              </w:rPr>
              <w:t>牛羊肉加工、销售；畜禽水产罐头（酱卤肉制品）等。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jc w:val="left"/>
              <w:rPr>
                <w:rFonts w:hint="eastAsia"/>
              </w:rPr>
            </w:pPr>
            <w:r>
              <w:rPr>
                <w:rFonts w:hint="eastAsia"/>
              </w:rPr>
              <w:t>山东新绿食品股份有限公司于2005年06月24日在济宁市工商行政管理局登记成立。法定代表人张永胜。</w:t>
            </w:r>
          </w:p>
          <w:p>
            <w:pPr>
              <w:jc w:val="left"/>
              <w:rPr>
                <w:b/>
              </w:rPr>
            </w:pPr>
            <w:r>
              <w:rPr>
                <w:rFonts w:hint="eastAsia"/>
                <w:b/>
              </w:rPr>
              <w:t>【案情背景</w:t>
            </w:r>
            <w:r>
              <w:rPr>
                <w:b/>
              </w:rPr>
              <w:t>】</w:t>
            </w:r>
          </w:p>
          <w:p>
            <w:pPr>
              <w:jc w:val="left"/>
            </w:pPr>
            <w:r>
              <w:rPr>
                <w:b/>
              </w:rPr>
              <w:tab/>
            </w:r>
            <w:r>
              <w:rPr>
                <w:rFonts w:hint="eastAsia"/>
              </w:rPr>
              <w:t>2017 年，审计机构出具了无法表示意见的审计报告。</w:t>
            </w:r>
          </w:p>
          <w:p>
            <w:pPr>
              <w:rPr>
                <w:rFonts w:hint="eastAsia"/>
                <w:b/>
              </w:rPr>
            </w:pPr>
            <w:r>
              <w:rPr>
                <w:rFonts w:hint="eastAsia"/>
                <w:b/>
              </w:rPr>
              <w:t>【案情描述】</w:t>
            </w:r>
          </w:p>
          <w:p>
            <w:pPr>
              <w:rPr>
                <w:rFonts w:hint="eastAsia"/>
                <w:b/>
              </w:rPr>
            </w:pPr>
          </w:p>
          <w:p>
            <w:pPr>
              <w:rPr>
                <w:rFonts w:hint="eastAsia" w:eastAsia="宋体"/>
                <w:lang w:eastAsia="zh-CN"/>
              </w:rPr>
            </w:pPr>
          </w:p>
          <w:p>
            <w:pPr>
              <w:rPr>
                <w:rFonts w:hint="eastAsia" w:eastAsia="宋体"/>
                <w:lang w:eastAsia="zh-CN"/>
              </w:rPr>
            </w:pPr>
            <w:r>
              <w:rPr>
                <w:rFonts w:hint="eastAsia" w:eastAsia="宋体"/>
                <w:lang w:eastAsia="zh-CN"/>
              </w:rPr>
              <w:drawing>
                <wp:inline distT="0" distB="0" distL="114300" distR="114300">
                  <wp:extent cx="3868420" cy="1183640"/>
                  <wp:effectExtent l="0" t="0" r="17780" b="16510"/>
                  <wp:docPr id="1" name="图片 1" descr="d3e2fab67bab52b7f3fec8e6327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3e2fab67bab52b7f3fec8e63273102"/>
                          <pic:cNvPicPr>
                            <a:picLocks noChangeAspect="1"/>
                          </pic:cNvPicPr>
                        </pic:nvPicPr>
                        <pic:blipFill>
                          <a:blip r:embed="rId11"/>
                          <a:stretch>
                            <a:fillRect/>
                          </a:stretch>
                        </pic:blipFill>
                        <pic:spPr>
                          <a:xfrm>
                            <a:off x="0" y="0"/>
                            <a:ext cx="3868420" cy="1183640"/>
                          </a:xfrm>
                          <a:prstGeom prst="rect">
                            <a:avLst/>
                          </a:prstGeom>
                        </pic:spPr>
                      </pic:pic>
                    </a:graphicData>
                  </a:graphic>
                </wp:inline>
              </w:drawing>
            </w:r>
          </w:p>
          <w:p>
            <w:pPr>
              <w:ind w:firstLine="420" w:firstLineChars="200"/>
              <w:rPr>
                <w:rFonts w:hint="eastAsia" w:eastAsia="宋体"/>
                <w:lang w:eastAsia="zh-CN"/>
              </w:rPr>
            </w:pPr>
            <w:r>
              <w:rPr>
                <w:rFonts w:hint="eastAsia" w:eastAsia="宋体"/>
                <w:lang w:eastAsia="zh-CN"/>
              </w:rPr>
              <w:t>经查，公司通过虚构与收入相关的经济利益流入的方式虚增申报报告期主营业务收入72</w:t>
            </w:r>
            <w:r>
              <w:rPr>
                <w:rFonts w:hint="eastAsia"/>
                <w:lang w:eastAsia="zh-CN"/>
              </w:rPr>
              <w:t>，</w:t>
            </w:r>
            <w:r>
              <w:rPr>
                <w:rFonts w:hint="eastAsia" w:eastAsia="宋体"/>
                <w:lang w:eastAsia="zh-CN"/>
              </w:rPr>
              <w:t>507.43万元，以及虚增2015年4月30日银行存款余额5</w:t>
            </w:r>
            <w:r>
              <w:rPr>
                <w:rFonts w:hint="eastAsia"/>
                <w:lang w:eastAsia="zh-CN"/>
              </w:rPr>
              <w:t>，</w:t>
            </w:r>
            <w:r>
              <w:rPr>
                <w:rFonts w:hint="eastAsia" w:eastAsia="宋体"/>
                <w:lang w:eastAsia="zh-CN"/>
              </w:rPr>
              <w:t>380.91万元。</w:t>
            </w:r>
          </w:p>
          <w:p>
            <w:pPr>
              <w:rPr>
                <w:rFonts w:hint="eastAsia"/>
                <w:lang w:val="en-US" w:eastAsia="zh-CN"/>
              </w:rPr>
            </w:pPr>
            <w:r>
              <w:rPr>
                <w:rFonts w:hint="eastAsia"/>
                <w:lang w:val="en-US" w:eastAsia="zh-CN"/>
              </w:rPr>
              <w:t xml:space="preserve">   新绿股份于2015年5月4日与北京兴华签订审计业务约定书，双方约定北京兴华对新绿股份新三板挂牌申报财务报表进行审计，并出具相关审计报告。</w:t>
            </w:r>
          </w:p>
          <w:p>
            <w:pPr>
              <w:rPr>
                <w:rFonts w:hint="eastAsia"/>
                <w:lang w:val="en-US" w:eastAsia="zh-CN"/>
              </w:rPr>
            </w:pPr>
            <w:r>
              <w:rPr>
                <w:rFonts w:hint="eastAsia"/>
                <w:lang w:val="en-US" w:eastAsia="zh-CN"/>
              </w:rPr>
              <w:t xml:space="preserve">  北京兴华审计过程中存在的问题</w:t>
            </w:r>
          </w:p>
          <w:p>
            <w:pPr>
              <w:rPr>
                <w:rFonts w:hint="eastAsia"/>
                <w:lang w:val="en-US" w:eastAsia="zh-CN"/>
              </w:rPr>
            </w:pPr>
          </w:p>
          <w:p>
            <w:pPr>
              <w:ind w:firstLine="420" w:firstLineChars="200"/>
              <w:rPr>
                <w:rFonts w:hint="eastAsia"/>
                <w:lang w:val="en-US" w:eastAsia="zh-CN"/>
              </w:rPr>
            </w:pPr>
            <w:r>
              <w:rPr>
                <w:rFonts w:hint="eastAsia"/>
                <w:lang w:val="en-US" w:eastAsia="zh-CN"/>
              </w:rPr>
              <w:t>然而该会计师事务所银行存款审计程序不到位，导致未能发现虚增公司业绩和银行存款余额的事实：企业用来造假的账户打印的银行对账单没有银行盖章，尽管如此，审计机构竟然也视而不见。</w:t>
            </w:r>
          </w:p>
          <w:p>
            <w:pPr>
              <w:ind w:firstLine="420" w:firstLineChars="200"/>
              <w:rPr>
                <w:rFonts w:hint="default" w:eastAsia="宋体"/>
                <w:lang w:val="en-US" w:eastAsia="zh-CN"/>
              </w:rPr>
            </w:pPr>
            <w:r>
              <w:rPr>
                <w:rFonts w:hint="eastAsia"/>
                <w:lang w:val="en-US" w:eastAsia="zh-CN"/>
              </w:rPr>
              <w:t>此外，银行存款函证审计程序执行不到位。经查，注册会计师曾两次派人和新绿股份人员到工商银行</w:t>
            </w:r>
            <w:r>
              <w:rPr>
                <w:rFonts w:hint="eastAsia"/>
              </w:rPr>
              <w:t>亚太会计师事务所</w:t>
            </w:r>
            <w:r>
              <w:rPr>
                <w:rFonts w:hint="eastAsia"/>
                <w:lang w:val="en-US" w:eastAsia="zh-CN"/>
              </w:rPr>
              <w:t>莒南支行对造假账户2014年12月31日银行存款余额和2013年至2015年4月30日银行存款余额实施函证，但两次均不是直接当场从银行获取函证回函，函证结果均系银行后续邮寄给北京兴华。注册会计师获取的两次造假账户银行回函印章和经办人签字存在明显差异，第一次2014年12月31日余额询证函加盖工商银行莒南支行公章，与其他银行加盖业务章的做法不一致，且经办人为手写的“吴某”签名；而第二次2015年4月30日余额回函加盖的是工商银行莒南支行业务专用章，经办人处是加盖的“鲁某”章，两次签名或盖章存在明显不一致，注册会计师未对上述银行函证保持合理控制，且未对影响回函可靠性的因素予以考虑。</w:t>
            </w:r>
          </w:p>
          <w:p>
            <w:pPr>
              <w:rPr>
                <w:rFonts w:hint="eastAsia" w:eastAsia="宋体"/>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rPr>
                <w:rFonts w:hint="default" w:eastAsia="宋体"/>
                <w:lang w:val="en-US" w:eastAsia="zh-CN"/>
              </w:rPr>
            </w:pPr>
            <w:r>
              <w:rPr>
                <w:rFonts w:hint="eastAsia"/>
              </w:rPr>
              <w:t>亚太会计师事务所</w:t>
            </w:r>
            <w:r>
              <w:rPr>
                <w:rFonts w:hint="eastAsia"/>
                <w:lang w:eastAsia="zh-CN"/>
              </w:rPr>
              <w:t>、</w:t>
            </w:r>
            <w:r>
              <w:rPr>
                <w:rFonts w:hint="eastAsia"/>
                <w:lang w:val="en-US" w:eastAsia="zh-CN"/>
              </w:rPr>
              <w:t>北京兴华会计师事务所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eastAsia="宋体"/>
                <w:i w:val="0"/>
                <w:iCs w:val="0"/>
                <w:color w:val="auto"/>
                <w:lang w:eastAsia="zh-CN"/>
              </w:rPr>
            </w:pPr>
            <w:r>
              <w:rPr>
                <w:rStyle w:val="19"/>
                <w:rFonts w:hint="eastAsia"/>
                <w:i w:val="0"/>
                <w:iCs w:val="0"/>
                <w:color w:val="auto"/>
              </w:rPr>
              <w:t>审计机构看到没有盖章的银行流水</w:t>
            </w:r>
            <w:r>
              <w:rPr>
                <w:rStyle w:val="19"/>
                <w:rFonts w:hint="eastAsia"/>
                <w:i w:val="0"/>
                <w:iCs w:val="0"/>
                <w:color w:val="auto"/>
                <w:lang w:val="en-US" w:eastAsia="zh-CN"/>
              </w:rPr>
              <w:t>需要</w:t>
            </w:r>
            <w:r>
              <w:rPr>
                <w:rStyle w:val="19"/>
                <w:rFonts w:hint="eastAsia"/>
                <w:i w:val="0"/>
                <w:iCs w:val="0"/>
                <w:color w:val="auto"/>
              </w:rPr>
              <w:t>所警惕和察觉的，</w:t>
            </w:r>
            <w:r>
              <w:rPr>
                <w:rStyle w:val="19"/>
                <w:rFonts w:hint="eastAsia"/>
                <w:i w:val="0"/>
                <w:iCs w:val="0"/>
                <w:color w:val="auto"/>
                <w:lang w:val="en-US" w:eastAsia="zh-CN"/>
              </w:rPr>
              <w:t>如果</w:t>
            </w:r>
            <w:r>
              <w:rPr>
                <w:rStyle w:val="19"/>
                <w:rFonts w:hint="eastAsia"/>
                <w:i w:val="0"/>
                <w:iCs w:val="0"/>
                <w:color w:val="auto"/>
              </w:rPr>
              <w:t>去银行现场函证，银行不同意的</w:t>
            </w:r>
            <w:r>
              <w:rPr>
                <w:rStyle w:val="19"/>
                <w:rFonts w:hint="eastAsia"/>
                <w:i w:val="0"/>
                <w:iCs w:val="0"/>
                <w:color w:val="auto"/>
                <w:lang w:val="en-US" w:eastAsia="zh-CN"/>
              </w:rPr>
              <w:t>更要提高警惕性</w:t>
            </w:r>
            <w:r>
              <w:rPr>
                <w:rStyle w:val="19"/>
                <w:rFonts w:hint="eastAsia"/>
                <w:i w:val="0"/>
                <w:iCs w:val="0"/>
                <w:color w:val="auto"/>
              </w:rPr>
              <w:t>。通过邮寄的方式回函，</w:t>
            </w:r>
            <w:r>
              <w:rPr>
                <w:rStyle w:val="19"/>
                <w:rFonts w:hint="eastAsia"/>
                <w:i w:val="0"/>
                <w:iCs w:val="0"/>
                <w:color w:val="auto"/>
                <w:lang w:val="en-US" w:eastAsia="zh-CN"/>
              </w:rPr>
              <w:t>要注意重点关注收到的回函的真实性</w:t>
            </w:r>
            <w:r>
              <w:rPr>
                <w:rStyle w:val="19"/>
                <w:rFonts w:hint="eastAsia"/>
                <w:i w:val="0"/>
                <w:iCs w:val="0"/>
                <w:color w:val="auto"/>
              </w:rPr>
              <w:t>。关于银行流水真的需要项目组在银行亲自从柜台那里打印出来，不然就可能算是函证，那么回函也可能是假的</w:t>
            </w:r>
            <w:r>
              <w:rPr>
                <w:rStyle w:val="19"/>
                <w:rFonts w:hint="eastAsia"/>
                <w:i w:val="0"/>
                <w:iCs w:val="0"/>
                <w:color w:val="auto"/>
                <w:lang w:eastAsia="zh-CN"/>
              </w:rPr>
              <w:t>。</w:t>
            </w:r>
          </w:p>
          <w:p>
            <w:pPr>
              <w:tabs>
                <w:tab w:val="left" w:pos="2160"/>
              </w:tabs>
              <w:ind w:firstLine="420" w:firstLineChars="200"/>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val="en-US" w:eastAsia="zh-CN"/>
              </w:rPr>
            </w:pPr>
            <w:r>
              <w:rPr>
                <w:rFonts w:hint="eastAsia"/>
              </w:rPr>
              <w:t xml:space="preserve">函证 </w:t>
            </w:r>
            <w:r>
              <w:rPr>
                <w:rFonts w:hint="eastAsia"/>
                <w:lang w:val="en-US" w:eastAsia="zh-CN"/>
              </w:rPr>
              <w:t>回函</w:t>
            </w:r>
          </w:p>
          <w:p/>
        </w:tc>
      </w:tr>
    </w:tbl>
    <w:p/>
    <w:p>
      <w:pPr>
        <w:pStyle w:val="2"/>
        <w:rPr>
          <w:rFonts w:hint="default" w:eastAsia="宋体"/>
          <w:lang w:val="en-US" w:eastAsia="zh-CN"/>
        </w:rPr>
      </w:pPr>
      <w:bookmarkStart w:id="22" w:name="_Toc19062"/>
      <w:r>
        <w:rPr>
          <w:rFonts w:hint="eastAsia"/>
          <w:lang w:val="en-US" w:eastAsia="zh-CN"/>
        </w:rPr>
        <w:t>16重庆博腾制药科技股份有限公司舞弊案</w:t>
      </w:r>
      <w:bookmarkEnd w:id="2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w:t>
            </w:r>
            <w:r>
              <w:rPr>
                <w:rFonts w:hint="eastAsia"/>
                <w:lang w:val="en-US" w:eastAsia="zh-CN"/>
              </w:rPr>
              <w:t>316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rPr>
              <w:t>重庆博腾制药科技股份有限公司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val="en-US" w:eastAsia="zh-CN"/>
              </w:rPr>
            </w:pPr>
            <w:r>
              <w:rPr>
                <w:rFonts w:hint="eastAsia"/>
                <w:lang w:val="en-US" w:eastAsia="zh-CN"/>
              </w:rPr>
              <w:t>生物医药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eastAsia="宋体"/>
                <w:lang w:eastAsia="zh-CN"/>
              </w:rPr>
            </w:pPr>
            <w:r>
              <w:rPr>
                <w:b/>
              </w:rPr>
              <w:tab/>
            </w:r>
            <w:r>
              <w:rPr>
                <w:rFonts w:hint="eastAsia"/>
                <w:b w:val="0"/>
                <w:bCs/>
              </w:rPr>
              <w:t>重庆博腾制药科技股份有限公司(以后简称“博腾股份”）成立于2005年7月，总部位于中国重庆，在成都、上海、江西宜春、中国香港、比利时、瑞士、美国设有子公司，是一家按照国际标准为跨国制药公司和生物制药公司提供医药定制研发生产服务的高新技术企业。博腾股份于2014年1月29日在深圳交易所创业板挂牌上市，股份代码300363</w:t>
            </w:r>
            <w:r>
              <w:rPr>
                <w:rFonts w:hint="eastAsia"/>
                <w:b w:val="0"/>
                <w:bCs/>
                <w:lang w:eastAsia="zh-CN"/>
              </w:rPr>
              <w:t>。</w:t>
            </w:r>
          </w:p>
          <w:p>
            <w:pPr>
              <w:jc w:val="left"/>
              <w:rPr>
                <w:b/>
              </w:rPr>
            </w:pPr>
            <w:r>
              <w:rPr>
                <w:rFonts w:hint="eastAsia"/>
                <w:b/>
              </w:rPr>
              <w:t>【案情背景</w:t>
            </w:r>
            <w:r>
              <w:rPr>
                <w:b/>
              </w:rPr>
              <w:t>】</w:t>
            </w:r>
          </w:p>
          <w:p>
            <w:pPr>
              <w:rPr>
                <w:rFonts w:hint="eastAsia"/>
                <w:b w:val="0"/>
                <w:bCs/>
                <w:lang w:val="en-US" w:eastAsia="zh-CN"/>
              </w:rPr>
            </w:pPr>
            <w:r>
              <w:rPr>
                <w:rFonts w:hint="eastAsia"/>
                <w:b w:val="0"/>
                <w:bCs/>
                <w:lang w:val="en-US" w:eastAsia="zh-CN"/>
              </w:rPr>
              <w:t>2018年天健会计师事务所出具了对博腾股份有限公司的无保留意见的审计报告。</w:t>
            </w:r>
          </w:p>
          <w:p>
            <w:pPr>
              <w:rPr>
                <w:rFonts w:hint="eastAsia"/>
                <w:b w:val="0"/>
                <w:bCs/>
                <w:lang w:val="en-US" w:eastAsia="zh-CN"/>
              </w:rPr>
            </w:pPr>
            <w:r>
              <w:rPr>
                <w:rFonts w:hint="eastAsia"/>
                <w:b w:val="0"/>
                <w:bCs/>
                <w:lang w:val="en-US" w:eastAsia="zh-CN"/>
              </w:rPr>
              <w:t>2019年8月1日，博腾股份收到中国证券监督管理委员会重庆监管局下发的《调查通知书》（渝证调查字2019131号），因公司涉嫌未如实披露向关联方提供资金的关联交易的信息披露违法违规，根据《中华人民共和国证券法》的有关规定，中国证券监督管理委员会决定对公司立案调查。</w:t>
            </w:r>
          </w:p>
          <w:p>
            <w:pPr>
              <w:rPr>
                <w:rFonts w:hint="eastAsia"/>
                <w:b w:val="0"/>
                <w:bCs/>
                <w:lang w:val="en-US" w:eastAsia="zh-CN"/>
              </w:rPr>
            </w:pPr>
          </w:p>
          <w:p>
            <w:pPr>
              <w:rPr>
                <w:rFonts w:hint="eastAsia"/>
                <w:b/>
              </w:rPr>
            </w:pPr>
            <w:r>
              <w:rPr>
                <w:rFonts w:hint="eastAsia"/>
                <w:b/>
              </w:rPr>
              <w:t>【案情描述】</w:t>
            </w:r>
          </w:p>
          <w:p>
            <w:pPr>
              <w:ind w:firstLine="420" w:firstLineChars="200"/>
            </w:pPr>
            <w:r>
              <w:rPr>
                <w:rFonts w:hint="eastAsia"/>
              </w:rPr>
              <w:t>2018年4月18日至9月30日期间，博腾股份累计向实际控制人提供资金26</w:t>
            </w:r>
            <w:r>
              <w:rPr>
                <w:rFonts w:hint="eastAsia"/>
                <w:lang w:eastAsia="zh-CN"/>
              </w:rPr>
              <w:t>，</w:t>
            </w:r>
            <w:r>
              <w:rPr>
                <w:rFonts w:hint="eastAsia"/>
              </w:rPr>
              <w:t>474万元，占博腾股份2017年底经审计净资产的19.25%，但博腾股份2018年第三季度报告未按规定披露关联方非经营性资金占用的关联交易情况，存在虚假记载和重大遗漏。相关资金占用情况导致博腾股份2018年第三季度报告披露的财务报表存在虚假记载，虚减预付账款3</w:t>
            </w:r>
            <w:r>
              <w:rPr>
                <w:rFonts w:hint="eastAsia"/>
                <w:lang w:eastAsia="zh-CN"/>
              </w:rPr>
              <w:t>，</w:t>
            </w:r>
            <w:r>
              <w:rPr>
                <w:rFonts w:hint="eastAsia"/>
              </w:rPr>
              <w:t>276万元，虚减其他应收款24</w:t>
            </w:r>
            <w:r>
              <w:rPr>
                <w:rFonts w:hint="eastAsia"/>
                <w:lang w:eastAsia="zh-CN"/>
              </w:rPr>
              <w:t>，</w:t>
            </w:r>
            <w:r>
              <w:rPr>
                <w:rFonts w:hint="eastAsia"/>
              </w:rPr>
              <w:t>385.06万元，虚减短期借款20</w:t>
            </w:r>
            <w:r>
              <w:rPr>
                <w:rFonts w:hint="eastAsia"/>
                <w:lang w:eastAsia="zh-CN"/>
              </w:rPr>
              <w:t>，</w:t>
            </w:r>
            <w:r>
              <w:rPr>
                <w:rFonts w:hint="eastAsia"/>
              </w:rPr>
              <w:t>000万元，虚减应付账款8</w:t>
            </w:r>
            <w:r>
              <w:rPr>
                <w:rFonts w:hint="eastAsia"/>
                <w:lang w:eastAsia="zh-CN"/>
              </w:rPr>
              <w:t>，</w:t>
            </w:r>
            <w:r>
              <w:rPr>
                <w:rFonts w:hint="eastAsia"/>
              </w:rPr>
              <w:t>500万元，虚增利润总额867.12万元。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rPr>
                <w:rFonts w:hint="eastAsia" w:eastAsia="宋体"/>
                <w:lang w:val="en-US" w:eastAsia="zh-CN"/>
              </w:rPr>
            </w:pPr>
            <w:r>
              <w:rPr>
                <w:rFonts w:hint="eastAsia"/>
                <w:lang w:val="en-US" w:eastAsia="zh-CN"/>
              </w:rPr>
              <w:t>天健会计师事务所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i w:val="0"/>
                <w:iCs w:val="0"/>
                <w:color w:val="auto"/>
              </w:rPr>
            </w:pPr>
            <w:r>
              <w:rPr>
                <w:rStyle w:val="19"/>
                <w:rFonts w:hint="eastAsia"/>
                <w:i w:val="0"/>
                <w:iCs w:val="0"/>
                <w:color w:val="auto"/>
                <w:lang w:val="en-US" w:eastAsia="zh-CN"/>
              </w:rPr>
              <w:t>在核查企业因应收应付账款时要利用注意函证的真实性。证监会应加大对企业的监管、处罚力度。</w:t>
            </w:r>
            <w:r>
              <w:rPr>
                <w:rStyle w:val="19"/>
                <w:rFonts w:hint="eastAsia"/>
                <w:i w:val="0"/>
                <w:iCs w:val="0"/>
                <w:color w:val="auto"/>
              </w:rPr>
              <w:t>外部监督机构主要有国家各级税务机关，财政局，审计事务所，会计事务所，证监会等。外部监督主要以企业为监督对象，通过对企业内部会计监督和内部控制的再监督来实施，进而加强企业会计信息的真实性，减少财务造假的可行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虚增利润、虚减应付账款</w:t>
            </w:r>
          </w:p>
        </w:tc>
      </w:tr>
    </w:tbl>
    <w:p/>
    <w:p>
      <w:pPr>
        <w:pStyle w:val="2"/>
        <w:rPr>
          <w:rFonts w:hint="default" w:eastAsia="宋体"/>
          <w:lang w:val="en-US" w:eastAsia="zh-CN"/>
        </w:rPr>
      </w:pPr>
      <w:bookmarkStart w:id="23" w:name="_Toc3196"/>
      <w:r>
        <w:rPr>
          <w:rFonts w:hint="eastAsia"/>
          <w:lang w:val="en-US" w:eastAsia="zh-CN"/>
        </w:rPr>
        <w:t>17国药集团舞弊案例</w:t>
      </w:r>
      <w:bookmarkEnd w:id="23"/>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w:t>
            </w:r>
            <w:r>
              <w:rPr>
                <w:rFonts w:hint="eastAsia"/>
                <w:lang w:val="en-US" w:eastAsia="zh-CN"/>
              </w:rPr>
              <w:t>317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lang w:val="en-US" w:eastAsia="zh-CN"/>
              </w:rPr>
              <w:t>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w:t>
            </w:r>
            <w:r>
              <w:rPr>
                <w:rFonts w:hint="eastAsia"/>
                <w:lang w:val="en-US" w:eastAsia="zh-CN"/>
              </w:rPr>
              <w:t>12</w:t>
            </w:r>
            <w: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jc w:val="center"/>
              <w:rPr>
                <w:rFonts w:hint="eastAsia" w:eastAsia="宋体"/>
                <w:lang w:eastAsia="zh-CN"/>
              </w:rPr>
            </w:pPr>
            <w:r>
              <w:rPr>
                <w:rFonts w:hint="eastAsia"/>
                <w:lang w:val="en-US" w:eastAsia="zh-CN"/>
              </w:rPr>
              <w:t>国药集团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eastAsia"/>
                <w:lang w:val="en-US" w:eastAsia="zh-CN"/>
              </w:rPr>
              <w:t>生物制药、医疗器械等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ind w:firstLine="420" w:firstLineChars="200"/>
              <w:rPr>
                <w:rFonts w:hint="eastAsia"/>
                <w:b w:val="0"/>
                <w:bCs/>
              </w:rPr>
            </w:pPr>
            <w:r>
              <w:rPr>
                <w:rFonts w:hint="eastAsia"/>
                <w:b w:val="0"/>
                <w:bCs/>
              </w:rPr>
              <w:t>中国医药集团有限公司，即中国医药集团，是由国务院国资委直接管理的中国规模最大、产业链最全、综合实力最强的医药健康产业集团。以预防治疗和诊断护理等健康相关产品的分销、零售、研发及生产为主业。旗下有1500余家子公司和国药控股、国药股份、国药一致、天坛生物、现代制药、中国中药6家上市公司。</w:t>
            </w:r>
          </w:p>
          <w:p>
            <w:pPr>
              <w:rPr>
                <w:rFonts w:hint="eastAsia"/>
                <w:b w:val="0"/>
                <w:bCs/>
              </w:rPr>
            </w:pPr>
            <w:r>
              <w:rPr>
                <w:rFonts w:hint="eastAsia"/>
                <w:b w:val="0"/>
                <w:bCs/>
              </w:rPr>
              <w:t>中国医药集团有限公司正全力推进集团五大平台——现代物流分销一体化运营平台、产学研一体化科技创新平台、全国医药零售连锁网络、全国麻醉药品配送网络、全国生物制品营销及冷链配送网络、全国医疗器械耗材产品配送网络，科学仪器与医疗器械、医药科研与工程设计、医药国际经营与海外实业、医药会展与传媒、医疗健康产业的全面发展，构成了一个以医药健康产业为核心竞争力的创新型企业。 医药集团拥有覆盖全国31个省、自治区、直辖市的医药流通配送网络和与国际水平接轨的30个配送中心，是国内最大的生物医药研发、生产企业，承担了80%以上的国家免疫规划用疫苗的生产任务。集团建立了生物制药、麻醉精神药品、抗感染药、抗肿瘤药、心脑血管用药、呼吸系统用药等生产基地和药材基地，拥有国内实力最强的应用性医药研究机构和工程设计院。</w:t>
            </w:r>
          </w:p>
          <w:p>
            <w:pPr>
              <w:rPr>
                <w:b/>
              </w:rPr>
            </w:pPr>
            <w:r>
              <w:rPr>
                <w:rFonts w:hint="eastAsia"/>
                <w:b/>
              </w:rPr>
              <w:t>【案情描述</w:t>
            </w:r>
            <w:r>
              <w:rPr>
                <w:b/>
              </w:rPr>
              <w:t>】</w:t>
            </w:r>
          </w:p>
          <w:p>
            <w:pPr>
              <w:rPr>
                <w:rFonts w:hint="eastAsia"/>
                <w:b w:val="0"/>
                <w:bCs/>
              </w:rPr>
            </w:pPr>
            <w:r>
              <w:rPr>
                <w:b w:val="0"/>
                <w:bCs/>
              </w:rPr>
              <w:tab/>
            </w:r>
            <w:r>
              <w:rPr>
                <w:rFonts w:hint="eastAsia"/>
                <w:b w:val="0"/>
                <w:bCs/>
              </w:rPr>
              <w:t>12月25日证监会日前发布的一份行政处罚决定书称，立信所在对*ST国药2012年、2013年年度财务报表审计时，未勤勉尽责，出具了存在虚假记载的审计报告。证监会决定没收立信所业务收入95万元，并处以95万元的罚款；对注册会计师周铮文、陶奇给予警告，并分别处以10万元的罚款。</w:t>
            </w:r>
          </w:p>
          <w:p>
            <w:pPr>
              <w:rPr>
                <w:rFonts w:hint="eastAsia"/>
                <w:b w:val="0"/>
                <w:bCs/>
              </w:rPr>
            </w:pPr>
          </w:p>
          <w:p>
            <w:pPr>
              <w:rPr>
                <w:rFonts w:hint="eastAsia"/>
                <w:b w:val="0"/>
                <w:bCs/>
              </w:rPr>
            </w:pPr>
            <w:r>
              <w:rPr>
                <w:rFonts w:hint="eastAsia"/>
                <w:b w:val="0"/>
                <w:bCs/>
              </w:rPr>
              <w:t>行政处罚书显示，经核查，*ST国药在2012年财务报表中虚假记载与上海公合实业有限公司（以下简称公合实业）等客户钢材贸易业务收入约4</w:t>
            </w:r>
            <w:r>
              <w:rPr>
                <w:rFonts w:hint="eastAsia"/>
                <w:b w:val="0"/>
                <w:bCs/>
                <w:lang w:eastAsia="zh-CN"/>
              </w:rPr>
              <w:t>，</w:t>
            </w:r>
            <w:r>
              <w:rPr>
                <w:rFonts w:hint="eastAsia"/>
                <w:b w:val="0"/>
                <w:bCs/>
              </w:rPr>
              <w:t>115.20万元，占当年营业收入的83.66%；在2013年财务报表中虚假记载与公合实业钢材贸易业务收入约1.03亿元，占当年营业收入的92.49%。立信所审计人员在风险评估、收入和关联方审计方面存在明显程序缺失，未勤勉尽责，导致未能发现*ST国药2012年、2013年收入虚假的事实，也未能发现*ST国药与公合实业存在关联关系的事实。</w:t>
            </w:r>
          </w:p>
          <w:p>
            <w:pPr>
              <w:rPr>
                <w:rFonts w:hint="eastAsia"/>
                <w:b w:val="0"/>
                <w:bCs/>
              </w:rPr>
            </w:pPr>
          </w:p>
          <w:p>
            <w:pPr>
              <w:rPr>
                <w:rFonts w:hint="eastAsia"/>
                <w:b w:val="0"/>
                <w:bCs/>
              </w:rPr>
            </w:pPr>
            <w:r>
              <w:rPr>
                <w:rFonts w:hint="eastAsia"/>
                <w:b w:val="0"/>
                <w:bCs/>
              </w:rPr>
              <w:t>具体看，第一，*ST国药2012年设立子公司鄂欣实业从事钢材贸易的目的在于增加营业收入以维持上市地位。在2012年财务报表审计中立信所明知*ST国药钢材贸易是出于保壳需要，明知鄂欣实业与公合实业同时发生钢材销售和采购业务，未保持应有的职业谨慎，未对公合实业是否为关联方实施进一步的审计程序。</w:t>
            </w:r>
          </w:p>
          <w:p>
            <w:pPr>
              <w:rPr>
                <w:rFonts w:hint="eastAsia"/>
                <w:b w:val="0"/>
                <w:bCs/>
              </w:rPr>
            </w:pPr>
          </w:p>
          <w:p>
            <w:pPr>
              <w:rPr>
                <w:rFonts w:hint="eastAsia"/>
                <w:b w:val="0"/>
                <w:bCs/>
              </w:rPr>
            </w:pPr>
            <w:r>
              <w:rPr>
                <w:rFonts w:hint="eastAsia"/>
                <w:b w:val="0"/>
                <w:bCs/>
              </w:rPr>
              <w:t>第二，《上市公司信息披露管理办法》（证监会令第40号）第七十一条明确规定上市公司董事、监事和高级管理人员的配偶、父母、子女等属于上市公司的关联自然人，关联自然人担任董事、监事和高级管理人员的法人为上市公司关联法人，立信所在2012年、2013年审计时均未要求上市公司董事、监事和高级管理人员填报亲属人员名单，未识别出公合实业属关联方，导致未对与公合实业相关的贸易保持职业怀疑，进而未识别出财务报表错报。</w:t>
            </w:r>
          </w:p>
          <w:p>
            <w:pPr>
              <w:rPr>
                <w:rFonts w:hint="eastAsia"/>
                <w:b w:val="0"/>
                <w:bCs/>
              </w:rPr>
            </w:pPr>
          </w:p>
          <w:p>
            <w:pPr>
              <w:rPr>
                <w:rFonts w:hint="eastAsia"/>
                <w:b w:val="0"/>
                <w:bCs/>
              </w:rPr>
            </w:pPr>
            <w:r>
              <w:rPr>
                <w:rFonts w:hint="eastAsia"/>
                <w:b w:val="0"/>
                <w:bCs/>
              </w:rPr>
              <w:t>第三，穿行测试审计证据获取不充分，且未记录测试结论。在对营业收入的审计中，立信所及其审计人员没有对鄂欣实业2012年、2013年钢材贸易合同和提货单进行认真分析，没有发现部分合同编号前后不一致、部分合同没有编号、个别合同交货地点前后不一致、部分合同未约定提货地点、提货单未注明捆包号、部分提单号前后不一致、货权转移证明无编号等一系列明显异常。审计人员在对鄂欣实业2013年营业收入进行实质性测试时，在“销售收入细节测试记录表”的出库单信息中对2笔合同记录了“转移证明无编号”、1笔合同记录了“出库明细无编号”，但审计人员对此记录认为不存在异常，没有保持职业怀疑，没有采取进一步审计程序，以致没有发现鄂欣实业钢材贸易业务收入的错报。</w:t>
            </w:r>
          </w:p>
          <w:p>
            <w:pPr>
              <w:rPr>
                <w:rFonts w:hint="eastAsia"/>
                <w:b w:val="0"/>
                <w:bCs/>
              </w:rPr>
            </w:pPr>
          </w:p>
          <w:p>
            <w:pPr>
              <w:rPr>
                <w:rFonts w:hint="eastAsia"/>
                <w:b w:val="0"/>
                <w:bCs/>
              </w:rPr>
            </w:pPr>
            <w:r>
              <w:rPr>
                <w:rFonts w:hint="eastAsia"/>
                <w:b w:val="0"/>
                <w:bCs/>
              </w:rPr>
              <w:t>第四，2012年财务报表审计时，风险评估遗漏相关信息。审计工作底稿中描述资本性投资时，遗漏“鄂欣实业”；描述主要子公司和联营企业时，遗漏“鄂欣实业”。此外，2012年及2013年财务报表审计时，将鄂欣实业审计风险评估过程描述为“我们通过与客户的沟通和电影行业特点进行风险评估”，与鄂欣实业从事钢材贸易行业的情况明显不符。</w:t>
            </w:r>
          </w:p>
          <w:p>
            <w:pPr>
              <w:rPr>
                <w:rFonts w:hint="eastAsia"/>
                <w:b w:val="0"/>
                <w:bCs/>
              </w:rPr>
            </w:pPr>
          </w:p>
          <w:p>
            <w:pPr>
              <w:rPr>
                <w:rFonts w:hint="eastAsia" w:eastAsia="宋体"/>
                <w:b/>
                <w:lang w:eastAsia="zh-CN"/>
              </w:rPr>
            </w:pPr>
            <w:r>
              <w:rPr>
                <w:rFonts w:hint="eastAsia"/>
                <w:b w:val="0"/>
                <w:bCs/>
              </w:rPr>
              <w:t>证监会认为，立信所和签字注册会计师周铮文、陶奇的上述行为违反了《证券法》第一百七十三条的规定，构成了《证券法》第二百二十三条所述的违法行为。依据《证券法》第二百二十三条规定，证监会决定没收立信所业务收入95万元，并处以95万元的罚款；对周铮文、陶奇给予警告，并分别处以10万元的罚款</w:t>
            </w:r>
            <w:r>
              <w:rPr>
                <w:rFonts w:hint="eastAsia"/>
                <w:b w:val="0"/>
                <w:bCs/>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rPr>
                <w:rStyle w:val="19"/>
                <w:rFonts w:hint="default" w:eastAsia="宋体"/>
                <w:i w:val="0"/>
                <w:iCs w:val="0"/>
                <w:color w:val="auto"/>
                <w:lang w:val="en-US" w:eastAsia="zh-CN"/>
              </w:rPr>
            </w:pPr>
            <w:r>
              <w:rPr>
                <w:rFonts w:hint="eastAsia"/>
              </w:rPr>
              <w:t>ST国药属于完全虚构收入和利润，利润表收入大幅增长，但是因为是新增业务，其实外人很难防范。最好的方法就是</w:t>
            </w:r>
            <w:r>
              <w:rPr>
                <w:rFonts w:hint="eastAsia"/>
                <w:lang w:val="en-US" w:eastAsia="zh-CN"/>
              </w:rPr>
              <w:t>加强国药集团内控的力度，以及对国药集团的监查和监管力度。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widowControl/>
              <w:jc w:val="left"/>
              <w:rPr>
                <w:rFonts w:hint="default" w:eastAsia="宋体"/>
                <w:lang w:val="en-US" w:eastAsia="zh-CN"/>
              </w:rPr>
            </w:pPr>
            <w:r>
              <w:rPr>
                <w:rFonts w:hint="eastAsia" w:ascii="宋体" w:hAnsi="宋体" w:cs="宋体"/>
                <w:szCs w:val="21"/>
              </w:rPr>
              <w:t xml:space="preserve"> </w:t>
            </w:r>
            <w:r>
              <w:rPr>
                <w:rFonts w:hint="eastAsia" w:ascii="宋体" w:hAnsi="宋体" w:cs="宋体"/>
                <w:szCs w:val="21"/>
                <w:lang w:val="en-US" w:eastAsia="zh-CN"/>
              </w:rPr>
              <w:t>虚构收入、虚构利润、虚假记载</w:t>
            </w:r>
          </w:p>
        </w:tc>
      </w:tr>
    </w:tbl>
    <w:p/>
    <w:p>
      <w:pPr>
        <w:pStyle w:val="2"/>
      </w:pPr>
      <w:bookmarkStart w:id="24" w:name="_Toc23047"/>
      <w:r>
        <w:rPr>
          <w:rFonts w:hint="eastAsia"/>
          <w:lang w:val="en-US" w:eastAsia="zh-CN"/>
        </w:rPr>
        <w:t>18惠而浦舞弊</w:t>
      </w:r>
      <w:r>
        <w:t>案例</w:t>
      </w:r>
      <w:bookmarkEnd w:id="24"/>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w:t>
            </w:r>
            <w:r>
              <w:rPr>
                <w:rFonts w:hint="eastAsia"/>
                <w:lang w:val="en-US" w:eastAsia="zh-CN"/>
              </w:rPr>
              <w:t>318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惠而浦（中国）股份有限公司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val="en-US" w:eastAsia="zh-CN"/>
              </w:rPr>
            </w:pPr>
            <w:r>
              <w:rPr>
                <w:rFonts w:hint="eastAsia"/>
              </w:rPr>
              <w:t>洗衣机、冰箱、微波炉、洁身器、空气净化器及其它相关产品、电子程控器、离合器、电机、控制器的生产、销售、服务和仓储；冷冻箱、冷藏箱、清洁机、干衣机、照明设备、灯具、抽油烟机</w:t>
            </w:r>
            <w:r>
              <w:rPr>
                <w:rFonts w:hint="eastAsia"/>
                <w:lang w:val="en-US" w:eastAsia="zh-CN"/>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rPr>
            </w:pPr>
            <w:r>
              <w:rPr>
                <w:b/>
              </w:rPr>
              <w:tab/>
            </w:r>
            <w:r>
              <w:rPr>
                <w:rFonts w:hint="eastAsia"/>
              </w:rPr>
              <w:t>惠而浦（中国）股份有限公司于2000年03月30日成立。法定代表人艾小明</w:t>
            </w:r>
            <w:r>
              <w:rPr>
                <w:rFonts w:hint="eastAsia"/>
                <w:lang w:eastAsia="zh-CN"/>
              </w:rPr>
              <w:t>，</w:t>
            </w:r>
            <w:r>
              <w:rPr>
                <w:rFonts w:hint="eastAsia"/>
              </w:rPr>
              <w:t>公司经营范围包括：洗衣机、冰箱、微波炉、洁身器、空气净化器及其它相关产品、电子程控器、离合器、电机、控制器的生产、销售、服务和仓储；冷冻箱、冷藏箱、清洁机、干衣机、照明设备、灯具、抽油烟机、燃气灶、灶具、消毒柜、洗碗机、电蒸炉及厨房电器销售服务等。</w:t>
            </w:r>
          </w:p>
          <w:p>
            <w:r>
              <w:rPr>
                <w:rFonts w:hint="eastAsia"/>
                <w:b/>
              </w:rPr>
              <w:t>【案情背景</w:t>
            </w:r>
            <w:r>
              <w:rPr>
                <w:b/>
              </w:rPr>
              <w:t>】</w:t>
            </w:r>
            <w:r>
              <w:t>-原告徐倩</w:t>
            </w:r>
          </w:p>
          <w:p>
            <w:pPr>
              <w:ind w:firstLine="420" w:firstLineChars="200"/>
              <w:rPr>
                <w:rFonts w:hint="eastAsia"/>
              </w:rPr>
            </w:pPr>
            <w:r>
              <w:rPr>
                <w:rFonts w:hint="eastAsia"/>
                <w:lang w:val="en-US" w:eastAsia="zh-CN"/>
              </w:rPr>
              <w:t>2016年</w:t>
            </w:r>
            <w:r>
              <w:rPr>
                <w:rFonts w:hint="eastAsia"/>
              </w:rPr>
              <w:t>安永华明会计师事务所（特殊普通合伙）为本公司出具了标准无保留意见的审计报告</w:t>
            </w:r>
          </w:p>
          <w:p>
            <w:pPr>
              <w:rPr>
                <w:b/>
              </w:rPr>
            </w:pPr>
            <w:r>
              <w:rPr>
                <w:rFonts w:hint="eastAsia"/>
                <w:b/>
              </w:rPr>
              <w:t>【案情描述】</w:t>
            </w:r>
          </w:p>
          <w:p>
            <w:pPr>
              <w:ind w:firstLine="420" w:firstLineChars="200"/>
              <w:rPr>
                <w:rFonts w:hint="eastAsia"/>
              </w:rPr>
            </w:pPr>
            <w:r>
              <w:rPr>
                <w:rFonts w:hint="eastAsia"/>
              </w:rPr>
              <w:t>在2016年12月，惠而浦编制虚假订单导致2016年营业收入虚增0.72亿元，利润虚增0.16亿元；2015年、2016年，惠而浦未确认也未预提相应费用的销售折扣1.24亿元、0.44亿元，导致其2015年虚增营业收入和利润1.24亿元，2016年虚增营业收入和利润0.44亿元。</w:t>
            </w:r>
          </w:p>
          <w:p>
            <w:pPr>
              <w:ind w:firstLine="420" w:firstLineChars="200"/>
              <w:rPr>
                <w:rFonts w:hint="eastAsia"/>
              </w:rPr>
            </w:pPr>
            <w:r>
              <w:rPr>
                <w:rFonts w:hint="eastAsia"/>
              </w:rPr>
              <w:t>公告显示，惠而浦通过淘宝平台销售产品时，产生的应付淘宝费用未及时确认，由此导致该部分销售费用确认滞后，导致2015年虚增利润0.07亿元、2016年虚增利润0.18亿元。</w:t>
            </w:r>
          </w:p>
          <w:p>
            <w:pPr>
              <w:rPr>
                <w:rFonts w:hint="eastAsia"/>
              </w:rPr>
            </w:pPr>
            <w:r>
              <w:rPr>
                <w:rFonts w:hint="eastAsia"/>
              </w:rPr>
              <w:t>公告还显示，惠而浦在2015年将部分客户已签收的产品销售收入延迟在2016年度确认，并在2016年将部分客户尚未签收的产品销售提前在2016年确认收入，导致2015年营业收入少记0.36亿元，利润少记0.14亿元；2016年营业收入虚增0.41亿元，利润虚增0.06亿元。</w:t>
            </w:r>
          </w:p>
          <w:p>
            <w:pPr>
              <w:ind w:firstLine="420" w:firstLineChars="200"/>
              <w:rPr>
                <w:rFonts w:hint="eastAsia"/>
              </w:rPr>
            </w:pPr>
            <w:r>
              <w:rPr>
                <w:rFonts w:hint="eastAsia"/>
              </w:rPr>
              <w:t>根据公告，惠而浦财务部门未将前期调减的营业成本及时冲销，导致其2016年营业成本少记0.20亿元，利润虚增0.20亿元。</w:t>
            </w:r>
          </w:p>
          <w:p>
            <w:pPr>
              <w:rPr>
                <w:rFonts w:hint="eastAsia"/>
              </w:rPr>
            </w:pPr>
            <w:r>
              <w:rPr>
                <w:rFonts w:hint="eastAsia"/>
              </w:rPr>
              <w:t>通过上述方式，惠而浦2015-2016年累计虚增营收2.45亿元，虚增利润2.23亿元。</w:t>
            </w:r>
          </w:p>
          <w:p>
            <w:pPr>
              <w:rPr>
                <w:rFonts w:hint="eastAsia"/>
              </w:rPr>
            </w:pPr>
            <w:r>
              <w:rPr>
                <w:rFonts w:hint="eastAsia"/>
              </w:rPr>
              <w:t>就此，安徽监管局拟对惠而浦给予四大处罚：对惠而浦给予警告，并处于40万元罚款；对直接负责的主管人员金友华给予警告，并处以20万元罚款；对其它责任人员江慧玲、George Wong、章中荣给予警告，并分别处以5万元罚款；对其它责任人员张智、黄秋宏给予警告，并分别处以3万元罚款。</w:t>
            </w:r>
          </w:p>
          <w:p>
            <w:pPr>
              <w:ind w:firstLine="420" w:firstLineChars="200"/>
              <w:rPr>
                <w:rFonts w:hint="eastAsia"/>
              </w:rPr>
            </w:pPr>
            <w:r>
              <w:rPr>
                <w:rFonts w:hint="eastAsia"/>
              </w:rPr>
              <w:t>惠而浦向GPLP犀牛财经表示，“此次2015年、2016年合并财务报表中营业收入错报，系惠而浦于2017年在内部自查中发现。公司在发现问题后，及时主动向监管部门和交易所报告，积极配合监管部门调查，同时聘请第三方中介公司机构进行独立调查。在确认相关事实后，已经及时纠正自身行为。”</w:t>
            </w:r>
          </w:p>
          <w:p>
            <w:pPr>
              <w:ind w:firstLine="420" w:firstLineChars="200"/>
              <w:rPr>
                <w:rFonts w:hint="eastAsia"/>
              </w:rPr>
            </w:pPr>
            <w:r>
              <w:rPr>
                <w:rFonts w:hint="eastAsia"/>
              </w:rPr>
              <w:t>惠而浦即惠而浦（中国）股份有限公司，成立于2000年，主营洗衣机、冰箱、微波炉、洁身器、空气净化器等产品的研发、生产与销售。惠而浦法定代表人为艾小明，董事长为金友华。</w:t>
            </w:r>
          </w:p>
          <w:p>
            <w:pPr>
              <w:ind w:firstLine="420" w:firstLineChars="200"/>
            </w:pPr>
            <w:r>
              <w:rPr>
                <w:rFonts w:hint="eastAsia"/>
              </w:rPr>
              <w:t>事实上，惠而浦在2019年的业绩就开始大幅度下降。2019年，惠而浦实现营业收入52.82亿元，同比下降15.97%；净亏损3.23亿元，同比下降了223.30%；扣非净亏损3.82亿元，同比下降5707.04%。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安永华明会计师事务所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Fonts w:hint="eastAsia"/>
              </w:rPr>
            </w:pPr>
            <w:r>
              <w:rPr>
                <w:rFonts w:hint="eastAsia"/>
              </w:rPr>
              <w:t>“会计差错更正”是需要区分动机，来判断情节严重性：一般包括计算错误、会计核算方法或会计政策运用错误、信息疏漏，当然也包括主观财务舞弊。</w:t>
            </w:r>
          </w:p>
          <w:p>
            <w:pPr>
              <w:tabs>
                <w:tab w:val="left" w:pos="2160"/>
              </w:tabs>
              <w:ind w:firstLine="420" w:firstLineChars="200"/>
              <w:rPr>
                <w:rStyle w:val="19"/>
                <w:i w:val="0"/>
                <w:iCs w:val="0"/>
                <w:color w:val="auto"/>
              </w:rPr>
            </w:pPr>
            <w:r>
              <w:rPr>
                <w:rFonts w:hint="eastAsia"/>
              </w:rPr>
              <w:t>如果是因涉嫌舞弊而导致的会计差错更正，公司也将迎来证监会的一顿思想教育、立案调查、也很有可能面临监管部门的行政处罚、面临投资者的维权索赔、股票进而演绎成僵尸股。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rPr>
              <w:t>少计费用折旧</w:t>
            </w:r>
            <w:r>
              <w:t>、虚增</w:t>
            </w:r>
            <w:r>
              <w:rPr>
                <w:rFonts w:hint="eastAsia"/>
              </w:rPr>
              <w:t>利润</w:t>
            </w:r>
            <w:r>
              <w:t>，虚增收入</w:t>
            </w:r>
          </w:p>
        </w:tc>
      </w:tr>
    </w:tbl>
    <w:p/>
    <w:p/>
    <w:p>
      <w:pPr>
        <w:pStyle w:val="2"/>
        <w:keepNext w:val="0"/>
        <w:keepLines w:val="0"/>
        <w:widowControl/>
        <w:spacing w:before="0" w:after="0"/>
        <w:rPr>
          <w:rFonts w:hint="eastAsia" w:eastAsia="宋体"/>
          <w:lang w:val="en-US" w:eastAsia="zh-CN"/>
        </w:rPr>
      </w:pPr>
      <w:bookmarkStart w:id="25" w:name="_Toc20606"/>
      <w:r>
        <w:rPr>
          <w:rFonts w:hint="eastAsia"/>
          <w:lang w:val="en-US" w:eastAsia="zh-CN"/>
        </w:rPr>
        <w:t>19</w:t>
      </w:r>
      <w:r>
        <w:rPr>
          <w:rFonts w:hint="eastAsia"/>
        </w:rPr>
        <w:t>东方金钰</w:t>
      </w:r>
      <w:r>
        <w:rPr>
          <w:rFonts w:hint="eastAsia"/>
          <w:lang w:val="en-US" w:eastAsia="zh-CN"/>
        </w:rPr>
        <w:t>舞弊案例</w:t>
      </w:r>
      <w:bookmarkEnd w:id="25"/>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rPr>
                <w:rFonts w:hint="eastAsia"/>
                <w:lang w:val="en-US" w:eastAsia="zh-CN"/>
              </w:rPr>
              <w:t>0319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Arial" w:hAnsi="Arial" w:cs="Arial"/>
                <w:color w:val="333333"/>
                <w:sz w:val="24"/>
                <w:szCs w:val="24"/>
              </w:rPr>
              <w:t>东方金钰股份有限公司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工艺品及其他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【企业背景】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东方金钰股份有限公司(以下简称东方金钰)是国内翡翠行业唯一一家上市企业。主营翡翠玉石黄金等贵金属首饰</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从产品的设计、加工到销售拥有一套成熟的产品链。公司连续五年获评中国 500 最具价值品牌</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是中国珠宝玉石首饰行业协会副会长单位</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品牌价值96.75 亿元</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公司获评中国珠宝玉石行业驰名商标、2013中国品牌年度大奖 NO.1(翡翠行业)、中国珠宝首饰最具竞争力品牌</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ab/>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【案情背景】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lang w:eastAsia="zh-CN"/>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2020年，</w:t>
            </w:r>
            <w:r>
              <w:rPr>
                <w:rFonts w:hint="eastAsia" w:asciiTheme="minorEastAsia" w:hAnsiTheme="minorEastAsia" w:eastAsiaTheme="minorEastAsia" w:cstheme="minorEastAsia"/>
                <w:i w:val="0"/>
                <w:caps w:val="0"/>
                <w:color w:val="333333"/>
                <w:spacing w:val="0"/>
                <w:sz w:val="21"/>
                <w:szCs w:val="21"/>
                <w:shd w:val="clear" w:fill="FFFFFF"/>
              </w:rPr>
              <w:t>大华会计师事务所为本公司出具了无保留意见的审计报告</w:t>
            </w:r>
            <w:r>
              <w:rPr>
                <w:rFonts w:hint="eastAsia" w:asciiTheme="minorEastAsia" w:hAnsiTheme="minorEastAsia" w:eastAsiaTheme="minorEastAsia" w:cstheme="minorEastAsia"/>
                <w:i w:val="0"/>
                <w:caps w:val="0"/>
                <w:color w:val="333333"/>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default" w:asciiTheme="minorEastAsia" w:hAnsiTheme="minorEastAsia" w:eastAsiaTheme="minorEastAsia" w:cstheme="minorEastAsia"/>
                <w:i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2019年证监会对本公司立案调查。</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【案情描述】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ab/>
            </w:r>
            <w:r>
              <w:rPr>
                <w:rFonts w:hint="eastAsia" w:asciiTheme="minorEastAsia" w:hAnsiTheme="minorEastAsia" w:eastAsiaTheme="minorEastAsia" w:cstheme="minorEastAsia"/>
                <w:i w:val="0"/>
                <w:caps w:val="0"/>
                <w:color w:val="333333"/>
                <w:spacing w:val="0"/>
                <w:sz w:val="21"/>
                <w:szCs w:val="21"/>
                <w:shd w:val="clear" w:fill="FFFFFF"/>
              </w:rPr>
              <w:t>通过告宏宁珠宝有限公司控制19个银行账户，虚构销售和采购交易资金流，该19个银行账户分为三组：第一组为普某腊、保某、李某青、凤某、自某堵、张某梅等六名名义客户的银行账户；第二组为董某成、邵某丽、木某1、木某2、余某光、方某华、双某石等七名自然人中转方的银行账户；第三组为李某退、蒋某东、宝某明、吴某龙、杨某荣、董某先等六名名义供应商的银行账户。</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告宏宁通过上述虚构销售合同及现金流等手段，虚构与保某、李某青、自某堵之间的销售交易，合计14</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169.09万元，该涉案交易不具有商业实质和真实性，同时，告宏宁通过上述伪造采购合同等方式，虚构与宝某明、董某先、蒋某东之间的采购交易，合计20</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104.02万元。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2016年，</w:t>
            </w:r>
            <w:r>
              <w:rPr>
                <w:rFonts w:hint="eastAsia" w:asciiTheme="minorEastAsia" w:hAnsiTheme="minorEastAsia" w:eastAsiaTheme="minorEastAsia" w:cstheme="minorEastAsia"/>
                <w:i w:val="0"/>
                <w:caps w:val="0"/>
                <w:color w:val="333333"/>
                <w:spacing w:val="0"/>
                <w:sz w:val="21"/>
                <w:szCs w:val="21"/>
                <w:shd w:val="clear" w:fill="FFFFFF"/>
              </w:rPr>
              <w:t>通过上述虚构的销售交易和采购交易，东方金钰年度报告虚增营业收入14</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169.09万元，虚增营业成本4</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665万元，导致虚增利润总额9</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504.09万元，占当年合并利润表利润总额的29.60%。</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同时，告宏宁通过上述伪造采购合同等方式，虚构与李某退、吴某龙、宝某明、董某先、蒋某东、杨某荣之间的釆购交易，合计61</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714.1万元。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2017年，</w:t>
            </w:r>
            <w:r>
              <w:rPr>
                <w:rFonts w:hint="eastAsia" w:asciiTheme="minorEastAsia" w:hAnsiTheme="minorEastAsia" w:eastAsiaTheme="minorEastAsia" w:cstheme="minorEastAsia"/>
                <w:i w:val="0"/>
                <w:caps w:val="0"/>
                <w:color w:val="333333"/>
                <w:spacing w:val="0"/>
                <w:sz w:val="21"/>
                <w:szCs w:val="21"/>
                <w:shd w:val="clear" w:fill="FFFFFF"/>
              </w:rPr>
              <w:t>通过上述虚构的销售交易和采购交易，东方金钰年度报告虚增营业收入29</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487.1万元，虚增营业成本11</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038.9万元，导致虚增利润总额18</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448.20万元，占当年合并利润表利润总额的59.7%。</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告宏宁通过上述虚构销售合同及现金流等手段，虚构与普某腊、凤某、张某梅之间的销售交易，合计12</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000万元，该涉案交易不具有商业实质和真实性。通过上述虚构的销售交易，东方金钰控制的告宏宁在2018年1月至6月确认营业收入12</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000万元，构成虚增营业收入。通过上述虚构的销售交易，东方金钰2018年3月形成应收账款7</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720万元，虚增应收账款余额。</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2018年，</w:t>
            </w:r>
            <w:r>
              <w:rPr>
                <w:rFonts w:hint="eastAsia" w:asciiTheme="minorEastAsia" w:hAnsiTheme="minorEastAsia" w:eastAsiaTheme="minorEastAsia" w:cstheme="minorEastAsia"/>
                <w:i w:val="0"/>
                <w:caps w:val="0"/>
                <w:color w:val="333333"/>
                <w:spacing w:val="0"/>
                <w:sz w:val="21"/>
                <w:szCs w:val="21"/>
                <w:shd w:val="clear" w:fill="FFFFFF"/>
              </w:rPr>
              <w:t>通过上述虚构的销售交易东方金钰2018年半年度报告虚增营业收入12</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000万元，虚增营业成本4</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100万元，虚增应收账款7</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720万元，虚增利润总额7</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900万元，占2018年半年度报告利润总额的211.48%。</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审计师要</w:t>
            </w:r>
            <w:r>
              <w:rPr>
                <w:rFonts w:hint="eastAsia" w:asciiTheme="minorEastAsia" w:hAnsiTheme="minorEastAsia" w:eastAsiaTheme="minorEastAsia" w:cstheme="minorEastAsia"/>
                <w:i w:val="0"/>
                <w:caps w:val="0"/>
                <w:color w:val="333333"/>
                <w:spacing w:val="0"/>
                <w:sz w:val="21"/>
                <w:szCs w:val="21"/>
                <w:shd w:val="clear" w:fill="FFFFFF"/>
              </w:rPr>
              <w:t>需要有行业知识，了解政策，了解产业链熟悉价格变动和结算方式等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此外，对被审单位供应链体系，行业地位，了解分析客户和供应商，以及之间的变动。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具体到东方金钰，其实证监会一直对它持怀疑态度，诡异的存货和收入一直让证监会耿耿于怀，用问询函的形式解心中之惑。问询函代表了证监会对上市公司的怀疑与警告，只是事务所视而不见或骑虎难下，只是把炸药往身上扛。</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东方金钰手法历史悠久，沿用循环贸易的伎俩。具体手法A-B-C-A。资金流、发票流一致。存货流可有可无，当然实际盘货都有。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想识别该手法，首先对产业了解，知道主流供应商是谁，被审单位为何不是主流供应商。</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要在审计过程中，</w:t>
            </w:r>
            <w:r>
              <w:rPr>
                <w:rFonts w:hint="eastAsia" w:asciiTheme="minorEastAsia" w:hAnsiTheme="minorEastAsia" w:eastAsiaTheme="minorEastAsia" w:cstheme="minorEastAsia"/>
                <w:i w:val="0"/>
                <w:caps w:val="0"/>
                <w:color w:val="333333"/>
                <w:spacing w:val="0"/>
                <w:sz w:val="21"/>
                <w:szCs w:val="21"/>
                <w:shd w:val="clear" w:fill="FFFFFF"/>
              </w:rPr>
              <w:t>重视发生额。资产负债表是某一时点的数据，因此部门新人只验证时点的数据。这种方法大错特错。审计期间是年度，资产负债表也是需要审计发生额的，发生额不止利润表和现金流量表。其中重点科目包括不限于货币资金、往来和借款等等。货币资金和往来如此重要。循环贸易的特点是快进快出，基于资金安全和成本考虑，资金支付和回收在很短的时间内发生。因此要重点关注发生额的金额和时间。</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还要</w:t>
            </w:r>
            <w:r>
              <w:rPr>
                <w:rFonts w:hint="eastAsia" w:asciiTheme="minorEastAsia" w:hAnsiTheme="minorEastAsia" w:eastAsiaTheme="minorEastAsia" w:cstheme="minorEastAsia"/>
                <w:i w:val="0"/>
                <w:caps w:val="0"/>
                <w:color w:val="333333"/>
                <w:spacing w:val="0"/>
                <w:sz w:val="21"/>
                <w:szCs w:val="21"/>
                <w:shd w:val="clear" w:fill="FFFFFF"/>
              </w:rPr>
              <w:t>重视供应链。贸易业务讲究一进一出，资金流、票据流和货物流一致。因此分析贸易，一定要用票据把业务串起来。比如从A购进E品种</w:t>
            </w:r>
            <w:r>
              <w:rPr>
                <w:rFonts w:hint="eastAsia" w:asciiTheme="minorEastAsia" w:hAnsiTheme="minorEastAsia" w:eastAsiaTheme="minorEastAsia" w:cstheme="minorEastAsia"/>
                <w:i w:val="0"/>
                <w:caps w:val="0"/>
                <w:color w:val="333333"/>
                <w:spacing w:val="0"/>
                <w:sz w:val="21"/>
                <w:szCs w:val="21"/>
                <w:shd w:val="clear" w:fill="FFFFFF"/>
                <w:lang w:eastAsia="zh-CN"/>
              </w:rPr>
              <w:t>，</w:t>
            </w:r>
            <w:r>
              <w:rPr>
                <w:rFonts w:hint="eastAsia" w:asciiTheme="minorEastAsia" w:hAnsiTheme="minorEastAsia" w:eastAsiaTheme="minorEastAsia" w:cstheme="minorEastAsia"/>
                <w:i w:val="0"/>
                <w:caps w:val="0"/>
                <w:color w:val="333333"/>
                <w:spacing w:val="0"/>
                <w:sz w:val="21"/>
                <w:szCs w:val="21"/>
                <w:shd w:val="clear" w:fill="FFFFFF"/>
              </w:rPr>
              <w:t>把E品种销售到B，这种完整的业务一定要重点分析A和B，查找蛛丝马迹。这种业务要根据金额大小排序分析。对于低毛利和高毛利都行重点关注。低毛利可能走量，高毛利可能虚增利润。</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此外，还要</w:t>
            </w:r>
            <w:r>
              <w:rPr>
                <w:rFonts w:hint="eastAsia" w:asciiTheme="minorEastAsia" w:hAnsiTheme="minorEastAsia" w:eastAsiaTheme="minorEastAsia" w:cstheme="minorEastAsia"/>
                <w:i w:val="0"/>
                <w:caps w:val="0"/>
                <w:color w:val="333333"/>
                <w:spacing w:val="0"/>
                <w:sz w:val="21"/>
                <w:szCs w:val="21"/>
                <w:shd w:val="clear" w:fill="FFFFFF"/>
              </w:rPr>
              <w:t>认真分析毛利和周转天数。毛利上文已述。对于循环贸易来说，周转天数一般比较短，尤其是资金。</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lang w:val="en-US" w:eastAsia="zh-CN"/>
              </w:rPr>
              <w:t>更要注意</w:t>
            </w:r>
            <w:r>
              <w:rPr>
                <w:rFonts w:hint="eastAsia" w:asciiTheme="minorEastAsia" w:hAnsiTheme="minorEastAsia" w:eastAsiaTheme="minorEastAsia" w:cstheme="minorEastAsia"/>
                <w:i w:val="0"/>
                <w:caps w:val="0"/>
                <w:color w:val="333333"/>
                <w:spacing w:val="0"/>
                <w:sz w:val="21"/>
                <w:szCs w:val="21"/>
                <w:shd w:val="clear" w:fill="FFFFFF"/>
              </w:rPr>
              <w:t>存货盘点，不过，对于某些需要专业知识鉴定的存货来说，的确有点强人所难，所以法律要求可以依靠专业人士。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t xml:space="preserve"> </w:t>
            </w:r>
            <w:r>
              <w:rPr>
                <w:rFonts w:hint="eastAsia"/>
              </w:rPr>
              <w:t>虚构流水</w:t>
            </w:r>
            <w:r>
              <w:t xml:space="preserve"> </w:t>
            </w:r>
            <w:r>
              <w:rPr>
                <w:rFonts w:hint="eastAsia"/>
              </w:rPr>
              <w:t>关联方交易</w:t>
            </w:r>
          </w:p>
        </w:tc>
      </w:tr>
    </w:tbl>
    <w:p>
      <w:pPr>
        <w:rPr>
          <w:b/>
          <w:bCs/>
          <w:sz w:val="44"/>
          <w:szCs w:val="44"/>
        </w:rPr>
      </w:pPr>
    </w:p>
    <w:p>
      <w:pPr>
        <w:pStyle w:val="2"/>
        <w:bidi w:val="0"/>
        <w:rPr>
          <w:rFonts w:hint="default"/>
          <w:lang w:val="en-US"/>
        </w:rPr>
      </w:pPr>
      <w:bookmarkStart w:id="26" w:name="_Toc16899"/>
      <w:r>
        <w:rPr>
          <w:rFonts w:hint="eastAsia"/>
          <w:lang w:val="en-US" w:eastAsia="zh-CN"/>
        </w:rPr>
        <w:t>20</w:t>
      </w:r>
      <w:r>
        <w:rPr>
          <w:rFonts w:hint="default"/>
          <w:lang w:val="en-US" w:eastAsia="zh-CN"/>
        </w:rPr>
        <w:t>长园</w:t>
      </w:r>
      <w:r>
        <w:rPr>
          <w:rFonts w:hint="eastAsia"/>
          <w:lang w:val="en-US" w:eastAsia="zh-CN"/>
        </w:rPr>
        <w:t>集团舞弊案例</w:t>
      </w:r>
      <w:bookmarkEnd w:id="26"/>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rPr>
                <w:rFonts w:hint="eastAsia"/>
                <w:lang w:val="en-US" w:eastAsia="zh-CN"/>
              </w:rPr>
              <w:t>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w:t>
            </w:r>
            <w:r>
              <w:rPr>
                <w:rFonts w:hint="eastAsia"/>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default" w:ascii="Arial" w:hAnsi="Arial" w:eastAsia="宋体" w:cs="Arial"/>
                <w:i w:val="0"/>
                <w:caps w:val="0"/>
                <w:color w:val="333333"/>
                <w:spacing w:val="0"/>
                <w:kern w:val="0"/>
                <w:sz w:val="21"/>
                <w:szCs w:val="21"/>
                <w:shd w:val="clear" w:fill="FFFFFF"/>
                <w:lang w:val="en-US" w:eastAsia="zh-CN" w:bidi="ar"/>
              </w:rPr>
              <w:t>长园集团股份有限公司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default" w:ascii="Arial" w:hAnsi="Arial" w:eastAsia="宋体" w:cs="Arial"/>
                <w:i w:val="0"/>
                <w:caps w:val="0"/>
                <w:color w:val="333333"/>
                <w:spacing w:val="0"/>
                <w:kern w:val="0"/>
                <w:sz w:val="21"/>
                <w:szCs w:val="21"/>
                <w:shd w:val="clear" w:fill="FFFFFF"/>
                <w:lang w:val="en-US" w:eastAsia="zh-CN" w:bidi="ar"/>
              </w:rPr>
              <w:t>测试系统和自动化装备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keepNext w:val="0"/>
              <w:keepLines w:val="0"/>
              <w:widowControl/>
              <w:suppressLineNumbers w:val="0"/>
              <w:shd w:val="clear" w:fill="FFFFFF"/>
              <w:spacing w:after="225" w:afterAutospacing="0" w:line="360" w:lineRule="atLeast"/>
              <w:ind w:left="0" w:firstLine="420"/>
              <w:jc w:val="left"/>
              <w:rPr>
                <w:rFonts w:hint="eastAsia" w:ascii="Arial" w:hAnsi="Arial" w:cs="Arial"/>
                <w:i w:val="0"/>
                <w:caps w:val="0"/>
                <w:color w:val="333333"/>
                <w:spacing w:val="0"/>
                <w:sz w:val="21"/>
                <w:szCs w:val="21"/>
              </w:rPr>
            </w:pPr>
            <w:r>
              <w:rPr>
                <w:rFonts w:hint="default" w:ascii="Arial" w:hAnsi="Arial" w:eastAsia="宋体" w:cs="Arial"/>
                <w:i w:val="0"/>
                <w:caps w:val="0"/>
                <w:color w:val="333333"/>
                <w:spacing w:val="0"/>
                <w:kern w:val="0"/>
                <w:sz w:val="21"/>
                <w:szCs w:val="21"/>
                <w:shd w:val="clear" w:fill="FFFFFF"/>
                <w:lang w:val="en-US" w:eastAsia="zh-CN" w:bidi="ar"/>
              </w:rPr>
              <w:t>长园集团股份有限公司（股票代码：600525）是1986年由中科院创立的科技型产业集团，主要从事工业与电力系统智能化数字化的研发、制造与服务。</w:t>
            </w:r>
          </w:p>
          <w:p>
            <w:pPr>
              <w:keepNext w:val="0"/>
              <w:keepLines w:val="0"/>
              <w:widowControl/>
              <w:suppressLineNumbers w:val="0"/>
              <w:shd w:val="clear" w:fill="FFFFFF"/>
              <w:spacing w:after="225" w:afterAutospacing="0" w:line="360" w:lineRule="atLeast"/>
              <w:ind w:left="0" w:firstLine="420"/>
              <w:jc w:val="left"/>
              <w:rPr>
                <w:rFonts w:hint="default" w:ascii="Arial" w:hAnsi="Arial" w:cs="Arial"/>
                <w:i w:val="0"/>
                <w:caps w:val="0"/>
                <w:color w:val="333333"/>
                <w:spacing w:val="0"/>
                <w:sz w:val="21"/>
                <w:szCs w:val="21"/>
              </w:rPr>
            </w:pPr>
            <w:r>
              <w:rPr>
                <w:rFonts w:hint="default" w:ascii="Arial" w:hAnsi="Arial" w:eastAsia="宋体" w:cs="Arial"/>
                <w:i w:val="0"/>
                <w:caps w:val="0"/>
                <w:color w:val="333333"/>
                <w:spacing w:val="0"/>
                <w:kern w:val="0"/>
                <w:sz w:val="21"/>
                <w:szCs w:val="21"/>
                <w:shd w:val="clear" w:fill="FFFFFF"/>
                <w:lang w:val="en-US" w:eastAsia="zh-CN" w:bidi="ar"/>
              </w:rPr>
              <w:t>长园集团总部位于深圳市南山区，在深圳、珠海、东莞、苏州、黄冈等城市拥有12个产业园区。智能工厂装备产业主要包含测试系统和自动化装备两大产品系列，为电子、汽车、医疗、新能源、服装、照明等行业提供全面解决方案；智能电网设备产业覆盖了从发电、输电、变电、配电到用电的全网各领域。</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bookmarkStart w:id="27" w:name="_Toc10665"/>
            <w:bookmarkStart w:id="28" w:name="_Toc22563"/>
            <w:r>
              <w:rPr>
                <w:rFonts w:hint="eastAsia" w:ascii="Times New Roman" w:hAnsi="Times New Roman"/>
                <w:bCs w:val="0"/>
                <w:kern w:val="2"/>
                <w:sz w:val="21"/>
                <w:szCs w:val="22"/>
              </w:rPr>
              <w:t>【案情背景】</w:t>
            </w:r>
            <w:bookmarkEnd w:id="27"/>
            <w:bookmarkEnd w:id="28"/>
          </w:p>
          <w:p>
            <w:pPr>
              <w:ind w:firstLine="420" w:firstLineChars="200"/>
              <w:rPr>
                <w:rFonts w:hint="eastAsia" w:eastAsia="宋体"/>
                <w:sz w:val="21"/>
                <w:szCs w:val="21"/>
                <w:lang w:eastAsia="zh-CN"/>
              </w:rPr>
            </w:pPr>
            <w:r>
              <w:rPr>
                <w:rFonts w:hint="eastAsia" w:ascii="Arial" w:hAnsi="Arial" w:eastAsia="Arial" w:cs="Arial"/>
                <w:i w:val="0"/>
                <w:caps w:val="0"/>
                <w:color w:val="191919"/>
                <w:spacing w:val="0"/>
                <w:sz w:val="21"/>
                <w:szCs w:val="21"/>
                <w:shd w:val="clear" w:fill="FFFFFF"/>
              </w:rPr>
              <w:t>2020年10月24日，长园集团公告称，公司收到中国证券监督管理委员会深圳监管局行政处罚决定书</w:t>
            </w:r>
            <w:r>
              <w:rPr>
                <w:rFonts w:hint="eastAsia" w:ascii="Arial" w:hAnsi="Arial" w:cs="Arial"/>
                <w:i w:val="0"/>
                <w:caps w:val="0"/>
                <w:color w:val="191919"/>
                <w:spacing w:val="0"/>
                <w:sz w:val="21"/>
                <w:szCs w:val="21"/>
                <w:shd w:val="clear" w:fill="FFFFFF"/>
                <w:lang w:eastAsia="zh-CN"/>
              </w:rPr>
              <w:t>。</w:t>
            </w:r>
          </w:p>
          <w:p>
            <w:pPr>
              <w:rPr>
                <w:b/>
                <w:sz w:val="21"/>
                <w:szCs w:val="21"/>
              </w:rPr>
            </w:pPr>
            <w:r>
              <w:rPr>
                <w:rFonts w:hint="eastAsia"/>
                <w:b/>
              </w:rPr>
              <w:t>【案情描述】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eastAsia"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2016年6月7日，长园集团与上海和鹰实业发展有限公司等16名股东签订《股份转让协议》，购买上海和鹰机电科技股份有限公司（后更名为“长园和鹰”）80%股权。2016年7月28日，长园和鹰成为长园集团控股子公司。自2016年8月起，长园集团将长园和鹰纳入合并报表范围。长园和鹰通过虚构海外销售、提前确认收入、重复确认收入、签订“阴阳合同”、项目核算不符合会计准则等多种方式虚增业绩，导致长园集团2016年、2017年年度报告中披露的财务数据存在虚假记载。其中，长园集团2016年度合并利润表虚增营业收入1.50亿元，虚增利润总额1.23亿元，分别占公开披露的长园集团当期营业收入、利润总额（追溯调整前）的2.56%、15.21%；2017年度合并利润表虚增营业收入2.10亿元，虚增利润总额1.80亿元，分别占公开披露的长园集团当期营业收入、利润总额（追溯调整前）的2.82%、14.85%。此外，长园和鹰确认对M.T.Sewing的销售收入，发生在其被纳入长园集团合并报表范围之前，该笔业务导致长园集团虚增2016年度、2017年度期末应收账款870.41万元。具体情况如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2015年12月，长园和鹰向泰国M.T.SEWING MACHINE CENTER CO.</w:t>
            </w:r>
            <w:r>
              <w:rPr>
                <w:rFonts w:hint="eastAsia" w:ascii="Arial" w:hAnsi="Arial" w:cs="Arial"/>
                <w:i w:val="0"/>
                <w:caps w:val="0"/>
                <w:color w:val="191919"/>
                <w:spacing w:val="0"/>
                <w:sz w:val="21"/>
                <w:szCs w:val="21"/>
                <w:shd w:val="clear" w:fill="FFFFFF"/>
                <w:lang w:eastAsia="zh-CN"/>
              </w:rPr>
              <w:t>，</w:t>
            </w:r>
            <w:r>
              <w:rPr>
                <w:rFonts w:hint="default" w:ascii="Arial" w:hAnsi="Arial" w:eastAsia="Arial" w:cs="Arial"/>
                <w:i w:val="0"/>
                <w:caps w:val="0"/>
                <w:color w:val="191919"/>
                <w:spacing w:val="0"/>
                <w:sz w:val="21"/>
                <w:szCs w:val="21"/>
                <w:shd w:val="clear" w:fill="FFFFFF"/>
              </w:rPr>
              <w:t>LTD.出口站吊挂产品，并于2016年3月确认销售收入；双方仅口头约定将货物卖出以后再付款，未销售不用付款。该批货物报关出口后，存放于长园和鹰在泰国租赁的仓库中；直至2018年8月1日，长园和鹰将上述吊挂产品运回国内。长园和鹰以此虚增2016年、2017年期末应收账款870.41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2016年6月至11月，长园和鹰及其子公司分别与JD&amp;TOYOSHIMA CO.</w:t>
            </w:r>
            <w:r>
              <w:rPr>
                <w:rFonts w:hint="eastAsia" w:ascii="Arial" w:hAnsi="Arial" w:cs="Arial"/>
                <w:i w:val="0"/>
                <w:caps w:val="0"/>
                <w:color w:val="191919"/>
                <w:spacing w:val="0"/>
                <w:sz w:val="21"/>
                <w:szCs w:val="21"/>
                <w:shd w:val="clear" w:fill="FFFFFF"/>
                <w:lang w:eastAsia="zh-CN"/>
              </w:rPr>
              <w:t>，</w:t>
            </w:r>
            <w:r>
              <w:rPr>
                <w:rFonts w:hint="default" w:ascii="Arial" w:hAnsi="Arial" w:eastAsia="Arial" w:cs="Arial"/>
                <w:i w:val="0"/>
                <w:caps w:val="0"/>
                <w:color w:val="191919"/>
                <w:spacing w:val="0"/>
                <w:sz w:val="21"/>
                <w:szCs w:val="21"/>
                <w:shd w:val="clear" w:fill="FFFFFF"/>
              </w:rPr>
              <w:t>LTD.等6家柬埔寨公司签订销售合同，合同金额共计819.09万美元，并于同年按合同金额确认收入。经查，长园和鹰及其子公司与上述6家柬埔寨公司签署了对应的备忘录、承诺函或声明，表示柬埔寨公司只协助免税清关，不存在付款义务。长园和鹰以此虚增2016年度营业收入5662.91万元，虚增2016年度利润总额3954.7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2016年10月至12月，长园和鹰及其子公司分别与LADOGROUP CORP等4家越南代理商签订吊挂产品销售合同，合同金额共计438.3万美元。2017年12月，长园和鹰与越南代理商STRENGTH SHARP CORPORATION签订吊挂产品销售合同，合同金额97.78万美元。上述合同均约定，代理商将产品销售给终端客户后才产生付款义务。经查，业绩承诺期内上述5家代理商仅于2017年向终端客户销售了183.44万美元的吊挂产品，但长园和鹰在合同签订当年提前全额确认了收入。长园和鹰以此虚增2016年度营业收入3233.44万元，虚增2016年度利润总额2270.76万元；虚减2017年度营业收入565.96万元，虚减2017年度利润总额432.37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2017年11月，长园和鹰全资子公司和鹰国际有限公司与柬埔寨客户DAS XING GARMENT签订金额为93万美元的吊挂产品销售合同。和鹰国际于2017年12月在未发货情况下按照合同金额确认收入，未结转销售成本。2018年3月，双方协议解除该合同，DAS XING GARMENT一直未就该合同付款。长园和鹰以此虚增2017年度营业收入614.12万元，虚增2017年度利润总额614.12万元。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2017年，长园和鹰智能设备有限公司（系长园和鹰控股子公司上海欧泰科智能科技股份有限公司的全资子公司）在与南昌中绵实业发展有限公司签订的吊挂系统销售合同中约定，货交承运人后视为完成交付；在与际华三五三九制鞋有限公司签订的产品销售合同中约定，裁剪机等设备到货后试用期满未提出退货视为对方同意购买。经查，相关商品实际并未销售出库，但和鹰设备仍确认收入。长园和鹰以此虚增2017年度营业收入15.64万元，虚增2017年度利润总额15.64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2017年，和鹰设备向慈溪市曼嘉服饰有限公司等13家国内客户销售裁床、铺布机、吊挂等产品。经查，在上述销售中，和鹰设备重复开具发票，继而重复确认收入。长园和鹰以此虚增2017年度营业收入287.51万元，虚增2017年度利润总额287.51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2017年，和鹰设备与阜新市福雅服装有限公司等8家国内客户签订了9份销售合同。经查，对于上述合同中已开发票确认收入的产品，和鹰设备在2017年底编制财务报表时再次作为已发货但未开票项目调增收入，重复确认收入。长园和鹰以此虚增2017年度营业收入202.31万元，虚增2017年度利润总额202.31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长园和鹰子公司上海和鹰融资租赁有限公司向和鹰设备购买吊挂产品和裁床设备，并为客户中蔼万家服装股份有限公司提供相应的融资租赁服务。2017年8月至11月，和鹰租赁与中蔼万家先后签订21份《融资租赁合同》，每份合同均有高价、低价两个版本，除价格外其它合同内容完全相同。长园和鹰依据高价版合同，按照合同全部商品已发货确认2017年销售商品收入。经查，和鹰租赁与中蔼万家实际按照低价版合同结算支付，且合同约定商品并未全部发货。长园和鹰以此虚增2017年度营业收入5259.17万元，虚增2017年度利润总额3059.17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2016年6月，长园和鹰与山东昊宝服饰有限公司签订金额为1.5亿元销售合同，向山东昊宝提供服装不落地智能工厂系统项目整厂解决方案。2017年2月，山东昊宝在智能工厂项目中的全部权利义务转由山东伊甸缘服饰有限公司承担。长园和鹰按照完工百分比法确认了2016年度、2017年度该项建造合同收入。经查，该建造合同结果不能可靠估计，不应采用完工百分比法确认合同收入。长园和鹰以此虚增2016年度、2017年度营业收入分别为4531.16万元、1538.26万元，虚增2016年度、2017年度利润总额分别为4531.16万元、635.72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rPr>
            </w:pPr>
            <w:r>
              <w:rPr>
                <w:rFonts w:hint="default" w:ascii="Arial" w:hAnsi="Arial" w:eastAsia="Arial" w:cs="Arial"/>
                <w:i w:val="0"/>
                <w:caps w:val="0"/>
                <w:color w:val="191919"/>
                <w:spacing w:val="0"/>
                <w:sz w:val="21"/>
                <w:szCs w:val="21"/>
                <w:shd w:val="clear" w:fill="FFFFFF"/>
              </w:rPr>
              <w:t>2016年11月，和鹰设备与上海峰龙科技有限公司签订金额为1.72亿元的总包合同，向上海峰龙提供女装智能柔性生产线系统集成项目总体解决方案，其中包括500万元的方案设计。同期，长园和鹰又与上海峰龙签订金额为500万元的设计服务合同，约定由长园和鹰提供智能工厂及智能物联网系统设计服务。长园和鹰确认2016年度提供劳务收入500万元，采用完工百分比法确认2017年度建造合同收入1.33亿元。经查，上述设计服务合同在2016年未实际履行，长园和鹰以此虚增2016年度营业收入500万元、利润总额500万元。上海峰龙项目建造合同结果不能可靠估计，不应采用完工百分比法确认合同收入，长园和鹰以此虚增2017年度营业收入6291.57万元、利润总额6291.57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20" w:firstLineChars="200"/>
              <w:jc w:val="left"/>
              <w:rPr>
                <w:rFonts w:hint="default" w:ascii="Arial" w:hAnsi="Arial" w:eastAsia="Arial" w:cs="Arial"/>
                <w:i w:val="0"/>
                <w:caps w:val="0"/>
                <w:color w:val="191919"/>
                <w:spacing w:val="0"/>
                <w:sz w:val="21"/>
                <w:szCs w:val="21"/>
                <w:shd w:val="clear" w:fill="FFFFFF"/>
              </w:rPr>
            </w:pPr>
            <w:r>
              <w:rPr>
                <w:rFonts w:hint="default" w:ascii="Arial" w:hAnsi="Arial" w:eastAsia="Arial" w:cs="Arial"/>
                <w:i w:val="0"/>
                <w:caps w:val="0"/>
                <w:color w:val="191919"/>
                <w:spacing w:val="0"/>
                <w:sz w:val="21"/>
                <w:szCs w:val="21"/>
                <w:shd w:val="clear" w:fill="FFFFFF"/>
              </w:rPr>
              <w:t>2016年12月5日，长园和鹰与安徽红爱实业股份有限公司签订金额为4亿元合同，约定向安徽红爱提供智能工厂全面解决方案。2016年12月26日，双方又签订了金额为7470万元的销售合同，约定就智能工厂项目向安徽红爱销售智能裁剪系统、服装吊挂系统及183套智能三维人体扫描仪。2016年12月29日，和鹰设备与安徽红爱签订金额为3.4亿元的合同，约定向安徽红爱提供智能工厂系统全面解决方案，该合同取代以往达成的各项协议。长园和鹰依据合同和ERP系统销售出库单</w:t>
            </w:r>
            <w:r>
              <w:rPr>
                <w:rFonts w:hint="eastAsia" w:ascii="Arial" w:hAnsi="Arial" w:cs="Arial"/>
                <w:i w:val="0"/>
                <w:caps w:val="0"/>
                <w:color w:val="191919"/>
                <w:spacing w:val="0"/>
                <w:sz w:val="21"/>
                <w:szCs w:val="21"/>
                <w:shd w:val="clear" w:fill="FFFFFF"/>
                <w:lang w:eastAsia="zh-CN"/>
              </w:rPr>
              <w:t>，</w:t>
            </w:r>
            <w:r>
              <w:rPr>
                <w:rFonts w:hint="default" w:ascii="Arial" w:hAnsi="Arial" w:eastAsia="Arial" w:cs="Arial"/>
                <w:i w:val="0"/>
                <w:caps w:val="0"/>
                <w:color w:val="191919"/>
                <w:spacing w:val="0"/>
                <w:sz w:val="21"/>
                <w:szCs w:val="21"/>
                <w:shd w:val="clear" w:fill="FFFFFF"/>
              </w:rPr>
              <w:t>确认2016年度销售商品收入；采用完工百分比法确认2017年度建造合同收入。经查，上述合同效力实际已于2016年12月29日终止，为后续合同所取代，相关商品应当纳入安徽红爱智能工厂项目整体按照建造合同进行核算，不应单独按照产品销售合同进行核算。长园和鹰以此虚增2016年度营业收入1043.76万元、利润总额1043.76万元。安徽红爱智能工厂项目建造合同的结果不能可靠估计，不应采用完工百分比法确认合同收入，长园和鹰以此虚增2017年度营业收入7316.16万元、利润总额7316.16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480" w:firstLineChars="200"/>
              <w:jc w:val="left"/>
              <w:rPr>
                <w:rFonts w:hint="default" w:ascii="Arial" w:hAnsi="Arial" w:eastAsia="Arial" w:cs="Arial"/>
                <w:i w:val="0"/>
                <w:caps w:val="0"/>
                <w:color w:val="191919"/>
                <w:spacing w:val="0"/>
                <w:sz w:val="21"/>
                <w:szCs w:val="21"/>
                <w:shd w:val="clear" w:fill="FFFFFF"/>
              </w:rPr>
            </w:pPr>
            <w:r>
              <w:rPr>
                <w:rFonts w:ascii="宋体" w:hAnsi="宋体" w:eastAsia="宋体" w:cs="宋体"/>
                <w:sz w:val="24"/>
                <w:szCs w:val="24"/>
              </w:rPr>
              <w:drawing>
                <wp:inline distT="0" distB="0" distL="114300" distR="114300">
                  <wp:extent cx="3540760" cy="1450975"/>
                  <wp:effectExtent l="0" t="0" r="2540" b="15875"/>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2"/>
                          <a:stretch>
                            <a:fillRect/>
                          </a:stretch>
                        </pic:blipFill>
                        <pic:spPr>
                          <a:xfrm>
                            <a:off x="0" y="0"/>
                            <a:ext cx="3540760" cy="1450975"/>
                          </a:xfrm>
                          <a:prstGeom prst="rect">
                            <a:avLst/>
                          </a:prstGeom>
                          <a:noFill/>
                          <a:ln w="9525">
                            <a:noFill/>
                          </a:ln>
                        </pic:spPr>
                      </pic:pic>
                    </a:graphicData>
                  </a:graphic>
                </wp:inline>
              </w:drawing>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color w:val="333333"/>
                <w:sz w:val="21"/>
                <w:szCs w:val="21"/>
              </w:rPr>
            </w:pPr>
            <w:r>
              <w:rPr>
                <w:rFonts w:hint="eastAsia" w:asciiTheme="minorEastAsia" w:hAnsiTheme="minorEastAsia" w:eastAsiaTheme="minorEastAsia" w:cstheme="minorEastAsia"/>
                <w:i w:val="0"/>
                <w:caps w:val="0"/>
                <w:color w:val="333333"/>
                <w:spacing w:val="0"/>
                <w:sz w:val="21"/>
                <w:szCs w:val="21"/>
                <w:shd w:val="clear" w:fill="FFFFFF"/>
              </w:rPr>
              <w:t>长园和鹰虚构业绩在长达两年多的时间没有被发现，而且从2017年财报数据上看，长园和鹰的营业收入、净利润分别占上市公司相应财务指标的13.05%和15.85%，可以说是集团内部业绩占比很重的一家子公司。但长园集团竟然放任其虚报业绩而没有发现，足以看出其集团内部的管理是存在问题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color w:val="333333"/>
                <w:sz w:val="21"/>
                <w:szCs w:val="21"/>
              </w:rPr>
            </w:pPr>
            <w:r>
              <w:rPr>
                <w:rFonts w:hint="eastAsia" w:asciiTheme="minorEastAsia" w:hAnsiTheme="minorEastAsia" w:eastAsiaTheme="minorEastAsia" w:cstheme="minorEastAsia"/>
                <w:i w:val="0"/>
                <w:caps w:val="0"/>
                <w:color w:val="333333"/>
                <w:spacing w:val="0"/>
                <w:sz w:val="21"/>
                <w:szCs w:val="21"/>
                <w:shd w:val="clear" w:fill="FFFFFF"/>
              </w:rPr>
              <w:t>资本市场政策专家董少鹏对《企业观察报》说，此造假事件反映出长园集团内部管理混乱，对子公司业务情况和账目没有实质审核或未尽职审核，相关责任人员应当承担法律责任。长园集团应当立即进行整改，并由独立第三方做出整改评估，向公众公告。</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420" w:firstLineChars="200"/>
              <w:rPr>
                <w:rFonts w:hint="eastAsia" w:asciiTheme="minorEastAsia" w:hAnsiTheme="minorEastAsia" w:eastAsiaTheme="minorEastAsia" w:cstheme="minorEastAsia"/>
                <w:color w:val="333333"/>
                <w:sz w:val="21"/>
                <w:szCs w:val="21"/>
              </w:rPr>
            </w:pPr>
            <w:r>
              <w:rPr>
                <w:rFonts w:hint="eastAsia" w:asciiTheme="minorEastAsia" w:hAnsiTheme="minorEastAsia" w:eastAsiaTheme="minorEastAsia" w:cstheme="minorEastAsia"/>
                <w:i w:val="0"/>
                <w:caps w:val="0"/>
                <w:color w:val="333333"/>
                <w:spacing w:val="0"/>
                <w:sz w:val="21"/>
                <w:szCs w:val="21"/>
                <w:shd w:val="clear" w:fill="FFFFFF"/>
              </w:rPr>
              <w:t>长园集团的管理混乱问题还体现在其对主营业务的摇摆性。曾经长园集团看重新能源汽车领域，重资收购多家相关公司，但随着新一任管理层走马上任，将主业定位在智能电网相关领域，电动汽车相关业务从香饽饽变成无人问津的“冷板凳”，曾经被集团高度重视的中锂新材几乎成了“小透明”，另一个布局新能源汽车的长园华盛则更惨，在2019年1月底，被转卖这次股权转让给长园集团造成3亿元的投资损失，2014年才收购回来的长园华盛被集团彻底抛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630" w:firstLineChars="30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长园集团的管理混乱，还体现在过去几年高溢价收购导致的多次爆雷。除去长园和鹰的问题之外，子公司中锂新材也由于经营不善造成“商誉减值”。根据2018年长园集团公告披露得知，受到新能源汽车补贴相关政策调整及原主要客户沃特玛的影响致使中锂新材2018年业绩同比大幅下降，亏损额较大，预计无法扭亏，中锂新材商誉存在较大减值风险。</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30" w:beforeAutospacing="0" w:after="0" w:afterAutospacing="0" w:line="360" w:lineRule="atLeast"/>
              <w:ind w:left="0" w:right="0" w:firstLine="630" w:firstLineChars="300"/>
              <w:rPr>
                <w:rFonts w:hint="eastAsia" w:asciiTheme="minorEastAsia" w:hAnsiTheme="minorEastAsia" w:eastAsiaTheme="minorEastAsia" w:cstheme="minorEastAsia"/>
                <w:i w:val="0"/>
                <w:caps w:val="0"/>
                <w:color w:val="333333"/>
                <w:spacing w:val="0"/>
                <w:sz w:val="21"/>
                <w:szCs w:val="21"/>
                <w:shd w:val="clear" w:fill="FFFFFF"/>
              </w:rPr>
            </w:pPr>
          </w:p>
          <w:p>
            <w:pPr>
              <w:tabs>
                <w:tab w:val="left" w:pos="2160"/>
              </w:tabs>
              <w:rPr>
                <w:rFonts w:hint="default" w:ascii="微软雅黑" w:hAnsi="微软雅黑" w:eastAsia="微软雅黑" w:cs="微软雅黑"/>
                <w:color w:val="333333"/>
                <w:sz w:val="21"/>
                <w:szCs w:val="21"/>
                <w:shd w:val="clear" w:color="auto" w:fill="FFFFFF"/>
                <w:lang w:val="en-US" w:eastAsia="zh-CN"/>
              </w:rPr>
            </w:pPr>
            <w:r>
              <w:rPr>
                <w:rFonts w:hint="eastAsia" w:asciiTheme="minorEastAsia" w:hAnsiTheme="minorEastAsia" w:eastAsiaTheme="minorEastAsia" w:cstheme="minorEastAsia"/>
                <w:color w:val="333333"/>
                <w:sz w:val="21"/>
                <w:szCs w:val="21"/>
                <w:shd w:val="clear" w:color="auto" w:fill="FFFFFF"/>
                <w:lang w:val="en-US" w:eastAsia="zh-CN"/>
              </w:rPr>
              <w:t xml:space="preserve">    审计师在审计过程中要注意关联方、子公司等交易，以及子公司财务报表中的造假情况。子公司造假相对比较隐蔽，要注意合并报表中所报告的内容。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pPr>
              <w:rPr>
                <w:rFonts w:hint="default" w:eastAsia="宋体"/>
                <w:lang w:val="en-US" w:eastAsia="zh-CN"/>
              </w:rPr>
            </w:pPr>
            <w:r>
              <w:rPr>
                <w:rFonts w:hint="eastAsia"/>
              </w:rPr>
              <w:t>虚增利润</w:t>
            </w:r>
            <w:r>
              <w:rPr>
                <w:rFonts w:hint="eastAsia"/>
                <w:lang w:eastAsia="zh-CN"/>
              </w:rPr>
              <w:t>、</w:t>
            </w:r>
            <w:r>
              <w:rPr>
                <w:rFonts w:hint="eastAsia"/>
                <w:lang w:val="en-US" w:eastAsia="zh-CN"/>
              </w:rPr>
              <w:t>子公司</w:t>
            </w:r>
          </w:p>
        </w:tc>
      </w:tr>
    </w:tbl>
    <w:p>
      <w:pPr>
        <w:pStyle w:val="2"/>
        <w:rPr>
          <w:rFonts w:hint="eastAsia" w:eastAsia="宋体"/>
          <w:lang w:eastAsia="zh-CN"/>
        </w:rPr>
      </w:pPr>
      <w:bookmarkStart w:id="29" w:name="_Toc22893"/>
      <w:r>
        <w:rPr>
          <w:rFonts w:hint="eastAsia"/>
          <w:lang w:val="en-US" w:eastAsia="zh-CN"/>
        </w:rPr>
        <w:t>21</w:t>
      </w:r>
      <w:r>
        <w:rPr>
          <w:rFonts w:hint="eastAsia"/>
        </w:rPr>
        <w:t>-</w:t>
      </w:r>
      <w:r>
        <w:rPr>
          <w:rFonts w:hint="eastAsia"/>
          <w:lang w:val="en-US" w:eastAsia="zh-CN"/>
        </w:rPr>
        <w:t>30</w:t>
      </w:r>
      <w:r>
        <w:t xml:space="preserve"> </w:t>
      </w:r>
      <w:r>
        <w:rPr>
          <w:rFonts w:hint="eastAsia"/>
        </w:rPr>
        <w:t>主要分析人：</w:t>
      </w:r>
      <w:r>
        <w:rPr>
          <w:rFonts w:hint="eastAsia"/>
          <w:lang w:val="en-US" w:eastAsia="zh-CN"/>
        </w:rPr>
        <w:t>马珺禹</w:t>
      </w:r>
      <w:bookmarkEnd w:id="29"/>
    </w:p>
    <w:p>
      <w:pPr>
        <w:pStyle w:val="2"/>
      </w:pPr>
      <w:bookmarkStart w:id="30" w:name="_Toc16261"/>
      <w:r>
        <w:rPr>
          <w:rFonts w:hint="eastAsia"/>
          <w:lang w:val="en-US" w:eastAsia="zh-CN"/>
        </w:rPr>
        <w:t>21浙江九好办公服务集团有限公司</w:t>
      </w:r>
      <w:bookmarkEnd w:id="30"/>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w:t>
            </w:r>
            <w:r>
              <w:rPr>
                <w:rFonts w:hint="eastAsia"/>
                <w:lang w:val="en-US" w:eastAsia="zh-CN"/>
              </w:rPr>
              <w:t>2</w:t>
            </w:r>
            <w:r>
              <w:rPr>
                <w:rFonts w:hint="eastAsia"/>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15</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lang w:val="en-US" w:eastAsia="zh-CN"/>
              </w:rPr>
              <w:t>浙江九好办公服务集团有限公司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ascii="微软雅黑" w:hAnsi="微软雅黑" w:eastAsia="微软雅黑" w:cs="微软雅黑"/>
                <w:i w:val="0"/>
                <w:caps w:val="0"/>
                <w:color w:val="000000"/>
                <w:spacing w:val="0"/>
                <w:sz w:val="16"/>
                <w:szCs w:val="16"/>
                <w:shd w:val="clear" w:fill="FFFFFF"/>
              </w:rPr>
              <w:t>商业服务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t>浙江九好办公服务集团有限公司成立于2010年。是一家有限责任公司（自然人投资或控股），浙江九好办公服务集团有限公司法人是郭丛军，主要面象全国市场，客户群为后勤板块的供应商。员工人数99人，公司经营模式为商业服务，不断提升企业的核心竞争力，使企业在发展中树立起良好的社会形象。</w:t>
            </w:r>
          </w:p>
          <w:p>
            <w:pPr>
              <w:rPr>
                <w:b/>
              </w:rPr>
            </w:pPr>
            <w:r>
              <w:rPr>
                <w:rFonts w:hint="eastAsia"/>
                <w:b/>
              </w:rPr>
              <w:t>【案情背景</w:t>
            </w:r>
            <w:r>
              <w:rPr>
                <w:b/>
              </w:rPr>
              <w:t>】</w:t>
            </w:r>
          </w:p>
          <w:p>
            <w:pPr>
              <w:rPr>
                <w:rFonts w:hint="eastAsia"/>
                <w:b w:val="0"/>
                <w:bCs/>
              </w:rPr>
            </w:pPr>
            <w:r>
              <w:rPr>
                <w:b/>
              </w:rPr>
              <w:tab/>
            </w:r>
            <w:r>
              <w:rPr>
                <w:rFonts w:hint="default"/>
                <w:b w:val="0"/>
                <w:bCs/>
              </w:rPr>
              <w:t>九好集团2013年、2014年和2015年分别虚增收入17,269,096.11元、87,556,646.91元、160,646,712元。2015年虚构3亿元银行存款，且未披露借款3亿元并质押的事实。</w:t>
            </w:r>
          </w:p>
          <w:p>
            <w:pPr>
              <w:rPr>
                <w:rFonts w:hint="default"/>
                <w:b w:val="0"/>
                <w:bCs/>
              </w:rPr>
            </w:pPr>
            <w:r>
              <w:rPr>
                <w:rFonts w:hint="default"/>
                <w:b w:val="0"/>
                <w:bCs/>
              </w:rPr>
              <w:t>2016年4月21日，利安达出具审计报告，对九好集团2013年至2015年度财务报表发表了标准无保留意见。利安达合计收取审计服务费150万元，签字注册会计师为蒋淑霞和李杰。</w:t>
            </w:r>
          </w:p>
          <w:p>
            <w:pPr>
              <w:rPr>
                <w:b/>
              </w:rPr>
            </w:pPr>
            <w:r>
              <w:rPr>
                <w:rFonts w:hint="eastAsia"/>
                <w:b/>
              </w:rPr>
              <w:t>【案情描述】</w:t>
            </w:r>
          </w:p>
          <w:p>
            <w:r>
              <w:rPr>
                <w:b/>
                <w:bCs/>
              </w:rPr>
              <w:tab/>
            </w:r>
            <w:r>
              <w:rPr>
                <w:b w:val="0"/>
                <w:bCs w:val="0"/>
              </w:rPr>
              <w:t>浙江九好办公服务集团有限公司（现更名为九好网络科技集团有限公司，以下简称九好集团）虚增2013-2015年服务费收入2.6亿余元，虚增2015年贸易收入57万余元，虚构银行存款3亿元。为掩饰资金缺口，借款购买理财产品或定期存单，并立即为借款方关联公司质押担保。九好集团通过上述种种恶劣手段，将自己包装成价值37.1亿元的“优良”资产，与鞍山重型矿山机器股份有限公司（以下简称鞍重股份（维权））联手进行“忽悠式”重组，以期达到重组上市之目的。九好集团及鞍重股份的信息披露存在虚假记载和重大遗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lang w:val="en-US" w:eastAsia="zh-CN"/>
              </w:rPr>
              <w:t>利安达</w:t>
            </w:r>
            <w:r>
              <w:t>会计师事务</w:t>
            </w:r>
            <w:r>
              <w:rPr>
                <w:rFonts w:hint="eastAsia"/>
              </w:rPr>
              <w:t>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eastAsia"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（一）对银行存款审计程序不到位</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利安达对九好集团在兴业银行杭州分行3 亿元定期存款的审计中，实施了函证程序，截至2016年4月21日审计报告出具日未收到回函。在浙江证监局提示过关注3亿元定期存单的情况下，利安达未执 行有效审计程序，审计结论仍为“未见异常情况”，未能发现虚增3亿元银行存款及3亿元定期存单质押的事实。2016年6月2日收到银行回函，6月7日才对 兴业银行杭州分行进行访谈，已晚于审计报告出具日。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（二）对函证审计程序不到位</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1. 未按拟定的选样标准进行发函</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利安达审计项目组对应收账款函证发函的选取标准定为10 万元以上全部发函，10万元以下随机抽取。但在实施函证程序的过程中，审计人员未严格执行拟定的发函标准，对部分10万元以上的供应商未进行函证，如能士 智能港科技发展有限公司2013年底应收账款2,200,000元、杭州颐高数码科技市场乐轩电脑商行2013年底应收账款860,000元、新昌县亿嘉 置业有限公司2013年底应收账款1,310,000元等。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利安达拟定的涉及九好集团总部的发函清单共有供应商228家，但从审计工作底稿收集的发函快递单统计，实际发函为54家。宁波九好办公服务有限公司（以下简称宁波九好）的发函清单计划向200家供应商发函，但发函快递单统计实际发函为97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2. 未保持对函证的有效控制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利安达实施函证程序时，在九好集团总部安排九好集团工作人员与审计项目组成员一起填写询证函快递单并寄出，而九好集团各子公司的询证函则由审计人员制好询证 函，由九好集团下属子公司在各地自行寄出。审计人员要求九好集团将发函的快递底联全部寄回杭州并由九好集团转交利安达，或由九好集团子公司直接寄回利安达 北京总部。此外，还存在九好集团工作人员直接回函的情况，如浙江元茂文化创意有限公司回函快递单明确写明“九好集团”。上述发函工作自始至终均有九好集团人员参与，且在子公司层面失去对函证的控制。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从回函情况看，大量回函的快递单存在连号或号码接近、发函与回函快递单号接近的情形。</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3. 未充分关注函证回函的疑点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询证函回函供应商确认盖章不符。部分询证函回函供应商确认盖章用印为另一家供应商，如成都兴华侨印刷有限公司回函用印是成都辉煌世纪广告有限责任公司。</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数家供应商回函均留有同样的邮寄信息。如杭州云昀网络科技有限公司、杭州毅恒汽车代驾服务有限公司、上海焊点投资管理有限公司、杭州普丰信息技术有限公司等回函寄件人电话均为156****0109。广州市海力士电子科技有限公司、广州市松吉电子科技有限公司、广州市金武风音响有限公司的回函寄件人电话均为136****9081。</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不同供应商回函由同一快递员收件。广州曼舞电子有限公司、广州耀得电子有限公司、广州市海力士电子科技有限公司、广州市松吉电子科技有限公司、广州市狮之威电子科技有限公司、广州丹裕电子科技有限公司、广州华州电子科技有限公司的回函均由编号为41**98的顺丰快递员取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询证函发函与回函地址不是同一个城市。如北京友好创嘉投资管理有限公司发函地址为北京市，供应商实际回函地址为深圳市；广州市亿盈电器科技有限公司发函地址为深圳市，实际回函地址是广州；上海麦金地餐饮管理服务有限公司发函地址是上海市，实际回函地址是杭州。</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（三）对收入的审计程序不到位</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利安达在审计时，对九好集团提供的与营业收入相关的合同、用印及收入证据不足等疑点，未予以充分关注。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部分供应商与客户签订合同的日期或合同履约日期不在九好集团与供应商托管合同期限内。如供应商宁波百事通乐居房产经纪有限公司与宁波九好2013 年托管期限为2013年2月22日至2014年2月21日，其中客户姚某刚、程某敏分别于2012年12月28日、2013年1月24日签订购房合同。供 应商宁波添恒信息科技有限公司与客户的合同（合同期限2014年2月28日至2015年2月27日）中，乙方名字全部错写成“宁波恒添信息科技有限公 司”，其中与客户宁波菲戈集团股份有限公司的合同签订日期为2014年1月10日，交货日期为2014年1月15日；与客户宁波市鄞州联安资产管理咨询有 限公司合同签订日期为2014年2月13日，交货日期为2014年2月19日，均不在托管期限内。</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合同条款自相矛盾或用印错误。如供应商上海悦星货运代理有限公司与客户宁波市创舟金属材料有限公司、宁波美高电器有限公司合同期限均为一年，合同记载具体期限却分别为2013 年12月1日至12月31日、2013年6月1日至7月31日。供应商宁波市北仑区柴桥仙踪林花木场与客户宁波甬政园林建设有限公司第一分公司签订的绿化 施工合同，宁波甬政园林建设有限公司第一分公司用印位置盖的是宁波市曼林对外贸易有限公司的公章，而与客户宁波市曼林对外贸易有限公司的合同未盖章。供应 商扬帆集团股份有限公司与九好集团签订管理咨询服务合同书的用印样式，与往来账项及交易询证函回函的用印样式不同。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同一控制下的两家企业间的异常业务被九好集团确认为收入。供应商扬帆集团股份有限公司与其唯一客户浙江建龙钢铁实业有限公司均系北京建龙重工集团有限公司旗 下公司，两者之间业务无需九好集团撮合。此外，买卖合同约定扬帆集团股份有限公司向浙江建龙钢铁实业有限公司销售船用钢板65,574吨，销售金额200,000,700元，而扬帆集团股份有限公司经营范围包括8万吨级以下船舶制造修理，应为买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九好集团据以确认收入的供应商收入确认函、供应商与客户的合同等资料部分缺失。如供应商杭州天诚运通医药有限公司、上海大汉三通通信股份有限公司、杭州捷美 洁餐饮管理有限公司等无收入确认函；供应商杭州三强信息技术有限公司、杭州同春建筑材料有限公司等与客户之间的合同、收入确认单大部分缺失，供应商杭州韵 皇半导体科技有限公司等仅收集了增值税专用发票。供应商杭州安信检测技术有限公司与客户杭州西溪医院的合同为《杭州市公共资源交易中心政府采购合同书》， 与客户桐庐县经济和信息化局的合同为《政府采购合同》，还有一些客户系党政机关或事业单位，采用招投标方式，九好集团却据此确认为其提供服务产生的营业收 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利安达在未取得充分的供应商与客户实际交易情况确认资料，缺少客户销货合同、发票、发货单、收款凭证等证明供应商收入的相关证据，且取得的部分证据存在明显异常的情况下，未发现九好集团确认收入的真实性存在问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（四）利安达对供应商和客户的现场走访工作存在瑕疵和矛盾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19"/>
                <w:szCs w:val="19"/>
              </w:rPr>
            </w:pPr>
            <w:r>
              <w:rPr>
                <w:rFonts w:hint="default" w:ascii="Arial" w:hAnsi="Arial" w:eastAsia="Arial" w:cs="Arial"/>
                <w:i w:val="0"/>
                <w:caps w:val="0"/>
                <w:color w:val="191919"/>
                <w:spacing w:val="0"/>
                <w:sz w:val="19"/>
                <w:szCs w:val="19"/>
                <w:shd w:val="clear" w:fill="FFFFFF"/>
              </w:rPr>
              <w:t>利安达在九好集团总部审计工作底稿内收录了对69家供应商的现场走访记录，大部分由西南证券或中联资产评估公司人员走访签字，审计项目组人员很少签字，经核对底稿中访谈现场照片，确定利安达对九好集团总部的供应商走访11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Fonts w:hint="default" w:ascii="Arial" w:hAnsi="Arial" w:eastAsia="Arial" w:cs="Arial"/>
                <w:i w:val="0"/>
                <w:caps w:val="0"/>
                <w:color w:val="191919"/>
                <w:spacing w:val="0"/>
                <w:sz w:val="19"/>
                <w:szCs w:val="19"/>
                <w:shd w:val="clear" w:fill="FFFFFF"/>
              </w:rPr>
              <w:t>利安达审计工作底稿收录的部分供应商存在两份不同的访谈记录，其中宁波高新区天威诚信数字证书技术服务有限公司张某艳、宁波江东仁创广告传媒有限公司任某、 宁波茂英园林工程有限公司夏某芳分别在同一时间不同地点接受访谈，违背常理。在接受调查过程中，签字注册会计师表示未关注到该事项。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虚增收入 财务造假审计 资产重组 函证</w:t>
            </w:r>
            <w:r>
              <w:rPr>
                <w:rFonts w:hint="eastAsia"/>
              </w:rPr>
              <w:t xml:space="preserve"> 无保留意见</w:t>
            </w:r>
          </w:p>
        </w:tc>
      </w:tr>
    </w:tbl>
    <w:p>
      <w:pPr>
        <w:pStyle w:val="2"/>
      </w:pPr>
      <w:bookmarkStart w:id="31" w:name="_Toc28808"/>
      <w:r>
        <w:rPr>
          <w:rFonts w:hint="eastAsia"/>
          <w:lang w:val="en-US" w:eastAsia="zh-CN"/>
        </w:rPr>
        <w:t>22珠海市博元投资股份有限公司</w:t>
      </w:r>
      <w:bookmarkEnd w:id="31"/>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r>
              <w:rPr>
                <w:rFonts w:hint="eastAsia"/>
              </w:rPr>
              <w:t>0</w:t>
            </w:r>
            <w:r>
              <w:rPr>
                <w:rFonts w:hint="eastAsia"/>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11</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lang w:val="en-US" w:eastAsia="zh-CN"/>
              </w:rPr>
              <w:t>珠海市博元投资股份有限公司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ascii="微软雅黑" w:hAnsi="微软雅黑" w:eastAsia="微软雅黑" w:cs="微软雅黑"/>
                <w:i w:val="0"/>
                <w:caps w:val="0"/>
                <w:color w:val="000000"/>
                <w:spacing w:val="0"/>
                <w:sz w:val="16"/>
                <w:szCs w:val="16"/>
                <w:shd w:val="clear" w:fill="FFFFFF"/>
              </w:rPr>
              <w:t>商业服务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t>珠海市博元投资股份有限公司，2001年03月14日成立，经营范围包括创业投资、投资咨询与管理、实业投资、商业的批发零售（以上不含许可经营项目）等。</w:t>
            </w:r>
          </w:p>
          <w:p>
            <w:pPr>
              <w:rPr>
                <w:b/>
              </w:rPr>
            </w:pPr>
            <w:r>
              <w:rPr>
                <w:rFonts w:hint="eastAsia"/>
                <w:b/>
              </w:rPr>
              <w:t>【案情背景</w:t>
            </w:r>
            <w:r>
              <w:rPr>
                <w:b/>
              </w:rPr>
              <w:t>】</w:t>
            </w:r>
          </w:p>
          <w:p>
            <w:pPr>
              <w:rPr>
                <w:b w:val="0"/>
                <w:bCs/>
              </w:rPr>
            </w:pPr>
            <w:r>
              <w:rPr>
                <w:b w:val="0"/>
                <w:bCs/>
              </w:rPr>
              <w:tab/>
            </w:r>
            <w:r>
              <w:rPr>
                <w:b w:val="0"/>
                <w:bCs/>
              </w:rPr>
              <w:t>2017年8月16日，中国证券监督管理委员会（以下简称中国证监会）网站发布公告，博元投资被中国证监会予以行政处罚。根据处罚决定书，博元投资存在多项虚假陈述行为，其虚假陈述行为实施日为2011年4月29日，揭露日为2014年6月19日。中兴华所为博元投资2012年财务报表的审计机构，为该财务报表出具了标准无保留审计意见。经中国证监会查证，中兴华所在审计活动中未执行必要、有效和适当的审计程序，未能勤勉尽责地履行审计职责。</w:t>
            </w:r>
          </w:p>
          <w:p>
            <w:pPr>
              <w:rPr>
                <w:b/>
              </w:rPr>
            </w:pPr>
            <w:r>
              <w:rPr>
                <w:rFonts w:hint="eastAsia"/>
                <w:b/>
              </w:rPr>
              <w:t>【案情描述】</w:t>
            </w:r>
          </w:p>
          <w:p>
            <w:r>
              <w:rPr>
                <w:b/>
                <w:bCs/>
              </w:rPr>
              <w:tab/>
            </w:r>
            <w:r>
              <w:rPr>
                <w:b w:val="0"/>
                <w:bCs w:val="0"/>
              </w:rPr>
              <w:t>2011年12月，博元投资为掩盖股改业绩承诺款未真实履行的情况，虚构付款33，482万元购入面值34，705万元的银行承兑汇票。其后，博元投资通过票据贴现、票据置换及用票据支付预付款的交易，导致2012年年度财务报表中虚增资产36，455.83万元（占资产总额的62%），虚增负债876.26万元，虚增营业收入和利润均为1，893.2万元（分别占营业收入、利润总额的10%、90%）；2013年年度财务报表中虚增资产37，800万元（占资产总额的62%），虚增营业收入和利润均为2，364.54万元（分别占营业收入、利润总额的9%、258%）。经查，上述票据均无前手的背书记录，且存在博元投资与银行提供的票据复印件的票面信息、票面样式、印章位置不一致，或者相关票据在承兑银行查无相应票号的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t>中兴华会计师事务所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eastAsia"/>
                <w:i w:val="0"/>
                <w:iCs w:val="0"/>
                <w:color w:val="auto"/>
                <w:lang w:val="en-US" w:eastAsia="zh-CN"/>
              </w:rPr>
              <w:t>（一）风险评估程序存在缺陷</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1.未执行了解内部控制的审计程序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中兴华所在对博元投资2012年财务报表的审计中，未执行了解内部控制的审计程序，违反了《中国注册会计师审计准则第1211号——通过了解被审计单位及其环境识别和评估重大错报风险》第十五条“注册会计师应当了解与审计相关的内部控制”以及第二十三条“注册会计师应当了解与审计相关的控制活动”的要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2.对与票据置换相关业务的风险评估不恰当</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博元投资2012年票据置换相关业务存在以下重大、异常情形：（1）应收票据发生额及期末余额、账面确认的收益额均重大，其中，应收票据余额占总资产的62%、占净资产的387%，应收票据贴现收入形成的利润占博元投资2012年利润总额的90%；（2）博元投资票据置换业务不存在真实、合法的商品交易基础，缺乏合理的商业实质，属于非常规交易业务；（3）票据换出业务和换入业务的对手方主要集中在一家公司——天津同杰科技有限公司（以下简称天津同杰），与天津同杰发生的换出票据的面值占当年换出总面值的91%，换入票据的面值占当年换入总面值的100%；（4）全年与票据置换、贴现业务相关的交易额为154，560.86万元，涉及的资金流水仅一收一支两笔，金额均为6，200万元，占全年与票据置换、贴现业务相关的交易额比例为8%，且资金收支仅间隔5天，即全年票据置换、贴现业务涉及的资金净流入为0；（5）涉及上述6，200万元资金收、付的银行账户于2012年开户，又于当年销户，且6，200万元收、付款分别占该账户收款额、付款额的近100%。</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（二）实质性程序存在缺陷</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1.未按审计计划的要求执行进一步审计程序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中兴华所在审计计划工作底稿中评价应收票据存在重大错报风险，并在具体审计计划中明确提出，对于应收票据科目，除应取得应收票据获取过程的证据、实施盘点之外，要对票据真实性实施查询程序、获取银行的确认函。但中兴华所在实际执行中并未完成到票据承兑银行对票据真实性进行查询并获取银行确认函的审计程序，审计工作底稿中也未说明未执行该项审计程序的原因。</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2.未对异常的银行账户实施有效的进一步审计程序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珠海信实企业管理咨询有限公司在农行深圳石岩支行开立的账号为02920××××××5952的账户（以下简称农行5952账户）是博元投资应收票据置换业务相关的较大资金往来账户，存在当期开立、当期销户，大额交易发生额仅一收一付，且金额同为6，200万元等异常现象。银行对账单显示，农行5952账户2012年仅存在一笔金额为6，200万元的支出，收款方为杭州巧容贸易有限公司而非账面记录的天津同杰，发生日期为2012年4月27日而非账面记录的2012年5月2日。会计凭证所附的支付6，200万元至天津同杰的银行转账单为虚假单据。针对该重大异常银行账户，中兴华所实施的审计程序仅获取销户申请书一项，未获取银行对账单，也未实施函证等进一步的审计程序以证明相关资金的真实性和准确性，违反了《中国注册会计师审计准则第1101号——注册会计师的总体目标和审计工作的基本要求》第二十八条的要求，同时违反了《中国注册会计师审计准则第1312号——函证》第十二条“注册会计师应当对银行存款（包括零余额账户和在本期内注销的账户）、借款及与金融机构往来的其他重要信息实施函证程序，除非有充分证据表明某一银行存款、借款及与金融机构往来的其他重要信息对财务报表不重要且与之相关的重大错报风险很低。如果不对这些项目实施函证程序，注册会计师应当在审计工作底稿中说明理由”的要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3.未对函证保持控制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中兴华所就应收票据余额向天津同杰发放了审计询证函，并获取了确定答复的回函，但未见与函证控制相关的审计工作底稿，未记录被函证单位联系方式的获取途径与核实过程，保留的收回函件的快递单地址也非天津同杰的办公地址。违反了《中国注册会计师审计准则第1312号——函证》第十四条“当实施函证程序时，注册会计师应当对询证函保持控制”的要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三、中兴华所在博元投资2013年财务报表审计中未勤勉尽责情况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（一）风险评估程序存在缺陷</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博元投资2013年票据置换相关业务存在以下重大、异常情形：1.因票据置换业务确认的收益（包括换入后以预付款支付产生的收益）分别占当年营业收入的9%、利润总额的258%，以换入票据对外支付形成的预付账款占年末资产总额的43%；2.票据置换业务属于非常规交易业务，不存在真实、合法的商品交易基础，缺乏合理的商业实质；3.当年与天津同杰的票据置换达148，255.83万元，账面确认的收益达1，347.25万元，但均无实际现金流；4.票据委托贴现业务收款时间在12月31日；5.博元投资以票据背书给深圳壹时通供应链管理有限公司等4家公司作为预付款，是以扣除贴现利息后的金额计价，而非通常以票据结算时的票据面值计价。</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（二）实质性程序存在缺陷</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1.未对票据置换业务的对手方执行函证等进一步审计程序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2013年，中兴华所实际执行的重要性水平为54.94万元，博元投资向天津同杰置出票据73，455.83万元、置入票据74，800.00万元且无现金流，确认的相关票据贴现收益1，347.25万元，占当年利润总额的147%。中兴华所未结合风险评估结果及以上情况，向天津同杰就票据换入和换出明细、交易金额及所包含的利息金额等进行函证，未了解天津同杰的业务背景和商业能力，未对天津同杰进行实地走访。中兴华所以上行为违反了《中国注册会计师审计准则第1101号——注册会计师的总体目标和审计工作的基本要求》第二十八条和《中国注册会计师审计准则第1231号——针对评估的重大错报风险采取的应对措施》第七条“在设计拟实施的进一步审计程序时，注册会计师应当：（一）考虑形成某类交易、账户余额和披露的认定层次重大错报风险评估结果的依据；（二）评估的风险越高，需要获取越有说服力的审计证据”，以及《中国注册会计师审计准则第1301号——审计证据》第三条“审计证据的可靠性受其来源和性质的影响，并取决于获取审计证据的具体环境。……通常情况下，注册会计师以函证方式直接从被询证者获取的审计证据，比被审计单位内部生成的审计证据更可靠”和《中国注册会计师审计准则第1312号——函证》第十一条“注册会计师应当确定是否有必要实施函证程序以获取认定层次的相关、可靠的审计证据。在作出决策时，注册会计师应当考虑评估的认定层次重大错报风险，以及通过实施其他审计程序获取的审计证据如何将检查风险降至可接受的水平”的规定，同时违反了《中国注册会计师第1101号——注册会计师的总体目标和审计工作的基本要求》第三十条“为了获取合理保证，注册会计师应当获取充分、适当的审计证据，以将审计风险降至可接受的低水平，使其能够得出合理的结论，作为形成审计意见的基础”的规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2.未对票据置换业务涉及的大额收款设计和实施必要的期后事项审计程序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博元投资2013年共置入票据74，800.00万元、置出票据85，455.83万元（不包括作为预付款背书），账面确认票据贴现收入1，688.23万元，占利润总额的184.37%，涉及的现金流仅2013年12月31日收到沈阳齐智商贸有限公司（以下简称沈阳齐智）与沈阳三隆房地产开发有限公司三隆中天酒店（以下简称沈阳三隆酒店）的票据贴现款合计达12，000万元，占博元投资披露的期末货币资金的92%，占总资产的19.68%。经查，2014年1月2日，博元投资即以向沈阳齐智和沈阳三隆酒店支付票据购买款的名义，将相同金额的款项分别支付给沈阳齐智及沈阳三隆酒店。中兴华所未保持应有的职业怀疑态度，未对临近资产负债表日的大额收款和期后大额付款保持充分的关注并执行必要的审计程序，其行为违反了《中国注册会计师审计准则第1101号——注册会计师的总体目标和审计工作的基本要求》第二十八条和《中国注册会计师审计准则第1332号——期后事项》第九条“注册会计师应当设计和实施审计程序，获取充分、适当的审计证据，以确定所有在财务报表日至审计报告日之间发生的、需要在财务报表中调整或披露的事项均已得到识别”的要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 xml:space="preserve">重大错报风险 风险评估程序 函证 实质性程序 </w:t>
            </w:r>
            <w:r>
              <w:rPr>
                <w:rFonts w:hint="eastAsia"/>
              </w:rPr>
              <w:t>无保留意见</w:t>
            </w:r>
          </w:p>
        </w:tc>
      </w:tr>
    </w:tbl>
    <w:p>
      <w:pPr>
        <w:widowControl/>
        <w:jc w:val="left"/>
      </w:pPr>
    </w:p>
    <w:p>
      <w:pPr>
        <w:pStyle w:val="2"/>
      </w:pPr>
      <w:bookmarkStart w:id="32" w:name="_Toc4105"/>
      <w:r>
        <w:rPr>
          <w:rFonts w:hint="eastAsia"/>
          <w:lang w:val="en-US" w:eastAsia="zh-CN"/>
        </w:rPr>
        <w:t>23北京赛迪传媒投资股份有限公司</w:t>
      </w:r>
      <w:bookmarkEnd w:id="3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r>
              <w:rPr>
                <w:rFonts w:hint="eastAsia"/>
              </w:rPr>
              <w:t>0</w:t>
            </w:r>
            <w:r>
              <w:rPr>
                <w:rFonts w:hint="eastAsia"/>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12</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lang w:val="en-US" w:eastAsia="zh-CN"/>
              </w:rPr>
              <w:t>北京赛迪传媒投资股份有限公司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ascii="微软雅黑" w:hAnsi="微软雅黑" w:eastAsia="微软雅黑" w:cs="微软雅黑"/>
                <w:i w:val="0"/>
                <w:caps w:val="0"/>
                <w:color w:val="000000"/>
                <w:spacing w:val="0"/>
                <w:sz w:val="16"/>
                <w:szCs w:val="16"/>
                <w:shd w:val="clear" w:fill="FFFFFF"/>
              </w:rPr>
              <w:t>商业服务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default"/>
              </w:rPr>
            </w:pPr>
            <w:r>
              <w:tab/>
            </w:r>
            <w:r>
              <w:rPr>
                <w:rFonts w:hint="eastAsia"/>
              </w:rPr>
              <w:t>北京赛迪传媒投资股份有限公司于1991年10月18日在</w:t>
            </w:r>
            <w:r>
              <w:rPr>
                <w:rFonts w:hint="default"/>
              </w:rPr>
              <w:fldChar w:fldCharType="begin"/>
            </w:r>
            <w:r>
              <w:rPr>
                <w:rFonts w:hint="default"/>
              </w:rPr>
              <w:instrText xml:space="preserve"> HYPERLINK "https://baike.baidu.com/item/%E5%8C%97%E4%BA%AC%E5%B8%82%E5%B7%A5%E5%95%86%E8%A1%8C%E6%94%BF%E7%AE%A1%E7%90%86%E5%B1%80/3349537" \t "https://baike.baidu.com/item/%E5%8C%97%E4%BA%AC%E8%B5%9B%E8%BF%AA%E4%BC%A0%E5%AA%92%E6%8A%95%E8%B5%84%E8%82%A1%E4%BB%BD%E6%9C%89%E9%99%90%E5%85%AC%E5%8F%B8/_blank" </w:instrText>
            </w:r>
            <w:r>
              <w:rPr>
                <w:rFonts w:hint="default"/>
              </w:rPr>
              <w:fldChar w:fldCharType="separate"/>
            </w:r>
            <w:r>
              <w:rPr>
                <w:rFonts w:hint="default"/>
              </w:rPr>
              <w:t>北京市工商行政管理局</w:t>
            </w:r>
            <w:r>
              <w:rPr>
                <w:rFonts w:hint="default"/>
              </w:rPr>
              <w:fldChar w:fldCharType="end"/>
            </w:r>
            <w:r>
              <w:rPr>
                <w:rFonts w:hint="default"/>
              </w:rPr>
              <w:t>登记成立。法定代表人黄志刚，公司经营范围包括对高新技术企业资讯、媒体、文化传播项目投资管理等。</w:t>
            </w:r>
          </w:p>
          <w:p>
            <w:pPr>
              <w:rPr>
                <w:b/>
              </w:rPr>
            </w:pPr>
            <w:r>
              <w:rPr>
                <w:rFonts w:hint="eastAsia"/>
                <w:b/>
              </w:rPr>
              <w:t>【案情背景</w:t>
            </w:r>
            <w:r>
              <w:rPr>
                <w:b/>
              </w:rPr>
              <w:t>】</w:t>
            </w:r>
          </w:p>
          <w:p>
            <w:pPr>
              <w:rPr>
                <w:rFonts w:hint="default"/>
                <w:b w:val="0"/>
                <w:bCs/>
              </w:rPr>
            </w:pPr>
            <w:r>
              <w:rPr>
                <w:b/>
              </w:rPr>
              <w:tab/>
            </w:r>
            <w:r>
              <w:rPr>
                <w:rFonts w:hint="eastAsia"/>
                <w:b w:val="0"/>
                <w:bCs/>
              </w:rPr>
              <w:t>因对原铁道部2012年末动车媒体招投标事项给公司2013年度主营业务带来的影响预计不足，导致支持公司2012年末商标商誉不存在减值迹象的情形发生变化。现根据公司对2012年末商标商誉进行重新减值测试的结果，对2012年年度报告财务数据进行更正。</w:t>
            </w:r>
          </w:p>
          <w:p>
            <w:pPr>
              <w:rPr>
                <w:b/>
              </w:rPr>
            </w:pPr>
            <w:r>
              <w:rPr>
                <w:rFonts w:hint="eastAsia"/>
                <w:b/>
              </w:rPr>
              <w:t>【案情描述】</w:t>
            </w:r>
          </w:p>
          <w:p>
            <w:r>
              <w:rPr>
                <w:b/>
                <w:bCs/>
              </w:rPr>
              <w:tab/>
            </w:r>
            <w:r>
              <w:rPr>
                <w:b w:val="0"/>
                <w:bCs w:val="0"/>
              </w:rPr>
              <w:t>2月26日，证监会例行新闻发布会上，证监会发言人曾披露利安达违法违规案。证监会公告显示，利安达会计师事务所(以下简称利安达)在对北京赛迪传媒投资股份有限公司(现已更名为南华生物医药股份有限公司，以下简称赛迪传媒)2012年度财务报表审计时未勤勉尽责：利安达在知悉赛迪传媒高铁列车杂志摆放权由免费上车方式变更为全国统一招标方式，且赛迪传媒于财务报告批准报出日决定退出参与摆放权招标后，未考虑上述事项对2012年末股东权益的影响，未对商誉计提减值准备并调整2012年报；在评估机构出具的评估咨询报告不足以实现审计目的的情况下，未执行必要的审计程序，未能恰当利用专家工作。2013年10月，赛迪传媒因上述事项追溯调减2012年末资产1.52亿元，致使净利润由盈利调减为亏损1.51亿元。根据《证券法》第223条规定，证监会决定没收利安达业务收入35万元，并处以违法所得1倍的罚款；对签字的注册会计师汪应华、雷波涛给予警告，并分别处以5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lang w:val="en-US" w:eastAsia="zh-CN"/>
              </w:rPr>
              <w:t>利安达</w:t>
            </w:r>
            <w:r>
              <w:t>会计师事务</w:t>
            </w:r>
            <w:r>
              <w:rPr>
                <w:rFonts w:hint="eastAsia"/>
              </w:rPr>
              <w:t>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snapToGrid w:val="0"/>
              <w:spacing w:before="0" w:beforeAutospacing="0" w:after="0" w:afterAutospacing="0" w:line="360" w:lineRule="auto"/>
              <w:ind w:left="60" w:right="0" w:firstLine="420"/>
              <w:jc w:val="left"/>
              <w:rPr>
                <w:rFonts w:hint="eastAsia" w:ascii="宋体" w:hAnsi="宋体" w:eastAsia="宋体" w:cs="宋体"/>
                <w:sz w:val="21"/>
                <w:szCs w:val="21"/>
                <w:u w:val="none"/>
                <w:shd w:val="clear" w:fill="FFFFFF"/>
              </w:rPr>
            </w:pPr>
            <w:r>
              <w:rPr>
                <w:rFonts w:hint="eastAsia" w:ascii="宋体" w:hAnsi="宋体" w:eastAsia="宋体" w:cs="宋体"/>
                <w:sz w:val="21"/>
                <w:szCs w:val="21"/>
                <w:u w:val="none"/>
                <w:shd w:val="clear" w:fill="FFFFFF"/>
              </w:rPr>
              <w:t>2007年5月，赛迪传媒主办刊物《和谐之旅》杂志获准在动车组列车上免费摆放。此后，铁道媒体业务逐步发展为赛迪传媒主营业务之一。2011年度，由《和谐之旅》产生的业务收入占赛迪传媒经审计营业收入的29.65%。2012年11月29日，全国高铁列车杂志摆放权（以下简称摆放权）由免费上车方式变更为全国统一招标方式，中标企业须缴纳一定的渠道费用（据测算，赛迪传媒如中标则每年将额外支付约2,450万元渠道费用）。2013年1月17日，赛迪传媒董事会审议通过赛迪传媒2012年年度报告，并于同日召开专题会议决定退出参与摆放权招标，安排铁道媒体业务善后事宜。作为对赛迪传媒2012年度财务报表进行审计的会计师事务所，利安达在出具审计报告前知悉上述事项。</w:t>
            </w:r>
          </w:p>
          <w:p>
            <w:pPr>
              <w:pStyle w:val="11"/>
              <w:keepNext w:val="0"/>
              <w:keepLines w:val="0"/>
              <w:widowControl/>
              <w:suppressLineNumbers w:val="0"/>
              <w:snapToGrid w:val="0"/>
              <w:spacing w:before="0" w:beforeAutospacing="0" w:after="0" w:afterAutospacing="0" w:line="360" w:lineRule="auto"/>
              <w:ind w:left="60" w:right="0" w:firstLine="420"/>
              <w:jc w:val="left"/>
              <w:rPr>
                <w:rFonts w:hint="eastAsia" w:ascii="宋体" w:hAnsi="宋体" w:eastAsia="宋体" w:cs="宋体"/>
                <w:sz w:val="21"/>
                <w:szCs w:val="21"/>
                <w:u w:val="none"/>
                <w:shd w:val="clear" w:fill="FFFFFF"/>
              </w:rPr>
            </w:pPr>
            <w:r>
              <w:rPr>
                <w:rFonts w:hint="eastAsia" w:ascii="宋体" w:hAnsi="宋体" w:eastAsia="宋体" w:cs="宋体"/>
                <w:sz w:val="21"/>
                <w:szCs w:val="21"/>
                <w:u w:val="none"/>
                <w:shd w:val="clear" w:fill="FFFFFF"/>
              </w:rPr>
              <w:t>2012年12月20日，北京中天华资产评估有限责任公司（以下简称中天华）对赛迪传媒2012年末股东权益进行评估，为商誉减值测试工作提供价值参考依据。2013年1月6日，在未考虑摆放权招标事项影响的情况下，中天华出具了关于商誉的资产评估咨询报告。利安达在审计赛迪传媒2012年度财务报表时，主要利用该资产评估咨询报告，确认赛迪传媒2012年末不需对商誉计提减值准备。2013年1月17日，利安达对赛迪传媒2012年度财务报表出具标准无保留意见的审计报告，签字注册会计师为汪应华、雷波涛。</w:t>
            </w:r>
          </w:p>
          <w:p>
            <w:pPr>
              <w:pStyle w:val="11"/>
              <w:keepNext w:val="0"/>
              <w:keepLines w:val="0"/>
              <w:widowControl/>
              <w:suppressLineNumbers w:val="0"/>
              <w:snapToGrid w:val="0"/>
              <w:spacing w:before="0" w:beforeAutospacing="0" w:after="0" w:afterAutospacing="0" w:line="360" w:lineRule="auto"/>
              <w:ind w:left="60" w:right="0" w:firstLine="420"/>
              <w:jc w:val="left"/>
              <w:rPr>
                <w:rFonts w:hint="eastAsia" w:ascii="宋体" w:hAnsi="宋体" w:eastAsia="宋体" w:cs="宋体"/>
                <w:sz w:val="21"/>
                <w:szCs w:val="21"/>
                <w:u w:val="none"/>
                <w:shd w:val="clear" w:fill="FFFFFF"/>
              </w:rPr>
            </w:pPr>
            <w:r>
              <w:rPr>
                <w:rFonts w:hint="eastAsia" w:ascii="宋体" w:hAnsi="宋体" w:eastAsia="宋体" w:cs="宋体"/>
                <w:sz w:val="21"/>
                <w:szCs w:val="21"/>
                <w:u w:val="none"/>
                <w:shd w:val="clear" w:fill="FFFFFF"/>
              </w:rPr>
              <w:t>2013年10月28日，赛迪传媒重新对商誉减值进行测试并追溯调整2012年年度报告，调减商誉9,434.59万元，调减无形资产5,798.63万元,共计调减资产15,233.22万元；调增资产减值损失15,233.22万元，净利润由盈利114.93万元调减为亏损15,118.29万元。</w:t>
            </w:r>
          </w:p>
          <w:p>
            <w:pPr>
              <w:pStyle w:val="11"/>
              <w:keepNext w:val="0"/>
              <w:keepLines w:val="0"/>
              <w:widowControl/>
              <w:suppressLineNumbers w:val="0"/>
              <w:snapToGrid w:val="0"/>
              <w:spacing w:before="0" w:beforeAutospacing="0" w:after="0" w:afterAutospacing="0" w:line="360" w:lineRule="auto"/>
              <w:ind w:left="60" w:right="0" w:firstLine="420"/>
              <w:jc w:val="left"/>
              <w:rPr>
                <w:rFonts w:hint="eastAsia" w:ascii="宋体" w:hAnsi="宋体" w:eastAsia="宋体" w:cs="宋体"/>
                <w:sz w:val="21"/>
                <w:szCs w:val="21"/>
                <w:u w:val="none"/>
                <w:shd w:val="clear" w:fill="FFFFFF"/>
              </w:rPr>
            </w:pPr>
            <w:r>
              <w:rPr>
                <w:rFonts w:hint="eastAsia" w:ascii="宋体" w:hAnsi="宋体" w:eastAsia="宋体" w:cs="宋体"/>
                <w:sz w:val="21"/>
                <w:szCs w:val="21"/>
                <w:u w:val="none"/>
                <w:shd w:val="clear" w:fill="FFFFFF"/>
              </w:rPr>
              <w:t>以上事实，有中国铁路总公司办公厅提供的相关资料、铁路旅客列车杂志摆放权联合招商资料、利安达出具的审计报告及会计差错更正专项说明、有关商誉和商标权减值的说明、审计工作底稿、利安达对深圳证券交易所问询函的回复文件、中天华出具的资产评估咨询报告及相关人员询问笔录等证据证明，足以认定。</w:t>
            </w:r>
          </w:p>
          <w:p>
            <w:pPr>
              <w:pStyle w:val="11"/>
              <w:keepNext w:val="0"/>
              <w:keepLines w:val="0"/>
              <w:widowControl/>
              <w:suppressLineNumbers w:val="0"/>
              <w:snapToGrid w:val="0"/>
              <w:spacing w:before="0" w:beforeAutospacing="0" w:after="0" w:afterAutospacing="0" w:line="360" w:lineRule="auto"/>
              <w:ind w:left="60" w:right="0" w:firstLine="420"/>
              <w:jc w:val="left"/>
              <w:rPr>
                <w:rStyle w:val="19"/>
                <w:i w:val="0"/>
                <w:iCs w:val="0"/>
                <w:color w:val="auto"/>
              </w:rPr>
            </w:pPr>
            <w:r>
              <w:rPr>
                <w:rFonts w:hint="eastAsia" w:ascii="宋体" w:hAnsi="宋体" w:eastAsia="宋体" w:cs="宋体"/>
                <w:sz w:val="21"/>
                <w:szCs w:val="21"/>
                <w:u w:val="none"/>
                <w:shd w:val="clear" w:fill="FFFFFF"/>
              </w:rPr>
              <w:t>摆放权由免费上车方式变更为全国统一招标方式对赛迪传媒2012年度财务报表产生重大影响，赛迪传媒决定退出参与摆放权招标属于资产负债表日后调整事项。根据《中国注册会计师审计准则第1332号-期后事项》第九条、第十一条，《中国注册会计师审计准则第1421号-利用专家的工作》第十三条、第十四条的规定,利安达在审计过程中应考虑上述事项对财务报表影响并做出审计调整；同时，利安达应当恰当利用专家工作，在中天华出具的资产评估咨询报告不足以实现审计目的的情况下，执行必要的审计程序，以获取充分、适当的审计证据。利安达未恰当执行上述审计程序，致使其未发现赛迪传媒资产和业绩的重大错报，为赛迪传媒2012年度财务报表出具了无保留意见的审计报告，发表了不恰当的审计意见。利安达的上述行为，违反了《证券法》第一百七十三条的规定，构成《证券法》第二百二十三条所述证券服务机构未勤勉尽责，出具的文件有虚假记载的情形。对利安达的违法行为，在相关审计报告上签字的注册会计师汪应华、雷波涛是直接负责的主管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会计政策变更 会计差错更正</w:t>
            </w:r>
            <w:r>
              <w:rPr>
                <w:rFonts w:hint="eastAsia"/>
              </w:rPr>
              <w:t xml:space="preserve"> </w:t>
            </w:r>
            <w:r>
              <w:rPr>
                <w:rFonts w:hint="eastAsia"/>
                <w:lang w:val="en-US" w:eastAsia="zh-CN"/>
              </w:rPr>
              <w:t xml:space="preserve">内部控制 </w:t>
            </w:r>
            <w:r>
              <w:rPr>
                <w:rFonts w:hint="eastAsia"/>
              </w:rPr>
              <w:t>无保留意见</w:t>
            </w:r>
          </w:p>
        </w:tc>
      </w:tr>
    </w:tbl>
    <w:p/>
    <w:p>
      <w:pPr>
        <w:pStyle w:val="2"/>
      </w:pPr>
      <w:bookmarkStart w:id="33" w:name="_Toc17558"/>
      <w:r>
        <w:rPr>
          <w:rFonts w:hint="eastAsia"/>
          <w:lang w:val="en-US" w:eastAsia="zh-CN"/>
        </w:rPr>
        <w:t>24</w:t>
      </w:r>
      <w:r>
        <w:rPr>
          <w:rFonts w:hint="eastAsia"/>
        </w:rPr>
        <w:t>金亚科技股份有限公司</w:t>
      </w:r>
      <w:bookmarkEnd w:id="33"/>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r>
              <w:rPr>
                <w:rFonts w:hint="eastAsia"/>
              </w:rPr>
              <w:t>0</w:t>
            </w:r>
            <w:r>
              <w:rPr>
                <w:rFonts w:hint="eastAsia"/>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14</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default" w:eastAsia="宋体"/>
                <w:lang w:val="en-US" w:eastAsia="zh-CN"/>
              </w:rPr>
              <w:t>金亚科技股份有限公司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eastAsia="zh-CN"/>
              </w:rPr>
            </w:pPr>
            <w:r>
              <w:rPr>
                <w:rFonts w:hint="eastAsia" w:ascii="微软雅黑" w:hAnsi="微软雅黑" w:eastAsia="微软雅黑" w:cs="微软雅黑"/>
                <w:i w:val="0"/>
                <w:caps w:val="0"/>
                <w:color w:val="000000"/>
                <w:spacing w:val="0"/>
                <w:sz w:val="16"/>
                <w:szCs w:val="16"/>
                <w:shd w:val="clear" w:fill="FFFFFF"/>
                <w:lang w:val="en-US" w:eastAsia="zh-CN"/>
              </w:rPr>
              <w:t>文化传媒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t>金亚科技股份有限公司（以下简称“金亚科技”或“公司”）总部位于中国四川省成都市金牛区蜀西路50号。成立于1999年11月，注册资金34,398万元人民币。2009年10月，金亚科技成功登陆深交所创业板，股票代码300028。 公司具备数字电视系统端到端的设计、集成、工程施工的能力和经验,秉承“争技术领先，创一流品牌”的现代企业管理理念。经过多年服务数字电视行业的资源积累，与产业链的上下游建立了广泛、深入的合作关系,与各运营服务商、高校科研院所和付费频道行业协会、互动媒体协会等建立了研发合作关系,在家庭普能终端、多屏互动增値业务开发、宽带接入与传输等领域开展了多课题攻关。产品涵盖：数字电视终端端系列设备（有线数字电视机顶盒，地面波数字电视机顶盒），有线电视双向网络设备（EOC机顶盒，CM机顶盒），数字电视运营支撑系统（单双向CAS、SMS/BOSS、EPG等），数字电视增值业务平台，以及满足“三网融合”多运营主体不同需求的各类数字电视机顶盒，IPTV等。</w:t>
            </w:r>
          </w:p>
          <w:p>
            <w:pPr>
              <w:rPr>
                <w:b/>
              </w:rPr>
            </w:pPr>
            <w:r>
              <w:rPr>
                <w:rFonts w:hint="eastAsia"/>
                <w:b/>
              </w:rPr>
              <w:t>【案情背景</w:t>
            </w:r>
            <w:r>
              <w:rPr>
                <w:b/>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420"/>
              <w:rPr>
                <w:rFonts w:hint="eastAsia" w:eastAsia="宋体"/>
                <w:b w:val="0"/>
                <w:bCs/>
                <w:lang w:eastAsia="zh-CN"/>
              </w:rPr>
            </w:pPr>
            <w:r>
              <w:rPr>
                <w:rFonts w:hint="default" w:ascii="Arial" w:hAnsi="Arial" w:cs="Arial"/>
                <w:i w:val="0"/>
                <w:caps w:val="0"/>
                <w:color w:val="323232"/>
                <w:spacing w:val="0"/>
                <w:sz w:val="19"/>
                <w:szCs w:val="19"/>
                <w:shd w:val="clear" w:fill="FFFFFF"/>
              </w:rPr>
              <w:t>金亚科技上市后，金亚科技公司完成了较多公司的并购，由于整个行业市场环境在发生变化，金亚科技承受了巨大的发展压力，开始出现盈利能力下降问题。2015年，从公司的前三季度财务会计报告情况来看，公司已经产生了9500万元的亏损，很难实现扭亏为盈。因异常收购事件公司控制人被立案调查，最终暴露出公司存在财务舞弊的问题，以至于公司面临着退市的局面。从2015年开始，金亚科技就不断进行股票暂停上市风险的公告。</w:t>
            </w:r>
          </w:p>
          <w:p>
            <w:pPr>
              <w:rPr>
                <w:b/>
              </w:rPr>
            </w:pPr>
            <w:r>
              <w:rPr>
                <w:rFonts w:hint="eastAsia"/>
                <w:b/>
              </w:rPr>
              <w:t>【案情描述】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420"/>
              <w:rPr>
                <w:rFonts w:hint="default" w:ascii="Arial" w:hAnsi="Arial" w:cs="Arial"/>
                <w:i w:val="0"/>
                <w:caps w:val="0"/>
                <w:color w:val="323232"/>
                <w:spacing w:val="0"/>
                <w:sz w:val="19"/>
                <w:szCs w:val="19"/>
              </w:rPr>
            </w:pPr>
            <w:r>
              <w:rPr>
                <w:rFonts w:hint="default" w:ascii="Arial" w:hAnsi="Arial" w:cs="Arial"/>
                <w:i w:val="0"/>
                <w:caps w:val="0"/>
                <w:color w:val="323232"/>
                <w:spacing w:val="0"/>
                <w:sz w:val="19"/>
                <w:szCs w:val="19"/>
                <w:shd w:val="clear" w:fill="FFFFFF"/>
              </w:rPr>
              <w:t>2018年3月1日，证监会表示，经查明，金亚科技及相关当事人主要存在的违法事实包括，金亚科技2014年伪造财务数据，2014年年度报告虚增利润总额约8049.55万元，2014年年度报告虚增银行存款约21791.18万元，2014年年度报告虚列预付工程款3.1亿元等。3月7日，金亚科技发布公告称，公司及实际控制人周旭辉于3月6日收到证监会《行政处罚决定书》及《市场禁入决定书》。证监会对金亚科技给予警告，并处以 60 万元的罚款；对实控人周旭辉采取终身证券市场禁入措施，对时任财务负责人张法德、丁勇和分别采取 10 年证券市场禁入措施，对董事罗进、何苗分别采取 5 年证券市场禁入措施。</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lang w:val="en-US" w:eastAsia="zh-CN"/>
              </w:rPr>
              <w:t>立信</w:t>
            </w:r>
            <w: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eastAsia="zh-CN"/>
              </w:rPr>
              <w:t>（</w:t>
            </w:r>
            <w:r>
              <w:rPr>
                <w:rStyle w:val="19"/>
                <w:rFonts w:hint="default"/>
                <w:i w:val="0"/>
                <w:iCs w:val="0"/>
                <w:color w:val="auto"/>
              </w:rPr>
              <w:t>一）虚增利润总额</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金亚科技通过虚构客户、伪造合同、伪造银行单据、伪造材料产品收发记录、 隐瞒费用支出等方式虚增利润。经核实，金亚科技 2014 年年度报告合并财务报表计虚增营业收入73，635，141.10元，虚增营业成本19，253，313.84元，少计销售费用3，685，014元，少计管理费用1，320，835.10元，少计财务费用 7，952，968.46 元，少计营业外收入19，050.00元，少记营业外支出13，173，937.58元，虚增利润总额80，495，532.40元，占当期披露的利润总额的比例为335.14%，上述会计处理使金亚科技2014年年度报告利润总额由亏损变为盈利。</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（二）虚增银行存款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2014年末，金亚科技中国工商银行成都高新西部园区支行账户银行日记账余额为 219，301，259.06 元，实际银行账户余额为1，389，423.51元，该账户虚增银行存款217，911，835.55元，占当期披露的资产总额的比例为16.46%。</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（三）虚列预付工程款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2014年，金亚科技的子公司成都金亚智能技术有限公司建设项目，由四川宏山建设工程有限公司施工，建设面积385，133平方米，每平方米造价约2，000 元，按40%的预付比例估算需要预付工程款3.1亿元。为此金亚科技制作了假的建设工程合同，填制了虚假银行付款单据3.1亿元，减少银行存款3.1亿元，同时增加3.1亿元预付工程款。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三、财务造假成因分析</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（一）不平衡的内部治理结构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金亚科技内部治理结构的不平衡主要表现在三个方面，首先，在最近的五年当中，周旭辉始终是金亚科技当中掌握最多股权、拥有实际控制权的股东，其绝对的控制地位也滋生了“一股独大”的情况。相比于周旭辉，其他股东占据的比例几乎可以忽略不计，因此不平衡的内部治理结构也难以起到有效监管公司经营管理的效用；其次，2015年金亚科技年度报告显示，绝大多数公司董事都存在“身兼多职”的情况，其即是董事也是财务负责人、总经理或兼任其他职务，而此举也使得董事会难以充分发挥其对高管进行约束控制，以有效保障股东合法利益不受损害的作用；最后，金亚科技一共有三名监事，其中两名均为公司的内部职员，本身受到公司高管的直接领导，因此使得董事与高管近乎完全重合。而由于需要受到高管直接领导，两名监事在对高管进行控制方面的作用几乎成为虚设。鉴于金亚科技公司本身不具备完善的监督管理制度和平衡的内部治理结构，董事会与监事会各自为政，因此也为公司的经营管理以及日后发展埋下了众多隐患。</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（二）保留上市公司资格的需要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当前我国的证券市场中竞争日益“白热化”，许多盈利公司期望能过获取增发的资格，用以快速扩张资本获得大量资金支持。但事实上我国对增发、配股以及公司上市要求十分严苛，这也使得许多不具有增发或上市资格的公司通过对财务业绩“动手脚”，进而获取增发资格，使得经常发生披露虚假信息等情況。而根据相关规定，创业板公司如果连续三年，其盈利与净利润在将非经常性损益扣除之后，处于亏损状态，则其不具有增发资格、配股资格以及公司上市的资格。而根据规定原本已经丧失增发资格的金亚科技，为了能够实现快速扩张资本的目的选择“铤而走险”，通过财务造假的方式以粉饰其亏损状态，用以获取增发资格。</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另外，按照证券市场当中最新的创业板退市制度凡是连续亏损三年的上市企业需要被强制退市。金亚科技再2013年开始处于严重亏损状态，下图1展示的就是2012年至2015年金亚科技公司的净利润情况。可以发现公司于2013处于严重亏损状态，公司整体情况不容乐观。如果接下来两年持续亏损，从理论上来说金亚科技公司应当被强制退市。因此包括金亚科技公司在内的众多创业板上市公司，为了能够一直保持上市状态，往往会选择财务造假或是财务舞弊等方式营造出一片和谐的发展情势，而这也是金亚科技公司选择披露虚假信息，进行财务造假的一大重要原因。</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（三）审计质量低，监管体系不健全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担任金亚科技的主审事务所是综合评价名列百强排行榜前五的立信会计师事务所，然而立信会计师事务所不仅没有履行应有的职责，而且在丰厚利润的诱惑下，在财务造假过程中甚至起到支持作用，这极大的损害了广大投资者的利益，这种严重的失职行为也极大的损害了自身的声誉。第一，立信会计事务对金亚公司所执行的风险评估程序不存在实际性意义，立信会计师事务所在明知道金亚公司存在审计风险的情况下，受利益支配接受业务委托，并与金亚公司一同造假；第二，立信会计事务所在接受业务委托后，并未按照国家注册会计师业务执行有关规定以及准则对金亚公司实行相关审计程序。在历年中的审计底稿中可明确得知，立信会计师事务所在执行预付账款函证以及银行函证时，其审计报告中并未对金亚公司虚构货币资金、虚构采购数据以及预付账款等问题进行披露。</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函证</w:t>
            </w:r>
            <w:r>
              <w:rPr>
                <w:rFonts w:hint="eastAsia"/>
              </w:rPr>
              <w:t xml:space="preserve"> </w:t>
            </w:r>
            <w:r>
              <w:rPr>
                <w:rFonts w:hint="eastAsia"/>
                <w:lang w:val="en-US" w:eastAsia="zh-CN"/>
              </w:rPr>
              <w:t>风险评估程序 无法表示意见 非标意见 虚假记载</w:t>
            </w:r>
          </w:p>
        </w:tc>
      </w:tr>
    </w:tbl>
    <w:p/>
    <w:p/>
    <w:p>
      <w:pPr>
        <w:pStyle w:val="2"/>
      </w:pPr>
      <w:bookmarkStart w:id="34" w:name="_Toc11697"/>
      <w:r>
        <w:rPr>
          <w:rFonts w:hint="eastAsia"/>
          <w:lang w:val="en-US" w:eastAsia="zh-CN"/>
        </w:rPr>
        <w:t>25北八道集团有限公司</w:t>
      </w:r>
      <w:bookmarkEnd w:id="34"/>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r>
              <w:rPr>
                <w:rFonts w:hint="eastAsia"/>
              </w:rPr>
              <w:t>0</w:t>
            </w:r>
            <w:r>
              <w:rPr>
                <w:rFonts w:hint="eastAsia"/>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default" w:eastAsia="宋体"/>
                <w:lang w:val="en-US" w:eastAsia="zh-CN"/>
              </w:rPr>
              <w:t>北八道集团有限公司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val="en-US" w:eastAsia="zh-CN"/>
              </w:rPr>
            </w:pPr>
            <w:r>
              <w:rPr>
                <w:rFonts w:hint="eastAsia"/>
                <w:lang w:val="en-US" w:eastAsia="zh-CN"/>
              </w:rPr>
              <w:t>租赁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t>北八道集团有限公司，2013年04月07日成立，经营范围包括实业投资，投资咨询、企业管理咨询（以上咨询除经纪），市场信息咨询与调查（不得从事社会调研、社会调查、民意调查、民意测验），金融信息服务（除金融业务），集装箱、机械设备、电子设备、五金、建材的销售，仓储（除危险品），自有设备租赁（除金融租赁），国内货运代理，货物装卸服务，第三方物流服务（除运输），物业管理等。</w:t>
            </w:r>
          </w:p>
          <w:p>
            <w:pPr>
              <w:rPr>
                <w:b/>
              </w:rPr>
            </w:pPr>
            <w:r>
              <w:rPr>
                <w:rFonts w:hint="eastAsia"/>
                <w:b/>
              </w:rPr>
              <w:t>【案情背景</w:t>
            </w:r>
            <w:r>
              <w:rPr>
                <w:b/>
              </w:rPr>
              <w:t>】</w:t>
            </w:r>
          </w:p>
          <w:p>
            <w:pPr>
              <w:rPr>
                <w:rFonts w:hint="default"/>
                <w:b w:val="0"/>
                <w:bCs/>
              </w:rPr>
            </w:pPr>
            <w:r>
              <w:rPr>
                <w:b/>
              </w:rPr>
              <w:tab/>
            </w:r>
            <w:r>
              <w:rPr>
                <w:rFonts w:hint="eastAsia"/>
                <w:b w:val="0"/>
                <w:bCs/>
              </w:rPr>
              <w:t>因为操纵次新股被开56.7亿的巨额罚单，北八道集团“一夜之间”在上海外高桥出了名，就在周边各机构员工刚刚开始对身边这家公司议论纷纷的时候，北八道集团大厦招牌已被“连夜”撤下，公司“人去楼空”，留守人员则对外界时刻保持着十二分的警惕。</w:t>
            </w:r>
          </w:p>
          <w:p>
            <w:pPr>
              <w:rPr>
                <w:b/>
              </w:rPr>
            </w:pPr>
            <w:r>
              <w:rPr>
                <w:rFonts w:hint="eastAsia"/>
                <w:b/>
              </w:rPr>
              <w:t>【案情描述】</w:t>
            </w:r>
          </w:p>
          <w:p>
            <w:pPr>
              <w:rPr>
                <w:b w:val="0"/>
                <w:bCs w:val="0"/>
              </w:rPr>
            </w:pPr>
            <w:r>
              <w:rPr>
                <w:b w:val="0"/>
                <w:bCs w:val="0"/>
              </w:rPr>
              <w:tab/>
            </w:r>
            <w:r>
              <w:rPr>
                <w:rFonts w:hint="eastAsia"/>
                <w:b w:val="0"/>
                <w:bCs w:val="0"/>
              </w:rPr>
              <w:t>本案系一起筹集巨量资金、使用众多账户炒作“次新股”的典型案件。2017年2至5月，北八道集团有限公司（简称北八道）及其实际控制人组织操盘团队，通过多个资金中介筹集数十亿资金，利用300多个证券账户，采用频繁对倒成交、盘中拉抬股价、快速封涨停等手法操纵“张家港行”、“江阴银行”和“和胜股份”等多只次新股，合计获利9.5亿元。2018年4月，证监会依法对北八道及相关责任人作出行政处罚。本案的查处，打击了利用杠杆资金短线操纵“次新股”行为，维护了市场秩序。</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t>上海华皓会计师事务所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i w:val="0"/>
                <w:iCs w:val="0"/>
                <w:color w:val="auto"/>
              </w:rPr>
              <w:t>上海市第三中级人民法院（2019）沪03破57号民事裁定书显示，北八道集团有限公司（以下简称“北八道集团”）以严重资不抵债，无力履行债务为由向法院申请进行破产清算。</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default"/>
                <w:i w:val="0"/>
                <w:iCs w:val="0"/>
                <w:color w:val="auto"/>
              </w:rPr>
              <w:t>据悉，法院已经指定上海华皓会计师事务所（普通合伙）担任北八道集团有限公司管理人。目前，此事尚未见诸公司官方消息或媒体公开报道。</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i w:val="0"/>
                <w:iCs w:val="0"/>
                <w:color w:val="auto"/>
              </w:rPr>
              <w:t>根据北八道集团2018年12月31日的资产负债表记载，账面资产总额为237556809.16元，负债总额为810183231.28元。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i w:val="0"/>
                <w:iCs w:val="0"/>
                <w:color w:val="auto"/>
              </w:rPr>
              <w:t>2018年3月14日，证监会召开稽查执法发布会，披露最新三起典型违法违规案。其中，北八道集团有限公司操纵次新股获利拟被罚56.7亿元，这一罚单金额创下证监会最高罚单纪录。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default"/>
                <w:i w:val="0"/>
                <w:iCs w:val="0"/>
                <w:color w:val="auto"/>
              </w:rPr>
              <w:t>证监会披露，北八道集团利用300多个股票账户、100多台电脑、10多位操盘手同时交易，使用巨额杠杆资金，通过操纵次新股张家港行、江阴银行、和胜股份等，累计获利9.45亿元。在证监会调查过程中，北八道集团高管及相关人员拒不配合调查，财会人员为销毁证据甚至抓伤证监会稽查人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default"/>
                <w:i w:val="0"/>
                <w:iCs w:val="0"/>
                <w:color w:val="auto"/>
              </w:rPr>
              <w:t>证监会表示，该案件目前已经过调查审理和行政处罚事先告知程序，将对北八道集团作出没一罚五的顶格处罚，罚没总计56.7亿元。此次罚单为证监会史上开出的最大罚单。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default"/>
                <w:i w:val="0"/>
                <w:iCs w:val="0"/>
                <w:color w:val="auto"/>
              </w:rPr>
              <w:t>2018年3月，有媒体前去北八道实地走访，北八道集团大厦招牌已被“连夜”撤下，公司“人去楼空”。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default"/>
                <w:i w:val="0"/>
                <w:iCs w:val="0"/>
                <w:color w:val="auto"/>
              </w:rPr>
              <w:t>2018年7月，证监会公布了第二批“老赖”46人名单，林惠惠被限制乘坐火车高级别席位和民用航空器。林惠惠即北八道集团法定代表人。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default"/>
                <w:i w:val="0"/>
                <w:iCs w:val="0"/>
                <w:color w:val="auto"/>
              </w:rPr>
              <w:t>本案系一起筹集巨量资金、使用众多账户炒作“次新股”的典型案件。2017年2至5月，北八道集团有限公司（简称“北八道”）及其实际控制人组织操盘团队，通过多个资金中介筹集数十亿资金，利用300多个证券账户，采用频繁对倒成交、盘中拉抬股价、快速封涨停等手法操纵“张家港行”、“江阴银行”和“和胜股份”等多只次新股，合计获利9.5亿元。2018年4月，证监会依法对北八道及相关责任人作出行政处罚，没收北八道违法所得466,894,890.32元，并处罚款2,334,474,451.6元；对相关责任人给予警告，并分别处以40万元至60万元罚款；对直接负责的主管人员时任北八道法定代表人林庆某、时任北八道控股股东林玉某采取终身证券市场禁入措施，对其他直接责任人员时任北八道总经理、配资业务负责人李某采取10年证券市场禁入措施。</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default"/>
                <w:i w:val="0"/>
                <w:iCs w:val="0"/>
                <w:color w:val="auto"/>
              </w:rPr>
              <w:t>本案的查处，打击了利用杠杆资金短线操纵“次新股”行为，维护了市场秩序。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操纵市场 巨额负债</w:t>
            </w:r>
            <w:r>
              <w:rPr>
                <w:rFonts w:hint="eastAsia"/>
              </w:rPr>
              <w:t xml:space="preserve"> 无保留意见</w:t>
            </w:r>
          </w:p>
        </w:tc>
      </w:tr>
    </w:tbl>
    <w:p/>
    <w:p>
      <w:pPr>
        <w:pStyle w:val="2"/>
      </w:pPr>
      <w:bookmarkStart w:id="35" w:name="_Toc24139"/>
      <w:r>
        <w:rPr>
          <w:rFonts w:hint="eastAsia"/>
          <w:lang w:val="en-US" w:eastAsia="zh-CN"/>
        </w:rPr>
        <w:t>26武汉银都文化传媒股份有限公司</w:t>
      </w:r>
      <w:bookmarkEnd w:id="3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r>
              <w:rPr>
                <w:rFonts w:hint="eastAsia"/>
              </w:rPr>
              <w:t>0</w:t>
            </w:r>
            <w:r>
              <w:rPr>
                <w:rFonts w:hint="eastAsia"/>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14</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default" w:eastAsia="宋体"/>
                <w:lang w:val="en-US" w:eastAsia="zh-CN"/>
              </w:rPr>
              <w:t>武汉银都文化传媒股份有限公司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ascii="微软雅黑" w:hAnsi="微软雅黑" w:eastAsia="微软雅黑" w:cs="微软雅黑"/>
                <w:i w:val="0"/>
                <w:caps w:val="0"/>
                <w:color w:val="000000"/>
                <w:spacing w:val="0"/>
                <w:sz w:val="16"/>
                <w:szCs w:val="16"/>
                <w:shd w:val="clear" w:fill="FFFFFF"/>
              </w:rPr>
              <w:t>商业服务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t>武汉银都文化传媒股份有限公司为国内优秀文化创意企业，国家认定动漫企业，湖北省文化产业示范基地，湖北省高新技术企业，武汉市文化与科技融合试点企业，东湖高新区瞪羚企业。2013年7月，在新三板挂牌上市，证券简称：银都传媒，证券代码：430230。</w:t>
            </w:r>
          </w:p>
          <w:p>
            <w:pPr>
              <w:rPr>
                <w:b/>
              </w:rPr>
            </w:pPr>
            <w:r>
              <w:rPr>
                <w:rFonts w:hint="eastAsia"/>
                <w:b/>
              </w:rPr>
              <w:t>【案情背景</w:t>
            </w:r>
            <w:r>
              <w:rPr>
                <w:b/>
              </w:rPr>
              <w:t>】</w:t>
            </w:r>
          </w:p>
          <w:p>
            <w:pPr>
              <w:rPr>
                <w:rFonts w:hint="eastAsia"/>
                <w:b w:val="0"/>
                <w:bCs/>
              </w:rPr>
            </w:pPr>
            <w:r>
              <w:rPr>
                <w:b/>
              </w:rPr>
              <w:tab/>
            </w:r>
            <w:r>
              <w:rPr>
                <w:rFonts w:hint="default"/>
                <w:b w:val="0"/>
                <w:bCs/>
              </w:rPr>
              <w:t>1.虚增主营业务收入</w:t>
            </w:r>
          </w:p>
          <w:p>
            <w:pPr>
              <w:rPr>
                <w:rFonts w:hint="default"/>
                <w:b w:val="0"/>
                <w:bCs/>
              </w:rPr>
            </w:pPr>
            <w:r>
              <w:rPr>
                <w:rFonts w:hint="default"/>
                <w:b w:val="0"/>
                <w:bCs/>
              </w:rPr>
              <w:t>2014至2016年6月，银都传媒通过虚构业务合同虚增收入，将收进的款项再通过预付账款项的手段支出，通过持续融资支撑公司资金链。2016年上半年虚增主营业务收入1 051.75万元，高达2016年半年主营业务收入金额的60.20%。</w:t>
            </w:r>
          </w:p>
          <w:p>
            <w:pPr>
              <w:rPr>
                <w:rFonts w:hint="default"/>
                <w:b w:val="0"/>
                <w:bCs/>
              </w:rPr>
            </w:pPr>
            <w:r>
              <w:rPr>
                <w:rFonts w:hint="default"/>
                <w:b w:val="0"/>
                <w:bCs/>
              </w:rPr>
              <w:t>2.提前确认政府补助收入。</w:t>
            </w:r>
          </w:p>
          <w:p>
            <w:pPr>
              <w:rPr>
                <w:rFonts w:hint="default"/>
                <w:b w:val="0"/>
                <w:bCs/>
              </w:rPr>
            </w:pPr>
            <w:r>
              <w:rPr>
                <w:rFonts w:hint="default"/>
                <w:b w:val="0"/>
                <w:bCs/>
              </w:rPr>
              <w:t>如表3所示，银都传媒把2015年还未记入账面的与收益有关的政府补贴提前记账，计入营业外收入，但该政府补贴并非补贴2015年或2015年以前的亏损，必须先进递延收益，等实际发生补偿费用或损失再记入营业外收入，这笔补助金额高达440.6万元，占利润总额的84.34%。</w:t>
            </w:r>
          </w:p>
          <w:p>
            <w:pPr>
              <w:rPr>
                <w:b/>
              </w:rPr>
            </w:pPr>
            <w:r>
              <w:rPr>
                <w:rFonts w:hint="eastAsia"/>
                <w:b/>
              </w:rPr>
              <w:t>【案情描述】</w:t>
            </w:r>
          </w:p>
          <w:p>
            <w:pPr>
              <w:rPr>
                <w:rFonts w:hint="default"/>
                <w:b w:val="0"/>
                <w:bCs/>
              </w:rPr>
            </w:pPr>
            <w:r>
              <w:rPr>
                <w:b/>
                <w:bCs/>
              </w:rPr>
              <w:tab/>
            </w:r>
            <w:r>
              <w:rPr>
                <w:rFonts w:hint="default"/>
                <w:b w:val="0"/>
                <w:bCs/>
              </w:rPr>
              <w:t>3.虚假披露关联方资金占用。</w:t>
            </w:r>
          </w:p>
          <w:p>
            <w:pPr>
              <w:rPr>
                <w:rFonts w:hint="default"/>
                <w:b w:val="0"/>
                <w:bCs/>
              </w:rPr>
            </w:pPr>
            <w:r>
              <w:rPr>
                <w:rFonts w:hint="default"/>
                <w:b w:val="0"/>
                <w:bCs/>
              </w:rPr>
              <w:t>银都传媒2014～2016年财务报表及附注中都未披露与关联公司的交易信息，且2014～2016年的年度财务报告里，甚至在关联方交易记载显示是“无”，造成了信息披露的虚假记载及重大遗漏。可是，实际上银都传媒实际控制者关杭军、李文等通过付出预付款项、直接拆借、第三方间接拆借等方法占用公司资金。</w:t>
            </w:r>
          </w:p>
          <w:p>
            <w:pPr>
              <w:rPr>
                <w:rFonts w:hint="default"/>
                <w:b w:val="0"/>
                <w:bCs/>
              </w:rPr>
            </w:pPr>
            <w:r>
              <w:rPr>
                <w:rFonts w:hint="default"/>
                <w:b w:val="0"/>
                <w:bCs/>
              </w:rPr>
              <w:t>4.虚假记载对外担保事项。</w:t>
            </w:r>
          </w:p>
          <w:p>
            <w:r>
              <w:rPr>
                <w:rFonts w:hint="default"/>
                <w:b w:val="0"/>
                <w:bCs/>
              </w:rPr>
              <w:t>2015年，关杭军与余万彬签订借款合同，向余借600万元，借款期限为2015年11月15日至2016年11月14日。银都传媒作为担保人在合同上签章，但在2015年年报中，未按要求披露该事项，而在“重要事项索引”中否认存在对外担保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lang w:val="en-US" w:eastAsia="zh-CN"/>
              </w:rPr>
              <w:t>利安达</w:t>
            </w:r>
            <w:r>
              <w:t>会计师事务</w:t>
            </w:r>
            <w:r>
              <w:rPr>
                <w:rFonts w:hint="eastAsia"/>
              </w:rPr>
              <w:t>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default"/>
                <w:i w:val="0"/>
                <w:iCs w:val="0"/>
                <w:color w:val="auto"/>
              </w:rPr>
              <w:t>1.审计工作底稿的编制和复核工作执行不到位。</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利安达的审计底稿记录存在缺漏。对2014和2015年的应收账款、预付账款等采用寄发询证函的审计程序，但是没有函证结果汇总表及替代测试汇总表，从利安达的第三方回復函证记录来看，对于没有回复的对象，利安达没有再次发函，也没有采取任何替代测试，导致未达到其实施函证程序的效果。在审计工作底稿中，利安达在银都传媒推荐挂牌审计工作底稿的总结会议纪要中有记载需对武汉回响和银都传媒之间的明细资金往来进行沟通，但并没有记录具体的沟通记录。以上审计程序的缺失表明由于审计工作繁忙，利安达在审计中是有选择性的执行自认比较重要的程序，即使部分重要审计程序明显的缺漏，依然出具了审计报告，表明底稿的编制不到位，复核制度仅流于形式，未起到保证基本质量的作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2.过度信任管理层政府补助文件。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政府补助可分成收益相关和资产相关，和资产相关的以资产方式计入公司账面，只能在使用该资产的整个折旧过程中对政府补助进行计提，所以银都传媒2015、2016年的政府补助不该直接纳入当年的营业外收入，应在资产的折旧年份中分期计入当年营业外收入;和收益相关的补助，在为弥补公司当年或往年的亏损，能全额计入营业外收入，但若是弥补将来的损失还需要递延，待弥补了亏损后再把相应金额计入营业外收入。利安达在审计过程中，没有深入研读并查证银都传媒提供的政府补助文件，盲目信任管理层的解释，导致其未识别到财务处理的不当性，带来重大错报风险。</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3.对潜在关联方风险未执行应有的审计程序。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会计师事务所应该充分了解关联方关系和资金往来，避免由于对关联方识别和评估不到位而由此发生舞弊所导致的重大错报风险，影响审计质量。但是，利安达对潜在的关联方风险并未实行应有的审计程序，在审计底稿中没有采取调取银都传媒的股东名册以及董监高的亲属名单等方式对关联方充分查实;在预付账款审计中，没有对异常重大交易是否属于关联交易采取有效手段来识别。</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银都传媒伙同这些公司的往来其实漏洞百出，但是利安达审计人员没有认真核查分析，未按审计准则的有关规定严格执行审计，导致在关联方交易和关联性上出错，审计人员在底稿中没有对银都传媒的公司章程、董事会、高级管理人员的资料从关联性上核实，也未采用特定方法对预付账款等科目中的重大关联交易事项进行判别。</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default"/>
                <w:i w:val="0"/>
                <w:iCs w:val="0"/>
                <w:color w:val="auto"/>
              </w:rPr>
            </w:pPr>
            <w:r>
              <w:rPr>
                <w:rStyle w:val="19"/>
                <w:rFonts w:hint="default"/>
                <w:i w:val="0"/>
                <w:iCs w:val="0"/>
                <w:color w:val="auto"/>
              </w:rPr>
              <w:t>4.对担保事项缺乏充分关注。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default"/>
                <w:i w:val="0"/>
                <w:iCs w:val="0"/>
                <w:color w:val="auto"/>
              </w:rPr>
              <w:t>《全國中小企业股份转让系统挂牌企业信息披露细则》明确要求新三板挂牌公司必须披露“对外提供担保”的事项，但利安达并未关注2016年的年报中银都传媒所隐瞒的对外担保情况，未能及时更新对银都传媒公司及环境的了解，审计人员只借助管理层提供的资料和记录对相关内容进行核实，并没核实该资料的真实性，也未执行进一步的审计程序，对担保事项的关注度远低于准则的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函证 关联方风险 虚增收入</w:t>
            </w:r>
            <w:r>
              <w:rPr>
                <w:rFonts w:hint="eastAsia"/>
              </w:rPr>
              <w:t xml:space="preserve"> </w:t>
            </w:r>
            <w:r>
              <w:rPr>
                <w:rFonts w:hint="eastAsia"/>
                <w:lang w:val="en-US" w:eastAsia="zh-CN"/>
              </w:rPr>
              <w:t xml:space="preserve">财务造假审计 </w:t>
            </w:r>
            <w:r>
              <w:rPr>
                <w:rFonts w:hint="eastAsia"/>
              </w:rPr>
              <w:t>无保留意见</w:t>
            </w:r>
          </w:p>
        </w:tc>
      </w:tr>
    </w:tbl>
    <w:p/>
    <w:p>
      <w:pPr>
        <w:pStyle w:val="2"/>
      </w:pPr>
      <w:bookmarkStart w:id="36" w:name="_Toc18481"/>
      <w:r>
        <w:rPr>
          <w:rFonts w:hint="eastAsia"/>
          <w:lang w:val="en-US" w:eastAsia="zh-CN"/>
        </w:rPr>
        <w:t>27</w:t>
      </w:r>
      <w:r>
        <w:rPr>
          <w:rFonts w:hint="eastAsia"/>
        </w:rPr>
        <w:t>上海香榭丽广告传媒股份有限公司</w:t>
      </w:r>
      <w:bookmarkEnd w:id="36"/>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r>
              <w:rPr>
                <w:rFonts w:hint="eastAsia"/>
              </w:rPr>
              <w:t>0</w:t>
            </w:r>
            <w:r>
              <w:rPr>
                <w:rFonts w:hint="eastAsia"/>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11</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default" w:eastAsia="宋体"/>
                <w:lang w:val="en-US" w:eastAsia="zh-CN"/>
              </w:rPr>
              <w:t>上海香榭丽广告传媒股份有限公司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ascii="微软雅黑" w:hAnsi="微软雅黑" w:eastAsia="微软雅黑" w:cs="微软雅黑"/>
                <w:i w:val="0"/>
                <w:caps w:val="0"/>
                <w:color w:val="000000"/>
                <w:spacing w:val="0"/>
                <w:sz w:val="16"/>
                <w:szCs w:val="16"/>
                <w:shd w:val="clear" w:fill="FFFFFF"/>
              </w:rPr>
              <w:t>商业服务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rPr>
            </w:pPr>
            <w:r>
              <w:tab/>
            </w:r>
            <w:r>
              <w:rPr>
                <w:rFonts w:hint="eastAsia"/>
                <w:lang w:val="en-US" w:eastAsia="zh-CN"/>
              </w:rPr>
              <w:t>上海香榭丽广告传媒股份有限公司(以下简称“公司”或“本公司”) 前身是上海香榭丽广告有限公司，系由叶玫、乔旭东、吴滢共同投资设立，公司设立时注册资本100万元。2003年7月2日，上海东方会计师事务所进行审验，出具《验资报告》（上东会验字（2003）第B-1765号）。乔旭东现金出资45万元，占公司注册资本的45%，叶玫现金出资40万元，占公司注册资本的40%，吴滢现金出资15万，占公司注册资本的15%。</w:t>
            </w:r>
          </w:p>
          <w:p>
            <w:pPr>
              <w:rPr>
                <w:rFonts w:hint="eastAsia"/>
                <w:b w:val="0"/>
                <w:bCs/>
              </w:rPr>
            </w:pPr>
            <w:r>
              <w:rPr>
                <w:rFonts w:hint="eastAsia"/>
                <w:b/>
              </w:rPr>
              <w:t>【案情背景</w:t>
            </w:r>
            <w:r>
              <w:rPr>
                <w:b/>
              </w:rPr>
              <w:t>】</w:t>
            </w:r>
            <w:r>
              <w:rPr>
                <w:rFonts w:hint="eastAsia"/>
                <w:b w:val="0"/>
                <w:bCs/>
              </w:rPr>
              <w:br w:type="textWrapping"/>
            </w:r>
            <w:r>
              <w:rPr>
                <w:rFonts w:hint="eastAsia"/>
                <w:b w:val="0"/>
                <w:bCs/>
              </w:rPr>
              <w:t>　　证监会认定，2011至2015年期间，作为被收购方的香榭丽通过制作235份虚假合同的方式，虚增收入共计5.61亿元，同时，香榭丽以其自有产权的户外LED显示屏为其股东、实际控制人叶玫2000万元个人债务提供担保的事实未被披露。</w:t>
            </w:r>
            <w:r>
              <w:rPr>
                <w:rFonts w:hint="eastAsia"/>
                <w:b w:val="0"/>
                <w:bCs/>
              </w:rPr>
              <w:br w:type="textWrapping"/>
            </w:r>
            <w:r>
              <w:rPr>
                <w:rFonts w:hint="eastAsia"/>
                <w:b w:val="0"/>
                <w:bCs/>
              </w:rPr>
              <w:t>　　而香榭丽的上述行为导致粤传媒 2013和2014年披露的《收购报告书》、《2013审计报告》、《财务顾问报告》等文件存在虚假陈述。</w:t>
            </w:r>
          </w:p>
          <w:p>
            <w:pPr>
              <w:rPr>
                <w:b/>
              </w:rPr>
            </w:pPr>
            <w:r>
              <w:rPr>
                <w:rFonts w:hint="eastAsia"/>
                <w:b/>
              </w:rPr>
              <w:t>【案情描述】</w:t>
            </w:r>
          </w:p>
          <w:p>
            <w:r>
              <w:rPr>
                <w:b/>
                <w:bCs/>
              </w:rPr>
              <w:tab/>
            </w:r>
            <w:r>
              <w:rPr>
                <w:b w:val="0"/>
                <w:bCs/>
              </w:rPr>
              <w:t>香榭丽通过制作“虚假合同”虚增利润，导致粤传媒在收购香榭丽过程中披露的相关文件存在虚假陈述的相关情况。</w:t>
            </w:r>
            <w:r>
              <w:rPr>
                <w:rFonts w:hint="eastAsia"/>
                <w:b w:val="0"/>
                <w:bCs/>
              </w:rPr>
              <w:br w:type="textWrapping"/>
            </w:r>
            <w:r>
              <w:rPr>
                <w:rFonts w:hint="eastAsia"/>
                <w:b w:val="0"/>
                <w:bCs/>
              </w:rPr>
              <w:t>　　2013年10月28-30日，粤传媒为收购香榭丽先后披露了一系列文件，其中包括《收购报告书》以及大成律所出具的《法律意见书》等文件。《收购报告书》指出香榭丽2011--2013上半年的净利润分别为3647.28万元、3695.35万元和1114.51万元。上述数据系虚假记载，根据番禺区公安分局调查，以及安信司法鉴定所鉴定的结果，经粤传媒剔除有关虚假合同，香榭丽2011--2013上半年和2013的净利润分别为-436.02万元、-6，599.33万元、-4，862.43万元和-11，526.42万元。粤传媒在上述文件中披露的净利润分别虚增4083.30万元、10294.68万元、5976.94万元和16211.85萬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lang w:val="en-US" w:eastAsia="zh-CN"/>
              </w:rPr>
              <w:t>北京大成</w:t>
            </w:r>
            <w:r>
              <w:t>会计师事务</w:t>
            </w:r>
            <w:r>
              <w:rPr>
                <w:rFonts w:hint="eastAsia"/>
              </w:rPr>
              <w:t>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Fonts w:ascii="微软雅黑" w:hAnsi="微软雅黑" w:eastAsia="微软雅黑" w:cs="微软雅黑"/>
                <w:i w:val="0"/>
                <w:caps w:val="0"/>
                <w:color w:val="747474"/>
                <w:spacing w:val="0"/>
                <w:sz w:val="16"/>
                <w:szCs w:val="16"/>
                <w:shd w:val="clear" w:fill="F5F6EE"/>
              </w:rPr>
              <w:drawing>
                <wp:inline distT="0" distB="0" distL="114300" distR="114300">
                  <wp:extent cx="4381500" cy="2571750"/>
                  <wp:effectExtent l="0" t="0" r="7620" b="381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3"/>
                          <a:stretch>
                            <a:fillRect/>
                          </a:stretch>
                        </pic:blipFill>
                        <pic:spPr>
                          <a:xfrm>
                            <a:off x="0" y="0"/>
                            <a:ext cx="4381500" cy="2571750"/>
                          </a:xfrm>
                          <a:prstGeom prst="rect">
                            <a:avLst/>
                          </a:prstGeom>
                          <a:noFill/>
                          <a:ln w="9525">
                            <a:noFill/>
                          </a:ln>
                        </pic:spPr>
                      </pic:pic>
                    </a:graphicData>
                  </a:graphic>
                </wp:inline>
              </w:drawing>
            </w:r>
            <w:r>
              <w:rPr>
                <w:rFonts w:hint="eastAsia" w:ascii="Times New Roman" w:hAnsi="Times New Roman" w:eastAsia="宋体" w:cs="Times New Roman"/>
                <w:kern w:val="2"/>
                <w:sz w:val="21"/>
                <w:szCs w:val="22"/>
                <w:lang w:val="en-US" w:eastAsia="zh-CN" w:bidi="ar-SA"/>
              </w:rPr>
              <w:t>1、大成律所未对香榭丽重大业务合同进行审慎核查验证</w:t>
            </w:r>
            <w:r>
              <w:rPr>
                <w:rFonts w:hint="eastAsia" w:ascii="Times New Roman" w:hAnsi="Times New Roman" w:eastAsia="宋体" w:cs="Times New Roman"/>
                <w:kern w:val="2"/>
                <w:sz w:val="21"/>
                <w:szCs w:val="22"/>
                <w:lang w:val="en-US" w:eastAsia="zh-CN" w:bidi="ar-SA"/>
              </w:rPr>
              <w:br w:type="textWrapping"/>
            </w:r>
            <w:r>
              <w:rPr>
                <w:rFonts w:hint="eastAsia" w:ascii="Times New Roman" w:hAnsi="Times New Roman" w:eastAsia="宋体" w:cs="Times New Roman"/>
                <w:kern w:val="2"/>
                <w:sz w:val="21"/>
                <w:szCs w:val="22"/>
                <w:lang w:val="en-US" w:eastAsia="zh-CN" w:bidi="ar-SA"/>
              </w:rPr>
              <w:t>　　根据重大业务合同定义标准，仅经司法鉴定确认为虚假的合同中，涉及2013年6月30日之前已经签署并开始或已经履行的合同便有73份。但大成律所在其出具的《法律意见书》中，只列示了香榭丽与6家客户签订的重大业务合同，其中，与重庆翰宗广告传媒有限公司、北京新速通传媒广告有限公司签订的合同均存在虚假业务，仅在2012年与重庆翰宗发生的虚假业务，便导致香榭丽虚增收入1651万元，占香谢丽2012年收入的6.88%。</w:t>
            </w:r>
            <w:r>
              <w:rPr>
                <w:rFonts w:hint="eastAsia" w:ascii="Times New Roman" w:hAnsi="Times New Roman" w:eastAsia="宋体" w:cs="Times New Roman"/>
                <w:kern w:val="2"/>
                <w:sz w:val="21"/>
                <w:szCs w:val="22"/>
                <w:lang w:val="en-US" w:eastAsia="zh-CN" w:bidi="ar-SA"/>
              </w:rPr>
              <w:br w:type="textWrapping"/>
            </w:r>
            <w:r>
              <w:rPr>
                <w:rFonts w:hint="eastAsia" w:ascii="Times New Roman" w:hAnsi="Times New Roman" w:eastAsia="宋体" w:cs="Times New Roman"/>
                <w:kern w:val="2"/>
                <w:sz w:val="21"/>
                <w:szCs w:val="22"/>
                <w:lang w:val="en-US" w:eastAsia="zh-CN" w:bidi="ar-SA"/>
              </w:rPr>
              <w:t>　　在大成律所的工作底稿中，只保留了10家公司的业务合同或订单复印件，以及2家公司工商登记资料的查询记录。除此以外，未发现大成律所对重大业务合同执行查验程序的其他记录。其中有9家公司合同文本为大成律所要求被尽职调查对象香榭丽提供的资料，大成律所未对其内容、性质和效力等进行必要的查验、分析和判断。</w:t>
            </w:r>
            <w:r>
              <w:rPr>
                <w:rFonts w:hint="eastAsia" w:ascii="Times New Roman" w:hAnsi="Times New Roman" w:eastAsia="宋体" w:cs="Times New Roman"/>
                <w:kern w:val="2"/>
                <w:sz w:val="21"/>
                <w:szCs w:val="22"/>
                <w:lang w:val="en-US" w:eastAsia="zh-CN" w:bidi="ar-SA"/>
              </w:rPr>
              <w:br w:type="textWrapping"/>
            </w:r>
            <w:r>
              <w:rPr>
                <w:rFonts w:hint="eastAsia" w:ascii="Times New Roman" w:hAnsi="Times New Roman" w:eastAsia="宋体" w:cs="Times New Roman"/>
                <w:kern w:val="2"/>
                <w:sz w:val="21"/>
                <w:szCs w:val="22"/>
                <w:lang w:val="en-US" w:eastAsia="zh-CN" w:bidi="ar-SA"/>
              </w:rPr>
              <w:t>　　2、大成律所未发现香榭丽对外重大担保事项，亦未对该事项进行审慎查验。</w:t>
            </w:r>
            <w:r>
              <w:rPr>
                <w:rFonts w:hint="eastAsia" w:ascii="Times New Roman" w:hAnsi="Times New Roman" w:eastAsia="宋体" w:cs="Times New Roman"/>
                <w:kern w:val="2"/>
                <w:sz w:val="21"/>
                <w:szCs w:val="22"/>
                <w:lang w:val="en-US" w:eastAsia="zh-CN" w:bidi="ar-SA"/>
              </w:rPr>
              <w:br w:type="textWrapping"/>
            </w:r>
            <w:r>
              <w:rPr>
                <w:rFonts w:hint="eastAsia" w:ascii="Times New Roman" w:hAnsi="Times New Roman" w:eastAsia="宋体" w:cs="Times New Roman"/>
                <w:kern w:val="2"/>
                <w:sz w:val="21"/>
                <w:szCs w:val="22"/>
                <w:lang w:val="en-US" w:eastAsia="zh-CN" w:bidi="ar-SA"/>
              </w:rPr>
              <w:t>　　2012年3月，香榭丽传媒实际控制人叶某因资金周转困难向金拇指科技有限公司申请借款2000万元，并委托金拇指将该2000万元直接支付给香榭丽。</w:t>
            </w:r>
            <w:r>
              <w:rPr>
                <w:rFonts w:hint="eastAsia" w:ascii="Times New Roman" w:hAnsi="Times New Roman" w:eastAsia="宋体" w:cs="Times New Roman"/>
                <w:kern w:val="2"/>
                <w:sz w:val="21"/>
                <w:szCs w:val="22"/>
                <w:lang w:val="en-US" w:eastAsia="zh-CN" w:bidi="ar-SA"/>
              </w:rPr>
              <w:br w:type="textWrapping"/>
            </w:r>
            <w:r>
              <w:rPr>
                <w:rFonts w:hint="eastAsia" w:ascii="Times New Roman" w:hAnsi="Times New Roman" w:eastAsia="宋体" w:cs="Times New Roman"/>
                <w:kern w:val="2"/>
                <w:sz w:val="21"/>
                <w:szCs w:val="22"/>
                <w:lang w:val="en-US" w:eastAsia="zh-CN" w:bidi="ar-SA"/>
              </w:rPr>
              <w:t>　　2013年10月24日，香榭丽向金拇指出具《承诺书》，承诺以其名下拥有自有产权的户外LED显示屏作为连带担保，为叶某于2013年12月31日前以货币形式返还金拇指2000万元款项的还款责任承担连带责任。该担保金额占香榭丽2013年6月30日经审计净资产26316.76万元的7.60%。该事项属于应当披露的或有事项，粤传媒在上述文件中未披露该事项，直至2016年9月6日，才披露上述事实。</w:t>
            </w:r>
            <w:r>
              <w:rPr>
                <w:rFonts w:hint="eastAsia" w:ascii="Times New Roman" w:hAnsi="Times New Roman" w:eastAsia="宋体" w:cs="Times New Roman"/>
                <w:kern w:val="2"/>
                <w:sz w:val="21"/>
                <w:szCs w:val="22"/>
                <w:lang w:val="en-US" w:eastAsia="zh-CN" w:bidi="ar-SA"/>
              </w:rPr>
              <w:br w:type="textWrapping"/>
            </w:r>
            <w:r>
              <w:rPr>
                <w:rFonts w:hint="eastAsia" w:ascii="Times New Roman" w:hAnsi="Times New Roman" w:eastAsia="宋体" w:cs="Times New Roman"/>
                <w:kern w:val="2"/>
                <w:sz w:val="21"/>
                <w:szCs w:val="22"/>
                <w:lang w:val="en-US" w:eastAsia="zh-CN" w:bidi="ar-SA"/>
              </w:rPr>
              <w:t>　　在大成律所工作底稿中，关于香榭丽对外担保事项，大成律所执行的查验程序主要为通过向香榭丽发送资料清单，让其提供所有对外担保合同，并让其做出已提供所有担保事项相关合同的承诺等程序，未见其对香榭丽对外重大担保事项执行与香榭丽财务负责人、会计师面谈，以及向第三方查证、确认等其他查验程序。</w:t>
            </w:r>
            <w:r>
              <w:rPr>
                <w:rFonts w:hint="eastAsia" w:ascii="Times New Roman" w:hAnsi="Times New Roman" w:eastAsia="宋体" w:cs="Times New Roman"/>
                <w:kern w:val="2"/>
                <w:sz w:val="21"/>
                <w:szCs w:val="22"/>
                <w:lang w:val="en-US" w:eastAsia="zh-CN" w:bidi="ar-SA"/>
              </w:rPr>
              <w:br w:type="textWrapping"/>
            </w:r>
            <w:r>
              <w:rPr>
                <w:rFonts w:hint="eastAsia" w:ascii="Times New Roman" w:hAnsi="Times New Roman" w:eastAsia="宋体" w:cs="Times New Roman"/>
                <w:kern w:val="2"/>
                <w:sz w:val="21"/>
                <w:szCs w:val="22"/>
                <w:lang w:val="en-US" w:eastAsia="zh-CN" w:bidi="ar-SA"/>
              </w:rPr>
              <w:t>　　3、未按照查验计划列明的程序和方法审慎查验香榭丽广告阵地和屏幕。大成律所经办律师张新明和许东均在询问笔录中表示，他们根据与其他中介机构的分工安排，到实地查看了相关的阵地和屏幕，但没有在底稿中对现场核实的情况进行记录。根据大成律所制定的《核查计划》，律师应当落实查验计划的各项工作要求，对于不能落实的事项应当说明原因或采取替代性措施。而大成律所既未按照查验计划进行查验，也未对其不遵守查验计划的原因作出说明或采取其他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虚增收入</w:t>
            </w:r>
            <w:r>
              <w:rPr>
                <w:rFonts w:hint="eastAsia"/>
              </w:rPr>
              <w:t xml:space="preserve"> </w:t>
            </w:r>
            <w:r>
              <w:rPr>
                <w:rFonts w:hint="eastAsia"/>
                <w:lang w:val="en-US" w:eastAsia="zh-CN"/>
              </w:rPr>
              <w:t xml:space="preserve">虚假业务 重大担保事项 </w:t>
            </w:r>
            <w:r>
              <w:rPr>
                <w:rFonts w:hint="eastAsia"/>
              </w:rPr>
              <w:t>无保留意见</w:t>
            </w:r>
          </w:p>
        </w:tc>
      </w:tr>
    </w:tbl>
    <w:p/>
    <w:p>
      <w:pPr>
        <w:pStyle w:val="2"/>
      </w:pPr>
      <w:bookmarkStart w:id="37" w:name="_Toc6416"/>
      <w:r>
        <w:rPr>
          <w:rFonts w:hint="eastAsia"/>
          <w:lang w:val="en-US" w:eastAsia="zh-CN"/>
        </w:rPr>
        <w:t>28上海富控互动娱乐股份有限公司</w:t>
      </w:r>
      <w:bookmarkEnd w:id="3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r>
              <w:rPr>
                <w:rFonts w:hint="eastAsia"/>
              </w:rPr>
              <w:t>0</w:t>
            </w:r>
            <w:r>
              <w:rPr>
                <w:rFonts w:hint="eastAsia"/>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default" w:eastAsia="宋体"/>
                <w:lang w:val="en-US" w:eastAsia="zh-CN"/>
              </w:rPr>
              <w:t>上海富控互动娱乐股份有限公司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ascii="微软雅黑" w:hAnsi="微软雅黑" w:eastAsia="微软雅黑" w:cs="微软雅黑"/>
                <w:i w:val="0"/>
                <w:caps w:val="0"/>
                <w:color w:val="000000"/>
                <w:spacing w:val="0"/>
                <w:sz w:val="16"/>
                <w:szCs w:val="16"/>
                <w:shd w:val="clear" w:fill="FFFFFF"/>
              </w:rPr>
              <w:t>商业服务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t>上海富控互动娱乐股份有限公司是A股上市公司（SH600634），2016年由传统建材行业成功转型，目前致力于网络游戏的研发与运营维护，是英国最大的游戏开发商Jagex Limited的母公司。 公司办公地点位于中山东二路88号外滩SOHO C座22层，业务主要包括交互式休闲娱乐游戏软件的开发及成品运营，以客户端游戏研发和运营为核心，致力于打造世界级游戏作品，为玩家提供卓越的游戏体验。 目前公司已在国内组建了一支研发能力突出、运营经验丰富的游戏开发和运营团队，谋求开拓国内网络游戏市场。依托和保持着海外资产的既有优势，公司将做到国内与海外资源共享、优势互补，不断丰富公司产品的内容，将公司发展成为优秀的互动娱乐企业。</w:t>
            </w:r>
          </w:p>
          <w:p>
            <w:pPr>
              <w:rPr>
                <w:b/>
              </w:rPr>
            </w:pPr>
            <w:r>
              <w:rPr>
                <w:rFonts w:hint="eastAsia"/>
                <w:b/>
              </w:rPr>
              <w:t>【案情背景</w:t>
            </w:r>
            <w:r>
              <w:rPr>
                <w:b/>
              </w:rPr>
              <w:t>】</w:t>
            </w:r>
          </w:p>
          <w:p>
            <w:pPr>
              <w:rPr>
                <w:b/>
              </w:rPr>
            </w:pPr>
            <w:r>
              <w:rPr>
                <w:b/>
              </w:rPr>
              <w:tab/>
            </w:r>
            <w:r>
              <w:rPr>
                <w:b w:val="0"/>
                <w:bCs/>
              </w:rPr>
              <w:t>6月26日，资本邦获悉，*ST富控(600634.SH)收到中国证券监督管理委员会《行政处罚及市场禁入事先告知书》。公司及相关人员涉嫌信息披露违法违规一案，已由证监会调查完毕，证监会依法拟对相关方面作出行政处罚及采取市场禁入措施。</w:t>
            </w:r>
          </w:p>
          <w:p>
            <w:pPr>
              <w:rPr>
                <w:b/>
              </w:rPr>
            </w:pPr>
            <w:r>
              <w:rPr>
                <w:rFonts w:hint="eastAsia"/>
                <w:b/>
              </w:rPr>
              <w:t>【案情描述】</w:t>
            </w:r>
          </w:p>
          <w:p>
            <w:pPr>
              <w:rPr>
                <w:b w:val="0"/>
                <w:bCs w:val="0"/>
              </w:rPr>
            </w:pPr>
            <w:r>
              <w:rPr>
                <w:b/>
                <w:bCs/>
              </w:rPr>
              <w:tab/>
            </w:r>
            <w:r>
              <w:rPr>
                <w:rFonts w:hint="default"/>
                <w:b w:val="0"/>
                <w:bCs w:val="0"/>
              </w:rPr>
              <w:t>富控互动通过虚增子公司上海中技桩业股份有限公司（以下简称中技桩业）对温岭市宏茂金属制品有限公司等32家公司的专利使用费和技术服务费收入的方式，2013年虚增利润总额27,676,356.32元，2014年虚增利润总额109,247,855.43元，2015年虚增利润总额140,246,009.53元，2016年1至9月虚增利润总额73,607,010.01元。</w:t>
            </w:r>
          </w:p>
          <w:p>
            <w:pPr>
              <w:rPr>
                <w:rFonts w:hint="default"/>
                <w:b w:val="0"/>
                <w:bCs w:val="0"/>
              </w:rPr>
            </w:pPr>
            <w:r>
              <w:rPr>
                <w:rFonts w:hint="default"/>
                <w:b w:val="0"/>
                <w:bCs w:val="0"/>
              </w:rPr>
              <w:t>富控互动通过虚增子公司中技桩业对滨州卓信建材有限公司等11家公司的专利使用费和商标使用费收入的方式，2015年虚增利润总额48,093,613.21元，2016年1至9月虚增利润总额44,995,694.07元。</w:t>
            </w:r>
          </w:p>
          <w:p>
            <w:pPr>
              <w:rPr>
                <w:rFonts w:hint="default"/>
                <w:b w:val="0"/>
                <w:bCs w:val="0"/>
              </w:rPr>
            </w:pPr>
            <w:r>
              <w:rPr>
                <w:rFonts w:hint="default"/>
                <w:b w:val="0"/>
                <w:bCs w:val="0"/>
              </w:rPr>
              <w:t>2016年10月，富控互动将其持有的中技桩业股份转让给上海中技企业集团有限公司（以下简称中技集团）子公司上海轶鹏投资管理有限公司。</w:t>
            </w:r>
          </w:p>
          <w:p>
            <w:pPr>
              <w:rPr>
                <w:rFonts w:hint="default"/>
                <w:b w:val="0"/>
                <w:bCs w:val="0"/>
              </w:rPr>
            </w:pPr>
            <w:r>
              <w:rPr>
                <w:rFonts w:hint="default"/>
                <w:b w:val="0"/>
                <w:bCs w:val="0"/>
              </w:rPr>
              <w:t>富控互动披露的《2013年年度报告》虚增利润总额27,676,356.32元，占当期披露利润总额的17.14%；《2014年年度报告》虚增利润总额109,247,855.43元，占当期披露利润总额的55.09%；《2015年年度报告》虚增利润总额188,339,622.74元，占当期披露利润总额的104.90%；《2016年年度报告》虚增营业收入118,602,704.08元，虚减投资收益118,602,704.08元，占当期披露利润总额的54.70%。</w:t>
            </w:r>
          </w:p>
          <w:p>
            <w:pPr>
              <w:rPr>
                <w:rFonts w:hint="default"/>
                <w:b w:val="0"/>
                <w:bCs w:val="0"/>
              </w:rPr>
            </w:pPr>
            <w:r>
              <w:rPr>
                <w:rFonts w:hint="default"/>
                <w:b w:val="0"/>
                <w:bCs w:val="0"/>
              </w:rPr>
              <w:t>上述行为导致富控互动相关年度报告财务数据存在虚假记载。</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t>众华会计师事务所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eastAsia"/>
                <w:i w:val="0"/>
                <w:iCs w:val="0"/>
                <w:color w:val="auto"/>
                <w:lang w:val="en-US" w:eastAsia="zh-CN"/>
              </w:rPr>
              <w:t>一、未在定期报告中披露关联交易</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富控互动《2014年年度报告》《2015年年度报告》《2016年年度报告》《2017年年度报告》《2018年半年度报告》中披露，颜静刚为富控互动实际控制人。根据《中华人民共和国公司法》第二百一十六条第四项及《上市公司信息披露管理办法》(证监会令第40号)第七十一条第三项的规定，在前述报告期内，颜静刚及其直接或者间接控制的企业为富控互动的关联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2014年至2018年上半年，富控互动及其子公司与颜静刚等关联方进行提供资金、日常购销、购买股权等业务，构成富控互动与颜静刚等关联方之间的关联交易。</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上述关联交易，2014年度新增金额为9.13亿元，占2013年度经审计净资产的39.22%;2015年度新增金额为12.44亿元，占2014年度经审计净资产的50.28%;2016年度新增金额为17.30亿元，占2015年度经审计净资产的66.46%;2017年度新增金额为33.05亿元，占2016年度经审计净资产的82.85%;2018年上半年新增金额为2.85亿元，占2017年度经审计净资产的14.24%。</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根据《公开发行证券的公司信息披露内容与格式准则第2号--年度报告的内容与格式》(证监会公告[2014]21号)第三十一条、《公开发行证券的公司信息披露内容与格式准则第2号--年度报告的内容与格式(》证监会公告[2015]24号、证监会公告[2016]31号)、证监会公告[2017]17号第四十条，《公开发行证券的公司信息披露内容与格式准则第3号--半年度报告的内容与格式》(证监会公告[2017]18号)第三十八条的规定，富控互动应当在相关年度报告和半年度报告中披露与颜静刚等关联方的关联交易情况。富控互动未在《2014年年度报告》《2015年年度报告》《2016年年度报告》《2017年年度报告》《2018年半年度报告》中披露该事项，导致相关定期报告存在重大遗漏。同时，富控互动未将其以债务人身份发生的关联借款计入财务报表，导致《2016年半年度报告》《2016年年度报告》《2017年半年度报告》《2017年年度报告》《2018年半年度报告》财务报表少计负债，存在虚假记载。</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二、在定期报告中虚增利润总额</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富控互动通过虚增子公司上海中技桩业股份有限公司(以下简称中技桩业)对温岭市宏茂金属制品有限公司等32家公司的专利使用费和技术服务费收入的方式，2013 年虚增利润总额 27,676,356.32 元，2014 年虚增利润总额109,247,855.43元，2015年虚增利润总额140,246,009.53元，2016年1至9月虚增利润总额73,607,010.01元。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富控互动通过虚增子公司中技桩业对滨州卓信建材有限公司等11家公司的专利使用费和商标使用费收入的方式，2015年虚增利润总额48,093,613.21元，2016年1至9月虚增利润总额44,995,694.07元。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2016年10月，富控互动将其持有的中技桩业股份转让给上海中技企业集团有限公司(以下简称中技集团)子公司上海轶鹏投资管理有限公司。</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富控互动披露的《2013年年度报告》虚增利润总额27,676,356.32元，占当期披露利润总额的17.14%;《2014年年度报告》虚增利润总额109,247,855.43元，占当期披露利润总额的 55.09%;《2015 年年度报告》虚增利润总额188,339,622.74元，占当期披露利润总额的104.90%;《2016年年度报告》虚增营业收入118,602,704.08元，虚减投资收益118,602,704.08元，占当期披露利润总额的54.70%。上述行为导致富控互动相关年度报告财务数据存在虚假记载。</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三、未及时披露及未在定期报告中披露对外担保</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2014年，富控互动及其子公司通过对外签订保证合同，合计向颜静刚及颜静刚控制的公司提供担保金额1.20亿元，占2013年度经审计净资产的5.15%。其中，2014年上半年向颜静刚及颜静刚控制的公司提供担保金额1亿元，占2013年度经审计净资产的4.30%。</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2016年，富控互动及其子公司通过对外签订保证合同、存单质押合同、质押担保合同、保证金质押协议等，合计发生对外担保金额68.35亿元。其中，2016年上半年，向颜静刚及颜静刚控制的公司提供担保金额19.80亿元，占2015年度经审计净资产的76.07%;2016年全年，向颜静刚及颜静刚控制的公司提供担保金额为41.35亿元，占2015年度经审计净资产的158.86%。</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2017年，富控互动及其子公司通过对外签订存单质押合同、最高额权利质押协议、权利质押协议、存单质押合同、保证合同等，合计发生对外担保金额46.59亿元。其中，2017年上半年，向颜静刚及颜静刚控制的公司提供担保金额32.19亿元，占2016年度经审计净资产的80.70%，向其他非关联方提供担保金额12.50亿元;2017年全年，向颜静刚及颜静刚控制的公司提供的担保金额为33.19亿元，占2016年度经审计净资产的83.21%。</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2018年上半年，富控互动及其子公司通过对外签订保证合同，合计发生对外担保金额0.23亿元。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根据2005年修订的《中华人民共和国证券法》(以下简称2005年《证券法》)第六十七条第二款第三项，《上市公司信息披露管理办法》(证监会令第40号)第三十条第二款第三项及第十七项的规定，参照《上海证券交易所股票上市规则》(2013年12月修订，2014年10月修订)9.1、9.11的规定，富控互动应当及时披露其签订担保合同及对外提供担保事项。富控互动未及时披露上述重大事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富控互动《2014年半年度报告》未披露当期新增对外担保金额1亿元，均为关联担保;《2014年年度报告》未披露当期新增对外担保金额1.20亿元，均为关联担保;《2016年半年度报告》未披露当期新增对外担保金额19.80亿元，均为关联担保;《2016年年度报告》未披露当期新增对外担保金额68.35亿，其中关联担保41.35亿元;《2017年半年度报告》未披露当期新增对外担保金额44.69亿元，其中关联担保32.19亿元;《2017年年度报告》未披露当期新增对外担保金额46.59亿元，其中关联担保33.19亿元;《2018年半年度报告》未披露当期新增对外担保金额0.23亿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根据《公开发行证券的公司信息披露内容与格式准则第2号--年度报告的内容与格式》(证监会公告[2014]21号)第三十一条、第三十二条第二项，《公开发行证券的公司信息披露内容与格式准则第2号--年度报告的内容与格式》(证监会公告[2016]31号、证监会公告[2017]17号)第四十条、第四十一条第二项，《公开发行证券的公司信息披露内容与格式准则第3号--半年度报告的内容与格式》(证监会公告[2014]22号)第二十八条、第二十九条第二项，《公开发行证券的公司信息披露内容与格式准则第3号--半年度报告的内容与格式》(证监会公告[2016]32号，证监会公告[2017]18号)第三十八条、第三十九条第二项的规定，富控互动应当在相关定期报告中披露其发生的关联担保和其他对外担保事项。富控互动未在《2014年半年度报告》《2014年年度报告》《2016年半年度报告》《2016年年度报告》《2017年半年度报告》《2017年年度报告》《2018年半年度报告》中披露该事项，导致相关定期报告存在重大遗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rFonts w:hint="eastAsia"/>
                <w:i w:val="0"/>
                <w:iCs w:val="0"/>
                <w:color w:val="auto"/>
              </w:rPr>
            </w:pPr>
            <w:r>
              <w:rPr>
                <w:rStyle w:val="19"/>
                <w:rFonts w:hint="eastAsia"/>
                <w:i w:val="0"/>
                <w:iCs w:val="0"/>
                <w:color w:val="auto"/>
                <w:lang w:val="en-US" w:eastAsia="zh-CN"/>
              </w:rPr>
              <w:t>四、未在定期报告中披露或有负债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eastAsia"/>
                <w:i w:val="0"/>
                <w:iCs w:val="0"/>
                <w:color w:val="auto"/>
                <w:lang w:val="en-US" w:eastAsia="zh-CN"/>
              </w:rPr>
              <w:t>2017年至2018年上半年，富控互动与颜静刚或颜静刚控制的其他公司等作为共同债务人，发生如下共同借款：2017年上半年，与共同债权人鞠海琼、陈倩磬签订最高额保证借款合同和借据，实际借款0.20亿元。2017年下半年，与债权人丁红签订借款合同，实际借款4.15亿元。2018年上半年，与共同债权人郑勇华、王闻涛签订最高额保证借款合同和借据，实际借款0.20亿元;与债权人周水荣签订借据，实际借款0.30亿元。前述借款合同、借据均未约定各债务人按份承担债务。富控互动在《2017年年度报告》中披露了与债权人丁红之间的借款合同涉诉情况，在《2018年半年度报告》中披露了与共同债权人鞠海琼、陈倩磬、与债权人丁红之间的两份借款合同涉诉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虚增收入</w:t>
            </w:r>
            <w:r>
              <w:rPr>
                <w:rFonts w:hint="eastAsia"/>
              </w:rPr>
              <w:t xml:space="preserve"> </w:t>
            </w:r>
            <w:r>
              <w:rPr>
                <w:rFonts w:hint="eastAsia"/>
                <w:lang w:val="en-US" w:eastAsia="zh-CN"/>
              </w:rPr>
              <w:t xml:space="preserve">关联方交易 内部控制 重大风险 </w:t>
            </w:r>
            <w:r>
              <w:rPr>
                <w:rFonts w:hint="eastAsia"/>
              </w:rPr>
              <w:t>无保留意见</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bookmarkStart w:id="38" w:name="_Toc13740"/>
      <w:r>
        <w:rPr>
          <w:rFonts w:hint="eastAsia"/>
          <w:lang w:val="en-US" w:eastAsia="zh-CN"/>
        </w:rPr>
        <w:t>29山东东海融资租赁股份有限公司</w:t>
      </w:r>
      <w:bookmarkEnd w:id="38"/>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r>
              <w:rPr>
                <w:rFonts w:hint="eastAsia"/>
              </w:rPr>
              <w:t>0</w:t>
            </w:r>
            <w:r>
              <w:rPr>
                <w:rFonts w:hint="eastAsia"/>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default" w:eastAsia="宋体"/>
                <w:lang w:val="en-US" w:eastAsia="zh-CN"/>
              </w:rPr>
              <w:t>山东东海融资租赁股份有限公司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微软雅黑" w:hAnsi="微软雅黑" w:eastAsia="微软雅黑" w:cs="微软雅黑"/>
                <w:i w:val="0"/>
                <w:caps w:val="0"/>
                <w:color w:val="000000"/>
                <w:spacing w:val="0"/>
                <w:sz w:val="16"/>
                <w:szCs w:val="16"/>
                <w:shd w:val="clear" w:fill="FFFFFF"/>
                <w:lang w:val="en-US" w:eastAsia="zh-CN"/>
              </w:rPr>
              <w:t>租赁</w:t>
            </w:r>
            <w:r>
              <w:rPr>
                <w:rFonts w:ascii="微软雅黑" w:hAnsi="微软雅黑" w:eastAsia="微软雅黑" w:cs="微软雅黑"/>
                <w:i w:val="0"/>
                <w:caps w:val="0"/>
                <w:color w:val="000000"/>
                <w:spacing w:val="0"/>
                <w:sz w:val="16"/>
                <w:szCs w:val="16"/>
                <w:shd w:val="clear" w:fill="FFFFFF"/>
              </w:rPr>
              <w:t>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t>山东东海融资租赁股份有限公司,2011年12月15日成立，经营范围包括融资租赁业务；租赁业务；向国内外购买租赁财产；租赁财产的残值处理及维修；租赁交易咨询和担保；兼营与主营业务有关的商业保理业务；经审批部门批准的其他业务（不得从事吸收存款、发放贷款、委托发放贷款等金融业务；不得以任何形式为承担政府公益性项目的地方政府融资平台公司提供直接或间接融资；未经相关部门批准，不得从事同业拆借、股权投资等业务；严禁借融资租赁的名义开展非法集资活动。依法须经批准的项目，经相关部门批准后方可开展经营活动，有效期以许可证为准）。</w:t>
            </w:r>
          </w:p>
          <w:p>
            <w:pPr>
              <w:rPr>
                <w:b/>
              </w:rPr>
            </w:pPr>
            <w:r>
              <w:rPr>
                <w:rFonts w:hint="eastAsia"/>
                <w:b/>
              </w:rPr>
              <w:t>【案情背景</w:t>
            </w:r>
            <w:r>
              <w:rPr>
                <w:b/>
              </w:rPr>
              <w:t>】</w:t>
            </w:r>
          </w:p>
          <w:p>
            <w:pPr>
              <w:rPr>
                <w:b/>
              </w:rPr>
            </w:pPr>
            <w:r>
              <w:rPr>
                <w:b/>
              </w:rPr>
              <w:tab/>
            </w:r>
            <w:r>
              <w:rPr>
                <w:rFonts w:hint="eastAsia"/>
                <w:b w:val="0"/>
                <w:bCs/>
              </w:rPr>
              <w:t>2020年，法庭促使双方达成了执行和解，三井株式会社同意解除对香港大海公司子公司的股权查封，并将一半的股权变更为质押担保。 2019年7月，由于东海租赁2018年度财务会计报告被出具无法表示意见的审计报告，公司股票交易被实行风险警示，公司证券简称由“东海租赁”变更为“ST 东海”。2020年6月公布前期会计差错更正公告后，公司申请从2020年7月2日起撤销股票交易风险警示。 2021年1月19日，东海租赁发布年内第一份交易异动公告，公告称公司股票最近2个有成交的交易日以内收盘价跌幅累计达到 74.915%，属于股票异常交易波动情形。时隔一个月，2月22日，东海租赁再次发布公告称最近2个有成交的交易日以内收盘价跌幅累计达到 75.00%。3月18日，东海租赁发布该年第二份股票交易异动公告。公司股票最近2个有成交的交易日以内收盘价跌幅累计达到73.33%，属于股票异常交易波动情形。东海租赁表示，经自我核实，公司不存在应披露而未披露的重大事项，不存在其他可能对股价产生较大影响的重大事件。</w:t>
            </w:r>
          </w:p>
          <w:p>
            <w:pPr>
              <w:rPr>
                <w:b/>
              </w:rPr>
            </w:pPr>
            <w:r>
              <w:rPr>
                <w:rFonts w:hint="eastAsia"/>
                <w:b/>
              </w:rPr>
              <w:t>【案情描述】</w:t>
            </w:r>
          </w:p>
          <w:p>
            <w:r>
              <w:rPr>
                <w:b/>
                <w:bCs/>
              </w:rPr>
              <w:tab/>
            </w:r>
            <w:r>
              <w:rPr>
                <w:rFonts w:hint="eastAsia"/>
                <w:b w:val="0"/>
                <w:bCs w:val="0"/>
              </w:rPr>
              <w:t>山东东海融资租赁股份有限公司（下称“东海租赁”）为大海集团下属子公司，属于家族企业，实际控制人为刘福海。 东海租赁2020年第三季度报告显示，截至2020年9月底，总资产1.42亿元，同比下降81.36%。 东海租赁2018年和2019年的财务数据均被出具异常审计意见，其中2018年财务数据在2020年6月被追溯调整，调整前2018年度净利润为-0.42亿元，调整后为-5.63亿元，调整比例为1248.81%。目前，公司 2019年年报继续被年审审计机构出具保留意见。 2018年、2019年年报和2020年半年报显示，报告期内东海租赁暂停了新业务的投放，加强了投融通业务及债权催收及不良资产处置工作，并且预计该战略将是2020年全年的总体战略方向。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lang w:val="en-US" w:eastAsia="zh-CN"/>
              </w:rPr>
              <w:t>立信</w:t>
            </w:r>
            <w: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rPr>
                <w:rStyle w:val="19"/>
                <w:rFonts w:hint="eastAsia"/>
                <w:i w:val="0"/>
                <w:iCs w:val="0"/>
                <w:color w:val="auto"/>
              </w:rPr>
              <w:t>01 | 公司概况：属于家族企业，2018年母公司经历破产重组 东海租赁成立于2011年12月，注册资本5亿元。东海租赁2020年半年报显示，其实际控制人为刘福海。刘福海直接持有大海集团83%的股权，香港大海实业为大海集团的全资子公司，香港大海实业直接持有东海租赁91.04%的股权。其中，刘福海和香港大海实业公司的董事长刘德杰为父子关系。 2018年11月，大海集团以不能清偿到期债务且资产不足以清偿全部债务为由申请破产重整，截至2018年10月底大海集团负债总额为53亿元，资产负债率为105%。2019年7月，东营中院裁定大海集团等五十七家公司实质合并重整。 02 | 业绩概况：连续两年被出具异常审计意见 东海租赁2020年第三季度报告显示，截至2020年9月底，东海租赁总资产1.42亿元，同比下降81.36%，资产负债率为46.35%。同期，报告披露前三季度累计营业总收入307.56万元，同比下降75.73%，累计净利润为负188.49万元，同比增长98.53%。 Wind数据显示，近五年，东海租赁的总资产和营业总收入持续减少，尤其是从2018年开始，公司的净利润持续为负。2020年公司前三季度累计亏损的同比减少来自于营业成本的减少，而非营业收入的增加，公司的发展态势堪忧。 需要注意的是，根据股转系统公监函[2021]026号文件披露，现有的东海租赁2018年财务数据来源于公司2020年6月披露的前期会计差错更正公告，追溯调整前2018年度净利润为负0.42亿元，调整后为负5.63亿元，调整比例为1248.81%。此外，进行更正后，公司 2019年年报继续被年审审计机构出具保留意见，同时因公司无法提供差错更正相关资料，公司财务信息不准确的情形持续未能消除。 03 | 业务板块：暂停融资租赁新业务的投放，投资短期稳健型银行理财产品 在融资租赁业务方面， 2018、2019年年报和2020年半年报显示，报告期内东海租赁暂停了新业务的投放，加强了投融通业务及债权催收及不良资产处置工作，并且预计该战略将是2020年全年的总体战略方向。东海租赁解释该决定主要考虑到传统回租项目逾期率及逾期项目数量持续攀高导致的风险。 2019年年报显示，截至2019年年底，公司存量的融资租赁业务包括售后回租和直接租赁服务、投融通业务以及与商业保理业务。2019年全年收入中，存量的融资租赁的租息收入占营业收入的比重为97.4%，为主要的收入来源。 在业务领域方面，截至2019年底，存量的融资租赁业务涉及厂商设备、光伏租赁设备、医疗设备等主要行业领域。2019年年内，前两大客户利华益利津炼化有限公司和庄河中医院带来的销售金额分别占年度销售额的32.59%和24.39%。 在区域分布方面，2019年的营业收入来源中山东省内和省外分别占47.8%和52.2%，省内营业收入集中于鲁北地区。 在投资方面，东海租赁主要投资招商银行的短期稳健型理财产品。2020年半年报显示，上半年东海租赁投资理财产品797万元，截至2020年6月30日，公司共购买理财产品金额1920万元。 04 | 股票交易：股票交易连生异动 东海租赁于2015年12月29日在新三板挂牌。 2019年3月，山东省东营市中级人民法院针对香港大海实业与三井物产株式会社销售合同纠纷一案做出裁定：冻结香港大海实业有限公司持有的东海租赁2.4亿股股权，占总股本48.00%，价值6000万元，冻结期限为2019年3月21日起至2022年3月20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eastAsia="zh-CN"/>
              </w:rPr>
            </w:pPr>
            <w:r>
              <w:rPr>
                <w:rFonts w:hint="eastAsia"/>
              </w:rPr>
              <w:t>不良资产处置</w:t>
            </w:r>
            <w:r>
              <w:rPr>
                <w:rFonts w:hint="eastAsia"/>
                <w:lang w:val="en-US" w:eastAsia="zh-CN"/>
              </w:rPr>
              <w:t xml:space="preserve"> 异常审计意见 会计差错更正</w:t>
            </w:r>
            <w:r>
              <w:rPr>
                <w:rFonts w:hint="eastAsia"/>
              </w:rPr>
              <w:t xml:space="preserve"> </w:t>
            </w:r>
            <w:r>
              <w:rPr>
                <w:rFonts w:hint="eastAsia"/>
                <w:lang w:val="en-US" w:eastAsia="zh-CN"/>
              </w:rPr>
              <w:t>无法表示意见</w:t>
            </w:r>
          </w:p>
        </w:tc>
      </w:tr>
    </w:tbl>
    <w:p/>
    <w:p>
      <w:pPr>
        <w:pStyle w:val="2"/>
      </w:pPr>
      <w:bookmarkStart w:id="39" w:name="_Toc16732"/>
      <w:r>
        <w:rPr>
          <w:rFonts w:hint="eastAsia"/>
          <w:lang w:val="en-US" w:eastAsia="zh-CN"/>
        </w:rPr>
        <w:t>30</w:t>
      </w:r>
      <w:r>
        <w:rPr>
          <w:rFonts w:hint="eastAsia"/>
        </w:rPr>
        <w:t>渤海租赁股份有限公司</w:t>
      </w:r>
      <w:bookmarkEnd w:id="39"/>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lang w:val="en-US" w:eastAsia="zh-CN"/>
              </w:rPr>
              <w:t>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租赁和商务服务业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14</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default" w:eastAsia="宋体"/>
                <w:lang w:val="en-US" w:eastAsia="zh-CN"/>
              </w:rPr>
              <w:t>渤海租赁股份有限公司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微软雅黑" w:hAnsi="微软雅黑" w:eastAsia="微软雅黑" w:cs="微软雅黑"/>
                <w:i w:val="0"/>
                <w:caps w:val="0"/>
                <w:color w:val="000000"/>
                <w:spacing w:val="0"/>
                <w:sz w:val="16"/>
                <w:szCs w:val="16"/>
                <w:shd w:val="clear" w:fill="FFFFFF"/>
                <w:lang w:val="en-US" w:eastAsia="zh-CN"/>
              </w:rPr>
              <w:t>租赁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default"/>
              </w:rPr>
            </w:pPr>
            <w:r>
              <w:tab/>
            </w:r>
            <w:r>
              <w:t>公司是于1993年经新疆维吾尔自治区股份制企业试点联审小组批准(新体[1993年]089号),以定向募集方式设立的股份有限公司。2011年10月,经新疆工商行政管理局核准变更登记,公司名称变更为"渤海租赁股份有限公司",公司英文名称变更为"Bohai Leasing Co.,ltd.",英文证券简称变更为"Bohai Leasing"。</w:t>
            </w:r>
            <w:r>
              <w:rPr>
                <w:rFonts w:hint="default"/>
              </w:rPr>
              <w:br w:type="textWrapping"/>
            </w:r>
            <w:r>
              <w:rPr>
                <w:rFonts w:hint="default"/>
              </w:rPr>
              <w:t>    2016年2月19日,公司名称由“渤海租赁股份有限公司”变更为“渤海金控投资股份有限公司”,英文名称由“Bohai Leasing Co.,Ltd.”变更为“Bohai Financial Investment Holding Co.,Ltd.”。</w:t>
            </w:r>
            <w:r>
              <w:rPr>
                <w:rFonts w:hint="default"/>
              </w:rPr>
              <w:br w:type="textWrapping"/>
            </w:r>
            <w:r>
              <w:rPr>
                <w:rFonts w:hint="default"/>
              </w:rPr>
              <w:t>    2018年11月13日,公司名称由“渤海金控投资股份有限公司”变更为“渤海租赁股份有限公司”;英文名称由“Bohai Capital Holding Co.,Ltd.”变更为“Bohai Leasing Co.,Ltd.”</w:t>
            </w:r>
          </w:p>
          <w:p>
            <w:pPr>
              <w:rPr>
                <w:b/>
              </w:rPr>
            </w:pPr>
            <w:r>
              <w:rPr>
                <w:rFonts w:hint="eastAsia"/>
                <w:b/>
              </w:rPr>
              <w:t>【案情背景</w:t>
            </w:r>
            <w:r>
              <w:rPr>
                <w:b/>
              </w:rPr>
              <w:t>】</w:t>
            </w:r>
          </w:p>
          <w:p>
            <w:pPr>
              <w:rPr>
                <w:rFonts w:hint="default"/>
                <w:b w:val="0"/>
                <w:bCs/>
              </w:rPr>
            </w:pPr>
            <w:r>
              <w:rPr>
                <w:b/>
              </w:rPr>
              <w:tab/>
            </w:r>
            <w:r>
              <w:rPr>
                <w:rFonts w:hint="eastAsia"/>
                <w:b/>
              </w:rPr>
              <w:t> </w:t>
            </w:r>
            <w:r>
              <w:rPr>
                <w:rFonts w:hint="eastAsia"/>
                <w:b w:val="0"/>
                <w:bCs/>
              </w:rPr>
              <w:t>2011 年 6 月 15 日，本公司收到中国证券登记结算有限责任公司深圳分公</w:t>
            </w:r>
            <w:r>
              <w:rPr>
                <w:rFonts w:hint="default"/>
                <w:b w:val="0"/>
                <w:bCs/>
              </w:rPr>
              <w:t>司出具的《证券登记确认书》，本公司本次重组非公开发行的 676,012,606 股人民币普通 A 股已办理完毕股份登记手续 。发行后股本总额为 976,348,440 元，变更后的注册资本为 976,348,440 元。其中，海航资本持股份额为 438,401,073股，持股比例为 44.90%；燕山投资持股份额为 119,065,736 股，持股比例为12.20%；天信投资持股份额为 41,595,017 股，持股比例为 4.26%；天保投资持股份额为 34,662,514 股，持股比例为 3.55%；远景投资持股份额为 23,108,342 股，持股比例为 2.37%；通合投资持股份额为 11,554,171 股，持股比例为 1.18%；天诚投资持股份额为 7,625,753 股，持股比例为 0.78%，舟基集团持股份额为33,000,000 股，持股比例为 3.38%，公司高管持股 40,955 股，持股比例 0.0042%，其他股东持股 267,294,879 股，持股比例 27.38%。海航资本成为公司的控股股东，海南航空股份有限公司工会委员会（以下简称“海航工会”）成为公司的最终实际控制人。</w:t>
            </w:r>
          </w:p>
          <w:p>
            <w:pPr>
              <w:rPr>
                <w:b/>
              </w:rPr>
            </w:pPr>
            <w:r>
              <w:rPr>
                <w:rFonts w:hint="eastAsia"/>
                <w:b/>
              </w:rPr>
              <w:t>【案情描述】</w:t>
            </w:r>
          </w:p>
          <w:p>
            <w:r>
              <w:rPr>
                <w:rFonts w:hint="eastAsia"/>
              </w:rPr>
              <w:t>  我们认为，贵公司备考财务报表已经按照附注“2.1 备考合并财务报表的</w:t>
            </w:r>
            <w:r>
              <w:rPr>
                <w:rFonts w:hint="default"/>
              </w:rPr>
              <w:t>编制基础”编制，在所有重大方面公允反映了贵公司 2011 年 6 月 30 日的备考合并财务状况以及 2011 年 1-6 月的备考合并经营成果和现金流量。本报告仅作为贵公司拟收购海航集团有限公司持有的海航集团（香港）有限公司 100%的股权而向中国证券监督管理委员会有关机构和深圳证券交易所报送材料之用。未经书面许可，不得用作任何其他目的。如将本报告用于其他方面，因使用不当引起的法律责任与本所和签字注册会计师无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t>中审亚太会计师事务所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pPr>
            <w:r>
              <w:rPr>
                <w:rFonts w:hint="eastAsia"/>
              </w:rPr>
              <w:t>根据渤海租赁股份有限公司(以下简称“本公司”)下属全资子公司天津渤海租赁有限公司(以下简称“天津渤海”)、香港渤海租赁资产管理有限公司(以下简称“香港租赁”)及Global Sea Containers Ltd ( 以下简称“GSC”)与Global SeaContainers Two SRL (以下简称“GSCII” )及Seaco SRL于2013年9月15日签署的附生效条件的《股份收购协议》以及本公司2013年第二次临时股东大会决议，经中国证券监督管理委员会(以下简称“中国证监会”)《关于 核准渤海租赁股份有限公司重大资产重组及向海航资本控股有限公司发行股份购买资产并募集配套资金的批复》(证监许可[2013]1634号)的核准，本公司通过下属全资控制的特殊目的公司GSC向海航集团有限公司控制的境外下属公司GSCII收购其持有的SeacoSRL100%股权。2013年12月，本公司已经实施完成了，上述股权收购。根据证监会令第73号《上市公司重大资产重组管理办法》的有关规定，本公司的上述资产收购构成重大资产重组。本次重大资产重组中Seaco SRL编制了盈利预测报告，且其公允价值根据北京中企华资产评估有限责任公司出具的中企华评报字(2013)第1191号资产评估报告确定，其评估方法使用的是收益现值法。基于此，本公司编制了相关资产(Seaco SRL) 2013年实际盈利数与利润预测数差异情况表(以下简称“差异情况表”)。根据GSC与GSCII于2013年9月15日签订的附生效条件的《业绩补偿协议》(以 下简称《业绩补偿协议》”)中的约定，2013年GSCII向GSC按Seaco SRL净利润实际与预测数及扣除非经常性损益后的净利润实际与预测数两个口径下差额较高者承担补偿义务。差异情况表中所列的相关资产2013年度盈利数( 包括净利润及扣除非经常性损益后的净利润)摘自经安永华明会计师事务所(特殊普通合伙)审计的Seaco SRL 2013年度财务报表，审计报告号为安永华明(2014) 审字第60976073_ A01号;差异情况表中所列相关资产2013年度的利润预测数中净利润预测数系摘自安永华明会计师事务所(特殊普通合伙)出具的安永华明(2013)专字第60932353_ A02号《Seaco SRL2013年度及2014年度已审核合并盈利预测报告》和中企华评报字(2013)第1191号评估报告，扣除非经常性损益后的净利润预测数系摘自《业绩补偿协议》，未经任何审计或审核。由于在本次重大资产重组中本公司未编制.上市公司的盈利预测报告，因此本差异情况表中未包括上市公司2013年实际盈利数与利润预测数的差异情况。差异情况表中的预测数和实际数所依据的重要会计政策在所有重大方面保持一致。该等重要会计政策详见上述安永华明(2013)专字第60932353_ A04号《Seaco SRL2013年度及2014年度已审核合并盈利预测报告》及安永华明(2014) 审字第60976073_ A01 号《Seaco SRL 2013年度经审计财务报表》。本差异情况表业经本公司董事会于2014年4月27日决议批准。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r>
              <w:drawing>
                <wp:inline distT="0" distB="0" distL="114300" distR="114300">
                  <wp:extent cx="3870960" cy="3266440"/>
                  <wp:effectExtent l="0" t="0" r="0" b="1016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3870960" cy="32664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lang w:val="en-US" w:eastAsia="zh-CN"/>
              </w:rPr>
              <w:t>编制差异情况表</w:t>
            </w:r>
            <w:r>
              <w:rPr>
                <w:rFonts w:hint="eastAsia"/>
              </w:rPr>
              <w:t xml:space="preserve"> 无保留意见</w:t>
            </w:r>
          </w:p>
        </w:tc>
      </w:tr>
    </w:tbl>
    <w:p/>
    <w:p>
      <w:pPr>
        <w:pStyle w:val="2"/>
        <w:rPr>
          <w:rFonts w:hint="eastAsia" w:eastAsia="宋体"/>
          <w:lang w:val="en-US" w:eastAsia="zh-CN"/>
        </w:rPr>
      </w:pPr>
      <w:bookmarkStart w:id="40" w:name="_Toc3127"/>
      <w:r>
        <w:rPr>
          <w:rFonts w:hint="eastAsia"/>
          <w:lang w:val="en-US" w:eastAsia="zh-CN"/>
        </w:rPr>
        <w:t>31</w:t>
      </w:r>
      <w:r>
        <w:rPr>
          <w:rFonts w:hint="eastAsia"/>
        </w:rPr>
        <w:t>-</w:t>
      </w:r>
      <w:r>
        <w:rPr>
          <w:rFonts w:hint="eastAsia"/>
          <w:lang w:val="en-US" w:eastAsia="zh-CN"/>
        </w:rPr>
        <w:t>40</w:t>
      </w:r>
      <w:r>
        <w:t xml:space="preserve"> </w:t>
      </w:r>
      <w:r>
        <w:rPr>
          <w:rFonts w:hint="eastAsia"/>
        </w:rPr>
        <w:t>主要分析人：</w:t>
      </w:r>
      <w:r>
        <w:rPr>
          <w:rFonts w:hint="eastAsia"/>
          <w:lang w:val="en-US" w:eastAsia="zh-CN"/>
        </w:rPr>
        <w:t>杨潇涵</w:t>
      </w:r>
      <w:bookmarkEnd w:id="4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bookmarkStart w:id="41" w:name="_Toc27286"/>
      <w:r>
        <w:rPr>
          <w:rFonts w:hint="eastAsia"/>
          <w:lang w:val="en-US" w:eastAsia="zh-CN"/>
        </w:rPr>
        <w:t>31杨凌秦丰农业科技股份有限公司</w:t>
      </w:r>
      <w:bookmarkEnd w:id="41"/>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2005年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lang w:val="en-US" w:eastAsia="zh-CN"/>
              </w:rPr>
              <w:t>杨凌秦丰农业科技股份有限公司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微软雅黑" w:hAnsi="微软雅黑" w:eastAsia="微软雅黑" w:cs="微软雅黑"/>
                <w:i w:val="0"/>
                <w:caps w:val="0"/>
                <w:color w:val="000000"/>
                <w:spacing w:val="0"/>
                <w:sz w:val="16"/>
                <w:szCs w:val="16"/>
                <w:shd w:val="clear" w:fill="FFFFFF"/>
                <w:lang w:val="en-US" w:eastAsia="zh-CN"/>
              </w:rPr>
              <w:t>农业种植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b w:val="0"/>
                <w:bCs/>
              </w:rPr>
            </w:pPr>
            <w:r>
              <w:tab/>
            </w:r>
            <w:r>
              <w:rPr>
                <w:rFonts w:hint="eastAsia"/>
                <w:b w:val="0"/>
                <w:bCs/>
              </w:rPr>
              <w:t>杨凌秦丰农业科技股份有限公司成立于1998年11月30日，公司股票于2000年6月22日在上交所挂牌交易。公司自组建以来，通过控股、参股、新设公司等一系列资本运作，形成了庞大的机体构架。作为在中国农业绿色“硅谷”——杨凌农业高新技术示范区的龙头企业，拥有包括农业科学研究院等2家科研机构、10家分公司和18家控股参股公司。“秦丰”品牌在全国有较高的知名度，其中，油菜种子占全国市场份额的80%，在全国同行业排名第一，小麦、瓜菜和玉米均列陕西省内市场第一。</w:t>
            </w:r>
          </w:p>
          <w:p>
            <w:pPr>
              <w:rPr>
                <w:b/>
              </w:rPr>
            </w:pPr>
            <w:r>
              <w:rPr>
                <w:rFonts w:hint="eastAsia"/>
                <w:b/>
              </w:rPr>
              <w:t>【案情背景</w:t>
            </w:r>
            <w:r>
              <w:rPr>
                <w:b/>
              </w:rPr>
              <w:t>】</w:t>
            </w:r>
          </w:p>
          <w:p>
            <w:pPr>
              <w:rPr>
                <w:rFonts w:hint="eastAsia"/>
                <w:b w:val="0"/>
                <w:bCs/>
              </w:rPr>
            </w:pPr>
            <w:r>
              <w:rPr>
                <w:b/>
              </w:rPr>
              <w:tab/>
            </w:r>
            <w:r>
              <w:rPr>
                <w:rFonts w:hint="eastAsia"/>
                <w:b w:val="0"/>
                <w:bCs/>
              </w:rPr>
              <w:t>上市以来连续亏损资料表明，秦丰农业的种子产品在陕西省内甚至国内有不小的市场占有率。按照常理，增加种子的产销量是公司经营管理层首先应重视的问题。但由于种种原因，2001年来种子销售一蹶不振，销售额在该公司主业收入中所占比重连年下降，而秦丰农业前几年却大销利润相对微薄的化肥。前几年的数据显示，秦丰农业化肥贸易占据了主导地位，而公司微薄利润仍靠日益减少的种子销售来支撑.（二）资金紧张此外，公司资金链或许已经断裂，有贷款不能如期偿还为证。面对众多压力，秦风农业选择对财务报表进行作假。2005年4月19日，杨凌秦丰农业科技股份有限公司（以下简称“秦丰农业”600248），公告被陕西省证监局立案调查；2005年9月2日，秦丰农业一纸公告将公司上市后连续两年财务造假的黑幕曝光。公告披露，经证监局立案稽查及公司自查，发现以前年度存在重大会计差错：2001年度利润差错6,189万元，2002年度利润差错6,764万元，多提坏账准备8万元。本期对上述重大会计差错进行了追溯调整。公司2001年年报显示，实现净利润2,722万元；2002年年报显示，实现净利润1,938万元。调整后，上述两年实际亏损3,467万元和4,826万元。</w:t>
            </w:r>
          </w:p>
          <w:p>
            <w:pPr>
              <w:rPr>
                <w:b/>
              </w:rPr>
            </w:pPr>
            <w:r>
              <w:rPr>
                <w:rFonts w:hint="eastAsia"/>
                <w:b/>
              </w:rPr>
              <w:t>【案情描述】</w:t>
            </w:r>
          </w:p>
          <w:p>
            <w:pPr>
              <w:rPr>
                <w:rFonts w:hint="eastAsia"/>
                <w:b w:val="0"/>
                <w:bCs/>
              </w:rPr>
            </w:pPr>
            <w:r>
              <w:rPr>
                <w:rFonts w:hint="eastAsia"/>
                <w:b w:val="0"/>
                <w:bCs/>
              </w:rPr>
              <w:t>（一）披露虚假负债、收入、费用和利润。其中2001-2003年三年财务报告披露的负债比实际分别少了1.26亿元、2.23亿元和2.46亿元。这些负债主要是为了掩盖委托理财所产生的资金缺口和包装利润，通过在公司账外借款和利用银行承兑汇票贴现进行融资。明明是亏损，非要做出盈利，而企业盈利必然表现为资产增加（或者负债的减少，非常少见）。既然利润是假的，那么显然公司的一部分资产也应该是假的。</w:t>
            </w:r>
          </w:p>
          <w:p>
            <w:pPr>
              <w:rPr>
                <w:rFonts w:hint="eastAsia"/>
                <w:b w:val="0"/>
                <w:bCs/>
              </w:rPr>
            </w:pPr>
            <w:r>
              <w:rPr>
                <w:rFonts w:hint="eastAsia"/>
                <w:b w:val="0"/>
                <w:bCs/>
              </w:rPr>
              <w:t>（二）2003年存在的问题本次会计差错调整因为采取了追溯调整法，调整了2004年度会计报表期初数，经与原2003年年度报告对比发现：重新披露的2003年12月31日资产负债表主要调整增加的是应付票据、应付账款等负债，相应减少了所有者权益。这未免让人怀疑公司在虚构主营业务收入，为了达到配比的要求虚构采购及主营业务成本或成本高留低转。而配合的主体是公司的关联方或控股股东所控制、影响的企业，为了避免注册会计师的审计发现，在收入确认、采购核算时配以增值税发票的开具和现金流转。</w:t>
            </w:r>
          </w:p>
          <w:p>
            <w:pPr>
              <w:rPr>
                <w:rFonts w:hint="eastAsia"/>
                <w:b w:val="0"/>
                <w:bCs/>
              </w:rPr>
            </w:pPr>
            <w:r>
              <w:rPr>
                <w:rFonts w:hint="eastAsia"/>
                <w:b w:val="0"/>
                <w:bCs/>
              </w:rPr>
              <w:t>（三）对子公司计提高达100%的坏账准备。全资或控股子公司的欠款按100%比例计提坏账准备3,100多万元，公司披露原因时不仅语焉不详，而且对纳入合并会计报表的子公司欠款如此计提坏账准备是十分罕见的。更令人震惊的是：公司应收玉米种子公司的400万元、化肥公司1,960万元在子公司账面竟踪影皆无，形成差额，也就是说如此巨额款项在上述公司不翼而飞了，公司仅以“差异尚在核实，待查明原因后再予以处理，按谨慎性原则，全额计提坏账准备”了事，令全体股东为此损失买单。</w:t>
            </w:r>
          </w:p>
          <w:p>
            <w:pPr>
              <w:rPr>
                <w:rFonts w:hint="eastAsia"/>
                <w:b w:val="0"/>
                <w:bCs/>
              </w:rPr>
            </w:pPr>
            <w:r>
              <w:rPr>
                <w:rFonts w:hint="eastAsia"/>
                <w:b w:val="0"/>
                <w:bCs/>
              </w:rPr>
              <w:t>（四）对关联企业的股权投资采用成本法计量。公司对杨凌绿方生物工程有限公司投资750万元（持股比例27.27%）、对杨凌秦丰肉类食品有限公司投资900万元（持股比例40.00%）、对西安大鹏生物科技股份公司投资1,800万元（持股比例26.67%），以上合计投资3,450万元，居然采用的是成本法核算方法，明显与国家会计法规、制度及公司会计政策违背，其对公司各年度利润的影响无从知晓。</w:t>
            </w:r>
          </w:p>
          <w:p>
            <w:pPr>
              <w:rPr>
                <w:rFonts w:hint="eastAsia"/>
                <w:b w:val="0"/>
                <w:bCs/>
              </w:rPr>
            </w:pPr>
            <w:r>
              <w:rPr>
                <w:rFonts w:hint="eastAsia"/>
                <w:b w:val="0"/>
                <w:bCs/>
              </w:rPr>
              <w:t>（五）通过其他收付资金与关联企业虚构流动资金。</w:t>
            </w:r>
          </w:p>
          <w:p>
            <w:pPr>
              <w:rPr>
                <w:rFonts w:hint="eastAsia"/>
                <w:b w:val="0"/>
                <w:bCs/>
              </w:rPr>
            </w:pPr>
            <w:r>
              <w:rPr>
                <w:rFonts w:hint="eastAsia"/>
                <w:b w:val="0"/>
                <w:bCs/>
              </w:rPr>
              <w:t>（六）一次性计提大量坏账准备。</w:t>
            </w:r>
          </w:p>
          <w:p>
            <w:pPr>
              <w:rPr>
                <w:rFonts w:hint="eastAsia"/>
                <w:b w:val="0"/>
                <w:bCs/>
              </w:rPr>
            </w:pPr>
            <w:r>
              <w:rPr>
                <w:rFonts w:hint="eastAsia"/>
                <w:b w:val="0"/>
                <w:bCs/>
              </w:rPr>
              <w:t>（七）重大事项未披露或未及时披露在信息披露方面，2000-2004年，秦丰农业未披露定期存单质押担保1.18亿元，未及时披露对外担保6,500万元，未披露两次委托理财涉及金额2亿元。</w:t>
            </w:r>
          </w:p>
          <w:p>
            <w:pPr>
              <w:rPr>
                <w:rFonts w:hint="eastAsia"/>
                <w:b w:val="0"/>
                <w:bCs/>
              </w:rPr>
            </w:pPr>
            <w:r>
              <w:rPr>
                <w:rFonts w:hint="eastAsia"/>
                <w:b w:val="0"/>
                <w:bCs/>
              </w:rPr>
              <w:t>（八）2002年募集资金使用情况披露虚假秦丰农业2002年报募集资金项目投资中，包括支付内蒙古绿洲现代农业开发有限公司7,000万元、取得4万亩土地使用权，实际购买土地使用权花费300万元，其余6,700万元分别在2001和2002年转回秦丰农业账户，“主要用于包装公司利润”</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b w:val="0"/>
                <w:bCs/>
              </w:rPr>
              <w:t>上海东华会计师事务所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rPr>
                <w:rFonts w:hint="eastAsia"/>
                <w:b w:val="0"/>
                <w:bCs/>
              </w:rPr>
            </w:pPr>
            <w:r>
              <w:rPr>
                <w:rFonts w:hint="eastAsia"/>
                <w:b w:val="0"/>
                <w:bCs/>
              </w:rPr>
              <w:t>存货作为一项非常重要的审查项目，具有流动性强、周转快、经常发生变化的特点，因此存货审计的技术及技巧要求很高，要求审计人员具有丰富的实务经验，同时还要具有敏锐的专业判断和对异常现象的感知能力及综合分析能力。那么，注册会计师如何应对舞弊风险呢？（一）充分关注企业是否存在舞弊的动机或迹象在分析企业是否存在存货舞弊时，审计人员应重视分析程序的应用。一般情况下，通过与以前年度、与行业平均水平或同行业其他企业、与企业同期计划的相关数据进行对比分析，通过对企业会计报表科目内部结构的变化进行比率分析，往往能够有效地发现存货舞弊的迹象所在。（二）对存货的内部控制制度进行测试完善的存货内部控制制度在得到良好执行的情况下，可以准确提供关于存货的数量、金额等一系列数据。因此，在了解企业的存货内部控制制度的基础上，通过对企业的采购、生产、保管、核算、销售等环节的存货实物流转程序和记录程序进行测试，是很有必要的。如果发现企业未能建立完善的存货内部控制制度，或者已建立的存货内部控制制度未能得到有效执行，审计人员对此应予以重视。（三）重视对有异常现象的存货账户、成本核算账户以及相关原始凭证的审计比如：对于价值高的存货账户，数量单价变动幅度大的存货账户，长期账实不符的存货账户，积压毁损报废的存货账户，单位价值变动大的成本核算账户，核算方法有重大变化的成本核算账户，有重大会计调整事项的存货账户、成本核算账户以及所依据的原始凭证等，审计人员应予以重点关注。（四）加强对存货的监盘和抽盘。首先应了解企业历年来存货的盘点情况，对以前年度存在账实不符的存货、价值高的存货、数量变动大的存货、长期未用的存货、毁损报废的存货、调账频繁的存货应列为监盘或抽盘的重点。盘点前应制定一个全面、细致的盘点计划并进行必要的人员和物资准备。存货必须经过整理分类，计量器具、盘点表、标签等应准备齐备。在实际监盘时，审计人员不仅要注意存货的数量，而且要注意存货的质量、包装、有效期等相关因素。存货的监盘或抽盘的比例应根据企业的存货管理水平和内部控制制度的执行情况确定，并根据实地监盘或抽盘情况决定是否扩大抽查面或对某些存货进行重新盘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eastAsia="zh-CN"/>
              </w:rPr>
            </w:pPr>
            <w:r>
              <w:rPr>
                <w:rFonts w:hint="eastAsia"/>
                <w:b w:val="0"/>
                <w:bCs/>
              </w:rPr>
              <w:t>舞弊风险</w:t>
            </w:r>
            <w:r>
              <w:rPr>
                <w:rFonts w:hint="eastAsia"/>
                <w:b w:val="0"/>
                <w:bCs/>
                <w:lang w:val="en-US" w:eastAsia="zh-CN"/>
              </w:rPr>
              <w:t xml:space="preserve"> </w:t>
            </w:r>
            <w:r>
              <w:rPr>
                <w:rFonts w:hint="eastAsia"/>
                <w:b w:val="0"/>
                <w:bCs/>
              </w:rPr>
              <w:t>存货的监盘和抽盘</w:t>
            </w:r>
            <w:r>
              <w:rPr>
                <w:rFonts w:hint="eastAsia"/>
                <w:b w:val="0"/>
                <w:bCs/>
                <w:lang w:val="en-US" w:eastAsia="zh-CN"/>
              </w:rPr>
              <w:t xml:space="preserve"> </w:t>
            </w:r>
            <w:r>
              <w:rPr>
                <w:rFonts w:hint="eastAsia"/>
                <w:b w:val="0"/>
                <w:bCs/>
              </w:rPr>
              <w:t>内部控制制度</w:t>
            </w:r>
            <w:r>
              <w:rPr>
                <w:rFonts w:hint="eastAsia"/>
                <w:b w:val="0"/>
                <w:bCs/>
                <w:lang w:val="en-US" w:eastAsia="zh-CN"/>
              </w:rPr>
              <w:t xml:space="preserve"> </w:t>
            </w:r>
            <w:r>
              <w:rPr>
                <w:rFonts w:hint="eastAsia"/>
                <w:lang w:val="en-US" w:eastAsia="zh-CN"/>
              </w:rPr>
              <w:t>无法表示意见</w:t>
            </w:r>
          </w:p>
        </w:tc>
      </w:tr>
    </w:tbl>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bookmarkStart w:id="42" w:name="_Toc14486"/>
      <w:r>
        <w:rPr>
          <w:rFonts w:hint="eastAsia"/>
          <w:lang w:val="en-US" w:eastAsia="zh-CN"/>
        </w:rPr>
        <w:t>32</w:t>
      </w:r>
      <w:r>
        <w:rPr>
          <w:rFonts w:hint="eastAsia" w:ascii="Times New Roman" w:hAnsi="Times New Roman" w:cs="Times New Roman"/>
          <w:lang w:val="en-US" w:eastAsia="zh-CN"/>
        </w:rPr>
        <w:t>万福生科（湖南）农业开发股份有限公司</w:t>
      </w:r>
      <w:bookmarkEnd w:id="4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eastAsia="宋体"/>
                <w:lang w:val="en-US" w:eastAsia="zh-CN"/>
              </w:rPr>
            </w:pPr>
            <w:r>
              <w:rPr>
                <w:rFonts w:hint="eastAsia" w:ascii="Times New Roman" w:hAnsi="Times New Roman" w:eastAsia="宋体" w:cs="Times New Roman"/>
                <w:b w:val="0"/>
                <w:bCs/>
                <w:kern w:val="2"/>
                <w:sz w:val="21"/>
                <w:szCs w:val="22"/>
                <w:lang w:val="en-US" w:eastAsia="zh-CN" w:bidi="ar-SA"/>
              </w:rPr>
              <w:t>万福生科（湖南）农业开发股份有限公司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微软雅黑" w:hAnsi="微软雅黑" w:eastAsia="微软雅黑" w:cs="微软雅黑"/>
                <w:i w:val="0"/>
                <w:caps w:val="0"/>
                <w:color w:val="000000"/>
                <w:spacing w:val="0"/>
                <w:sz w:val="16"/>
                <w:szCs w:val="16"/>
                <w:shd w:val="clear" w:fill="FFFFFF"/>
                <w:lang w:val="en-US" w:eastAsia="zh-CN"/>
              </w:rPr>
              <w:t>农业种植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bidi w:val="0"/>
              <w:spacing w:after="280" w:afterAutospacing="1"/>
              <w:jc w:val="left"/>
              <w:rPr>
                <w:rFonts w:hint="eastAsia" w:ascii="Times New Roman" w:hAnsi="Times New Roman" w:cs="Times New Roman"/>
                <w:b w:val="0"/>
                <w:bCs/>
              </w:rPr>
            </w:pPr>
            <w:r>
              <w:tab/>
            </w:r>
            <w:r>
              <w:rPr>
                <w:rFonts w:hint="eastAsia" w:ascii="Times New Roman" w:hAnsi="Times New Roman" w:cs="Times New Roman"/>
                <w:b w:val="0"/>
                <w:bCs/>
              </w:rPr>
              <w:t>万福生科主要是湖南省常德市一家从事稻米精深加工系列产品的研发、生产和销售为主营业务的公司。作为湖南首屈一指的农业型大公司，万福生科以其首创的淀粉糖在整个行业闻名，在国内获得了多项的荣誉和奖项，是国内淀粉糖技术的龙头企业，拥有非常好的市场前景。</w:t>
            </w:r>
          </w:p>
          <w:p>
            <w:pPr>
              <w:rPr>
                <w:b/>
              </w:rPr>
            </w:pPr>
            <w:r>
              <w:rPr>
                <w:rFonts w:hint="eastAsia"/>
                <w:b/>
              </w:rPr>
              <w:t>【案情背景</w:t>
            </w:r>
            <w:r>
              <w:rPr>
                <w:b/>
              </w:rPr>
              <w:t>】</w:t>
            </w:r>
          </w:p>
          <w:p>
            <w:pPr>
              <w:bidi w:val="0"/>
              <w:spacing w:after="280" w:afterAutospacing="1"/>
              <w:jc w:val="left"/>
              <w:rPr>
                <w:rFonts w:hint="eastAsia" w:ascii="Times New Roman" w:hAnsi="Times New Roman" w:cs="Times New Roman"/>
                <w:b w:val="0"/>
                <w:bCs/>
              </w:rPr>
            </w:pPr>
            <w:r>
              <w:rPr>
                <w:b/>
              </w:rPr>
              <w:tab/>
            </w:r>
            <w:r>
              <w:rPr>
                <w:sz w:val="21"/>
              </w:rPr>
              <w:t> </w:t>
            </w:r>
            <w:r>
              <w:rPr>
                <w:rFonts w:hint="eastAsia" w:ascii="Times New Roman" w:hAnsi="Times New Roman" w:cs="Times New Roman"/>
                <w:b w:val="0"/>
                <w:bCs/>
              </w:rPr>
              <w:t>万福生科在2011年9月在创业板上市以来，仅仅一年的时间就被调查;源头是因为公司的预付账款太高。证监会介入调查之后发现，2012年上半年万福生科就虚增了1.88亿元的销售收入，深挖之后发现万福生科在上市前的三年时间内大肆利用体外资金虚增利润，累计1.6亿元。在创业板首例造假的万福生科，创造了证监会对保荐机构大金额处罚的先河。在2013年5月证监会开出的罚单中，万福董事长和CFO覃学军被罚款30万元，终生禁止进入市场，中磊会计事务所罚款414万元，撤销证券从业资格，平安证券罚款7，665万元，暂停3个月的入市保荐资格;2014年龚永福、覃学军被判入狱，2017年万福生科改名佳沃股份，正式落幕。</w:t>
            </w:r>
          </w:p>
          <w:p>
            <w:pPr>
              <w:rPr>
                <w:b/>
              </w:rPr>
            </w:pPr>
            <w:r>
              <w:rPr>
                <w:rFonts w:hint="eastAsia"/>
                <w:b/>
              </w:rPr>
              <w:t>【案情描述】</w:t>
            </w:r>
          </w:p>
          <w:p>
            <w:pPr>
              <w:bidi w:val="0"/>
              <w:spacing w:after="280" w:afterAutospacing="1"/>
              <w:jc w:val="left"/>
              <w:rPr>
                <w:rFonts w:hint="eastAsia" w:ascii="Times New Roman" w:hAnsi="Times New Roman" w:cs="Times New Roman"/>
                <w:b w:val="0"/>
                <w:bCs/>
              </w:rPr>
            </w:pPr>
            <w:r>
              <w:rPr>
                <w:sz w:val="21"/>
              </w:rPr>
              <w:t xml:space="preserve">  </w:t>
            </w:r>
            <w:r>
              <w:rPr>
                <w:rFonts w:hint="eastAsia" w:ascii="Times New Roman" w:hAnsi="Times New Roman" w:cs="Times New Roman"/>
                <w:b w:val="0"/>
                <w:bCs/>
              </w:rPr>
              <w:t>1、虚构客户和供应商。万福生科使用农户和员工亲戚的身份信息去建立许多个不同银行的账号，再把钱打到这些账户里，就称之为采购的预付款，然后重新把这些资金转到公司的账户里，称之为销售货款，以此虚增销售收入。</w:t>
            </w:r>
          </w:p>
          <w:p>
            <w:pPr>
              <w:bidi w:val="0"/>
              <w:spacing w:after="280" w:afterAutospacing="1"/>
              <w:jc w:val="left"/>
              <w:rPr>
                <w:rFonts w:hint="eastAsia" w:ascii="Times New Roman" w:hAnsi="Times New Roman" w:cs="Times New Roman"/>
                <w:b w:val="0"/>
                <w:bCs/>
              </w:rPr>
            </w:pPr>
            <w:r>
              <w:rPr>
                <w:rFonts w:hint="eastAsia" w:ascii="Times New Roman" w:hAnsi="Times New Roman" w:cs="Times New Roman"/>
                <w:b w:val="0"/>
                <w:bCs/>
              </w:rPr>
              <w:t>         2、伪造订单。从采购订单、入库单、销售订单、销售发票、出库单都是独立伪造，再加上万福生科采购对象是农户而无法开票，所以采购发票也是由万福生科帮助农户代理开具的，完成了所有的票据伪造。</w:t>
            </w:r>
          </w:p>
          <w:p>
            <w:pPr>
              <w:bidi w:val="0"/>
              <w:spacing w:after="280" w:afterAutospacing="1"/>
              <w:jc w:val="left"/>
              <w:rPr>
                <w:rFonts w:hint="eastAsia" w:ascii="Times New Roman" w:hAnsi="Times New Roman" w:cs="Times New Roman"/>
                <w:b w:val="0"/>
                <w:bCs/>
              </w:rPr>
            </w:pPr>
            <w:r>
              <w:rPr>
                <w:rFonts w:hint="eastAsia" w:ascii="Times New Roman" w:hAnsi="Times New Roman" w:cs="Times New Roman"/>
                <w:b w:val="0"/>
                <w:bCs/>
              </w:rPr>
              <w:t>         3、伪造银行回单。因为公司转出转入的账户都是自然人账户，不是代表企业的法人，万福生科就伪造银行回单上对方账户的名称，流水信息不变。此类伪造具有较强隐蔽性，审计师在审计时难以发现的其中的猫腻。</w:t>
            </w:r>
          </w:p>
          <w:p>
            <w:pPr>
              <w:rPr>
                <w:rFonts w:hint="eastAsia"/>
                <w:sz w:val="21"/>
              </w:rPr>
            </w:pP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r>
              <w:rPr>
                <w:rFonts w:hint="eastAsia" w:ascii="Times New Roman" w:hAnsi="Times New Roman" w:eastAsia="宋体" w:cs="Times New Roman"/>
                <w:b w:val="0"/>
                <w:bCs/>
                <w:kern w:val="2"/>
                <w:sz w:val="21"/>
                <w:szCs w:val="22"/>
                <w:lang w:val="en-US" w:eastAsia="zh-CN" w:bidi="ar-SA"/>
              </w:rPr>
              <w:t xml:space="preserve"> 湖南启元律师事务所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bidi w:val="0"/>
              <w:spacing w:after="280" w:afterAutospacing="1"/>
              <w:jc w:val="left"/>
              <w:rPr>
                <w:sz w:val="21"/>
              </w:rPr>
            </w:pPr>
            <w:r>
              <w:rPr>
                <w:sz w:val="21"/>
              </w:rPr>
              <w:t xml:space="preserve"> （一）从农业行业特征的角度</w:t>
            </w:r>
          </w:p>
          <w:p>
            <w:pPr>
              <w:bidi w:val="0"/>
              <w:spacing w:after="280" w:afterAutospacing="1"/>
              <w:jc w:val="left"/>
              <w:rPr>
                <w:sz w:val="21"/>
              </w:rPr>
            </w:pPr>
            <w:r>
              <w:rPr>
                <w:sz w:val="21"/>
              </w:rPr>
              <w:t>         1、农业上市公司存货监盘困难。一般生产制造类企业的存货容易堆放，一般都是存放在生产车间或者仓库中，也因存放的空间比较小，易于盘点，而且不易受环境的影响，所以价值比较固定，很少会发生不可抗力因素如地震导致的仓库倒塌造成损失的情况。农业上市从事存货以生物资产为主，此类资产具有生长性和繁衍性，存放空间不仅包括陆地还有海洋，盘点困难，抽盘结果差异性大。</w:t>
            </w:r>
          </w:p>
          <w:p>
            <w:pPr>
              <w:bidi w:val="0"/>
              <w:spacing w:after="280" w:afterAutospacing="1"/>
              <w:jc w:val="left"/>
              <w:rPr>
                <w:sz w:val="21"/>
              </w:rPr>
            </w:pPr>
            <w:r>
              <w:rPr>
                <w:sz w:val="21"/>
              </w:rPr>
              <w:t>         2、以自然环境为借口。农业类企业往往是看天吃饭，天气适合农作物生长，收成就会好，企业就会有更多的原材料来加工产品;反之，如果天气不适合生物资产的生长，则会歉收，对于以前年度虚增存货来粉饰报表的农业上市公司来说，这就是对存货计提跌价准备的天赐良机。万福生科利用此方式来分别掩饰原材料供应无法稳定和虚增存货的事实。</w:t>
            </w:r>
          </w:p>
          <w:p>
            <w:pPr>
              <w:bidi w:val="0"/>
              <w:spacing w:after="280" w:afterAutospacing="1"/>
              <w:jc w:val="left"/>
              <w:rPr>
                <w:sz w:val="21"/>
              </w:rPr>
            </w:pPr>
            <w:r>
              <w:rPr>
                <w:sz w:val="21"/>
              </w:rPr>
              <w:t>         3、产品交易终端分散。农业企业的原材料来源大部分是来自于农民个体或者一些农民合作组织，又或者是提供幼崽和饲料让农民养，最后收购农民手中的成品，交易对象非常广散，注册会计师难以对交易的存在与否下定论;从交易方式的角度上说，大量的现金交易使得坐支的出现和难以复核的风险越来越大，为农业企业粉饰报表而虚构客户提供了有利环境，导致审计质量不佳。</w:t>
            </w:r>
          </w:p>
          <w:p>
            <w:pPr>
              <w:bidi w:val="0"/>
              <w:spacing w:after="280" w:afterAutospacing="1"/>
              <w:jc w:val="left"/>
              <w:rPr>
                <w:sz w:val="21"/>
              </w:rPr>
            </w:pPr>
            <w:r>
              <w:rPr>
                <w:sz w:val="21"/>
              </w:rPr>
              <w:t>         （二）从会计事务所和注册会计师的角度</w:t>
            </w:r>
          </w:p>
          <w:p>
            <w:pPr>
              <w:bidi w:val="0"/>
              <w:spacing w:after="280" w:afterAutospacing="1"/>
              <w:jc w:val="left"/>
              <w:rPr>
                <w:sz w:val="21"/>
              </w:rPr>
            </w:pPr>
            <w:r>
              <w:rPr>
                <w:sz w:val="21"/>
              </w:rPr>
              <w:t>         1、轻视存货的监盘。存货的监盘程序在整个审计过程中不可或缺，一旦存货监盘结果失真，就很可能会令审计结果偏移。尤其是对于农业企业存货而言，其价值随着时间、环境的变化增长或降低，而且农业企业的存货可能在深山、大海中，注册会计师难以盘点，若是想要监盘出最接近的数值，那么存货监盘的成本就会大幅度的上升。</w:t>
            </w:r>
          </w:p>
          <w:p>
            <w:pPr>
              <w:bidi w:val="0"/>
              <w:spacing w:after="280" w:afterAutospacing="1"/>
              <w:jc w:val="left"/>
              <w:rPr>
                <w:sz w:val="21"/>
              </w:rPr>
            </w:pPr>
            <w:r>
              <w:rPr>
                <w:sz w:val="21"/>
              </w:rPr>
              <w:t>         2、不注重审计的质量。在审计中，审计师们一般都会在资料室里面进行审查。注册会计师因为考虑到节省成本和时间的缘故不做分析性复核，只关注被审计单位的报表，很少会对同行业同期的各个财务指标进行对比，结果就无法发现其实不合理的地方。比如，万福生科在2008～2010年淀粉糖平均毛利率达到了28%，而其他同类企业的毛利率却只有10%。在全面不如竞争对手的情况下，毛利率却是人家的3倍。中磊会计事务所如果能够横向比较其他企业，不难发现其中的问题。</w:t>
            </w:r>
          </w:p>
          <w:p>
            <w:pPr>
              <w:bidi w:val="0"/>
              <w:spacing w:after="280" w:afterAutospacing="1"/>
              <w:jc w:val="left"/>
              <w:rPr>
                <w:sz w:val="21"/>
              </w:rPr>
            </w:pPr>
            <w:r>
              <w:rPr>
                <w:sz w:val="21"/>
              </w:rPr>
              <w:t>         （三）从社会的角度</w:t>
            </w:r>
          </w:p>
          <w:p>
            <w:pPr>
              <w:bidi w:val="0"/>
              <w:spacing w:after="280" w:afterAutospacing="1"/>
              <w:jc w:val="left"/>
              <w:rPr>
                <w:sz w:val="21"/>
              </w:rPr>
            </w:pPr>
            <w:r>
              <w:rPr>
                <w:sz w:val="21"/>
              </w:rPr>
              <w:t>         1、财务造假的处罚力度低。我国相关的法律法规对于农业上市公司和提供审计方的事务所合谋进行财务审计舞弊的处罚多是行政处罚，如警告、暂停执业、撤销等，对于财务报表造假的上市公司一般是让其在规定的时间内改正，并不会直接终止上市。中国证监会最初只对万福生科罚款30万元，主要犯案人员也是最高处罚了30万元，最终法院判决主要涉案人员龚永福、覃学军分别处以三年半和两年四个月的监禁，对中磊事务所的处罚也是未落到实处。</w:t>
            </w:r>
          </w:p>
          <w:p>
            <w:pPr>
              <w:bidi w:val="0"/>
              <w:spacing w:after="280" w:afterAutospacing="1"/>
              <w:jc w:val="left"/>
              <w:rPr>
                <w:sz w:val="21"/>
              </w:rPr>
            </w:pPr>
            <w:r>
              <w:rPr>
                <w:sz w:val="21"/>
              </w:rPr>
              <w:t>         2、监管不到位。农业上市公司因为其行业特殊性股份结构都是一股独大的局面，缺乏应有的内部治理结构，监事会毫无作用，根本起不到内部监管应有的作用。事实上在已经被社会熟知的多件审计失败案例中，绝大多数都由媒体曝光和企业因经营困难不得不自曝，很少由监管机构或自律组织查出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eastAsia="zh-CN"/>
              </w:rPr>
            </w:pPr>
            <w:r>
              <w:rPr>
                <w:rFonts w:hint="eastAsia" w:ascii="Times New Roman" w:hAnsi="Times New Roman" w:cs="Times New Roman"/>
                <w:b w:val="0"/>
                <w:bCs/>
              </w:rPr>
              <w:t>虚增销售收入</w:t>
            </w:r>
            <w:r>
              <w:rPr>
                <w:rFonts w:hint="eastAsia" w:ascii="Times New Roman" w:hAnsi="Times New Roman" w:cs="Times New Roman"/>
                <w:b w:val="0"/>
                <w:bCs/>
                <w:lang w:val="en-US" w:eastAsia="zh-CN"/>
              </w:rPr>
              <w:t xml:space="preserve"> </w:t>
            </w:r>
            <w:r>
              <w:rPr>
                <w:rFonts w:hint="eastAsia" w:ascii="Times New Roman" w:hAnsi="Times New Roman" w:cs="Times New Roman"/>
                <w:b w:val="0"/>
                <w:bCs/>
              </w:rPr>
              <w:t>票据伪造</w:t>
            </w:r>
            <w:r>
              <w:rPr>
                <w:rFonts w:hint="eastAsia" w:ascii="Times New Roman" w:hAnsi="Times New Roman" w:cs="Times New Roman"/>
                <w:b w:val="0"/>
                <w:bCs/>
                <w:lang w:val="en-US" w:eastAsia="zh-CN"/>
              </w:rPr>
              <w:t xml:space="preserve"> </w:t>
            </w:r>
            <w:r>
              <w:rPr>
                <w:sz w:val="21"/>
              </w:rPr>
              <w:t>存货监盘</w:t>
            </w:r>
            <w:r>
              <w:rPr>
                <w:rFonts w:hint="eastAsia"/>
                <w:sz w:val="21"/>
                <w:lang w:val="en-US" w:eastAsia="zh-CN"/>
              </w:rPr>
              <w:t xml:space="preserve"> </w:t>
            </w:r>
            <w:r>
              <w:rPr>
                <w:rFonts w:hint="eastAsia"/>
                <w:lang w:val="en-US" w:eastAsia="zh-CN"/>
              </w:rPr>
              <w:t>无法表示意见</w:t>
            </w:r>
          </w:p>
        </w:tc>
      </w:tr>
    </w:tbl>
    <w:p/>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bookmarkStart w:id="43" w:name="_Toc24940"/>
      <w:r>
        <w:rPr>
          <w:rFonts w:hint="eastAsia"/>
          <w:lang w:val="en-US" w:eastAsia="zh-CN"/>
        </w:rPr>
        <w:t>33</w:t>
      </w:r>
      <w:r>
        <w:rPr>
          <w:rFonts w:hint="eastAsia" w:ascii="Times New Roman" w:hAnsi="Times New Roman" w:cs="Times New Roman"/>
          <w:lang w:val="en-US" w:eastAsia="zh-CN"/>
        </w:rPr>
        <w:t>沈阳蓝田股份有限公司</w:t>
      </w:r>
      <w:bookmarkEnd w:id="43"/>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2002年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eastAsia="宋体"/>
                <w:lang w:val="en-US" w:eastAsia="zh-CN"/>
              </w:rPr>
            </w:pPr>
            <w:r>
              <w:rPr>
                <w:rFonts w:hint="eastAsia" w:ascii="Times New Roman" w:hAnsi="Times New Roman" w:eastAsia="宋体" w:cs="Times New Roman"/>
                <w:b w:val="0"/>
                <w:bCs/>
                <w:kern w:val="2"/>
                <w:sz w:val="21"/>
                <w:szCs w:val="22"/>
                <w:lang w:val="en-US" w:eastAsia="zh-CN" w:bidi="ar-SA"/>
              </w:rPr>
              <w:t>沈阳蓝田股份有限公司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Times New Roman" w:hAnsi="Times New Roman" w:cs="Times New Roman"/>
                <w:b w:val="0"/>
                <w:bCs/>
              </w:rPr>
              <w:t>农副水产品种养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bidi w:val="0"/>
              <w:spacing w:after="280" w:afterAutospacing="1"/>
              <w:jc w:val="left"/>
              <w:rPr>
                <w:rFonts w:hint="eastAsia" w:ascii="Times New Roman" w:hAnsi="Times New Roman" w:cs="Times New Roman"/>
                <w:sz w:val="21"/>
              </w:rPr>
            </w:pPr>
            <w:r>
              <w:tab/>
            </w:r>
            <w:r>
              <w:rPr>
                <w:rFonts w:hint="eastAsia" w:ascii="Times New Roman" w:hAnsi="Times New Roman" w:cs="Times New Roman"/>
                <w:b w:val="0"/>
                <w:bCs/>
              </w:rPr>
              <w:t>沈阳蓝田股份有限公司成立于1992年10月，以农副水产品种养、加工及销售作为其主营业务，兼营制药、卫生保健品、宾馆餐饮及烟酒批发、房地产开发等。公司1996年作为农业部第一家推荐企业发行上市，募集资金2.4亿元。自上市以来公司坚持“一业为主，多种经营、全方位开拓”的经营方针，生产规模日益扩大、效益呈跳跃式增长。在股本大规模扩张的情况下，公司利润保持同步增长，1997年净利润1.4亿元，1998年净利润3.6亿元，被投资者誉为中国农业第一股。</w:t>
            </w:r>
          </w:p>
          <w:p>
            <w:pPr>
              <w:rPr>
                <w:b/>
              </w:rPr>
            </w:pPr>
            <w:r>
              <w:rPr>
                <w:rFonts w:hint="eastAsia"/>
                <w:b/>
              </w:rPr>
              <w:t>【案情背景</w:t>
            </w:r>
            <w:r>
              <w:rPr>
                <w:b/>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b/>
              </w:rPr>
              <w:tab/>
            </w:r>
            <w:r>
              <w:rPr>
                <w:rFonts w:hint="eastAsia" w:ascii="Times New Roman" w:hAnsi="Times New Roman" w:eastAsia="宋体" w:cs="Times New Roman"/>
                <w:b w:val="0"/>
                <w:bCs/>
                <w:kern w:val="2"/>
                <w:sz w:val="21"/>
                <w:szCs w:val="22"/>
                <w:lang w:val="en-US" w:eastAsia="zh-CN" w:bidi="ar-SA"/>
              </w:rPr>
              <w:t>蓝田股份有限公司成立于1992年。在成立的最初几年里，公司的主业并不突出。直到1993年，蓝田股份有限公司下属的洪湖蓝田水产品开发有限公司成立，产业结构转变为经营农副水产品种养、加工和销售。1994年8月，蓝田的1828万国家股划归农业部持有，农业部成为蓝田股份的第二大股东。</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凭借农业部背景这个行政杠杆，蓝田最终撬开资本市场的大门。农业部将3000万股上市额度给了蓝田，1996年6月18日，蓝田股票在上交所挂牌交易，号称“中国农业第一股”。</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蓝田股份的上市成本不高，没有为上市而剥离大量债务和冗员，轻装上市。而且，蓝田股份有优惠政策扶持。其农业产业基地又在物产丰富的洪湖边上，人力成本也相对低廉，还是蓝田创始人瞿兆玉的老家。加之上市融资2.4亿元。蓝田可谓占尽天时地利人和，极有可能成为一家具有持续竞争力的上市公司。正因为如此，在蓝田股份的招股说明书中，董事长瞿兆玉抛出一个雄心勃勃的计划：4年后，年销售收入达10亿元，年税利超过2亿元。尽管此时，蓝田股份年销售额仅3亿元，年税利仅3200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众所周知，农业不可能快速增长，需要较长的发展周期。瞿兆玉要想在4年内销售收入增长300%，税利增长600%，必须走一条超常规的发展之路。</w:t>
            </w:r>
          </w:p>
          <w:p>
            <w:pPr>
              <w:bidi w:val="0"/>
              <w:spacing w:after="280" w:afterAutospacing="1"/>
              <w:jc w:val="left"/>
              <w:rPr>
                <w:rFonts w:hint="eastAsia" w:ascii="Times New Roman" w:hAnsi="Times New Roman" w:cs="Times New Roman"/>
                <w:b w:val="0"/>
                <w:bCs/>
              </w:rPr>
            </w:pPr>
          </w:p>
          <w:p>
            <w:pPr>
              <w:rPr>
                <w:b/>
              </w:rPr>
            </w:pPr>
            <w:r>
              <w:rPr>
                <w:rFonts w:hint="eastAsia"/>
                <w:b/>
              </w:rPr>
              <w:t>【案情描述】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举债扩张为圈钱</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从蓝田股份成功上市融资，瞿兆玉领悟到资本市场的力量。从1987年创业到1996年上市，整整9年时间，公司资产总额仅有2.77亿元，净资产仅1.72亿元。而一次上市融资就达2.4亿元。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由于国家政策对农业的大力扶持，上市刚满1年的蓝田股份再次获得融资资格，按照每10股配1.5股的比例进行配股，由于当时的蓝田流通盘只有6000万股，此次共募集资金1.1亿元。再次融资的成功，强化了瞿兆玉借助资本市场实现超常规发展的意识。只要把资产规模做得越大，把“中国农业第一股”的金字招牌做得越响，融资机会越大，融资越多则规模扩张越快。这是一个正循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蓝田股份上市以来，每年都要上新项目，大量投入基础设施建设。大规模的扩张需要大量的资金，蓝田当然寄希望于通过配股进行直接融资。但按照规定，每次配股与上次配股至少间隔1个财年。当配股融资无法支撑扩张时，瞿兆玉启动另一个融资杠杆——向银行贷款。据农行总行信贷部负责人介绍，仅农行就给蓝田贷款9亿元。向蓝田提供贷款的银行还包括</w:t>
            </w:r>
            <w:r>
              <w:rPr>
                <w:rFonts w:hint="eastAsia" w:ascii="Times New Roman" w:hAnsi="Times New Roman" w:eastAsia="宋体" w:cs="Times New Roman"/>
                <w:b w:val="0"/>
                <w:bCs/>
                <w:kern w:val="2"/>
                <w:sz w:val="21"/>
                <w:szCs w:val="22"/>
                <w:lang w:val="en-US" w:eastAsia="zh-CN" w:bidi="ar-SA"/>
              </w:rPr>
              <w:fldChar w:fldCharType="begin"/>
            </w:r>
            <w:r>
              <w:rPr>
                <w:rFonts w:hint="eastAsia" w:ascii="Times New Roman" w:hAnsi="Times New Roman" w:eastAsia="宋体" w:cs="Times New Roman"/>
                <w:b w:val="0"/>
                <w:bCs/>
                <w:kern w:val="2"/>
                <w:sz w:val="21"/>
                <w:szCs w:val="22"/>
                <w:lang w:val="en-US" w:eastAsia="zh-CN" w:bidi="ar-SA"/>
              </w:rPr>
              <w:instrText xml:space="preserve"> HYPERLINK "http://stockhtm.finance.qq.com/sstock/ggcx/601398.shtml" \t "https://finance.qq.com/a/20101128/_blank" </w:instrText>
            </w:r>
            <w:r>
              <w:rPr>
                <w:rFonts w:hint="eastAsia" w:ascii="Times New Roman" w:hAnsi="Times New Roman" w:eastAsia="宋体" w:cs="Times New Roman"/>
                <w:b w:val="0"/>
                <w:bCs/>
                <w:kern w:val="2"/>
                <w:sz w:val="21"/>
                <w:szCs w:val="22"/>
                <w:lang w:val="en-US" w:eastAsia="zh-CN" w:bidi="ar-SA"/>
              </w:rPr>
              <w:fldChar w:fldCharType="separate"/>
            </w:r>
            <w:r>
              <w:rPr>
                <w:rFonts w:hint="eastAsia" w:ascii="Times New Roman" w:hAnsi="Times New Roman" w:eastAsia="宋体" w:cs="Times New Roman"/>
                <w:b w:val="0"/>
                <w:bCs/>
                <w:kern w:val="2"/>
                <w:sz w:val="21"/>
                <w:szCs w:val="22"/>
                <w:lang w:val="en-US" w:eastAsia="zh-CN" w:bidi="ar-SA"/>
              </w:rPr>
              <w:t>工商银行</w:t>
            </w:r>
            <w:r>
              <w:rPr>
                <w:rFonts w:hint="eastAsia" w:ascii="Times New Roman" w:hAnsi="Times New Roman" w:eastAsia="宋体" w:cs="Times New Roman"/>
                <w:b w:val="0"/>
                <w:bCs/>
                <w:kern w:val="2"/>
                <w:sz w:val="21"/>
                <w:szCs w:val="22"/>
                <w:lang w:val="en-US" w:eastAsia="zh-CN" w:bidi="ar-SA"/>
              </w:rPr>
              <w:fldChar w:fldCharType="end"/>
            </w:r>
            <w:r>
              <w:rPr>
                <w:rFonts w:hint="eastAsia" w:ascii="Times New Roman" w:hAnsi="Times New Roman" w:eastAsia="宋体" w:cs="Times New Roman"/>
                <w:b w:val="0"/>
                <w:bCs/>
                <w:kern w:val="2"/>
                <w:sz w:val="21"/>
                <w:szCs w:val="22"/>
                <w:lang w:val="en-US" w:eastAsia="zh-CN" w:bidi="ar-SA"/>
              </w:rPr>
              <w:t>、</w:t>
            </w:r>
            <w:r>
              <w:rPr>
                <w:rFonts w:hint="eastAsia" w:ascii="Times New Roman" w:hAnsi="Times New Roman" w:eastAsia="宋体" w:cs="Times New Roman"/>
                <w:b w:val="0"/>
                <w:bCs/>
                <w:kern w:val="2"/>
                <w:sz w:val="21"/>
                <w:szCs w:val="22"/>
                <w:lang w:val="en-US" w:eastAsia="zh-CN" w:bidi="ar-SA"/>
              </w:rPr>
              <w:fldChar w:fldCharType="begin"/>
            </w:r>
            <w:r>
              <w:rPr>
                <w:rFonts w:hint="eastAsia" w:ascii="Times New Roman" w:hAnsi="Times New Roman" w:eastAsia="宋体" w:cs="Times New Roman"/>
                <w:b w:val="0"/>
                <w:bCs/>
                <w:kern w:val="2"/>
                <w:sz w:val="21"/>
                <w:szCs w:val="22"/>
                <w:lang w:val="en-US" w:eastAsia="zh-CN" w:bidi="ar-SA"/>
              </w:rPr>
              <w:instrText xml:space="preserve"> HYPERLINK "http://stockhtm.finance.qq.com/sstock/ggcx/600016.shtml" \t "https://finance.qq.com/a/20101128/_blank" </w:instrText>
            </w:r>
            <w:r>
              <w:rPr>
                <w:rFonts w:hint="eastAsia" w:ascii="Times New Roman" w:hAnsi="Times New Roman" w:eastAsia="宋体" w:cs="Times New Roman"/>
                <w:b w:val="0"/>
                <w:bCs/>
                <w:kern w:val="2"/>
                <w:sz w:val="21"/>
                <w:szCs w:val="22"/>
                <w:lang w:val="en-US" w:eastAsia="zh-CN" w:bidi="ar-SA"/>
              </w:rPr>
              <w:fldChar w:fldCharType="separate"/>
            </w:r>
            <w:r>
              <w:rPr>
                <w:rFonts w:hint="eastAsia" w:ascii="Times New Roman" w:hAnsi="Times New Roman" w:eastAsia="宋体" w:cs="Times New Roman"/>
                <w:b w:val="0"/>
                <w:bCs/>
                <w:kern w:val="2"/>
                <w:sz w:val="21"/>
                <w:szCs w:val="22"/>
                <w:lang w:val="en-US" w:eastAsia="zh-CN" w:bidi="ar-SA"/>
              </w:rPr>
              <w:t>民生银行</w:t>
            </w:r>
            <w:r>
              <w:rPr>
                <w:rFonts w:hint="eastAsia" w:ascii="Times New Roman" w:hAnsi="Times New Roman" w:eastAsia="宋体" w:cs="Times New Roman"/>
                <w:b w:val="0"/>
                <w:bCs/>
                <w:kern w:val="2"/>
                <w:sz w:val="21"/>
                <w:szCs w:val="22"/>
                <w:lang w:val="en-US" w:eastAsia="zh-CN" w:bidi="ar-SA"/>
              </w:rPr>
              <w:fldChar w:fldCharType="end"/>
            </w:r>
            <w:r>
              <w:rPr>
                <w:rFonts w:hint="eastAsia" w:ascii="Times New Roman" w:hAnsi="Times New Roman" w:eastAsia="宋体" w:cs="Times New Roman"/>
                <w:b w:val="0"/>
                <w:bCs/>
                <w:kern w:val="2"/>
                <w:sz w:val="21"/>
                <w:szCs w:val="22"/>
                <w:lang w:val="en-US" w:eastAsia="zh-CN" w:bidi="ar-SA"/>
              </w:rPr>
              <w:t>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鉴于农业投资回报周期较长，高额负债增大财务成本。蓝田股份对配股融资渴求越来越强烈，而且想来一次大配股。1997年配股时融的1.1亿元，因为盘子不大。据规定，公司配股总数不得超过其股本总数的30%。要想多配股只有将总股本做大。1997年和1998年，蓝田股份连续两年以1：1的比例实施送股。截止1999年，蓝田的总股本由上市时的9696万股猛增到4.46亿股。</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股本是上市公司最珍惜的资源，但蓝田已经不顾一切。为了多配股来减轻债务压力，以送股方式猛增股本，但业绩被摊薄有可能使配股受阻。但令人惊奇的是，1997年蓝田股份以1：1的比例送股后，每股收益为0.64元，比1996年高出0.03元；这就意味着1997年蓝田股份的收益比上年增长1倍多。1998年蓝田股份再次以1：1的比例送股后，每股收益竟高达0.81元，又比上年增长1倍多。水产品要实现规模效益就不是一朝一夕所能实现，当蓝田股份无法满足报表上的业绩增长时，除了母公司为子公司输血外，剩下的手段就只有造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增资屡屡搁浅</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蓝田股份账面资产猛增，业绩猛增。如果蓝田股份的配股能够如愿进行，蓝田的神话还会继续下去。当蓝田再次提出配股申请时，一桩陈年旧案成为蓝田的滑铁卢。1999年5月，蓝田股份再次向证监会提出配股申请，此次的配股比例为10配3(这是证监会规定的配股比例的极限)，配股价格区间为9至12元。经过两次大比例的送股，当时蓝田股份的流通股本已达1.99亿股，按照配股比例将配股5992万股。即使按照配股金额的下限9元计算，将融资5.39亿元，如果按照12元计算，融资额将高达7.19亿元。如果此次配股融资成功，银行负债将大为减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但此时，证监会正在对蓝田上市时虚增资产的违规事实进行调查。10月26日，蓝田股份接到中国证监会证《行政处罚决定书》，证监会查明蓝田股份在股票发行申报材料中，伪造证明虚增资产3870万元。受此事件的影响，蓝田的配股申请没有获得批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配股资格的丧失，使蓝田的财务链条绷紧了。2000年4月，蓝田股份再次将1999年的配股方案报证监会复审。10月，证监会再次对蓝田股份进行调查。蓝田股份的配股计划再度搁浅。2001年3月20日，蓝田股份的配股方案，再次上报证监会。同年9月和10月证监会两次派员对蓝田股份进行调查，并迫使蓝田股份发布接受调查的公告。蓝田股份的配股计划第三次落空。但从当时配股价格的上调，可以看出蓝田的财务压力越来越大。</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谎言欺骗连连</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应收账款怎么会如此之少？公司2000年销售收入18.4亿元，而应收账款仅857.2万元。2001年中期这一状况也未改变：销售收入8.2亿元，应收账款3159万元。在现代信用经济条件下，无法想像，一家现代企业数额如此巨大的销售，都是在“一手交钱，一手交货”的自然经济状态下完成的？其水产品销售，不可能是直接与每一个消费者进行交易，必然需要代理商进行代理，因此水产品销售全部“以现金交易结算”的说法是难以成立的；而销售收入达5亿元之巨的野藕汁、野莲汁等饮料，不可能也是以现金交易结算。</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融资行为为何与现金流表现不符？</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2001年中报显示，蓝田股份加大了对银行资金的依赖程度，流动资金借款增加了1.93亿元，增加幅度达200%。这与其良好的现金流表现不太相符。按照公司优秀的现金流表现，自有资金是充足的，况且其账上尚有11.4亿元的未分配利润，又何以会这样依赖于银行借贷？2000年该公司实现经营性现金净流量7.86亿元，而投资活动产生的现金净流量则为-7.15亿元(绝大部分是固定资产投入)，这两个数字极为相近，这是巧合吗？产品毛利率怎么会如此之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2000年年报以及2001中报显示，蓝田股份水产品的毛利率约为32%，饮料的毛利率达46%左右，驰名品牌</w:t>
            </w:r>
            <w:r>
              <w:rPr>
                <w:rFonts w:hint="eastAsia" w:ascii="Times New Roman" w:hAnsi="Times New Roman" w:eastAsia="宋体" w:cs="Times New Roman"/>
                <w:b w:val="0"/>
                <w:bCs/>
                <w:kern w:val="2"/>
                <w:sz w:val="21"/>
                <w:szCs w:val="22"/>
                <w:lang w:val="en-US" w:eastAsia="zh-CN" w:bidi="ar-SA"/>
              </w:rPr>
              <w:fldChar w:fldCharType="begin"/>
            </w:r>
            <w:r>
              <w:rPr>
                <w:rFonts w:hint="eastAsia" w:ascii="Times New Roman" w:hAnsi="Times New Roman" w:eastAsia="宋体" w:cs="Times New Roman"/>
                <w:b w:val="0"/>
                <w:bCs/>
                <w:kern w:val="2"/>
                <w:sz w:val="21"/>
                <w:szCs w:val="22"/>
                <w:lang w:val="en-US" w:eastAsia="zh-CN" w:bidi="ar-SA"/>
              </w:rPr>
              <w:instrText xml:space="preserve"> HYPERLINK "http://stockhtm.finance.qq.com/sstock/ggcx/000848.shtml" \t "https://finance.qq.com/a/20101128/_blank" </w:instrText>
            </w:r>
            <w:r>
              <w:rPr>
                <w:rFonts w:hint="eastAsia" w:ascii="Times New Roman" w:hAnsi="Times New Roman" w:eastAsia="宋体" w:cs="Times New Roman"/>
                <w:b w:val="0"/>
                <w:bCs/>
                <w:kern w:val="2"/>
                <w:sz w:val="21"/>
                <w:szCs w:val="22"/>
                <w:lang w:val="en-US" w:eastAsia="zh-CN" w:bidi="ar-SA"/>
              </w:rPr>
              <w:fldChar w:fldCharType="separate"/>
            </w:r>
            <w:r>
              <w:rPr>
                <w:rFonts w:hint="eastAsia" w:ascii="Times New Roman" w:hAnsi="Times New Roman" w:eastAsia="宋体" w:cs="Times New Roman"/>
                <w:b w:val="0"/>
                <w:bCs/>
                <w:kern w:val="2"/>
                <w:sz w:val="21"/>
                <w:szCs w:val="22"/>
                <w:lang w:val="en-US" w:eastAsia="zh-CN" w:bidi="ar-SA"/>
              </w:rPr>
              <w:t>承德露露</w:t>
            </w:r>
            <w:r>
              <w:rPr>
                <w:rFonts w:hint="eastAsia" w:ascii="Times New Roman" w:hAnsi="Times New Roman" w:eastAsia="宋体" w:cs="Times New Roman"/>
                <w:b w:val="0"/>
                <w:bCs/>
                <w:kern w:val="2"/>
                <w:sz w:val="21"/>
                <w:szCs w:val="22"/>
                <w:lang w:val="en-US" w:eastAsia="zh-CN" w:bidi="ar-SA"/>
              </w:rPr>
              <w:fldChar w:fldCharType="end"/>
            </w:r>
            <w:r>
              <w:rPr>
                <w:rFonts w:hint="eastAsia" w:ascii="Times New Roman" w:hAnsi="Times New Roman" w:eastAsia="宋体" w:cs="Times New Roman"/>
                <w:b w:val="0"/>
                <w:bCs/>
                <w:kern w:val="2"/>
                <w:sz w:val="21"/>
                <w:szCs w:val="22"/>
                <w:lang w:val="en-US" w:eastAsia="zh-CN" w:bidi="ar-SA"/>
              </w:rPr>
              <w:t>毛利率不足30%。从公司销售的产品结构来看，以</w:t>
            </w:r>
            <w:r>
              <w:rPr>
                <w:rFonts w:hint="eastAsia" w:ascii="Times New Roman" w:hAnsi="Times New Roman" w:eastAsia="宋体" w:cs="Times New Roman"/>
                <w:b w:val="0"/>
                <w:bCs/>
                <w:kern w:val="2"/>
                <w:sz w:val="21"/>
                <w:szCs w:val="22"/>
                <w:lang w:val="en-US" w:eastAsia="zh-CN" w:bidi="ar-SA"/>
              </w:rPr>
              <w:fldChar w:fldCharType="begin"/>
            </w:r>
            <w:r>
              <w:rPr>
                <w:rFonts w:hint="eastAsia" w:ascii="Times New Roman" w:hAnsi="Times New Roman" w:eastAsia="宋体" w:cs="Times New Roman"/>
                <w:b w:val="0"/>
                <w:bCs/>
                <w:kern w:val="2"/>
                <w:sz w:val="21"/>
                <w:szCs w:val="22"/>
                <w:lang w:val="en-US" w:eastAsia="zh-CN" w:bidi="ar-SA"/>
              </w:rPr>
              <w:instrText xml:space="preserve"> HYPERLINK "http://stockhtm.finance.qq.com/sstock/ggcx/000061.shtml" \t "https://finance.qq.com/a/20101128/_blank" </w:instrText>
            </w:r>
            <w:r>
              <w:rPr>
                <w:rFonts w:hint="eastAsia" w:ascii="Times New Roman" w:hAnsi="Times New Roman" w:eastAsia="宋体" w:cs="Times New Roman"/>
                <w:b w:val="0"/>
                <w:bCs/>
                <w:kern w:val="2"/>
                <w:sz w:val="21"/>
                <w:szCs w:val="22"/>
                <w:lang w:val="en-US" w:eastAsia="zh-CN" w:bidi="ar-SA"/>
              </w:rPr>
              <w:fldChar w:fldCharType="separate"/>
            </w:r>
            <w:r>
              <w:rPr>
                <w:rFonts w:hint="eastAsia" w:ascii="Times New Roman" w:hAnsi="Times New Roman" w:eastAsia="宋体" w:cs="Times New Roman"/>
                <w:b w:val="0"/>
                <w:bCs/>
                <w:kern w:val="2"/>
                <w:sz w:val="21"/>
                <w:szCs w:val="22"/>
                <w:lang w:val="en-US" w:eastAsia="zh-CN" w:bidi="ar-SA"/>
              </w:rPr>
              <w:t>农产品</w:t>
            </w:r>
            <w:r>
              <w:rPr>
                <w:rFonts w:hint="eastAsia" w:ascii="Times New Roman" w:hAnsi="Times New Roman" w:eastAsia="宋体" w:cs="Times New Roman"/>
                <w:b w:val="0"/>
                <w:bCs/>
                <w:kern w:val="2"/>
                <w:sz w:val="21"/>
                <w:szCs w:val="22"/>
                <w:lang w:val="en-US" w:eastAsia="zh-CN" w:bidi="ar-SA"/>
              </w:rPr>
              <w:fldChar w:fldCharType="end"/>
            </w:r>
            <w:r>
              <w:rPr>
                <w:rFonts w:hint="eastAsia" w:ascii="Times New Roman" w:hAnsi="Times New Roman" w:eastAsia="宋体" w:cs="Times New Roman"/>
                <w:b w:val="0"/>
                <w:bCs/>
                <w:kern w:val="2"/>
                <w:sz w:val="21"/>
                <w:szCs w:val="22"/>
                <w:lang w:val="en-US" w:eastAsia="zh-CN" w:bidi="ar-SA"/>
              </w:rPr>
              <w:t>为基础的相关产品，都应是低附加值商品，一般情况下，这种产品结构的企业，除非是基于以下几种情况才会有如此高的毛利率：1、产品市场被公司绝对垄断，产品价格由公司完全控制；2、产品具有超常低成本的优势。从实际情况看，以公司现有的行业属性、市场环境、产品技术含量等方面进行评估，达到这样高的赢利水平的可能性很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而真正揭开蓝田业绩之谜的是ST生态2001年年报，三年来的财务指标来了一个“大变脸”：主营业务收入，1999年调整前是18亿5千多万元，调整后是2千4百多万元，2000年调整前是18亿4千多万元，调整后不到4千万元，2001年是5千5百多万元。调整后的主营业务收入不到调整前的零头。净利润，1999年调整前是5亿1千多万元，调整后是负的2千2百多万元，2000年，调整前是4亿3千多万元，调整后是负的1千多万元，2001年是负的8千多万元。每股收益，1999年调整前是1.15元，调整后是负的0.0049元，2000年调整前是0.97元，调整后是负的0.0239元，2001年是的0.18元。净利润和每股收益调整后来了一个“乾坤大挪移”，数据全都由正变副了，蓝田股份完全由 “绩优股”变成了“垃圾股”。</w:t>
            </w:r>
          </w:p>
          <w:p>
            <w:pPr>
              <w:pStyle w:val="11"/>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right="0" w:firstLine="42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会计造假，虚增资产 　　其一，固定资产造假。资料显示，其规模增长速度过快，且严重超过业务的扩张速度。报表显示，在1998-2000年间，蓝田固定资产净值增长率分别达到356.65%、274.85%及54.57%。截至2000年底，其固定资产账面数额已高达21.69亿，占总资产数值的76.4%。此外，企业在建工程的工期不断拖延，各项支出明显超出预算，并与固定资产的项目分类发生混淆。固定资产计提折旧的年限也过长，减少了每期累计折旧额的计提。 　　其二，捏造虚假的资产结构。根据2000年的公司财务资料显示，蓝田的流动比率为0.77，而企业需维持的平均水平为2，这表明短期内拥有可变现能力的流动资产并不能够应付并偿还短期内到期的流动负债；企业速动比率为0.35，而一般企业的平均水平为1，这表明流动资产减除存货后的余额远远低于短期流动负债的数额。此外，流动资产、存货、固定资产等占总资产的比例也不尽合理。 　　其三，蓝田股份公司在申请股票发行申报的材料中，对涉及的有关批复、批文及土地证进行了伪造，导致企业的无形资产虚增高达1100万元。 　　其四，在公司上市之前，于1995年12月间，蓝田伪造了三个银行存款账户的对账单，对银行存款进行了虚假记录，导致银行存款的账面价值虚增2770万。 　　</w:t>
            </w:r>
          </w:p>
          <w:p>
            <w:pPr>
              <w:pStyle w:val="11"/>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left="0" w:leftChars="0" w:right="0" w:rightChars="0" w:firstLine="420" w:firstLineChars="0"/>
              <w:jc w:val="left"/>
            </w:pPr>
            <w:r>
              <w:rPr>
                <w:rFonts w:hint="eastAsia" w:ascii="Times New Roman" w:hAnsi="Times New Roman" w:eastAsia="宋体" w:cs="Times New Roman"/>
                <w:b w:val="0"/>
                <w:bCs/>
                <w:kern w:val="2"/>
                <w:sz w:val="21"/>
                <w:szCs w:val="22"/>
                <w:lang w:val="en-US" w:eastAsia="zh-CN" w:bidi="ar-SA"/>
              </w:rPr>
              <w:t>财务造假，虚增利润 　　其一，虚增收入。蓝田在其经营期间成功塑造了“金鸭子 “ 野莲汁、野藕汁” 及“无氧鱼 “的神话。报表显示的农副水产品12.7亿元的收入具有明显造假嫌疑。仅凭正常喂养的鸭子，一年产蛋量竟高达300多只，每只鸭蛋平均净利高达0.4元；广告打得响，却不见周边消费的饮料年收入高达2个亿；每亩水面的鱼产值高达2、3万元。这些造假无疑是漏洞百出，纯属天方夜谈。 　　其二，虚减成本费用。报表中，公司2000年对于野藕汁、野莲汁饮料在央视的宣传广告费用而发生的巨额支出不见踪迹。现金流量表中，观察 “支付给职工以及为职工支付的现金”这一栏可以看出，蓝田于2000年支付给职工的工资总额为2256万元，假设公司有13000个职工，则人均月收入仅为144.5元；且公司于2001年上半年平均支付给每位职工的工资额仅为185元。外界不禁惊叹，一向业绩如此优异的蓝田公司职工收入竟如此之低，这显然不合逻辑。 　</w:t>
            </w: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right="0" w:rightChars="0" w:firstLine="420" w:firstLineChars="200"/>
              <w:jc w:val="left"/>
            </w:pPr>
            <w:r>
              <w:rPr>
                <w:rFonts w:hint="eastAsia" w:ascii="Times New Roman" w:hAnsi="Times New Roman" w:eastAsia="宋体" w:cs="Times New Roman"/>
                <w:b w:val="0"/>
                <w:bCs/>
                <w:kern w:val="2"/>
                <w:sz w:val="21"/>
                <w:szCs w:val="22"/>
                <w:lang w:val="en-US" w:eastAsia="zh-CN" w:bidi="ar-SA"/>
              </w:rPr>
              <w:t>　3、其他造假事实 　　其一，蓝田股份隐瞒了其缩减1600万股本的事实，对其并未进行披露。其二，会计资料显示，公司的应收帐款非常之少。报表中企业的主营业务收入为18.4亿元，但应收账款账面价值却仅为857万元。根据财务管理的有关知识，如果一个企业多采用“钱货两清”的方式进行结算，在应收账款的数额减少的同时，也会导致业务的下降，收入的锐减，而这显然不符合蓝田的情况。其三，公司与关联方的关系较为混乱，与关联方有关的其他应付款科目数额巨大。资料显示，作为中国蓝田总公司的分公司，蓝田股份对其总公司等关联方的巨额资金形成了占用。其四，企业通过银行大量融资，然而报表显示每年均有大量净现金流入，二者方向背离，与逻辑不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r>
              <w:rPr>
                <w:rFonts w:hint="eastAsia" w:ascii="Times New Roman" w:hAnsi="Times New Roman" w:eastAsia="宋体" w:cs="Times New Roman"/>
                <w:b w:val="0"/>
                <w:bCs/>
                <w:kern w:val="2"/>
                <w:sz w:val="21"/>
                <w:szCs w:val="22"/>
                <w:lang w:val="en-US" w:eastAsia="zh-CN" w:bidi="ar-SA"/>
              </w:rPr>
              <w:t xml:space="preserve"> 沈阳华伦会计师事务所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bidi w:val="0"/>
              <w:spacing w:after="280" w:afterAutospacing="1"/>
              <w:jc w:val="left"/>
              <w:rPr>
                <w:rStyle w:val="19"/>
                <w:i w:val="0"/>
                <w:iCs w:val="0"/>
                <w:color w:val="auto"/>
              </w:rPr>
            </w:pPr>
            <w:r>
              <w:rPr>
                <w:sz w:val="21"/>
              </w:rPr>
              <w:t xml:space="preserve"> </w:t>
            </w:r>
            <w:r>
              <w:rPr>
                <w:rFonts w:hint="eastAsia" w:ascii="Times New Roman" w:hAnsi="Times New Roman" w:eastAsia="宋体" w:cs="Times New Roman"/>
                <w:b w:val="0"/>
                <w:bCs/>
                <w:kern w:val="2"/>
                <w:sz w:val="21"/>
                <w:szCs w:val="22"/>
                <w:lang w:val="en-US" w:eastAsia="zh-CN" w:bidi="ar-SA"/>
              </w:rPr>
              <w:t>蓝田股份财务造假被外界披露后，监管部门发现蓝田历年的会计账目十分混乱，舞弊及重大错报现象严重。沈阳华伦会计师事务所在对蓝田涉嫌造假的申请上市的材料以及经营期间的年报进行审计时出具的与事实不符的审计意见实在匪夷所思，审计人员的执业能力之低、责任意识之差，令人咋舌。蓝田审计的失败，原因主要从两方面考虑：一方面，从被审计单位的角度进行分析，蓝田股份公司的财务会计信息大量造假，为审计的失败创造了可能。另一方面，从会计师事务所及审计人员的角度进行分析，主要体现在以下三点： 　　1、审计人员执业能力偏低，审计程序不当 　　刘姝威发表的文章受到银行业的关注，各银行纷纷停止了对蓝田的放款，使蓝田的伪装系统瞬间崩溃。这引发我们的思考，揭露蓝田造假事实的竟为审计业外人士，相比之下，那些通过审计执业资格考试，受过高等审计教育培训的正规注册会计师们却未能及时发现蓝田的造假事实。仔细分析，不难发现，蓝田的造假手法很简单，只要审计人员认真执行审计、分析性复核等程序，就可以避免本次审计不当案例的发生。对蓝田的审计中，审计人员不具备相应的执业能力，未保持应有的职业关注，对被审计单位的经营活动、经营环境及会计信息的处理过程未进行充分的了解，也没有执行必要的审计实质性测试，导致本次审计失败的发生。蓝田通过财务虚假“创造“了利润，注册会计师的失职使我国商业银行及中小股民成为最大的受害者，国家财政也因此遭受了损失。 　　2、审计人员由于道德风险与职业谨慎导致的过失行为 　　所谓审计道德风险，是审计风险表现形式中最重要的一种，是指审计人员因违反工作程序及审计纪律而给审计工作带来不利影响或后果的行为，并且这种行为是有意的。所谓职业谨慎，是指审计人员在防范审计风险过程中应持有的认真态度。在对蓝田的审计过程中，审计人员未能规避道德风险，未能保持应有的谨慎态度对存货、固定资产、无形资产及利润的报表数据进行分析，未能对蓝田的内部控制系统、重要性水平及审计风险进行合理地评估，也未能充分执行各项审计程序、认真得对审计工作底稿及审计结果进行复核，从而纵容了审计人员过失行为的发生，导致审计失败。 　　3、审计方法出现缺陷 　　其一，在对蓝田股份进行审计时，华伦会计师事务所的审计人员对蓝田的内部控制测试过度依赖，过度信任内部审计的结果。实际上，企业内控制度系统的运行很大程度上会受到企业内部管理局限性的影响，当审计人员准备相信被审计单位的内控制度为有效时，内部控制测试便成为审计的一项必要环节，内控制度设计或运行情况的不合理、会计信息的失真都会导致内部审计的失败。 　　其二，采用统计抽样方法进行审计。此方法较传统，并且具有一定风险性与机械性。在采样取证不均衡、样本情况较为复杂或出现新问题的情况下，审计可靠性极易受到影响，从而导致审计的失败。 　　（二）审计失败应承担的法律后果 　　根据我国《注册会计师法》等多项法律规定，在本案例中，蓝田公司的管理层应针对财务报表的舞弊及重大错报事项承担会计责任；会计师事务所及注册会计师应对审计过程中出现的失误与遗漏承担审计责任，主要指行政责任，需要接受有关监管部门实施的处罚措施。 　　三、案例启示 　　（一）审计人员应遵守执业准则，遵循审计流程，提高自身执业能力 　　随着经济改革的不断深入与市场经济的迅速发展，日益变化的审计环境对审计人员提出了更高的要求，审计人员必须遵守新准则，遵循新的审计流程，不断提高自身执业能力，践行执业准则，保证审计工作的顺利开展及服务质量的提高，促进国内外审计经验的交流。具体工作中，审计工作人员需要按照审计业务的基本流程开展审计工作，制定审计计划，按要求实施计划，充分了解被审计单位的各项情况，对重大错报的风险进行评估，并采取合理的措施应对风险，根据被审计单位的具体情况确定是否执行控制测试，对于重大交易、余额披露的审计资料执行实质性程序，确定进一步的总体执行方案。审计完成时，需出具真实合理的审计意见。 　　（二）审计人员应恪守职业道德，保持独立性，提高职业谨慎 　　注册会计师在执行审计业务的过程中，必须遵守职业道德基本原则并保持工作中应有的职业谨慎。开展审计工作时，审计人员需遵守诚信、客观、公正、保密的职业道德基本准则，对审计事项的重要性水平进行评估，对审计的风险水平进行合理判断，遵守审计准则、规范，采取积极地应对措施防范可能对审计造成不利影响的因素，解决道德及利益冲突问题，保持实质上及形式上的独立性，提高审计的客观性、意见的可靠性，尽可能地避免因疏忽大意造成的对重要事项审计的遗漏及审计结论的错误。审计人员需担任起证券市场“守护神”的光荣使命，坚持原则，提高责任意识，降低审计失败的风险。与此同时，会计师事务所应不断地建立健全审计质量控制机制，促使审计人员道德水准与执业能力的全面提升，促进资本市场与证券市场的健康发展。 　　（三）接受审计申请时需谨慎，加大对审计业务的监督与惩罚力度 　　谨慎选择审计客户，可以在一定程度上降低审计失败的概率。当被审计单位向会计师事务所提出审计申请时，注册会计师需持严谨的态度，对客户的信誉、品德、能力、经营状况等进行全方位了解，评估其造假的可能。针对有造假嫌疑并怀有恶意目的的企业，要抵制各方面诱惑并予以拒绝，保持坚定的态度，坚守审计的原则。需注意的是，注册会计师需对陷入财务或法律困境的企业给予特别关注，谨防其业务与报表的复杂性导致审计失败风险及审计难度的增加。另一方面，要通过多种途径加大对审计工作的监督，改革监督方式，创新监管思路，利用三级审核、事务所内部、社会及舆论等监督渠道，对审计人员的审计工作进行有效监督。制定严厉的处罚措施，加大对审计失败人员的惩罚力度，提高审计人员的职业道德压力及审计过失的风险成本，降低审计人员舞弊的可能，减少审计失败，为社会营造一个良好的审计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eastAsia="zh-CN"/>
              </w:rPr>
            </w:pPr>
            <w:r>
              <w:rPr>
                <w:rFonts w:hint="eastAsia" w:ascii="Times New Roman" w:hAnsi="Times New Roman" w:eastAsia="宋体" w:cs="Times New Roman"/>
                <w:b w:val="0"/>
                <w:bCs/>
                <w:kern w:val="2"/>
                <w:sz w:val="21"/>
                <w:szCs w:val="22"/>
                <w:lang w:val="en-US" w:eastAsia="zh-CN" w:bidi="ar-SA"/>
              </w:rPr>
              <w:t>经营性现金净流量</w:t>
            </w:r>
            <w:r>
              <w:rPr>
                <w:rFonts w:hint="eastAsia" w:ascii="Times New Roman" w:hAnsi="Times New Roman" w:cs="Times New Roman"/>
                <w:b w:val="0"/>
                <w:bCs/>
                <w:kern w:val="2"/>
                <w:sz w:val="21"/>
                <w:szCs w:val="22"/>
                <w:lang w:val="en-US" w:eastAsia="zh-CN" w:bidi="ar-SA"/>
              </w:rPr>
              <w:t xml:space="preserve"> </w:t>
            </w:r>
            <w:r>
              <w:rPr>
                <w:rFonts w:hint="eastAsia" w:ascii="Times New Roman" w:hAnsi="Times New Roman" w:eastAsia="宋体" w:cs="Times New Roman"/>
                <w:b w:val="0"/>
                <w:bCs/>
                <w:kern w:val="2"/>
                <w:sz w:val="21"/>
                <w:szCs w:val="22"/>
                <w:lang w:val="en-US" w:eastAsia="zh-CN" w:bidi="ar-SA"/>
              </w:rPr>
              <w:t>会计造假，虚增资产</w:t>
            </w:r>
            <w:r>
              <w:rPr>
                <w:rFonts w:hint="eastAsia" w:ascii="Times New Roman" w:hAnsi="Times New Roman" w:cs="Times New Roman"/>
                <w:b w:val="0"/>
                <w:bCs/>
                <w:kern w:val="2"/>
                <w:sz w:val="21"/>
                <w:szCs w:val="22"/>
                <w:lang w:val="en-US" w:eastAsia="zh-CN" w:bidi="ar-SA"/>
              </w:rPr>
              <w:t xml:space="preserve"> </w:t>
            </w:r>
            <w:r>
              <w:rPr>
                <w:rFonts w:hint="eastAsia" w:ascii="Times New Roman" w:hAnsi="Times New Roman" w:eastAsia="宋体" w:cs="Times New Roman"/>
                <w:b w:val="0"/>
                <w:bCs/>
                <w:kern w:val="2"/>
                <w:sz w:val="21"/>
                <w:szCs w:val="22"/>
                <w:lang w:val="en-US" w:eastAsia="zh-CN" w:bidi="ar-SA"/>
              </w:rPr>
              <w:t>财务造假，虚增利润</w:t>
            </w:r>
          </w:p>
        </w:tc>
      </w:tr>
    </w:tbl>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bookmarkStart w:id="44" w:name="_Toc982"/>
      <w:r>
        <w:rPr>
          <w:rFonts w:hint="eastAsia"/>
          <w:lang w:val="en-US" w:eastAsia="zh-CN"/>
        </w:rPr>
        <w:t>34</w:t>
      </w:r>
      <w:r>
        <w:rPr>
          <w:rFonts w:hint="eastAsia" w:ascii="Times New Roman" w:hAnsi="Times New Roman" w:cs="Times New Roman"/>
          <w:lang w:val="en-US" w:eastAsia="zh-CN"/>
        </w:rPr>
        <w:t>云南省绿大地生物科技股份有限公司</w:t>
      </w:r>
      <w:bookmarkEnd w:id="44"/>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2013年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eastAsia="宋体"/>
                <w:lang w:val="en-US" w:eastAsia="zh-CN"/>
              </w:rPr>
            </w:pPr>
            <w:r>
              <w:rPr>
                <w:rFonts w:hint="eastAsia" w:ascii="Times New Roman" w:hAnsi="Times New Roman" w:eastAsia="宋体" w:cs="Times New Roman"/>
                <w:kern w:val="2"/>
                <w:sz w:val="21"/>
                <w:szCs w:val="22"/>
                <w:lang w:val="en-US" w:eastAsia="zh-CN" w:bidi="ar-SA"/>
              </w:rPr>
              <w:t>云南省绿大地生物科技股份有限公司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lang w:val="en-US"/>
              </w:rPr>
            </w:pPr>
            <w:r>
              <w:rPr>
                <w:rFonts w:hint="eastAsia" w:ascii="微软雅黑" w:hAnsi="微软雅黑" w:eastAsia="微软雅黑" w:cs="微软雅黑"/>
                <w:i w:val="0"/>
                <w:caps w:val="0"/>
                <w:color w:val="000000"/>
                <w:spacing w:val="0"/>
                <w:sz w:val="16"/>
                <w:szCs w:val="16"/>
                <w:shd w:val="clear" w:fill="FFFFFF"/>
                <w:lang w:val="en-US" w:eastAsia="zh-CN"/>
              </w:rPr>
              <w:t>花卉养殖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tab/>
            </w:r>
            <w:r>
              <w:rPr>
                <w:rFonts w:hint="default" w:ascii="Times New Roman" w:hAnsi="Times New Roman" w:eastAsia="宋体" w:cs="Times New Roman"/>
                <w:kern w:val="2"/>
                <w:sz w:val="21"/>
                <w:szCs w:val="22"/>
                <w:lang w:val="en-US" w:eastAsia="zh-CN" w:bidi="ar-SA"/>
              </w:rPr>
              <w:t>云南绿大地生物科技股份有限公司（股票代码：002200.sz）（简称“绿大地”）前身是云南河口绿大地实业有限公司，成立于1996年6月，2001年3月以整体变更方式设立为股份有限公司，公司向社会</w:t>
            </w:r>
            <w:r>
              <w:rPr>
                <w:rFonts w:hint="default" w:ascii="Times New Roman" w:hAnsi="Times New Roman" w:eastAsia="宋体" w:cs="Times New Roman"/>
                <w:kern w:val="2"/>
                <w:sz w:val="21"/>
                <w:szCs w:val="22"/>
                <w:lang w:val="en-US" w:eastAsia="zh-CN" w:bidi="ar-SA"/>
              </w:rPr>
              <w:fldChar w:fldCharType="begin"/>
            </w:r>
            <w:r>
              <w:rPr>
                <w:rFonts w:hint="default" w:ascii="Times New Roman" w:hAnsi="Times New Roman" w:eastAsia="宋体" w:cs="Times New Roman"/>
                <w:kern w:val="2"/>
                <w:sz w:val="21"/>
                <w:szCs w:val="22"/>
                <w:lang w:val="en-US" w:eastAsia="zh-CN" w:bidi="ar-SA"/>
              </w:rPr>
              <w:instrText xml:space="preserve"> HYPERLINK "https://baike.baidu.com/item/%E5%85%AC%E5%BC%80%E5%8F%91%E8%A1%8C%E8%82%A1%E7%A5%A8" \t "https://baike.baidu.com/item/%E4%BA%91%E5%8D%97%E7%BB%BF%E5%A4%A7%E5%9C%B0%E7%94%9F%E7%89%A9%E7%A7%91%E6%8A%80%E8%82%A1%E4%BB%BD%E6%9C%89%E9%99%90%E5%85%AC%E5%8F%B8/_blank" </w:instrText>
            </w:r>
            <w:r>
              <w:rPr>
                <w:rFonts w:hint="default" w:ascii="Times New Roman" w:hAnsi="Times New Roman" w:eastAsia="宋体" w:cs="Times New Roman"/>
                <w:kern w:val="2"/>
                <w:sz w:val="21"/>
                <w:szCs w:val="22"/>
                <w:lang w:val="en-US" w:eastAsia="zh-CN" w:bidi="ar-SA"/>
              </w:rPr>
              <w:fldChar w:fldCharType="separate"/>
            </w:r>
            <w:r>
              <w:rPr>
                <w:rFonts w:hint="default" w:ascii="Times New Roman" w:hAnsi="Times New Roman" w:eastAsia="宋体" w:cs="Times New Roman"/>
                <w:kern w:val="2"/>
                <w:sz w:val="21"/>
                <w:szCs w:val="22"/>
                <w:lang w:val="en-US" w:eastAsia="zh-CN" w:bidi="ar-SA"/>
              </w:rPr>
              <w:t>公开发行股票</w:t>
            </w:r>
            <w:r>
              <w:rPr>
                <w:rFonts w:hint="default" w:ascii="Times New Roman" w:hAnsi="Times New Roman" w:eastAsia="宋体" w:cs="Times New Roman"/>
                <w:kern w:val="2"/>
                <w:sz w:val="21"/>
                <w:szCs w:val="22"/>
                <w:lang w:val="en-US" w:eastAsia="zh-CN" w:bidi="ar-SA"/>
              </w:rPr>
              <w:fldChar w:fldCharType="end"/>
            </w:r>
            <w:r>
              <w:rPr>
                <w:rFonts w:hint="default" w:ascii="Times New Roman" w:hAnsi="Times New Roman" w:eastAsia="宋体" w:cs="Times New Roman"/>
                <w:kern w:val="2"/>
                <w:sz w:val="21"/>
                <w:szCs w:val="22"/>
                <w:lang w:val="en-US" w:eastAsia="zh-CN" w:bidi="ar-SA"/>
              </w:rPr>
              <w:t>于2007年12月21日在</w:t>
            </w:r>
            <w:r>
              <w:rPr>
                <w:rFonts w:hint="default" w:ascii="Times New Roman" w:hAnsi="Times New Roman" w:eastAsia="宋体" w:cs="Times New Roman"/>
                <w:kern w:val="2"/>
                <w:sz w:val="21"/>
                <w:szCs w:val="22"/>
                <w:lang w:val="en-US" w:eastAsia="zh-CN" w:bidi="ar-SA"/>
              </w:rPr>
              <w:fldChar w:fldCharType="begin"/>
            </w:r>
            <w:r>
              <w:rPr>
                <w:rFonts w:hint="default" w:ascii="Times New Roman" w:hAnsi="Times New Roman" w:eastAsia="宋体" w:cs="Times New Roman"/>
                <w:kern w:val="2"/>
                <w:sz w:val="21"/>
                <w:szCs w:val="22"/>
                <w:lang w:val="en-US" w:eastAsia="zh-CN" w:bidi="ar-SA"/>
              </w:rPr>
              <w:instrText xml:space="preserve"> HYPERLINK "https://baike.baidu.com/item/%E6%B7%B1%E5%9C%B3%E8%AF%81%E5%88%B8%E4%BA%A4%E6%98%93%E6%89%80/1248022" \t "https://baike.baidu.com/item/%E4%BA%91%E5%8D%97%E7%BB%BF%E5%A4%A7%E5%9C%B0%E7%94%9F%E7%89%A9%E7%A7%91%E6%8A%80%E8%82%A1%E4%BB%BD%E6%9C%89%E9%99%90%E5%85%AC%E5%8F%B8/_blank" </w:instrText>
            </w:r>
            <w:r>
              <w:rPr>
                <w:rFonts w:hint="default" w:ascii="Times New Roman" w:hAnsi="Times New Roman" w:eastAsia="宋体" w:cs="Times New Roman"/>
                <w:kern w:val="2"/>
                <w:sz w:val="21"/>
                <w:szCs w:val="22"/>
                <w:lang w:val="en-US" w:eastAsia="zh-CN" w:bidi="ar-SA"/>
              </w:rPr>
              <w:fldChar w:fldCharType="separate"/>
            </w:r>
            <w:r>
              <w:rPr>
                <w:rFonts w:hint="default" w:ascii="Times New Roman" w:hAnsi="Times New Roman" w:eastAsia="宋体" w:cs="Times New Roman"/>
                <w:kern w:val="2"/>
                <w:sz w:val="21"/>
                <w:szCs w:val="22"/>
                <w:lang w:val="en-US" w:eastAsia="zh-CN" w:bidi="ar-SA"/>
              </w:rPr>
              <w:t>深圳证券交易所</w:t>
            </w:r>
            <w:r>
              <w:rPr>
                <w:rFonts w:hint="default" w:ascii="Times New Roman" w:hAnsi="Times New Roman" w:eastAsia="宋体" w:cs="Times New Roman"/>
                <w:kern w:val="2"/>
                <w:sz w:val="21"/>
                <w:szCs w:val="22"/>
                <w:lang w:val="en-US" w:eastAsia="zh-CN" w:bidi="ar-SA"/>
              </w:rPr>
              <w:fldChar w:fldCharType="end"/>
            </w:r>
            <w:r>
              <w:rPr>
                <w:rFonts w:hint="default" w:ascii="Times New Roman" w:hAnsi="Times New Roman" w:eastAsia="宋体" w:cs="Times New Roman"/>
                <w:kern w:val="2"/>
                <w:sz w:val="21"/>
                <w:szCs w:val="22"/>
                <w:lang w:val="en-US" w:eastAsia="zh-CN" w:bidi="ar-SA"/>
              </w:rPr>
              <w:t>挂牌上市，成为国内</w:t>
            </w:r>
            <w:r>
              <w:rPr>
                <w:rFonts w:hint="default" w:ascii="Times New Roman" w:hAnsi="Times New Roman" w:eastAsia="宋体" w:cs="Times New Roman"/>
                <w:kern w:val="2"/>
                <w:sz w:val="21"/>
                <w:szCs w:val="22"/>
                <w:lang w:val="en-US" w:eastAsia="zh-CN" w:bidi="ar-SA"/>
              </w:rPr>
              <w:fldChar w:fldCharType="begin"/>
            </w:r>
            <w:r>
              <w:rPr>
                <w:rFonts w:hint="default" w:ascii="Times New Roman" w:hAnsi="Times New Roman" w:eastAsia="宋体" w:cs="Times New Roman"/>
                <w:kern w:val="2"/>
                <w:sz w:val="21"/>
                <w:szCs w:val="22"/>
                <w:lang w:val="en-US" w:eastAsia="zh-CN" w:bidi="ar-SA"/>
              </w:rPr>
              <w:instrText xml:space="preserve"> HYPERLINK "https://baike.baidu.com/item/%E7%BB%BF%E5%8C%96%E8%8B%97%E6%9C%A8/8147961" \t "https://baike.baidu.com/item/%E4%BA%91%E5%8D%97%E7%BB%BF%E5%A4%A7%E5%9C%B0%E7%94%9F%E7%89%A9%E7%A7%91%E6%8A%80%E8%82%A1%E4%BB%BD%E6%9C%89%E9%99%90%E5%85%AC%E5%8F%B8/_blank" </w:instrText>
            </w:r>
            <w:r>
              <w:rPr>
                <w:rFonts w:hint="default" w:ascii="Times New Roman" w:hAnsi="Times New Roman" w:eastAsia="宋体" w:cs="Times New Roman"/>
                <w:kern w:val="2"/>
                <w:sz w:val="21"/>
                <w:szCs w:val="22"/>
                <w:lang w:val="en-US" w:eastAsia="zh-CN" w:bidi="ar-SA"/>
              </w:rPr>
              <w:fldChar w:fldCharType="separate"/>
            </w:r>
            <w:r>
              <w:rPr>
                <w:rFonts w:hint="default" w:ascii="Times New Roman" w:hAnsi="Times New Roman" w:eastAsia="宋体" w:cs="Times New Roman"/>
                <w:kern w:val="2"/>
                <w:sz w:val="21"/>
                <w:szCs w:val="22"/>
                <w:lang w:val="en-US" w:eastAsia="zh-CN" w:bidi="ar-SA"/>
              </w:rPr>
              <w:t>绿化苗木</w:t>
            </w:r>
            <w:r>
              <w:rPr>
                <w:rFonts w:hint="default" w:ascii="Times New Roman" w:hAnsi="Times New Roman" w:eastAsia="宋体" w:cs="Times New Roman"/>
                <w:kern w:val="2"/>
                <w:sz w:val="21"/>
                <w:szCs w:val="22"/>
                <w:lang w:val="en-US" w:eastAsia="zh-CN" w:bidi="ar-SA"/>
              </w:rPr>
              <w:fldChar w:fldCharType="end"/>
            </w:r>
            <w:r>
              <w:rPr>
                <w:rFonts w:hint="default" w:ascii="Times New Roman" w:hAnsi="Times New Roman" w:eastAsia="宋体" w:cs="Times New Roman"/>
                <w:kern w:val="2"/>
                <w:sz w:val="21"/>
                <w:szCs w:val="22"/>
                <w:lang w:val="en-US" w:eastAsia="zh-CN" w:bidi="ar-SA"/>
              </w:rPr>
              <w:t>行业首家上市公司，云南省首家民营上市企业。</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公司充分依托云南丰富的自然资源，致力于省内外花卉园林市场开拓，经过多年的艰苦努力，现已发展成为拥有完整产业链的特色苗木工业化培植、销售及服务的生物科技公司。目前，</w:t>
            </w:r>
            <w:r>
              <w:rPr>
                <w:rFonts w:hint="default" w:ascii="Times New Roman" w:hAnsi="Times New Roman" w:eastAsia="宋体" w:cs="Times New Roman"/>
                <w:kern w:val="2"/>
                <w:sz w:val="21"/>
                <w:szCs w:val="22"/>
                <w:lang w:val="en-US" w:eastAsia="zh-CN" w:bidi="ar-SA"/>
              </w:rPr>
              <w:fldChar w:fldCharType="begin"/>
            </w:r>
            <w:r>
              <w:rPr>
                <w:rFonts w:hint="default" w:ascii="Times New Roman" w:hAnsi="Times New Roman" w:eastAsia="宋体" w:cs="Times New Roman"/>
                <w:kern w:val="2"/>
                <w:sz w:val="21"/>
                <w:szCs w:val="22"/>
                <w:lang w:val="en-US" w:eastAsia="zh-CN" w:bidi="ar-SA"/>
              </w:rPr>
              <w:instrText xml:space="preserve"> HYPERLINK "https://baike.baidu.com/item/%E5%85%AC%E5%8F%B8%E6%B3%A8%E5%86%8C/3960972" \t "https://baike.baidu.com/item/%E4%BA%91%E5%8D%97%E7%BB%BF%E5%A4%A7%E5%9C%B0%E7%94%9F%E7%89%A9%E7%A7%91%E6%8A%80%E8%82%A1%E4%BB%BD%E6%9C%89%E9%99%90%E5%85%AC%E5%8F%B8/_blank" </w:instrText>
            </w:r>
            <w:r>
              <w:rPr>
                <w:rFonts w:hint="default" w:ascii="Times New Roman" w:hAnsi="Times New Roman" w:eastAsia="宋体" w:cs="Times New Roman"/>
                <w:kern w:val="2"/>
                <w:sz w:val="21"/>
                <w:szCs w:val="22"/>
                <w:lang w:val="en-US" w:eastAsia="zh-CN" w:bidi="ar-SA"/>
              </w:rPr>
              <w:fldChar w:fldCharType="separate"/>
            </w:r>
            <w:r>
              <w:rPr>
                <w:rFonts w:hint="default" w:ascii="Times New Roman" w:hAnsi="Times New Roman" w:eastAsia="宋体" w:cs="Times New Roman"/>
                <w:kern w:val="2"/>
                <w:sz w:val="21"/>
                <w:szCs w:val="22"/>
                <w:lang w:val="en-US" w:eastAsia="zh-CN" w:bidi="ar-SA"/>
              </w:rPr>
              <w:t>公司注册</w:t>
            </w:r>
            <w:r>
              <w:rPr>
                <w:rFonts w:hint="default" w:ascii="Times New Roman" w:hAnsi="Times New Roman" w:eastAsia="宋体" w:cs="Times New Roman"/>
                <w:kern w:val="2"/>
                <w:sz w:val="21"/>
                <w:szCs w:val="22"/>
                <w:lang w:val="en-US" w:eastAsia="zh-CN" w:bidi="ar-SA"/>
              </w:rPr>
              <w:fldChar w:fldCharType="end"/>
            </w:r>
            <w:r>
              <w:rPr>
                <w:rFonts w:hint="default" w:ascii="Times New Roman" w:hAnsi="Times New Roman" w:eastAsia="宋体" w:cs="Times New Roman"/>
                <w:kern w:val="2"/>
                <w:sz w:val="21"/>
                <w:szCs w:val="22"/>
                <w:lang w:val="en-US" w:eastAsia="zh-CN" w:bidi="ar-SA"/>
              </w:rPr>
              <w:t>股本8393.73万元人民币，资产总额达8.3亿元。</w:t>
            </w:r>
          </w:p>
          <w:p>
            <w:pPr>
              <w:rPr>
                <w:b/>
              </w:rPr>
            </w:pPr>
            <w:r>
              <w:rPr>
                <w:rFonts w:hint="eastAsia"/>
                <w:b/>
              </w:rPr>
              <w:t>【案情背景</w:t>
            </w:r>
            <w:r>
              <w:rPr>
                <w:b/>
              </w:rPr>
              <w:t>】</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rPr>
                <w:b/>
              </w:rPr>
              <w:tab/>
            </w:r>
            <w:r>
              <w:rPr>
                <w:rFonts w:hint="eastAsia" w:ascii="Times New Roman" w:hAnsi="Times New Roman" w:eastAsia="宋体" w:cs="Times New Roman"/>
                <w:kern w:val="2"/>
                <w:sz w:val="21"/>
                <w:szCs w:val="22"/>
                <w:lang w:val="en-US" w:eastAsia="zh-CN" w:bidi="ar-SA"/>
              </w:rPr>
              <w:t>作为</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"http://stockhtm.finance.qq.com/sstock/ggcx/159902.shtml" \t "https://finance.qq.com/a/20130227/_blank"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中小板</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首例欺诈发行股票案例，云南绿大地生物科技股份有限公司(现股票简称*ST大地，股票代码002200.SZ，下称“绿大地”)案并未终结。</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　　2月17日，在上诉截至期限之前，绿大地原董事长何学葵向云南省高级人民法院提起上诉，同时也将绿大地推向了暂停上市的悬崖边。</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　　此前的2月7日，昆明市中级人民法院对绿大地欺诈发行股票案做出一审判决，认定绿大地犯欺诈发行股票罪、伪造</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"http://finance.qq.com/l/financenews/jinrongshichang/jinrong.htm" \t "https://finance.qq.com/a/20130227/_blank"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金融</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票证罪、故意销毁会计凭证罪，判处罚金1040万元；公司原实际控制人何学葵被判处有期徒刑10年，原财务总监蒋凯西、原财务顾问庞明星、原出纳主管赵海丽、原大客户中心负责人赵海艳等人分别被判处6年至2年3个月不等的有期徒刑并处相应罚金。</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　　绿大地欺诈发行股票一案曾经由昆明官渡区人民法院审理，官渡区人民法院判决何学葵有期徒刑3年，缓期4年。2012年3月，昆明市中级人民法院做出裁定，撤销了官渡区人民法院对绿大地案的刑事判决，发回原审官渡区人民法院重新审理，致使绿大地一案再度“穿越”回了原点。</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　　2012年5月7日，绿大地案在昆明市中级人民法院重审开庭。何学葵当庭翻供，并辩称之前的供述是诱供的结果。何学葵当庭不仅全盘否认公诉机关的指控，而且推翻了以前在侦查机关的供述。在昆明市中级人民法院开庭重审9个月之后，何学葵等嫌疑人均被加重判决。</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　　《证券市场周刊(微博)》获得的司法机关资料显示，何学葵控制绿大地时，在绿大地上市前和上市后都曾有过多次虚增资产的造假，先后通过注册和购买方式共计35家关联公司，进行虚增资产和收入。在被监管机构立案稽查后，又在短期内发布五度变脸的巨亏业绩报告。</w:t>
            </w:r>
          </w:p>
          <w:p>
            <w:pPr>
              <w:rPr>
                <w:b/>
              </w:rPr>
            </w:pPr>
            <w:r>
              <w:rPr>
                <w:rFonts w:hint="eastAsia"/>
                <w:b/>
              </w:rPr>
              <w:t>【案情描述】</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xml:space="preserve"> 虚增资产</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根据绿大地2007年上市时的招股说明书，截止到2007年6月30日，公司资产合计约为4.5亿元，其中流动资产中单存货一项就达到了1.8亿元。绿大地的主要货物为各类苗木。据报告，绿大地的报表上显示的苗木价格与市场上的价格完全不一致，某种苗木市场上报价是60元，但到了绿大地这里就变成了300元。</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除了货物价格造假外，地价也是假的。绿大地总部位于昆明经济开发区内，在二环以外，属于偏远的郊区人烟稀少，绿大地报的土地低价是100万元一亩，实际上当时经济开发区的低价是20万元一亩。</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此外，绿大地还大量通过阴阳合同来虚增资产的账目价值。如履带地购买的曲靖市马龙县马鸣乡的3500亩荒山使用权，购买时买价只有100万元，但入账时就变成了1000万元。</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2. 虚增收入</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为达到上市目的，何学葵的小保姆赵海丽、赵海艳等级注册了一批绿大地公司实际控制的关联公司，采用伪造合同、发票等手段虚构交易业务，虚增资产、收入。 绿大地的苗木采购大户订单，2004年1月-2007年6月之间为公司增加营业收入、净利润做出重要贡献。</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根据绿大地招股书，2004年至2006年及2007年上半年， 绿大地的前几大销售客户分别有昆明鑫景园艺工程有限公司、昆明润林园艺有限公司、昆明滇文卉园艺有限公司、昆明自由空间园艺有限公司、昆明千可花卉有限公司、昆明天绿园艺有限公司等一大批昆明企业以及部分成都、北京企业。</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但上市后一些曾经的采购大户陆续神秘蒸发。北京都丰培花卉有限公司2006年12月25日被吊销了营业执照；昆明天绿园艺有限公司2008年4月15日被吊销了营业执照；昆明鑫景园艺工程有限公司于2010年2月3日在昆明市工商局办理了工商注销手续； 昆明自由空间园艺有限公司2010年3月18日办理了工商注销手续；成都贝叶园艺有限公司与成都万朵园艺有限公司，同时在2008年6月5日进行了工商注销，且两公司均成立于2005年11月15日。</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3. 虚增利润</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这里我们就要谈谈绿大地著名的业绩“五变脸”。</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变脸一：公司2009年三季报，预计2009年度净利润比上年增长幅度在20%-50%之间；</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变脸二：2010年1月公告称，2009年度净利润比上年下降幅度在30%以内；</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变脸三：2010年2月27日，绿大地发布的2009年年度业绩快报称2009年年度净利润6212万元，同比下降28.41%；</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变脸四：2010年4月28日，净利润被修正为-12796万元，同比减少247.47%；</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变脸五：两天后的2010年4月30日，绿大地2009年年报正式公布，净利润再度被改，实际数值为-15123万元，同比减少301.03%。</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其变脸之快，恐怕连川剧变脸大师都叹为观止，最终，绿大地因如此随意的变脸，愚弄投资者的行为受到了证监会的立案稽查，何学葵等人也锒铛入狱。</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2009年到2010年期间， 金额巨大的销售退回突然出现。2010年4月30日披露确认2008年苗木销售退回2348万元；与此同时，绿大地确认2009年苗木销售退回金额高达1.58亿元。</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4. 虚增现金流</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之前讲万福生科和郑百文的时候我们就介绍过了，只增加收入、资产，不增加现金流的造假是很容易被发现端倪的。绿大地和万福生科在这一点上有异曲同工之妙，那么绿大地是如何虚增现金流的呢？</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绿大地通过关联企业周转资金，形成虚假的资金流。先通过上述这些关联方虚构采购合同，流出采购款，再通过虚构销售合同将这些资金回笼，流入销售款，以此来虚增现金流。通过绿大地打款给A公司，A公司打款给B公司，B公司打款给A公司的方式来进行资金的体内循环，绿大地再与A公司签订采购合同，与B公司签订销售合同，这样看上去全套造假流程似乎就很“完美”了。通过这样的兜兜转转，事后的稽查结果显示，绿大地公司在上市前后，虚增资产3.37亿元，虚增收入5.47亿元，个别资产被虚增18倍之多。</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绿大地的这种做法本质上是与万福生科相同的，但是更加“高明”，因为绿大地不需要伪造银行流水，银行流水都是真实的。</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5. 玩转存货跌价准备</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上面说到了绿大地虚增了大量的存货，但是这些存货长期留存在公司账面上。于是，绿大地妄图利用百年一遇的干旱来计提大额的存货跌价准备，对上市前造假的财务报表进行重新洗盘。最终，所谓的“干旱门”却等来了证监会的一纸立案调查通知。</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那么，绿大地们的造假就真的无迹可寻了嘛？广大股民和投资者真的只能被绿得团团嘛？非也，再高明的谎言还是有迹可循的，何况谎言需要不断地用另一个谎言去维系，这样滚雪球式的谎言最终只会让我们离真相越来越近。</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br w:type="textWrapping"/>
            </w:r>
            <w:r>
              <w:rPr>
                <w:rFonts w:hint="eastAsia" w:ascii="Times New Roman" w:hAnsi="Times New Roman" w:eastAsia="宋体" w:cs="Times New Roman"/>
                <w:b w:val="0"/>
                <w:bCs/>
                <w:kern w:val="2"/>
                <w:sz w:val="21"/>
                <w:szCs w:val="22"/>
                <w:lang w:val="en-US" w:eastAsia="zh-CN" w:bidi="ar-SA"/>
              </w:rPr>
              <w:t>那么，如何及时地发现绿大地们的财务造假，以及时地停止被绿呢？这里，微微带大家来分析一下绿大地的造假迹象：</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1. 业绩频繁变脸</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上面我们介绍过了绿大地的五变脸。当上市公司出现业绩快报频繁更正的情况下，我们就要对这家上市公司提起高度的警惕。事实上，业绩预告不是儿戏，当一家上市公司频发更正业绩时，我们要考虑其背后是否有“阴谋”。</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2. 频繁更换公司高层领导</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截止2011年，公司高管三套班子全部经历大规模换血。上市时九名董事加独立董事，截止2011年初，除董事长外现在仅剩胡虹和谭焕珠；三名监事则全部换为新面孔；四任总经理，三任财务总监，四任董秘（两任由何学葵、郑亚光兼任），如此频繁地更换三套领导班子，也是滑天下之大稽。</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下图中橘色代表本年新增人员，蓝色代表下年减少人员，绿色表示本年新增同时下年减少人员</w:t>
            </w:r>
          </w:p>
          <w:p>
            <w:pPr>
              <w:keepNext w:val="0"/>
              <w:keepLines w:val="0"/>
              <w:widowControl/>
              <w:suppressLineNumbers w:val="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drawing>
                <wp:inline distT="0" distB="0" distL="114300" distR="114300">
                  <wp:extent cx="10287000" cy="4391025"/>
                  <wp:effectExtent l="0" t="0" r="7620" b="952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5"/>
                          <a:stretch>
                            <a:fillRect/>
                          </a:stretch>
                        </pic:blipFill>
                        <pic:spPr>
                          <a:xfrm>
                            <a:off x="0" y="0"/>
                            <a:ext cx="10287000" cy="4391025"/>
                          </a:xfrm>
                          <a:prstGeom prst="rect">
                            <a:avLst/>
                          </a:prstGeom>
                          <a:noFill/>
                          <a:ln w="9525">
                            <a:noFill/>
                          </a:ln>
                        </pic:spPr>
                      </pic:pic>
                    </a:graphicData>
                  </a:graphic>
                </wp:inline>
              </w:drawing>
            </w:r>
            <w:r>
              <w:rPr>
                <w:rFonts w:hint="eastAsia" w:ascii="Times New Roman" w:hAnsi="Times New Roman" w:eastAsia="宋体" w:cs="Times New Roman"/>
                <w:b w:val="0"/>
                <w:bCs/>
                <w:kern w:val="2"/>
                <w:sz w:val="21"/>
                <w:szCs w:val="22"/>
                <w:lang w:val="en-US" w:eastAsia="zh-CN" w:bidi="ar-SA"/>
              </w:rPr>
              <w:drawing>
                <wp:inline distT="0" distB="0" distL="114300" distR="114300">
                  <wp:extent cx="9296400" cy="2190750"/>
                  <wp:effectExtent l="0" t="0" r="11430" b="9525"/>
                  <wp:docPr id="1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63"/>
                          <pic:cNvPicPr>
                            <a:picLocks noChangeAspect="1"/>
                          </pic:cNvPicPr>
                        </pic:nvPicPr>
                        <pic:blipFill>
                          <a:blip r:embed="rId16"/>
                          <a:stretch>
                            <a:fillRect/>
                          </a:stretch>
                        </pic:blipFill>
                        <pic:spPr>
                          <a:xfrm>
                            <a:off x="0" y="0"/>
                            <a:ext cx="9296400" cy="2190750"/>
                          </a:xfrm>
                          <a:prstGeom prst="rect">
                            <a:avLst/>
                          </a:prstGeom>
                          <a:noFill/>
                          <a:ln w="9525">
                            <a:noFill/>
                          </a:ln>
                        </pic:spPr>
                      </pic:pic>
                    </a:graphicData>
                  </a:graphic>
                </wp:inline>
              </w:drawing>
            </w:r>
            <w:r>
              <w:rPr>
                <w:rFonts w:hint="eastAsia" w:ascii="Times New Roman" w:hAnsi="Times New Roman" w:eastAsia="宋体" w:cs="Times New Roman"/>
                <w:b w:val="0"/>
                <w:bCs/>
                <w:kern w:val="2"/>
                <w:sz w:val="21"/>
                <w:szCs w:val="22"/>
                <w:lang w:val="en-US" w:eastAsia="zh-CN" w:bidi="ar-SA"/>
              </w:rPr>
              <w:drawing>
                <wp:inline distT="0" distB="0" distL="114300" distR="114300">
                  <wp:extent cx="9324975" cy="2724150"/>
                  <wp:effectExtent l="0" t="0" r="9525" b="9525"/>
                  <wp:docPr id="1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64"/>
                          <pic:cNvPicPr>
                            <a:picLocks noChangeAspect="1"/>
                          </pic:cNvPicPr>
                        </pic:nvPicPr>
                        <pic:blipFill>
                          <a:blip r:embed="rId17"/>
                          <a:stretch>
                            <a:fillRect/>
                          </a:stretch>
                        </pic:blipFill>
                        <pic:spPr>
                          <a:xfrm>
                            <a:off x="0" y="0"/>
                            <a:ext cx="9324975" cy="2724150"/>
                          </a:xfrm>
                          <a:prstGeom prst="rect">
                            <a:avLst/>
                          </a:prstGeom>
                          <a:noFill/>
                          <a:ln w="9525">
                            <a:noFill/>
                          </a:ln>
                        </pic:spPr>
                      </pic:pic>
                    </a:graphicData>
                  </a:graphic>
                </wp:inline>
              </w:drawing>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3. 频繁更换事务所</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绿大地频繁更换会计师事务所，由审计公司7年之久的鹏城会计师事务所变更为上市后第一年年报审计的中和正信，第二年又更换为中审亚太，最后东窗事发更换为中准并对其出具了无法表示意见的审计报告，可以说，这三年间频发地更换会计师事务所，而与之合作多年的鹏城在其上市后又突然不为绿大地提供审计服务。虽然说我国有一个注册会计师不得连续5年为同一家上市公司年报签字的规定，但对事务所却不做限制，况且国人普遍有种用熟不用生的思想，从鹏城开始的事务所频繁更换，个中原因，值得玩味。</w:t>
            </w:r>
          </w:p>
          <w:p>
            <w:pPr>
              <w:keepNext w:val="0"/>
              <w:keepLines w:val="0"/>
              <w:widowControl/>
              <w:suppressLineNumbers w:val="0"/>
              <w:jc w:val="left"/>
            </w:pPr>
            <w:r>
              <w:rPr>
                <w:rFonts w:hint="eastAsia" w:ascii="Times New Roman" w:hAnsi="Times New Roman" w:eastAsia="宋体" w:cs="Times New Roman"/>
                <w:b w:val="0"/>
                <w:bCs/>
                <w:kern w:val="2"/>
                <w:sz w:val="21"/>
                <w:szCs w:val="22"/>
                <w:lang w:val="en-US" w:eastAsia="zh-CN" w:bidi="ar-SA"/>
              </w:rPr>
              <w:drawing>
                <wp:inline distT="0" distB="0" distL="114300" distR="114300">
                  <wp:extent cx="6619875" cy="1076325"/>
                  <wp:effectExtent l="0" t="0" r="7620" b="3810"/>
                  <wp:docPr id="15"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IMG_265"/>
                          <pic:cNvPicPr>
                            <a:picLocks noChangeAspect="1"/>
                          </pic:cNvPicPr>
                        </pic:nvPicPr>
                        <pic:blipFill>
                          <a:blip r:embed="rId18"/>
                          <a:stretch>
                            <a:fillRect/>
                          </a:stretch>
                        </pic:blipFill>
                        <pic:spPr>
                          <a:xfrm>
                            <a:off x="0" y="0"/>
                            <a:ext cx="6619875" cy="1076325"/>
                          </a:xfrm>
                          <a:prstGeom prst="rect">
                            <a:avLst/>
                          </a:prstGeom>
                          <a:noFill/>
                          <a:ln w="9525">
                            <a:noFill/>
                          </a:ln>
                        </pic:spPr>
                      </pic:pic>
                    </a:graphicData>
                  </a:graphic>
                </wp:inline>
              </w:drawing>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lang w:val="en-US"/>
              </w:rPr>
            </w:pPr>
            <w:r>
              <w:rPr>
                <w:rFonts w:hint="eastAsia" w:ascii="Times New Roman" w:hAnsi="Times New Roman" w:eastAsia="宋体" w:cs="Times New Roman"/>
                <w:b w:val="0"/>
                <w:bCs/>
                <w:kern w:val="2"/>
                <w:sz w:val="21"/>
                <w:szCs w:val="22"/>
                <w:lang w:val="en-US" w:eastAsia="zh-CN" w:bidi="ar-SA"/>
              </w:rPr>
              <w:t xml:space="preserve"> </w:t>
            </w:r>
            <w:r>
              <w:rPr>
                <w:rFonts w:hint="eastAsia" w:ascii="Times New Roman" w:hAnsi="Times New Roman" w:cs="Times New Roman"/>
                <w:b w:val="0"/>
                <w:bCs/>
                <w:kern w:val="2"/>
                <w:sz w:val="21"/>
                <w:szCs w:val="22"/>
                <w:lang w:val="en-US" w:eastAsia="zh-CN" w:bidi="ar-SA"/>
              </w:rPr>
              <w:t>深圳鹏程会计师事务所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bidi w:val="0"/>
              <w:spacing w:after="280" w:afterAutospacing="1"/>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xml:space="preserve">光环笼罩，地方保护主义盛行。农业类上市企业作为新兴企业往往会成为地方政府政绩的标杆，得到政府的高度支持和补贴。头顶“中国农业第一股”光环的蓝田股份举起了“农业产业化的大旗”，在证券市场上一度成为神话般的存在。绿大地则是云南省唯一一家具有国家城市园林绿化施工一级资质的企业，短短几年就被打造成了A股首家绿化上市公司。至于万福生科，它的发展也得到当地政府的高度支持，多次得到政府补贴，法人代表龚永福曾向当地的媒体人士发表过自己并不想上市，而是被相关方面“逼着走”的言论。一个企业的上市不仅仅能为自己筹措巨额资金，而且能为地方政府增加税收，成为地方政府的重要政绩。所以就一系列造假行为来看，我们不禁要怀疑地方政府是否在为企业保驾护航，相关上市审批和监管部门是否为了鼓励民营企业在中小板和创业板上市而放松了要求。尤其绿大地造假案事发之后，地方有关领导屡次进京与证监会沟通为其开脱罪责。调查组面临巨大阻力，举步维艰，就连公安机关对绿大地董事长何学葵的逮捕方案也被地方多次驳回，地方保护主义可见一斑。 </w:t>
            </w:r>
          </w:p>
          <w:p>
            <w:pPr>
              <w:bidi w:val="0"/>
              <w:spacing w:after="280" w:afterAutospacing="1"/>
              <w:jc w:val="left"/>
              <w:rPr>
                <w:sz w:val="21"/>
              </w:rPr>
            </w:pPr>
            <w:r>
              <w:rPr>
                <w:sz w:val="21"/>
              </w:rPr>
              <w:t>（一）从农业行业特征的角度</w:t>
            </w:r>
          </w:p>
          <w:p>
            <w:pPr>
              <w:bidi w:val="0"/>
              <w:spacing w:after="280" w:afterAutospacing="1"/>
              <w:jc w:val="left"/>
              <w:rPr>
                <w:sz w:val="21"/>
              </w:rPr>
            </w:pPr>
            <w:r>
              <w:rPr>
                <w:sz w:val="21"/>
              </w:rPr>
              <w:t>         1、农业上市公司存货监盘困难。一般生产制造类企业的存货容易堆放，一般都是存放在生产车间或者仓库中，也因存放的空间比较小，易于盘点，而且不易受环境的影响，所以价值比较固定，很少会发生不可抗力因素如地震导致的仓库倒塌造成损失的情况。农业上市从事存货以生物资产为主，此类资产具有生长性和繁衍性，存放空间不仅包括陆地还有海洋，盘点困难，抽盘结果差异性大。</w:t>
            </w:r>
          </w:p>
          <w:p>
            <w:pPr>
              <w:bidi w:val="0"/>
              <w:spacing w:after="280" w:afterAutospacing="1"/>
              <w:jc w:val="left"/>
              <w:rPr>
                <w:sz w:val="21"/>
              </w:rPr>
            </w:pPr>
            <w:r>
              <w:rPr>
                <w:sz w:val="21"/>
              </w:rPr>
              <w:t>         2、以自然环境为借口。农业类企业往往是看天吃饭，天气适合农作物生长，收成就会好，企业就会有更多的原材料来加工产品;反之，如果天气不适合生物资产的生长，则会歉收，对于以前年度虚增存货来粉饰报表的农业上市公司来说，这就是对存货计提跌价准备的天赐良机。万福生科利用此方式来分别掩饰原材料供应无法稳定和虚增存货的事实。</w:t>
            </w:r>
          </w:p>
          <w:p>
            <w:pPr>
              <w:bidi w:val="0"/>
              <w:spacing w:after="280" w:afterAutospacing="1"/>
              <w:jc w:val="left"/>
              <w:rPr>
                <w:sz w:val="21"/>
              </w:rPr>
            </w:pPr>
            <w:r>
              <w:rPr>
                <w:sz w:val="21"/>
              </w:rPr>
              <w:t>         3、产品交易终端分散。农业企业的原材料来源大部分是来自于农民个体或者一些农民合作组织，又或者是提供幼崽和饲料让农民养，最后收购农民手中的成品，交易对象非常广散，注册会计师难以对交易的存在与否下定论;从交易方式的角度上说，大量的现金交易使得坐支的出现和难以复核的风险越来越大，为农业企业粉饰报表而虚构客户提供了有利环境，导致审计质量不佳。</w:t>
            </w:r>
          </w:p>
          <w:p>
            <w:pPr>
              <w:bidi w:val="0"/>
              <w:spacing w:after="280" w:afterAutospacing="1"/>
              <w:jc w:val="left"/>
              <w:rPr>
                <w:sz w:val="21"/>
              </w:rPr>
            </w:pPr>
            <w:r>
              <w:rPr>
                <w:sz w:val="21"/>
              </w:rPr>
              <w:t>         （二）从会计事务所和注册会计师的角度</w:t>
            </w:r>
          </w:p>
          <w:p>
            <w:pPr>
              <w:bidi w:val="0"/>
              <w:spacing w:after="280" w:afterAutospacing="1"/>
              <w:jc w:val="left"/>
              <w:rPr>
                <w:sz w:val="21"/>
              </w:rPr>
            </w:pPr>
            <w:r>
              <w:rPr>
                <w:sz w:val="21"/>
              </w:rPr>
              <w:t>         1、轻视存货的监盘。存货的监盘程序在整个审计过程中不可或缺，一旦存货监盘结果失真，就很可能会令审计结果偏移。尤其是对于农业企业存货而言，其价值随着时间、环境的变化增长或降低，而且农业企业的存货可能在深山、大海中，注册会计师难以盘点，若是想要监盘出最接近的数值，那么存货监盘的成本就会大幅度的上升。</w:t>
            </w:r>
          </w:p>
          <w:p>
            <w:pPr>
              <w:bidi w:val="0"/>
              <w:spacing w:after="280" w:afterAutospacing="1"/>
              <w:jc w:val="left"/>
              <w:rPr>
                <w:sz w:val="21"/>
              </w:rPr>
            </w:pPr>
            <w:r>
              <w:rPr>
                <w:sz w:val="21"/>
              </w:rPr>
              <w:t>         2、不注重审计的质量。在审计中，审计师们一般都会在资料室里面进行审查。注册会计师因为考虑到节省成本和时间的缘故不做分析性复核，只关注被审计单位的报表，很少会对同行业同期的各个财务指标进行对比，结果就无法发现其实不合理的地方。比如，万福生科在2008～2010年淀粉糖平均毛利率达到了28%，而其他同类企业的毛利率却只有10%。在全面不如竞争对手的情况下，毛利率却是人家的3倍。中磊会计事务所如果能够横向比较其他企业，不难发现其中的问题。</w:t>
            </w:r>
          </w:p>
          <w:p>
            <w:pPr>
              <w:bidi w:val="0"/>
              <w:spacing w:after="280" w:afterAutospacing="1"/>
              <w:jc w:val="left"/>
              <w:rPr>
                <w:sz w:val="21"/>
              </w:rPr>
            </w:pPr>
            <w:r>
              <w:rPr>
                <w:sz w:val="21"/>
              </w:rPr>
              <w:t>         （三）从社会的角度</w:t>
            </w:r>
          </w:p>
          <w:p>
            <w:pPr>
              <w:bidi w:val="0"/>
              <w:spacing w:after="280" w:afterAutospacing="1"/>
              <w:jc w:val="left"/>
              <w:rPr>
                <w:sz w:val="21"/>
              </w:rPr>
            </w:pPr>
            <w:r>
              <w:rPr>
                <w:sz w:val="21"/>
              </w:rPr>
              <w:t>         1、财务造假的处罚力度低。我国相关的法律法规对于农业上市公司和提供审计方的事务所合谋进行财务审计舞弊的处罚多是行政处罚，如警告、暂停执业、撤销等，对于财务报表造假的上市公司一般是让其在规定的时间内改正，并不会直接终止上市。中国证监会最初只对万福生科罚款30万元，主要犯案人员也是最高处罚了30万元，最终法院判决主要涉案人员龚永福、覃学军分别处以三年半和两年四个月的监禁，对中磊事务所的处罚也是未落到实处。</w:t>
            </w:r>
          </w:p>
          <w:p>
            <w:pPr>
              <w:bidi w:val="0"/>
              <w:spacing w:after="280" w:afterAutospacing="1"/>
              <w:jc w:val="left"/>
              <w:rPr>
                <w:sz w:val="21"/>
              </w:rPr>
            </w:pPr>
            <w:r>
              <w:rPr>
                <w:sz w:val="21"/>
              </w:rPr>
              <w:t>         2、监管不到位。农业上市公司因为其行业特殊性股份结构都是一股独大的局面，缺乏应有的内部治理结构，监事会毫无作用，根本起不到内部监管应有的作用。事实上在已经被社会熟知的多件审计失败案例中，绝大多数都由媒体曝光和企业因经营困难不得不自曝，很少由监管机构或自律组织查出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eastAsia="zh-CN"/>
              </w:rPr>
            </w:pPr>
            <w:r>
              <w:rPr>
                <w:rFonts w:hint="eastAsia" w:ascii="Times New Roman" w:hAnsi="Times New Roman" w:cs="Times New Roman"/>
                <w:b w:val="0"/>
                <w:bCs/>
              </w:rPr>
              <w:t>虚增销售收入</w:t>
            </w:r>
            <w:r>
              <w:rPr>
                <w:rFonts w:hint="eastAsia" w:ascii="Times New Roman" w:hAnsi="Times New Roman" w:cs="Times New Roman"/>
                <w:b w:val="0"/>
                <w:bCs/>
                <w:lang w:val="en-US" w:eastAsia="zh-CN"/>
              </w:rPr>
              <w:t xml:space="preserve"> </w:t>
            </w:r>
            <w:r>
              <w:rPr>
                <w:rFonts w:hint="eastAsia" w:ascii="Times New Roman" w:hAnsi="Times New Roman" w:cs="Times New Roman"/>
                <w:b w:val="0"/>
                <w:bCs/>
              </w:rPr>
              <w:t>票据伪造</w:t>
            </w:r>
            <w:r>
              <w:rPr>
                <w:rFonts w:hint="eastAsia" w:ascii="Times New Roman" w:hAnsi="Times New Roman" w:cs="Times New Roman"/>
                <w:b w:val="0"/>
                <w:bCs/>
                <w:lang w:val="en-US" w:eastAsia="zh-CN"/>
              </w:rPr>
              <w:t xml:space="preserve"> </w:t>
            </w:r>
            <w:r>
              <w:rPr>
                <w:sz w:val="21"/>
              </w:rPr>
              <w:t>存货监盘</w:t>
            </w:r>
            <w:r>
              <w:rPr>
                <w:rFonts w:hint="eastAsia"/>
                <w:sz w:val="21"/>
                <w:lang w:val="en-US" w:eastAsia="zh-CN"/>
              </w:rPr>
              <w:t xml:space="preserve"> </w:t>
            </w:r>
            <w:r>
              <w:rPr>
                <w:rFonts w:hint="eastAsia"/>
                <w:lang w:val="en-US" w:eastAsia="zh-CN"/>
              </w:rPr>
              <w:t>无法表示意见</w:t>
            </w:r>
          </w:p>
        </w:tc>
      </w:tr>
    </w:tbl>
    <w:p/>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imes New Roman" w:hAnsi="Times New Roman" w:cs="Times New Roman"/>
          <w:lang w:val="en-US" w:eastAsia="zh-CN"/>
        </w:rPr>
      </w:pPr>
      <w:bookmarkStart w:id="45" w:name="_Toc1412"/>
      <w:r>
        <w:rPr>
          <w:rFonts w:hint="eastAsia"/>
          <w:lang w:val="en-US" w:eastAsia="zh-CN"/>
        </w:rPr>
        <w:t>35</w:t>
      </w:r>
      <w:r>
        <w:rPr>
          <w:rFonts w:hint="eastAsia" w:ascii="Times New Roman" w:hAnsi="Times New Roman" w:cs="Times New Roman"/>
          <w:lang w:val="en-US" w:eastAsia="zh-CN"/>
        </w:rPr>
        <w:t>獐子岛</w:t>
      </w:r>
      <w:r>
        <w:rPr>
          <w:rFonts w:hint="default" w:ascii="Times New Roman" w:hAnsi="Times New Roman" w:cs="Times New Roman"/>
          <w:lang w:val="en-US" w:eastAsia="zh-CN"/>
        </w:rPr>
        <w:t>集团股</w:t>
      </w:r>
      <w:r>
        <w:rPr>
          <w:rFonts w:hint="eastAsia" w:ascii="Times New Roman" w:hAnsi="Times New Roman" w:cs="Times New Roman"/>
          <w:lang w:val="en-US" w:eastAsia="zh-CN"/>
        </w:rPr>
        <w:t>份</w:t>
      </w:r>
      <w:r>
        <w:rPr>
          <w:rFonts w:hint="default" w:ascii="Times New Roman" w:hAnsi="Times New Roman" w:cs="Times New Roman"/>
          <w:lang w:val="en-US" w:eastAsia="zh-CN"/>
        </w:rPr>
        <w:t>有限公司</w:t>
      </w:r>
      <w:bookmarkEnd w:id="4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2014年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eastAsia="宋体"/>
                <w:lang w:val="en-US" w:eastAsia="zh-CN"/>
              </w:rPr>
            </w:pPr>
            <w:r>
              <w:rPr>
                <w:rFonts w:hint="eastAsia" w:ascii="Times New Roman" w:hAnsi="Times New Roman" w:eastAsia="宋体" w:cs="Times New Roman"/>
                <w:b w:val="0"/>
                <w:bCs/>
                <w:kern w:val="2"/>
                <w:sz w:val="21"/>
                <w:szCs w:val="22"/>
                <w:lang w:val="en-US" w:eastAsia="zh-CN" w:bidi="ar-SA"/>
              </w:rPr>
              <w:t>獐子岛</w:t>
            </w:r>
            <w:r>
              <w:rPr>
                <w:rFonts w:hint="default" w:ascii="Times New Roman" w:hAnsi="Times New Roman" w:eastAsia="宋体" w:cs="Times New Roman"/>
                <w:b w:val="0"/>
                <w:bCs/>
                <w:kern w:val="2"/>
                <w:sz w:val="21"/>
                <w:szCs w:val="22"/>
                <w:lang w:val="en-US" w:eastAsia="zh-CN" w:bidi="ar-SA"/>
              </w:rPr>
              <w:t>集团股</w:t>
            </w:r>
            <w:r>
              <w:rPr>
                <w:rFonts w:hint="eastAsia" w:ascii="Times New Roman" w:hAnsi="Times New Roman" w:cs="Times New Roman"/>
                <w:b w:val="0"/>
                <w:bCs/>
                <w:kern w:val="2"/>
                <w:sz w:val="21"/>
                <w:szCs w:val="22"/>
                <w:lang w:val="en-US" w:eastAsia="zh-CN" w:bidi="ar-SA"/>
              </w:rPr>
              <w:t>份</w:t>
            </w:r>
            <w:r>
              <w:rPr>
                <w:rFonts w:hint="default" w:ascii="Times New Roman" w:hAnsi="Times New Roman" w:eastAsia="宋体" w:cs="Times New Roman"/>
                <w:b w:val="0"/>
                <w:bCs/>
                <w:kern w:val="2"/>
                <w:sz w:val="21"/>
                <w:szCs w:val="22"/>
                <w:lang w:val="en-US" w:eastAsia="zh-CN" w:bidi="ar-SA"/>
              </w:rPr>
              <w:t>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Times New Roman" w:hAnsi="Times New Roman" w:cs="Times New Roman"/>
                <w:b w:val="0"/>
                <w:bCs/>
              </w:rPr>
              <w:t>农副水产品种养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bidi w:val="0"/>
              <w:spacing w:after="280" w:afterAutospacing="1"/>
              <w:jc w:val="left"/>
              <w:rPr>
                <w:rFonts w:hint="eastAsia" w:ascii="Times New Roman" w:hAnsi="Times New Roman" w:eastAsia="宋体" w:cs="Times New Roman"/>
                <w:b w:val="0"/>
                <w:bCs/>
                <w:kern w:val="2"/>
                <w:sz w:val="21"/>
                <w:szCs w:val="22"/>
                <w:lang w:val="en-US" w:eastAsia="zh-CN" w:bidi="ar-SA"/>
              </w:rPr>
            </w:pPr>
            <w:r>
              <w:tab/>
            </w:r>
            <w:r>
              <w:rPr>
                <w:rFonts w:hint="eastAsia" w:ascii="Times New Roman" w:hAnsi="Times New Roman" w:eastAsia="宋体" w:cs="Times New Roman"/>
                <w:b w:val="0"/>
                <w:bCs/>
                <w:kern w:val="2"/>
                <w:sz w:val="21"/>
                <w:szCs w:val="22"/>
                <w:lang w:val="en-US" w:eastAsia="zh-CN" w:bidi="ar-SA"/>
              </w:rPr>
              <w:t>獐子岛</w:t>
            </w:r>
            <w:r>
              <w:rPr>
                <w:rFonts w:hint="default" w:ascii="Times New Roman" w:hAnsi="Times New Roman" w:eastAsia="宋体" w:cs="Times New Roman"/>
                <w:b w:val="0"/>
                <w:bCs/>
                <w:kern w:val="2"/>
                <w:sz w:val="21"/>
                <w:szCs w:val="22"/>
                <w:lang w:val="en-US" w:eastAsia="zh-CN" w:bidi="ar-SA"/>
              </w:rPr>
              <w:t>集团股</w:t>
            </w:r>
            <w:r>
              <w:rPr>
                <w:rFonts w:hint="eastAsia" w:ascii="Times New Roman" w:hAnsi="Times New Roman" w:cs="Times New Roman"/>
                <w:b w:val="0"/>
                <w:bCs/>
                <w:kern w:val="2"/>
                <w:sz w:val="21"/>
                <w:szCs w:val="22"/>
                <w:lang w:val="en-US" w:eastAsia="zh-CN" w:bidi="ar-SA"/>
              </w:rPr>
              <w:t>份</w:t>
            </w:r>
            <w:r>
              <w:rPr>
                <w:rFonts w:hint="default" w:ascii="Times New Roman" w:hAnsi="Times New Roman" w:eastAsia="宋体" w:cs="Times New Roman"/>
                <w:b w:val="0"/>
                <w:bCs/>
                <w:kern w:val="2"/>
                <w:sz w:val="21"/>
                <w:szCs w:val="22"/>
                <w:lang w:val="en-US" w:eastAsia="zh-CN" w:bidi="ar-SA"/>
              </w:rPr>
              <w:t>有限公司成立于1958 年,是一家以水产增养殖为主,集海珍品育苗、增养殖、加工、贸易、海上运输于一体的综合性海洋食品企业。獐子岛位于北纬39?,盛产海参、鲍鱼、扇贝等海珍品,以虾夷扇贝为例,其对养殖水域的水深、流速、水温、盐度、底质等均有较高要求,国内只有大连长海和山东长岛部分海域适宜大觃模养殖。</w:t>
            </w:r>
          </w:p>
          <w:p>
            <w:pPr>
              <w:rPr>
                <w:b/>
              </w:rPr>
            </w:pPr>
            <w:r>
              <w:rPr>
                <w:rFonts w:hint="eastAsia"/>
                <w:b/>
              </w:rPr>
              <w:t>【案情背景</w:t>
            </w:r>
            <w:r>
              <w:rPr>
                <w:b/>
              </w:rPr>
              <w:t>】</w:t>
            </w:r>
          </w:p>
          <w:p>
            <w:pPr>
              <w:rPr>
                <w:rFonts w:hint="default" w:ascii="Arial" w:hAnsi="Arial" w:eastAsia="宋体" w:cs="Arial"/>
                <w:i w:val="0"/>
                <w:iCs w:val="0"/>
                <w:caps w:val="0"/>
                <w:color w:val="222222"/>
                <w:spacing w:val="0"/>
                <w:sz w:val="19"/>
                <w:szCs w:val="19"/>
              </w:rPr>
            </w:pPr>
            <w:r>
              <w:rPr>
                <w:b/>
              </w:rPr>
              <w:tab/>
            </w:r>
            <w:r>
              <w:rPr>
                <w:rFonts w:ascii="Arial" w:hAnsi="Arial" w:eastAsia="宋体" w:cs="Arial"/>
                <w:i w:val="0"/>
                <w:iCs w:val="0"/>
                <w:caps w:val="0"/>
                <w:color w:val="222222"/>
                <w:spacing w:val="0"/>
                <w:sz w:val="19"/>
                <w:szCs w:val="19"/>
              </w:rPr>
              <w:t>2014 年10 月30 日晚间,獐子岛正常披露三季报,</w:t>
            </w:r>
            <w:r>
              <w:rPr>
                <w:rFonts w:hint="default" w:ascii="Arial" w:hAnsi="Arial" w:eastAsia="宋体" w:cs="Arial"/>
                <w:i w:val="0"/>
                <w:iCs w:val="0"/>
                <w:caps w:val="0"/>
                <w:color w:val="222222"/>
                <w:spacing w:val="0"/>
                <w:sz w:val="19"/>
                <w:szCs w:val="19"/>
              </w:rPr>
              <w:t xml:space="preserve">公告披露后在资本市场上引起轩然大波。10 月30 日晚间,獐子岛公布三季报,同时发布的还有一仹计提巨额存货减值公告。根据公告,公司决定对105.64 万亩海域成本为7.35 亿元的底播虾夷扇贝存货放弃本轮采捕,进行核销处理,对43.02 万亩海域成本为3 亿元的底播虾夷扇贝存货计提跌价准备28305 万元,扣除递延所得 税影响2.54 亿元,合计影响净利润7.63 亿元,全部计入今年第三季度。11 月6 日,证监会表示正在就相关情况进行核查。12 月5 日披露了证监会对獐子岛巨亏事件的核查和处理情况。证监会新闻发言人邓舸表示,未发现2011 年底扇贝的苗种采贩有虚假行为,大股东存在占用上市公司资金行为。 </w:t>
            </w:r>
          </w:p>
          <w:p>
            <w:pPr>
              <w:rPr>
                <w:b/>
              </w:rPr>
            </w:pPr>
            <w:r>
              <w:rPr>
                <w:rFonts w:hint="eastAsia"/>
                <w:b/>
              </w:rPr>
              <w:t>【案情描述】</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2014年10月30日，獐子岛发布公告称北黄海遭到几十年一遇异常的冷水，造成了獐子岛的虾夷扇贝绝收;当年净利润亏损11.95亿元;同年12月，对于事件的发生，獐子岛集团董事长吴厚刚自愿承担1亿元灾害损失，总裁办成员作出降薪决定直到恢复到公司的净利润恢复至2009-2013年的平均水平，总裁办公会成员出资增持公司股票，并承诺2年内不减持，此外，设立海洋牧场研究中心，每年投资不少于1000万元的资金。</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2018年1月31日，獐子岛发布公告称，公司正在进行底播虾夷扇贝的年末存量盘点，发现部分海域的底播虾夷扇贝存货异常。对底播虾夷扇贝存货核销及计提跌价准备6.38亿元并计入2017年年度报告，2017年净利润亏损7.26亿元。</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在2019年秋季，獐子岛底播虾夷扇贝再次发生大规模死亡事件，受此影响，公司经营业绩再次出现较大额度亏损，2019年全年亏损3.85亿元。</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2020年6月24日，证监会依法对獐子岛公司信息披露违法违规案作出行政处罚及市场禁入决定，对獐子岛公司给予警告，并处以60万元罚款，对15名责任人员处以3万元至30万元不等罚款，对4名主要责任人采取5年至终身市场禁入。</w:t>
            </w:r>
          </w:p>
          <w:p>
            <w:pPr>
              <w:pStyle w:val="11"/>
              <w:keepNext w:val="0"/>
              <w:keepLines w:val="0"/>
              <w:widowControl/>
              <w:suppressLineNumbers w:val="0"/>
              <w:spacing w:before="258" w:beforeAutospacing="0" w:after="0" w:afterAutospacing="0" w:line="19" w:lineRule="atLeast"/>
              <w:ind w:left="0" w:right="0" w:firstLine="420"/>
              <w:jc w:val="center"/>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drawing>
                <wp:inline distT="0" distB="0" distL="114300" distR="114300">
                  <wp:extent cx="5638800" cy="3333750"/>
                  <wp:effectExtent l="0" t="0" r="1905" b="0"/>
                  <wp:docPr id="1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56"/>
                          <pic:cNvPicPr>
                            <a:picLocks noChangeAspect="1"/>
                          </pic:cNvPicPr>
                        </pic:nvPicPr>
                        <pic:blipFill>
                          <a:blip r:embed="rId19"/>
                          <a:stretch>
                            <a:fillRect/>
                          </a:stretch>
                        </pic:blipFill>
                        <pic:spPr>
                          <a:xfrm>
                            <a:off x="0" y="0"/>
                            <a:ext cx="5638800" cy="3333750"/>
                          </a:xfrm>
                          <a:prstGeom prst="rect">
                            <a:avLst/>
                          </a:prstGeom>
                          <a:noFill/>
                          <a:ln w="9525">
                            <a:noFill/>
                          </a:ln>
                        </pic:spPr>
                      </pic:pic>
                    </a:graphicData>
                  </a:graphic>
                </wp:inline>
              </w:drawing>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——“绝收”事件对公司的经营业绩的影响</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从净利润角度来看，在2014年，净利润亏损了11.95亿元，较2013年下跌了1326%;而这也继续影响了2015年的净利润，亏损了2.45亿元。在2018年，獐子岛再次遭遇了重大的自然灾害，公司将其损失计入了2017年的年报中，导致2017年的净利润亏损了7.26亿元。</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在2019年秋季，獐子岛底播虾夷扇贝再次发生大规模死亡事件;受此影响，2019年全年亏损3.85亿元。整体来看，“绝收”事件对公司的经营业绩影响较大。</w:t>
            </w:r>
          </w:p>
          <w:p>
            <w:pPr>
              <w:pStyle w:val="11"/>
              <w:keepNext w:val="0"/>
              <w:keepLines w:val="0"/>
              <w:widowControl/>
              <w:suppressLineNumbers w:val="0"/>
              <w:spacing w:before="258" w:beforeAutospacing="0" w:after="0" w:afterAutospacing="0" w:line="19" w:lineRule="atLeast"/>
              <w:ind w:left="0" w:right="0" w:firstLine="420"/>
              <w:jc w:val="center"/>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drawing>
                <wp:inline distT="0" distB="0" distL="114300" distR="114300">
                  <wp:extent cx="5753100" cy="3886200"/>
                  <wp:effectExtent l="0" t="0" r="7620" b="7620"/>
                  <wp:docPr id="17"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descr="IMG_257"/>
                          <pic:cNvPicPr>
                            <a:picLocks noChangeAspect="1"/>
                          </pic:cNvPicPr>
                        </pic:nvPicPr>
                        <pic:blipFill>
                          <a:blip r:embed="rId20"/>
                          <a:stretch>
                            <a:fillRect/>
                          </a:stretch>
                        </pic:blipFill>
                        <pic:spPr>
                          <a:xfrm>
                            <a:off x="0" y="0"/>
                            <a:ext cx="5753100" cy="3886200"/>
                          </a:xfrm>
                          <a:prstGeom prst="rect">
                            <a:avLst/>
                          </a:prstGeom>
                          <a:noFill/>
                          <a:ln w="9525">
                            <a:noFill/>
                          </a:ln>
                        </pic:spPr>
                      </pic:pic>
                    </a:graphicData>
                  </a:graphic>
                </wp:inline>
              </w:drawing>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2、事件影响因素与措施</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——七大因素影响虾夷扇贝生长</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獐子岛集团采用的底播增殖方式受所处海域的自然环境和生态环境影响较大。如底质、水文环境(水深、水温、盐度)、敌害、台风、风暴潮、冷水团、养殖容量、自然灾害、气候异常等环境胁迫因子，均会对獐子岛集团养殖区域的养殖产品带来重大影响。其中，影响底播虾夷扇贝存活的胁迫因子，主要包括：</w:t>
            </w:r>
          </w:p>
          <w:p>
            <w:pPr>
              <w:pStyle w:val="11"/>
              <w:keepNext w:val="0"/>
              <w:keepLines w:val="0"/>
              <w:widowControl/>
              <w:suppressLineNumbers w:val="0"/>
              <w:spacing w:before="258" w:beforeAutospacing="0" w:after="0" w:afterAutospacing="0" w:line="19" w:lineRule="atLeast"/>
              <w:ind w:left="0" w:right="0" w:firstLine="420"/>
              <w:jc w:val="center"/>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drawing>
                <wp:inline distT="0" distB="0" distL="114300" distR="114300">
                  <wp:extent cx="5610225" cy="9363075"/>
                  <wp:effectExtent l="0" t="0" r="3810" b="11430"/>
                  <wp:docPr id="18"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descr="IMG_258"/>
                          <pic:cNvPicPr>
                            <a:picLocks noChangeAspect="1"/>
                          </pic:cNvPicPr>
                        </pic:nvPicPr>
                        <pic:blipFill>
                          <a:blip r:embed="rId21"/>
                          <a:stretch>
                            <a:fillRect/>
                          </a:stretch>
                        </pic:blipFill>
                        <pic:spPr>
                          <a:xfrm>
                            <a:off x="0" y="0"/>
                            <a:ext cx="5610225" cy="9363075"/>
                          </a:xfrm>
                          <a:prstGeom prst="rect">
                            <a:avLst/>
                          </a:prstGeom>
                          <a:noFill/>
                          <a:ln w="9525">
                            <a:noFill/>
                          </a:ln>
                        </pic:spPr>
                      </pic:pic>
                    </a:graphicData>
                  </a:graphic>
                </wp:inline>
              </w:drawing>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——采取的措施：重构产品结构、加强生态海洋研发与监控</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在经历了2014年的“绝收”事件后，獐子岛迅速调整了自己的布局规划。根据2014年的獐子岛年报中所披露，獐子岛更多的关注在了对于生态海洋的监控和研发创新上面，分别为加强海洋生态环境风险研究与控制、加强环境监测及预警控制、加强海域精细化控制、加强海域确权过程控制、提升海洋牧场风险控制能力等五大方面。</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而在2018年，獐子岛的海洋牧场再次发生了重大的自然灾害。但是，这次獐子岛集团把目光聚焦在了重构布局上，从海域、产品结构、业务结构、组织结构等四大方面入手;争取早点摆脱自然灾害给獐子岛带来的危害。</w:t>
            </w:r>
          </w:p>
          <w:p>
            <w:pPr>
              <w:pStyle w:val="11"/>
              <w:keepNext w:val="0"/>
              <w:keepLines w:val="0"/>
              <w:widowControl/>
              <w:suppressLineNumbers w:val="0"/>
              <w:spacing w:before="258" w:beforeAutospacing="0" w:after="0" w:afterAutospacing="0" w:line="19" w:lineRule="atLeast"/>
              <w:ind w:left="0" w:right="0" w:firstLine="420"/>
              <w:jc w:val="center"/>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drawing>
                <wp:inline distT="0" distB="0" distL="114300" distR="114300">
                  <wp:extent cx="6667500" cy="8648700"/>
                  <wp:effectExtent l="0" t="0" r="0" b="5715"/>
                  <wp:docPr id="19"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descr="IMG_259"/>
                          <pic:cNvPicPr>
                            <a:picLocks noChangeAspect="1"/>
                          </pic:cNvPicPr>
                        </pic:nvPicPr>
                        <pic:blipFill>
                          <a:blip r:embed="rId22"/>
                          <a:stretch>
                            <a:fillRect/>
                          </a:stretch>
                        </pic:blipFill>
                        <pic:spPr>
                          <a:xfrm>
                            <a:off x="0" y="0"/>
                            <a:ext cx="6667500" cy="8648700"/>
                          </a:xfrm>
                          <a:prstGeom prst="rect">
                            <a:avLst/>
                          </a:prstGeom>
                          <a:noFill/>
                          <a:ln w="9525">
                            <a:noFill/>
                          </a:ln>
                        </pic:spPr>
                      </pic:pic>
                    </a:graphicData>
                  </a:graphic>
                </wp:inline>
              </w:drawing>
            </w:r>
          </w:p>
          <w:p>
            <w:pPr>
              <w:pStyle w:val="11"/>
              <w:keepNext w:val="0"/>
              <w:keepLines w:val="0"/>
              <w:widowControl/>
              <w:suppressLineNumbers w:val="0"/>
              <w:spacing w:before="258" w:beforeAutospacing="0" w:after="0" w:afterAutospacing="0" w:line="19" w:lineRule="atLeast"/>
              <w:ind w:left="0" w:right="0" w:firstLine="420"/>
              <w:jc w:val="center"/>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drawing>
                <wp:inline distT="0" distB="0" distL="114300" distR="114300">
                  <wp:extent cx="5810250" cy="4057650"/>
                  <wp:effectExtent l="0" t="0" r="3810" b="9525"/>
                  <wp:docPr id="20"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IMG_260"/>
                          <pic:cNvPicPr>
                            <a:picLocks noChangeAspect="1"/>
                          </pic:cNvPicPr>
                        </pic:nvPicPr>
                        <pic:blipFill>
                          <a:blip r:embed="rId23"/>
                          <a:stretch>
                            <a:fillRect/>
                          </a:stretch>
                        </pic:blipFill>
                        <pic:spPr>
                          <a:xfrm>
                            <a:off x="0" y="0"/>
                            <a:ext cx="5810250" cy="4057650"/>
                          </a:xfrm>
                          <a:prstGeom prst="rect">
                            <a:avLst/>
                          </a:prstGeom>
                          <a:noFill/>
                          <a:ln w="9525">
                            <a:noFill/>
                          </a:ln>
                        </pic:spPr>
                      </pic:pic>
                    </a:graphicData>
                  </a:graphic>
                </wp:inline>
              </w:drawing>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3、涅槃重生的“獐子岛”</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在经历了“绝收”事件后，獐子岛把重心放在了重构结构和加强对生态海洋的监控和研发创新上面。从细分产品的收入来看，在2018年前，由于獐子岛将重心放在了对生态海洋的监控和研发创新上面，因此产品结构份额并没有出现太大的变化。其中，虾夷扇贝仍是獐子岛集团的主要收入来源，从2011年的11.82亿元波动下跌至2017年的7.68亿元，占比一直保持在65%左右。</w:t>
            </w:r>
          </w:p>
          <w:p>
            <w:pPr>
              <w:pStyle w:val="11"/>
              <w:keepNext w:val="0"/>
              <w:keepLines w:val="0"/>
              <w:widowControl/>
              <w:suppressLineNumbers w:val="0"/>
              <w:spacing w:before="258" w:beforeAutospacing="0" w:after="0" w:afterAutospacing="0" w:line="19" w:lineRule="atLeast"/>
              <w:ind w:left="0" w:right="0" w:firstLine="420"/>
              <w:jc w:val="both"/>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t>当獐子岛再次经历了重大的自然灾害后，将重心放在了重构产品结构上面;其细分产品收入份额也出现了较大的变化，特别是虾夷扇贝类，从2017年的65.9%下跌至2020年的39.8%;随之上升的是海参和鲍鱼，分别从2017年的15.7%、9.5%上升至2020年的30.3%和15.6%。</w:t>
            </w:r>
          </w:p>
          <w:p>
            <w:pPr>
              <w:pStyle w:val="11"/>
              <w:keepNext w:val="0"/>
              <w:keepLines w:val="0"/>
              <w:widowControl/>
              <w:suppressLineNumbers w:val="0"/>
              <w:spacing w:before="258" w:beforeAutospacing="0" w:after="0" w:afterAutospacing="0" w:line="19" w:lineRule="atLeast"/>
              <w:ind w:left="0" w:right="0" w:firstLine="420"/>
              <w:jc w:val="center"/>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drawing>
                <wp:inline distT="0" distB="0" distL="114300" distR="114300">
                  <wp:extent cx="5524500" cy="3762375"/>
                  <wp:effectExtent l="0" t="0" r="9525" b="11430"/>
                  <wp:docPr id="21" name="图片 1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IMG_261"/>
                          <pic:cNvPicPr>
                            <a:picLocks noChangeAspect="1"/>
                          </pic:cNvPicPr>
                        </pic:nvPicPr>
                        <pic:blipFill>
                          <a:blip r:embed="rId24"/>
                          <a:stretch>
                            <a:fillRect/>
                          </a:stretch>
                        </pic:blipFill>
                        <pic:spPr>
                          <a:xfrm>
                            <a:off x="0" y="0"/>
                            <a:ext cx="5524500" cy="3762375"/>
                          </a:xfrm>
                          <a:prstGeom prst="rect">
                            <a:avLst/>
                          </a:prstGeom>
                          <a:noFill/>
                          <a:ln w="9525">
                            <a:noFill/>
                          </a:ln>
                        </pic:spPr>
                      </pic:pic>
                    </a:graphicData>
                  </a:graphic>
                </wp:inline>
              </w:drawing>
            </w:r>
          </w:p>
          <w:p>
            <w:pPr>
              <w:pStyle w:val="11"/>
              <w:keepNext w:val="0"/>
              <w:keepLines w:val="0"/>
              <w:widowControl/>
              <w:suppressLineNumbers w:val="0"/>
              <w:spacing w:before="258" w:beforeAutospacing="0" w:after="0" w:afterAutospacing="0" w:line="19" w:lineRule="atLeast"/>
              <w:ind w:left="0" w:right="0" w:firstLine="420"/>
              <w:jc w:val="center"/>
              <w:rPr>
                <w:rFonts w:hint="default" w:ascii="Arial" w:hAnsi="Arial" w:eastAsia="宋体" w:cs="Arial"/>
                <w:i w:val="0"/>
                <w:iCs w:val="0"/>
                <w:caps w:val="0"/>
                <w:color w:val="222222"/>
                <w:spacing w:val="0"/>
                <w:kern w:val="2"/>
                <w:sz w:val="19"/>
                <w:szCs w:val="19"/>
                <w:lang w:val="en-US" w:eastAsia="zh-CN" w:bidi="ar-SA"/>
              </w:rPr>
            </w:pPr>
            <w:r>
              <w:rPr>
                <w:rFonts w:hint="default" w:ascii="Arial" w:hAnsi="Arial" w:eastAsia="宋体" w:cs="Arial"/>
                <w:i w:val="0"/>
                <w:iCs w:val="0"/>
                <w:caps w:val="0"/>
                <w:color w:val="222222"/>
                <w:spacing w:val="0"/>
                <w:kern w:val="2"/>
                <w:sz w:val="19"/>
                <w:szCs w:val="19"/>
                <w:lang w:val="en-US" w:eastAsia="zh-CN" w:bidi="ar-SA"/>
              </w:rPr>
              <w:drawing>
                <wp:inline distT="0" distB="0" distL="114300" distR="114300">
                  <wp:extent cx="5629275" cy="4095750"/>
                  <wp:effectExtent l="0" t="0" r="11430" b="11430"/>
                  <wp:docPr id="22" name="图片 1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IMG_262"/>
                          <pic:cNvPicPr>
                            <a:picLocks noChangeAspect="1"/>
                          </pic:cNvPicPr>
                        </pic:nvPicPr>
                        <pic:blipFill>
                          <a:blip r:embed="rId25"/>
                          <a:stretch>
                            <a:fillRect/>
                          </a:stretch>
                        </pic:blipFill>
                        <pic:spPr>
                          <a:xfrm>
                            <a:off x="0" y="0"/>
                            <a:ext cx="5629275" cy="4095750"/>
                          </a:xfrm>
                          <a:prstGeom prst="rect">
                            <a:avLst/>
                          </a:prstGeom>
                          <a:noFill/>
                          <a:ln w="9525">
                            <a:noFill/>
                          </a:ln>
                        </pic:spPr>
                      </pic:pic>
                    </a:graphicData>
                  </a:graphic>
                </wp:inline>
              </w:drawing>
            </w: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right="0" w:rightChars="0" w:firstLine="480" w:firstLineChars="20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r>
              <w:rPr>
                <w:rFonts w:hint="eastAsia" w:ascii="Times New Roman" w:hAnsi="Times New Roman" w:eastAsia="宋体" w:cs="Times New Roman"/>
                <w:b w:val="0"/>
                <w:bCs/>
                <w:kern w:val="2"/>
                <w:sz w:val="21"/>
                <w:szCs w:val="22"/>
                <w:lang w:val="en-US" w:eastAsia="zh-CN" w:bidi="ar-SA"/>
              </w:rPr>
              <w:t xml:space="preserve"> </w:t>
            </w:r>
            <w:r>
              <w:rPr>
                <w:rFonts w:hint="default" w:ascii="Arial" w:hAnsi="Arial" w:eastAsia="宋体" w:cs="Arial"/>
                <w:i w:val="0"/>
                <w:iCs w:val="0"/>
                <w:caps w:val="0"/>
                <w:color w:val="222222"/>
                <w:spacing w:val="0"/>
                <w:kern w:val="2"/>
                <w:sz w:val="19"/>
                <w:szCs w:val="19"/>
                <w:lang w:val="en-US" w:eastAsia="zh-CN" w:bidi="ar-SA"/>
              </w:rPr>
              <w:t>亚太（集团）会计师事务所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bidi w:val="0"/>
              <w:spacing w:after="280" w:afterAutospacing="1"/>
              <w:jc w:val="left"/>
              <w:rPr>
                <w:rStyle w:val="19"/>
                <w:i w:val="0"/>
                <w:iCs w:val="0"/>
                <w:color w:val="auto"/>
              </w:rPr>
            </w:pPr>
            <w:r>
              <w:rPr>
                <w:sz w:val="21"/>
              </w:rPr>
              <w:t xml:space="preserve"> </w:t>
            </w:r>
            <w:r>
              <w:rPr>
                <w:rFonts w:ascii="Arial" w:hAnsi="Arial" w:eastAsia="宋体" w:cs="Arial"/>
                <w:i w:val="0"/>
                <w:iCs w:val="0"/>
                <w:caps w:val="0"/>
                <w:color w:val="222222"/>
                <w:spacing w:val="0"/>
                <w:sz w:val="19"/>
                <w:szCs w:val="19"/>
              </w:rPr>
              <w:t>一，对农业上市公司的启示 农业上市公司在生产</w:t>
            </w:r>
            <w:r>
              <w:rPr>
                <w:rFonts w:hint="default" w:ascii="Arial" w:hAnsi="Arial" w:eastAsia="宋体" w:cs="Arial"/>
                <w:i w:val="0"/>
                <w:iCs w:val="0"/>
                <w:caps w:val="0"/>
                <w:color w:val="222222"/>
                <w:spacing w:val="0"/>
                <w:sz w:val="19"/>
                <w:szCs w:val="19"/>
              </w:rPr>
              <w:t>经营活劢时应当注重于对该行业可能存在的风险的披露并制定应对措施,即使有些风险是很微小的,仍然需要及时披露,这样投资者才能及时把握投资信息。 ，二，对投资者的启示 在投资农业上市公司时,尤其是水底养殖和植物种植的行业,必须十分谨慎小心,只有在全面了解被投资企业的生产技术、管理制度、信息披露觃范等之后,才可以考虑进行投资,以减小陷入被投资企业造假风波的可能性。 ，三，对审计的启示 在农业企业里,处于不同种类的农企对存货的计量方法在具体上表现不同,这就要求有各行业的与家和会计结合,为不同类型的农业企业制定相应的成本及存货的盘点方法,这就需要国家的引领和政策扶持。 结语 无论是国外还是国内,上市公司造假都是资本市场和投资者十分关注的问题,而农业上市公司造假由于其得天独厚的造假条件和高风险的盈利模式成为十分棘手的难题。关于农业上市公司生物性资产会计确认和计量一直是一个充满争议的领域,目前在诸多方面对于如何科孥合理的计量生物性资产还不能达成统一的觃定。 除了生物性资产的难以确认和计量,交易终端的分散和大量的现金交易也给防范和治理农业企业上市公司财务造假带来很多不便。这就要求我国农业从根本上转变发展方式,向集约化、产业化农业发展,这才能有效的综合资源,培养统一的交易终端,减少现金交易,从而使农业上市公司的经营生产更透明。 本文以最新的獐子岛案例出发,结合獐子岛实际情况分析了农业上市公司造假的特点,并为投资者和企业一级审计提出一些建议,但是由于主观和客观条件,一些想法还缺乏科孥的依据,因此,在今后的孥习和工作中,还要进行进一步的探讨和研究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eastAsia="zh-CN"/>
              </w:rPr>
            </w:pPr>
            <w:r>
              <w:rPr>
                <w:rFonts w:hint="eastAsia" w:ascii="Times New Roman" w:hAnsi="Times New Roman" w:eastAsia="宋体" w:cs="Times New Roman"/>
                <w:b w:val="0"/>
                <w:bCs/>
                <w:kern w:val="2"/>
                <w:sz w:val="21"/>
                <w:szCs w:val="22"/>
                <w:lang w:val="en-US" w:eastAsia="zh-CN" w:bidi="ar-SA"/>
              </w:rPr>
              <w:t>财务</w:t>
            </w:r>
            <w:r>
              <w:rPr>
                <w:rFonts w:hint="default" w:ascii="Times New Roman" w:hAnsi="Times New Roman" w:eastAsia="宋体" w:cs="Times New Roman"/>
                <w:b w:val="0"/>
                <w:bCs/>
                <w:kern w:val="2"/>
                <w:sz w:val="21"/>
                <w:szCs w:val="22"/>
                <w:lang w:val="en-US" w:eastAsia="zh-CN" w:bidi="ar-SA"/>
              </w:rPr>
              <w:t>造假</w:t>
            </w:r>
            <w:r>
              <w:rPr>
                <w:rFonts w:hint="eastAsia" w:ascii="Times New Roman" w:hAnsi="Times New Roman" w:eastAsia="宋体" w:cs="Times New Roman"/>
                <w:b w:val="0"/>
                <w:bCs/>
                <w:kern w:val="2"/>
                <w:sz w:val="21"/>
                <w:szCs w:val="22"/>
                <w:lang w:val="en-US" w:eastAsia="zh-CN" w:bidi="ar-SA"/>
              </w:rPr>
              <w:t xml:space="preserve"> </w:t>
            </w:r>
            <w:r>
              <w:rPr>
                <w:rFonts w:hint="default" w:ascii="Times New Roman" w:hAnsi="Times New Roman" w:eastAsia="宋体" w:cs="Times New Roman"/>
                <w:b w:val="0"/>
                <w:bCs/>
                <w:kern w:val="2"/>
                <w:sz w:val="21"/>
                <w:szCs w:val="22"/>
                <w:lang w:val="en-US" w:eastAsia="zh-CN" w:bidi="ar-SA"/>
              </w:rPr>
              <w:t>生物资产计量</w:t>
            </w:r>
            <w:r>
              <w:rPr>
                <w:rFonts w:hint="eastAsia" w:ascii="Times New Roman" w:hAnsi="Times New Roman" w:eastAsia="宋体" w:cs="Times New Roman"/>
                <w:b w:val="0"/>
                <w:bCs/>
                <w:kern w:val="2"/>
                <w:sz w:val="21"/>
                <w:szCs w:val="22"/>
                <w:lang w:val="en-US" w:eastAsia="zh-CN" w:bidi="ar-SA"/>
              </w:rPr>
              <w:t xml:space="preserve"> </w:t>
            </w:r>
            <w:r>
              <w:rPr>
                <w:rFonts w:hint="default" w:ascii="Times New Roman" w:hAnsi="Times New Roman" w:eastAsia="宋体" w:cs="Times New Roman"/>
                <w:b w:val="0"/>
                <w:bCs/>
                <w:kern w:val="2"/>
                <w:sz w:val="21"/>
                <w:szCs w:val="22"/>
                <w:lang w:val="en-US" w:eastAsia="zh-CN" w:bidi="ar-SA"/>
              </w:rPr>
              <w:t>信息披露违觃</w:t>
            </w:r>
          </w:p>
        </w:tc>
      </w:tr>
    </w:tbl>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bookmarkStart w:id="46" w:name="_Toc18088"/>
      <w:r>
        <w:rPr>
          <w:rFonts w:hint="eastAsia"/>
          <w:lang w:val="en-US" w:eastAsia="zh-CN"/>
        </w:rPr>
        <w:t>36</w:t>
      </w:r>
      <w:r>
        <w:rPr>
          <w:rFonts w:hint="eastAsia" w:ascii="Times New Roman" w:hAnsi="Times New Roman" w:cs="Times New Roman"/>
          <w:lang w:val="en-US" w:eastAsia="zh-CN"/>
        </w:rPr>
        <w:t>广东新大地生物科技股份有限公司</w:t>
      </w:r>
      <w:bookmarkEnd w:id="46"/>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2013年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ascii="Times New Roman" w:hAnsi="Times New Roman" w:cs="Times New Roman"/>
                <w:lang w:val="en-US" w:eastAsia="zh-CN"/>
              </w:rPr>
              <w:t>广东新大地生物科技股份有限公司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lang w:val="en-US"/>
              </w:rPr>
            </w:pPr>
            <w:r>
              <w:rPr>
                <w:rFonts w:hint="eastAsia" w:ascii="微软雅黑" w:hAnsi="微软雅黑" w:eastAsia="微软雅黑" w:cs="微软雅黑"/>
                <w:i w:val="0"/>
                <w:caps w:val="0"/>
                <w:color w:val="000000"/>
                <w:spacing w:val="0"/>
                <w:sz w:val="16"/>
                <w:szCs w:val="16"/>
                <w:shd w:val="clear" w:fill="FFFFFF"/>
                <w:lang w:val="en-US" w:eastAsia="zh-CN"/>
              </w:rPr>
              <w:t>农业养殖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default" w:ascii="Times New Roman" w:hAnsi="Times New Roman" w:cs="Times New Roman"/>
                <w:b w:val="0"/>
                <w:bCs/>
              </w:rPr>
            </w:pPr>
            <w:r>
              <w:tab/>
            </w:r>
            <w:r>
              <w:rPr>
                <w:rFonts w:hint="eastAsia" w:ascii="Times New Roman" w:hAnsi="Times New Roman" w:cs="Times New Roman"/>
                <w:b w:val="0"/>
                <w:bCs/>
              </w:rPr>
              <w:t>广东新大地生物科技股份有限公司位于广东省</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"https://baike.baidu.com/item/%E5%B9%B3%E8%BF%9C%E5%8E%BF/3310797" \t "https://baike.baidu.com/item/%E5%B9%BF%E4%B8%9C%E6%96%B0%E5%A4%A7%E5%9C%B0%E7%94%9F%E7%89%A9%E7%A7%91%E6%8A%80%E8%82%A1%E4%BB%BD%E6%9C%89%E9%99%90%E5%85%AC%E5%8F%B8/_blank" </w:instrText>
            </w:r>
            <w:r>
              <w:rPr>
                <w:rFonts w:hint="default" w:ascii="Times New Roman" w:hAnsi="Times New Roman" w:cs="Times New Roman"/>
                <w:b w:val="0"/>
                <w:bCs/>
              </w:rPr>
              <w:fldChar w:fldCharType="separate"/>
            </w:r>
            <w:r>
              <w:rPr>
                <w:rFonts w:hint="default" w:ascii="Times New Roman" w:hAnsi="Times New Roman" w:cs="Times New Roman"/>
                <w:b w:val="0"/>
                <w:bCs/>
              </w:rPr>
              <w:t>平远县</w:t>
            </w:r>
            <w:r>
              <w:rPr>
                <w:rFonts w:hint="default" w:ascii="Times New Roman" w:hAnsi="Times New Roman" w:cs="Times New Roman"/>
                <w:b w:val="0"/>
                <w:bCs/>
              </w:rPr>
              <w:fldChar w:fldCharType="end"/>
            </w:r>
            <w:r>
              <w:rPr>
                <w:rFonts w:hint="default" w:ascii="Times New Roman" w:hAnsi="Times New Roman" w:cs="Times New Roman"/>
                <w:b w:val="0"/>
                <w:bCs/>
              </w:rPr>
              <w:t>长田镇</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"https://baike.baidu.com/item/%E6%B2%B9%E8%8C%B6" \t "https://baike.baidu.com/item/%E5%B9%BF%E4%B8%9C%E6%96%B0%E5%A4%A7%E5%9C%B0%E7%94%9F%E7%89%A9%E7%A7%91%E6%8A%80%E8%82%A1%E4%BB%BD%E6%9C%89%E9%99%90%E5%85%AC%E5%8F%B8/_blank" </w:instrText>
            </w:r>
            <w:r>
              <w:rPr>
                <w:rFonts w:hint="default" w:ascii="Times New Roman" w:hAnsi="Times New Roman" w:cs="Times New Roman"/>
                <w:b w:val="0"/>
                <w:bCs/>
              </w:rPr>
              <w:fldChar w:fldCharType="separate"/>
            </w:r>
            <w:r>
              <w:rPr>
                <w:rFonts w:hint="default" w:ascii="Times New Roman" w:hAnsi="Times New Roman" w:cs="Times New Roman"/>
                <w:b w:val="0"/>
                <w:bCs/>
              </w:rPr>
              <w:t>油茶</w:t>
            </w:r>
            <w:r>
              <w:rPr>
                <w:rFonts w:hint="default" w:ascii="Times New Roman" w:hAnsi="Times New Roman" w:cs="Times New Roman"/>
                <w:b w:val="0"/>
                <w:bCs/>
              </w:rPr>
              <w:fldChar w:fldCharType="end"/>
            </w:r>
            <w:r>
              <w:rPr>
                <w:rFonts w:hint="default" w:ascii="Times New Roman" w:hAnsi="Times New Roman" w:cs="Times New Roman"/>
                <w:b w:val="0"/>
                <w:bCs/>
              </w:rPr>
              <w:t>工业园，公司前身为广东新大地生物科技有限公司，始建于2004年，于2008年变更为广东新大地生物科技股份有限公司，是国家级</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"https://baike.baidu.com/item/%E9%AB%98%E6%96%B0%E6%8A%80%E6%9C%AF%E4%BC%81%E4%B8%9A/3673778" \t "https://baike.baidu.com/item/%E5%B9%BF%E4%B8%9C%E6%96%B0%E5%A4%A7%E5%9C%B0%E7%94%9F%E7%89%A9%E7%A7%91%E6%8A%80%E8%82%A1%E4%BB%BD%E6%9C%89%E9%99%90%E5%85%AC%E5%8F%B8/_blank" </w:instrText>
            </w:r>
            <w:r>
              <w:rPr>
                <w:rFonts w:hint="default" w:ascii="Times New Roman" w:hAnsi="Times New Roman" w:cs="Times New Roman"/>
                <w:b w:val="0"/>
                <w:bCs/>
              </w:rPr>
              <w:fldChar w:fldCharType="separate"/>
            </w:r>
            <w:r>
              <w:rPr>
                <w:rFonts w:hint="default" w:ascii="Times New Roman" w:hAnsi="Times New Roman" w:cs="Times New Roman"/>
                <w:b w:val="0"/>
                <w:bCs/>
              </w:rPr>
              <w:t>高新技术企业</w:t>
            </w:r>
            <w:r>
              <w:rPr>
                <w:rFonts w:hint="default" w:ascii="Times New Roman" w:hAnsi="Times New Roman" w:cs="Times New Roman"/>
                <w:b w:val="0"/>
                <w:bCs/>
              </w:rPr>
              <w:fldChar w:fldCharType="end"/>
            </w:r>
            <w:r>
              <w:rPr>
                <w:rFonts w:hint="default" w:ascii="Times New Roman" w:hAnsi="Times New Roman" w:cs="Times New Roman"/>
                <w:b w:val="0"/>
                <w:bCs/>
              </w:rPr>
              <w:t>。公司主营业务是油茶及其深加工产品的研发、生产、和销售，公司的主导产品是精炼山茶油、</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"https://baike.baidu.com/item/%E8%8C%B6%E7%9A%82%E7%B4%A0/8322728" \t "https://baike.baidu.com/item/%E5%B9%BF%E4%B8%9C%E6%96%B0%E5%A4%A7%E5%9C%B0%E7%94%9F%E7%89%A9%E7%A7%91%E6%8A%80%E8%82%A1%E4%BB%BD%E6%9C%89%E9%99%90%E5%85%AC%E5%8F%B8/_blank" </w:instrText>
            </w:r>
            <w:r>
              <w:rPr>
                <w:rFonts w:hint="default" w:ascii="Times New Roman" w:hAnsi="Times New Roman" w:cs="Times New Roman"/>
                <w:b w:val="0"/>
                <w:bCs/>
              </w:rPr>
              <w:fldChar w:fldCharType="separate"/>
            </w:r>
            <w:r>
              <w:rPr>
                <w:rFonts w:hint="default" w:ascii="Times New Roman" w:hAnsi="Times New Roman" w:cs="Times New Roman"/>
                <w:b w:val="0"/>
                <w:bCs/>
              </w:rPr>
              <w:t>茶皂素</w:t>
            </w:r>
            <w:r>
              <w:rPr>
                <w:rFonts w:hint="default" w:ascii="Times New Roman" w:hAnsi="Times New Roman" w:cs="Times New Roman"/>
                <w:b w:val="0"/>
                <w:bCs/>
              </w:rPr>
              <w:fldChar w:fldCharType="end"/>
            </w:r>
            <w:r>
              <w:rPr>
                <w:rFonts w:hint="default" w:ascii="Times New Roman" w:hAnsi="Times New Roman" w:cs="Times New Roman"/>
                <w:b w:val="0"/>
                <w:bCs/>
              </w:rPr>
              <w:t>天然洗涤用品。产品获得</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"https://baike.baidu.com/item/QS" \t "https://baike.baidu.com/item/%E5%B9%BF%E4%B8%9C%E6%96%B0%E5%A4%A7%E5%9C%B0%E7%94%9F%E7%89%A9%E7%A7%91%E6%8A%80%E8%82%A1%E4%BB%BD%E6%9C%89%E9%99%90%E5%85%AC%E5%8F%B8/_blank" </w:instrText>
            </w:r>
            <w:r>
              <w:rPr>
                <w:rFonts w:hint="default" w:ascii="Times New Roman" w:hAnsi="Times New Roman" w:cs="Times New Roman"/>
                <w:b w:val="0"/>
                <w:bCs/>
              </w:rPr>
              <w:fldChar w:fldCharType="separate"/>
            </w:r>
            <w:r>
              <w:rPr>
                <w:rFonts w:hint="default" w:ascii="Times New Roman" w:hAnsi="Times New Roman" w:cs="Times New Roman"/>
                <w:b w:val="0"/>
                <w:bCs/>
              </w:rPr>
              <w:t>QS</w:t>
            </w:r>
            <w:r>
              <w:rPr>
                <w:rFonts w:hint="default" w:ascii="Times New Roman" w:hAnsi="Times New Roman" w:cs="Times New Roman"/>
                <w:b w:val="0"/>
                <w:bCs/>
              </w:rPr>
              <w:fldChar w:fldCharType="end"/>
            </w:r>
            <w:r>
              <w:rPr>
                <w:rFonts w:hint="default" w:ascii="Times New Roman" w:hAnsi="Times New Roman" w:cs="Times New Roman"/>
                <w:b w:val="0"/>
                <w:bCs/>
              </w:rPr>
              <w:t>认证、</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"https://baike.baidu.com/item/%E7%BB%BF%E8%89%B2%E9%A3%9F%E5%93%81%E8%AE%A4%E8%AF%81/10919201" \t "https://baike.baidu.com/item/%E5%B9%BF%E4%B8%9C%E6%96%B0%E5%A4%A7%E5%9C%B0%E7%94%9F%E7%89%A9%E7%A7%91%E6%8A%80%E8%82%A1%E4%BB%BD%E6%9C%89%E9%99%90%E5%85%AC%E5%8F%B8/_blank" </w:instrText>
            </w:r>
            <w:r>
              <w:rPr>
                <w:rFonts w:hint="default" w:ascii="Times New Roman" w:hAnsi="Times New Roman" w:cs="Times New Roman"/>
                <w:b w:val="0"/>
                <w:bCs/>
              </w:rPr>
              <w:fldChar w:fldCharType="separate"/>
            </w:r>
            <w:r>
              <w:rPr>
                <w:rFonts w:hint="default" w:ascii="Times New Roman" w:hAnsi="Times New Roman" w:cs="Times New Roman"/>
                <w:b w:val="0"/>
                <w:bCs/>
              </w:rPr>
              <w:t>绿色食品认证</w:t>
            </w:r>
            <w:r>
              <w:rPr>
                <w:rFonts w:hint="default" w:ascii="Times New Roman" w:hAnsi="Times New Roman" w:cs="Times New Roman"/>
                <w:b w:val="0"/>
                <w:bCs/>
              </w:rPr>
              <w:fldChar w:fldCharType="end"/>
            </w:r>
            <w:r>
              <w:rPr>
                <w:rFonts w:hint="default" w:ascii="Times New Roman" w:hAnsi="Times New Roman" w:cs="Times New Roman"/>
                <w:b w:val="0"/>
                <w:bCs/>
              </w:rPr>
              <w:t>、质量管理体系认证、</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"https://baike.baidu.com/item/HACCP" \t "https://baike.baidu.com/item/%E5%B9%BF%E4%B8%9C%E6%96%B0%E5%A4%A7%E5%9C%B0%E7%94%9F%E7%89%A9%E7%A7%91%E6%8A%80%E8%82%A1%E4%BB%BD%E6%9C%89%E9%99%90%E5%85%AC%E5%8F%B8/_blank" </w:instrText>
            </w:r>
            <w:r>
              <w:rPr>
                <w:rFonts w:hint="default" w:ascii="Times New Roman" w:hAnsi="Times New Roman" w:cs="Times New Roman"/>
                <w:b w:val="0"/>
                <w:bCs/>
              </w:rPr>
              <w:fldChar w:fldCharType="separate"/>
            </w:r>
            <w:r>
              <w:rPr>
                <w:rFonts w:hint="default" w:ascii="Times New Roman" w:hAnsi="Times New Roman" w:cs="Times New Roman"/>
                <w:b w:val="0"/>
                <w:bCs/>
              </w:rPr>
              <w:t>HACCP</w:t>
            </w:r>
            <w:r>
              <w:rPr>
                <w:rFonts w:hint="default" w:ascii="Times New Roman" w:hAnsi="Times New Roman" w:cs="Times New Roman"/>
                <w:b w:val="0"/>
                <w:bCs/>
              </w:rPr>
              <w:fldChar w:fldCharType="end"/>
            </w:r>
            <w:r>
              <w:rPr>
                <w:rFonts w:hint="default" w:ascii="Times New Roman" w:hAnsi="Times New Roman" w:cs="Times New Roman"/>
                <w:b w:val="0"/>
                <w:bCs/>
              </w:rPr>
              <w:t>认证、</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"https://baike.baidu.com/item/%E6%9C%89%E6%9C%BA%E4%BA%A7%E5%93%81" \t "https://baike.baidu.com/item/%E5%B9%BF%E4%B8%9C%E6%96%B0%E5%A4%A7%E5%9C%B0%E7%94%9F%E7%89%A9%E7%A7%91%E6%8A%80%E8%82%A1%E4%BB%BD%E6%9C%89%E9%99%90%E5%85%AC%E5%8F%B8/_blank" </w:instrText>
            </w:r>
            <w:r>
              <w:rPr>
                <w:rFonts w:hint="default" w:ascii="Times New Roman" w:hAnsi="Times New Roman" w:cs="Times New Roman"/>
                <w:b w:val="0"/>
                <w:bCs/>
              </w:rPr>
              <w:fldChar w:fldCharType="separate"/>
            </w:r>
            <w:r>
              <w:rPr>
                <w:rFonts w:hint="default" w:ascii="Times New Roman" w:hAnsi="Times New Roman" w:cs="Times New Roman"/>
                <w:b w:val="0"/>
                <w:bCs/>
              </w:rPr>
              <w:t>有机产品</w:t>
            </w:r>
            <w:r>
              <w:rPr>
                <w:rFonts w:hint="default" w:ascii="Times New Roman" w:hAnsi="Times New Roman" w:cs="Times New Roman"/>
                <w:b w:val="0"/>
                <w:bCs/>
              </w:rPr>
              <w:fldChar w:fldCharType="end"/>
            </w:r>
            <w:r>
              <w:rPr>
                <w:rFonts w:hint="default" w:ascii="Times New Roman" w:hAnsi="Times New Roman" w:cs="Times New Roman"/>
                <w:b w:val="0"/>
                <w:bCs/>
              </w:rPr>
              <w:t>认证。2012年6月，新大地被举报涉嫌造假</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"https://baike.baidu.com/item/%E4%B8%8A%E5%B8%82/2903553" \t "https://baike.baidu.com/item/%E5%B9%BF%E4%B8%9C%E6%96%B0%E5%A4%A7%E5%9C%B0%E7%94%9F%E7%89%A9%E7%A7%91%E6%8A%80%E8%82%A1%E4%BB%BD%E6%9C%89%E9%99%90%E5%85%AC%E5%8F%B8/_blank" </w:instrText>
            </w:r>
            <w:r>
              <w:rPr>
                <w:rFonts w:hint="default" w:ascii="Times New Roman" w:hAnsi="Times New Roman" w:cs="Times New Roman"/>
                <w:b w:val="0"/>
                <w:bCs/>
              </w:rPr>
              <w:fldChar w:fldCharType="separate"/>
            </w:r>
            <w:r>
              <w:rPr>
                <w:rFonts w:hint="default" w:ascii="Times New Roman" w:hAnsi="Times New Roman" w:cs="Times New Roman"/>
                <w:b w:val="0"/>
                <w:bCs/>
              </w:rPr>
              <w:t>上市</w:t>
            </w:r>
            <w:r>
              <w:rPr>
                <w:rFonts w:hint="default" w:ascii="Times New Roman" w:hAnsi="Times New Roman" w:cs="Times New Roman"/>
                <w:b w:val="0"/>
                <w:bCs/>
              </w:rPr>
              <w:fldChar w:fldCharType="end"/>
            </w:r>
            <w:r>
              <w:rPr>
                <w:rFonts w:hint="default" w:ascii="Times New Roman" w:hAnsi="Times New Roman" w:cs="Times New Roman"/>
                <w:b w:val="0"/>
                <w:bCs/>
              </w:rPr>
              <w:t>，大客户疑有自买自卖的嫌疑。</w:t>
            </w:r>
          </w:p>
          <w:p>
            <w:pPr>
              <w:rPr>
                <w:b/>
              </w:rPr>
            </w:pPr>
            <w:r>
              <w:rPr>
                <w:rFonts w:hint="eastAsia"/>
                <w:b/>
              </w:rPr>
              <w:t>【案情背景</w:t>
            </w:r>
            <w:r>
              <w:rPr>
                <w:b/>
              </w:rPr>
              <w:t>】</w:t>
            </w:r>
          </w:p>
          <w:p>
            <w:pPr>
              <w:rPr>
                <w:rFonts w:hint="eastAsia" w:ascii="Times New Roman" w:hAnsi="Times New Roman" w:cs="Times New Roman"/>
                <w:b w:val="0"/>
                <w:bCs/>
              </w:rPr>
            </w:pPr>
            <w:r>
              <w:rPr>
                <w:rFonts w:hint="eastAsia"/>
                <w:b/>
              </w:rPr>
              <w:tab/>
            </w:r>
            <w:r>
              <w:rPr>
                <w:rFonts w:hint="eastAsia" w:ascii="Times New Roman" w:hAnsi="Times New Roman" w:cs="Times New Roman"/>
                <w:b w:val="0"/>
                <w:bCs/>
              </w:rPr>
              <w:t>舞弊形成机理分析</w:t>
            </w:r>
          </w:p>
          <w:p>
            <w:pPr>
              <w:rPr>
                <w:rFonts w:hint="eastAsia" w:ascii="Times New Roman" w:hAnsi="Times New Roman" w:cs="Times New Roman"/>
                <w:b w:val="0"/>
                <w:bCs/>
              </w:rPr>
            </w:pPr>
            <w:r>
              <w:rPr>
                <w:rFonts w:hint="eastAsia" w:ascii="Times New Roman" w:hAnsi="Times New Roman" w:cs="Times New Roman"/>
                <w:b w:val="0"/>
                <w:bCs/>
              </w:rPr>
              <w:t>　　（一）外部压力</w:t>
            </w:r>
          </w:p>
          <w:p>
            <w:pPr>
              <w:rPr>
                <w:rFonts w:hint="eastAsia" w:ascii="Times New Roman" w:hAnsi="Times New Roman" w:cs="Times New Roman"/>
                <w:b w:val="0"/>
                <w:bCs/>
              </w:rPr>
            </w:pPr>
            <w:r>
              <w:rPr>
                <w:rFonts w:hint="eastAsia" w:ascii="Times New Roman" w:hAnsi="Times New Roman" w:cs="Times New Roman"/>
                <w:b w:val="0"/>
                <w:bCs/>
              </w:rPr>
              <w:t>　　1．满足上市要求的压力</w:t>
            </w:r>
          </w:p>
          <w:p>
            <w:pPr>
              <w:rPr>
                <w:rFonts w:hint="eastAsia" w:ascii="Times New Roman" w:hAnsi="Times New Roman" w:cs="Times New Roman"/>
                <w:b w:val="0"/>
                <w:bCs/>
              </w:rPr>
            </w:pPr>
            <w:r>
              <w:rPr>
                <w:rFonts w:hint="eastAsia" w:ascii="Times New Roman" w:hAnsi="Times New Roman" w:cs="Times New Roman"/>
                <w:b w:val="0"/>
                <w:bCs/>
              </w:rPr>
              <w:t>　　新大地公司作为一家农业公司，为了达到创业板上市的标准，通过多种手段对财务报表进行粉饰，以达到向社会公众营造其业绩快速增长的假象。新大地公司舞弊的压力来自于管理层为满足第三方要求而承受过高的压力，即新大地公司为满足创业板上市要求，成功取得上市资格以获得融资的动机和压力。加之，目前我国企业上市实行核准制，只有满足条件的公司才允许上市，因此，一些业绩较差但有融资需求的企业，通过多种舞弊手段达到上市条件。新大地公司虽然是地方政府所支持的企业，但只有通过财务舞弊来虚构利润才能达到上市要求。</w:t>
            </w:r>
          </w:p>
          <w:p>
            <w:pPr>
              <w:rPr>
                <w:rFonts w:hint="eastAsia" w:ascii="Times New Roman" w:hAnsi="Times New Roman" w:cs="Times New Roman"/>
                <w:b w:val="0"/>
                <w:bCs/>
              </w:rPr>
            </w:pPr>
            <w:r>
              <w:rPr>
                <w:rFonts w:hint="eastAsia" w:ascii="Times New Roman" w:hAnsi="Times New Roman" w:cs="Times New Roman"/>
                <w:b w:val="0"/>
                <w:bCs/>
              </w:rPr>
              <w:t>　　2．融资需求</w:t>
            </w:r>
          </w:p>
          <w:p>
            <w:pPr>
              <w:rPr>
                <w:rFonts w:hint="eastAsia" w:ascii="Times New Roman" w:hAnsi="Times New Roman" w:cs="Times New Roman"/>
                <w:b w:val="0"/>
                <w:bCs/>
              </w:rPr>
            </w:pPr>
            <w:r>
              <w:rPr>
                <w:rFonts w:hint="eastAsia" w:ascii="Times New Roman" w:hAnsi="Times New Roman" w:cs="Times New Roman"/>
                <w:b w:val="0"/>
                <w:bCs/>
              </w:rPr>
              <w:t>　　大多数公司上市可以募集大量资金，这些资金不仅能解决自身发展所需的资金，还可以让股东财富成倍增长，满足个人对财富的追求，因此许多公司谋求上市融资。新大地公司也不例外。此外，新大地公司对成长的期望非常强烈，从其招股说明书申报稿可以看出，新大地公司上市的主要目的是为了达到遂川县新大地生物科技有限公司年产2 000吨精炼茶油项目、广东新大地生物科技股份有限公司茶粕综合利用建设项目和广东新大地生物科技股份有限公司营销渠道建设项目投资这三个项目的资金需求，以提高公司资源综合利用率并扩大企业销售规模。因此，新大地公司骗取上市资格的动机更加明确。</w:t>
            </w:r>
          </w:p>
          <w:p>
            <w:pPr>
              <w:rPr>
                <w:rFonts w:hint="eastAsia" w:ascii="Times New Roman" w:hAnsi="Times New Roman" w:cs="Times New Roman"/>
                <w:b w:val="0"/>
                <w:bCs/>
              </w:rPr>
            </w:pPr>
            <w:r>
              <w:rPr>
                <w:rFonts w:hint="eastAsia" w:ascii="Times New Roman" w:hAnsi="Times New Roman" w:cs="Times New Roman"/>
                <w:b w:val="0"/>
                <w:bCs/>
              </w:rPr>
              <w:t>　　（二）机会</w:t>
            </w:r>
          </w:p>
          <w:p>
            <w:pPr>
              <w:rPr>
                <w:rFonts w:hint="eastAsia" w:ascii="Times New Roman" w:hAnsi="Times New Roman" w:cs="Times New Roman"/>
                <w:b w:val="0"/>
                <w:bCs/>
              </w:rPr>
            </w:pPr>
            <w:r>
              <w:rPr>
                <w:rFonts w:hint="eastAsia" w:ascii="Times New Roman" w:hAnsi="Times New Roman" w:cs="Times New Roman"/>
                <w:b w:val="0"/>
                <w:bCs/>
              </w:rPr>
              <w:t>　　促使新大地公司舞弊的机会主要来源于公司内部股权结构的失衡以及外部监管力度的低下。因此对于舞弊形成机理中的机会因素主要从企业内部和外部两个方面分析。</w:t>
            </w:r>
          </w:p>
          <w:p>
            <w:pPr>
              <w:rPr>
                <w:rFonts w:hint="eastAsia" w:ascii="Times New Roman" w:hAnsi="Times New Roman" w:cs="Times New Roman"/>
                <w:b w:val="0"/>
                <w:bCs/>
              </w:rPr>
            </w:pPr>
            <w:r>
              <w:rPr>
                <w:rFonts w:hint="eastAsia" w:ascii="Times New Roman" w:hAnsi="Times New Roman" w:cs="Times New Roman"/>
                <w:b w:val="0"/>
                <w:bCs/>
              </w:rPr>
              <w:t>　　1．公司内部舞弊机会</w:t>
            </w:r>
          </w:p>
          <w:p>
            <w:pPr>
              <w:rPr>
                <w:rFonts w:hint="eastAsia" w:ascii="Times New Roman" w:hAnsi="Times New Roman" w:cs="Times New Roman"/>
                <w:b w:val="0"/>
                <w:bCs/>
              </w:rPr>
            </w:pPr>
            <w:r>
              <w:rPr>
                <w:rFonts w:hint="eastAsia" w:ascii="Times New Roman" w:hAnsi="Times New Roman" w:cs="Times New Roman"/>
                <w:b w:val="0"/>
                <w:bCs/>
              </w:rPr>
              <w:t>　　（1）股权结构失衡。股权高度集中是我国上市公司的一大特点，股权的高度集中使股东大会被大股东所操控，而大股东的操纵使股东大会失去其设立的真正意图，形成典型的“内部人控制”现象，中小股东权益受到侵害。在公司承担股价波动的市场风险时，由于公司被内部人控制，中小股东无法行使公司治理的权利，因此很难对公司管理层的行为进行监督和约束，从而为舞弊提供了机会。截至公司招股说明书签署日，黄运江和凌梅兰共持有公司2 469.62万股股份，占公司发行前64.99%的股权，这使得黄运江夫妇成为公司的实际控制人。另外，由于董事会成员与管理层高度重合，公司董事会基本被内部人控制。因此，新大地公司失衡的股权结构为公司管理层舞弊行为提供了契机。</w:t>
            </w:r>
          </w:p>
          <w:p>
            <w:pPr>
              <w:rPr>
                <w:rFonts w:hint="eastAsia" w:ascii="Times New Roman" w:hAnsi="Times New Roman" w:cs="Times New Roman"/>
                <w:b w:val="0"/>
                <w:bCs/>
              </w:rPr>
            </w:pPr>
            <w:r>
              <w:rPr>
                <w:rFonts w:hint="eastAsia" w:ascii="Times New Roman" w:hAnsi="Times New Roman" w:cs="Times New Roman"/>
                <w:b w:val="0"/>
                <w:bCs/>
              </w:rPr>
              <w:t>　　（2）公司内部控制制度薄弱。内部控制是防范舞弊行为产生的重要防线。新大地公司三年的财务舞弊中，管理层凌驾于内部控制机制之上，随意挪用公司资金，且将公司资金随意转入个人账户，严重违反了货币资金的内部控制制度。公司内部控制制度的缺失为舞弊的实施提供了机会，使舞弊发生的可能性大大增加。</w:t>
            </w:r>
          </w:p>
          <w:p>
            <w:pPr>
              <w:rPr>
                <w:rFonts w:hint="eastAsia" w:ascii="Times New Roman" w:hAnsi="Times New Roman" w:cs="Times New Roman"/>
                <w:b w:val="0"/>
                <w:bCs/>
              </w:rPr>
            </w:pPr>
            <w:r>
              <w:rPr>
                <w:rFonts w:hint="eastAsia" w:ascii="Times New Roman" w:hAnsi="Times New Roman" w:cs="Times New Roman"/>
                <w:b w:val="0"/>
                <w:bCs/>
              </w:rPr>
              <w:t>　　（3）行业特点。农业企业具有独特的行业特点，这些特点也是农业行业监管的薄弱环节，为其舞弊行为提供了便利。首先，新大地公司作为农业企业，享有国家较多税收优惠政策，这在一定程度上降低了舞弊的成本；其次，农业公司购销业务很大部分以现金结算为主，特别是上游供应商多来自于农户，现金结算的交易在银行系统或物流系统留下的交易轨迹较少，加之农业公司的农产品数量多、不易盘点、价值不容易确认及现金结算和生产性生物资产不易审核等特点，为舞弊行为创造了机会；最后，由于农业公司交易对象多为个体户或当地农民，他们往往缺乏法律知识，并对证券市场缺乏了解，并不能及时意识到舞弊行为的发生，新大地公司正是利用交易对象的这一特点控制了农户60多张银行卡，并以农户名义虚构销售合同，以虚增利润。</w:t>
            </w:r>
          </w:p>
          <w:p>
            <w:pPr>
              <w:rPr>
                <w:rFonts w:hint="eastAsia" w:ascii="Times New Roman" w:hAnsi="Times New Roman" w:cs="Times New Roman"/>
                <w:b w:val="0"/>
                <w:bCs/>
              </w:rPr>
            </w:pPr>
            <w:r>
              <w:rPr>
                <w:rFonts w:hint="eastAsia" w:ascii="Times New Roman" w:hAnsi="Times New Roman" w:cs="Times New Roman"/>
                <w:b w:val="0"/>
                <w:bCs/>
              </w:rPr>
              <w:t>　　2．公司外部舞弊机会</w:t>
            </w:r>
          </w:p>
          <w:p>
            <w:pPr>
              <w:rPr>
                <w:rFonts w:hint="eastAsia" w:ascii="Times New Roman" w:hAnsi="Times New Roman" w:cs="Times New Roman"/>
                <w:b w:val="0"/>
                <w:bCs/>
              </w:rPr>
            </w:pPr>
            <w:r>
              <w:rPr>
                <w:rFonts w:hint="eastAsia" w:ascii="Times New Roman" w:hAnsi="Times New Roman" w:cs="Times New Roman"/>
                <w:b w:val="0"/>
                <w:bCs/>
              </w:rPr>
              <w:t>　　（1）政府的支持。新大地公司所处的平远县为经济欠发达县城，地方政府为提高政绩积极推动公司上市。新大地公司招股书显示，2009—2011年，新大地公司通过各级政府部门累计获得了高达5 900万元的税负减免和财政补贴。地方政府的支持使新大地公司有恃无恐，利用财政拨款进行业务收入造假，严重干扰了发行市场的秩序，损害了股票市场的信誉。</w:t>
            </w:r>
          </w:p>
          <w:p>
            <w:pPr>
              <w:rPr>
                <w:rFonts w:hint="eastAsia" w:ascii="Times New Roman" w:hAnsi="Times New Roman" w:cs="Times New Roman"/>
                <w:b w:val="0"/>
                <w:bCs/>
              </w:rPr>
            </w:pPr>
            <w:r>
              <w:rPr>
                <w:rFonts w:hint="eastAsia" w:ascii="Times New Roman" w:hAnsi="Times New Roman" w:cs="Times New Roman"/>
                <w:b w:val="0"/>
                <w:bCs/>
              </w:rPr>
              <w:t>　　（2）保荐机构、中国证监会发行审核委员会（以下简称发审委）审查力度不严。新大地公司利用财务报表舞弊营造出连续三年盈利的假象，成功通过审核。但是新大地公司所用的舞弊手法较简单，多为虚构销售合同和销售发票，保荐机构和发审委只需检验其销售合同和发票的真伪即能鉴别出新大地公司的财务舞弊问题，由此可以看出保荐机构和发审委的失察和失职。</w:t>
            </w:r>
          </w:p>
          <w:p>
            <w:pPr>
              <w:rPr>
                <w:rFonts w:hint="eastAsia" w:ascii="Times New Roman" w:hAnsi="Times New Roman" w:cs="Times New Roman"/>
                <w:b w:val="0"/>
                <w:bCs/>
              </w:rPr>
            </w:pPr>
            <w:r>
              <w:rPr>
                <w:rFonts w:hint="eastAsia" w:ascii="Times New Roman" w:hAnsi="Times New Roman" w:cs="Times New Roman"/>
                <w:b w:val="0"/>
                <w:bCs/>
              </w:rPr>
              <w:t>　　（3）注册会计师独立性不强。新大地公司的注册会计师赵合宇是新大地公司的第三大股东公司的总裁。新大地公司招股书申请稿显示，大昂集团持股633.46万股，占发行前的16.67%，是公司的第三大股东，仅次于新大地公司的实际控制人黄运江和凌梅兰夫妇。由此看出，赵合宇既是新大地公司的注册会计师，又是新大地公司第三大股东的高级管理人员，若新大地公司能成功上市将为股东带来巨大收益。因此，注册会计师的独立性受到严重影响，无疑为新大地公司的舞弊提供良机。</w:t>
            </w:r>
          </w:p>
          <w:p>
            <w:pPr>
              <w:rPr>
                <w:rFonts w:hint="eastAsia" w:ascii="Times New Roman" w:hAnsi="Times New Roman" w:cs="Times New Roman"/>
                <w:b w:val="0"/>
                <w:bCs/>
              </w:rPr>
            </w:pPr>
            <w:r>
              <w:rPr>
                <w:rFonts w:hint="eastAsia" w:ascii="Times New Roman" w:hAnsi="Times New Roman" w:cs="Times New Roman"/>
                <w:b w:val="0"/>
                <w:bCs/>
              </w:rPr>
              <w:t>　　（三）合理化</w:t>
            </w:r>
          </w:p>
          <w:p>
            <w:pPr>
              <w:rPr>
                <w:rFonts w:hint="eastAsia" w:ascii="Times New Roman" w:hAnsi="Times New Roman" w:cs="Times New Roman"/>
                <w:b w:val="0"/>
                <w:bCs/>
              </w:rPr>
            </w:pPr>
            <w:r>
              <w:rPr>
                <w:rFonts w:hint="eastAsia" w:ascii="Times New Roman" w:hAnsi="Times New Roman" w:cs="Times New Roman"/>
                <w:b w:val="0"/>
                <w:bCs/>
              </w:rPr>
              <w:t>　　在具备舞弊的压力、机会两个因素后，合理化的借口是决定是否进行舞弊的关键因素。借口使舞弊者将舞弊行为合理化，使其与本人的道德观念、行为准则相吻合。一方面，新大地公司管理层以在行业中建立竞争优势为借口进行上市融资；另一方面，由于我国的市场制度是典型的“严进宽出”，上市门槛高，但舞弊后的处罚力度较低，证监会未能认真执行证券法对“尚未发行证券的”造假公司的处罚，因此对新大地这一类的公司产生了反向的激励：造价成本低，即使不能上市，对公司的影响不大，而成功上市是实现公司募集资金的需求。</w:t>
            </w:r>
          </w:p>
          <w:p>
            <w:pPr>
              <w:rPr>
                <w:b/>
              </w:rPr>
            </w:pPr>
            <w:r>
              <w:rPr>
                <w:rFonts w:hint="eastAsia"/>
                <w:b/>
              </w:rPr>
              <w:t>【案情描述】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（一）虚增利润2013年证监会公布了新大地公司2009—2011年的虚增利润数据，新大地公司通过以下手法将虚增的利润合理化：</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1．在真实客户的基础上虚增利润</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新大地公司虚增利润的第一个手法为利用与现有真实客户的交易，虚增与真实客户的交易额，将虚增交易额分摊至每个真实客户，分摊金额从几千元至几十万元不等。证监会行政处罚决定书〔2013〕53号显示，2009—2011年，新大地公司向梅州市喜多多超市连锁有限公司、平远县农业局、梅州市林业局、深圳市铁汉生态环境股份有限公司、深圳致君药业有限公司、平远县飞龙实业有限公司飞龙超市、平远县林业局、平远县金利贸易有限公司、平远县财政局等多家客户多记销售量，从而虚增主营业务收入而提高利润。</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2．自有资金的循环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新大地公司虚增利润的第二个手法为建立自有资金循环，通过虚构原材料采购和在建工程业务将公司内部资金转移至外部，然后再以销售回款名义转回至新大地公司的银行账户。自有资金循环过程如图8-1所示。如2011年11月、12月，新大地公司通过自有资金的循环，将转出的资金取现后，当日又以178个客户销售回款的名义再存入新大地公司银行账户。调查事实显示，新大地公司共有14天存在上述存取款业务，存取款业务在同一天、同一银行网点由新大地公司同一经办人办理，合计确认销售回款911.28万元，虚增2011年营业收入799.63万元，虚增营业成本497.95万元，虚增利润总额301.68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3．改变资金用途</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新大地公司为提高销售收入，将公司个人向银行贷款、私下股权转让以及政府补贴款等获取的资金转化为销售收入。新大地公司首先将这些资金转入新大地关联公司或其控制的银行账户，再将这些资金确认为新大地公司的销售收入，而后转入到公司银行账户，从而达到虚增收入的目的。新大地公司改变资金用途虚增收入的过程和具体舞弊事实</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（二）虚增固定资产</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2009—2011年，新大地公司以支付工程款的名义划款至平远县二轻建筑工程公司（以下简称“平远二轻建”），并将此工程款计入在建工程项目，最终转入固定资产科目。证监会调查结果显示，平远二轻建并未为新大地公司实施建造工程，由此，新大地公司计入在建工程并最终转入固定资产科目的金额是虚构的。其中，2009—2011年，新大地公司虚增固定资产分别为227.68万元、648.73万元和264.5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（三）遗漏关联方和关联交易</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通过关联方交易进行舞弊是拟上市公司和上市公司常用的舞弊手法，公司通过隐瞒关联方及其交易是将关联交易非关联化，以达到虚构利润的目的。新大地公司在招股说明书申报稿以及上会稿中隐瞒了关联方关系及其交易。</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default" w:ascii="Times New Roman" w:hAnsi="Times New Roman" w:eastAsia="宋体" w:cs="Times New Roman"/>
                <w:b w:val="0"/>
                <w:bCs/>
                <w:kern w:val="2"/>
                <w:sz w:val="21"/>
                <w:szCs w:val="22"/>
                <w:lang w:val="en-US" w:eastAsia="zh-CN" w:bidi="ar-SA"/>
              </w:rPr>
              <w:t>深圳鹏城会计师事务所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Arial" w:hAnsi="Arial" w:cs="Arial"/>
                <w:i w:val="0"/>
                <w:iCs w:val="0"/>
                <w:caps w:val="0"/>
                <w:color w:val="404040"/>
                <w:spacing w:val="0"/>
                <w:sz w:val="19"/>
                <w:szCs w:val="19"/>
              </w:rPr>
              <w:t>（</w:t>
            </w:r>
            <w:r>
              <w:rPr>
                <w:rFonts w:hint="default" w:ascii="Times New Roman" w:hAnsi="Times New Roman" w:eastAsia="宋体" w:cs="Times New Roman"/>
                <w:b w:val="0"/>
                <w:bCs/>
                <w:kern w:val="2"/>
                <w:sz w:val="21"/>
                <w:szCs w:val="22"/>
                <w:lang w:val="en-US" w:eastAsia="zh-CN" w:bidi="ar-SA"/>
              </w:rPr>
              <w:t>一）完善核准制度，减轻企业上市压力</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我国公司上市实行核准制，核准制要求公司连续三年盈利。该规定使得公司为了融资，不惜通过舞弊达到标准，同时让那些增长前景不错、但短期无法盈利、需要资金的新型行业无法上市融资，严重影响了中国股市对个人创业和新产业的推动作用，也抑制了风险资本对新行业的支持。近年来，IPO舞弊频发，不少公司在上市过程中由于财务报表舞弊被“斩下”，由此可见，上市制度的改革刻不容缓。核准制虽然适合我国国情，但在制定标准时应根据不同公司的性质采取差异化措施，比如，对一些增长前景好、但短期无法获得盈利的新型行业应适当降低标准，以鼓励新型行业的发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（二）从内外部消除企业舞弊机会</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1．公司外部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1）加强对注册会计师的监督。在新大地公司能上市，有一部分的推力来源于签字的注册会计师，新大地公司的签字会计师赵合宇实为该公司第三大股东的总裁，注册会计师与被审计单位有密切的利益关系，使得注册会计师失去独立性，公司上市第一道“防线”被打破。会计师事务所由公司聘请，会计师事务所往往为保证公司业务量和收入，而开具标准无保留意见的审计报告。鉴于此，监管部门应加大对注册会计师行业的监督力度，同时赋予注册会计师协会更大的权利。注册会计师违反注册会计师准则的另一方面原因在于，我国的法律制度不完善，对注册会计师的惩罚力度不够，因此应完善惩罚机制。</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2）完善保荐人机制。在新大地公司舞弊案中，主承销商和保荐人都参与到IPO舞弊中，按照规定，上市时，保荐人做出适当及审慎的查询后，必须填写一份声明，表明保荐人已采取一切合理步骤以确定下列各项：发行人适合在创业板上市，发行人上市文件所披露的事实准确、完整并无误导等。而新大地公司的主承销商和保荐人对新大地的事实情况未核查清楚或者可能与拟上市公司存在串通情况，对于此，主承销商和保荐人都应承担责任。因此，国家应完善保荐人机制，向证券市场较成熟的国家和地区的法律借鉴，并完善惩罚机制。</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2．公司内部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对于类似新大地公司这样的农业企业，完善的内控制度是保证其业绩真实的基础。首先，农业企业应制定并完善规范的现金管理制度，保证现金管理制度得到切实执行，对现金持有额度、执行收支两条线以及现金安全存放等现金管理细则应一一完善；其次，公司应建立健全公司内部完善的信息系统，以加强内部沟通和交流，这是公司对经营过程进行精细化管理、规范现金管理制度和完善信息系统从而提高农业类公司内部控制制度的重要支撑。此外，农业公司存货盘点的难度大、专业性强，也为舞弊创造了机会，因此农业公司还应加强对存货的管理，定期进行盘点，并及时处理差异以实现对存货的实时控制和管理。</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（三）建立市场道德体系，减少企业舞弊借口</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　　由于我国上市制度采取“严进宽出”机制，严格的上市条件对拟上市公司造成了压力，但对公司舞弊后的行政处罚较轻，这为公司舞弊提供了借口。因此，首先，相关部门对造假上市公司要加强行政处罚力度，同时还应让其承担民事赔偿责任，提高造假成本以形成威慑作用；其次，在坚持发行市场化、健全退市制度改革前提下，应该发挥社会各方的监督力量，而不是仅仅依靠证监会的监督，形成新的市场监督机制；最后，国家应建立健全规则体系，尤其要加强道德规范的建立和完善，如经常对市场参与者进行法律法规、职业道德的培训，以降低舞弊的可能性。</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Style w:val="19"/>
                <w:i w:val="0"/>
                <w:iCs w:val="0"/>
                <w:color w:val="auto"/>
              </w:rPr>
            </w:pPr>
            <w:r>
              <w:rPr>
                <w:rFonts w:hint="default" w:ascii="Times New Roman" w:hAnsi="Times New Roman" w:eastAsia="宋体" w:cs="Times New Roman"/>
                <w:b w:val="0"/>
                <w:bCs/>
                <w:kern w:val="2"/>
                <w:sz w:val="21"/>
                <w:szCs w:val="22"/>
                <w:lang w:val="en-US" w:eastAsia="zh-CN" w:bidi="ar-SA"/>
              </w:rPr>
              <w:t>　　近年来，企业的IPO舞弊层出不穷，尤其是农业公司由于国家的税收优惠，造假成本低廉，农业产品的结算方式多采取现金结算，使得交易的数量、价格无处查询，且农业产品核查难度大，难以实地勘察，这些因素导致农业类公司财务舞弊难以被发现。因此，对新大地公司的IPO舞弊进行深入研究具有重要的意义。凡舞弊行为发生，总是由于多种动机，在IPO舞弊中，大多数公司为了上市融资或者是圈钱而进行造假。动机之后，便是寻求舞弊的机会，许多公司舞弊都是因为组织内患，公司高层管理人员视内部控制制度为摆设，凌驾于内部控制机制之上，由此其他舞弊机会接踵而来。公司在一一打破注册会计师、保荐机构、发审委等上市几道防线之后，利用农业公司的交易特点，如现金交易、生产物资难以核查等特点来隐匿舞弊，使得舞弊无处可查。这一切归根结底是因为我们的市场参与者缺乏职业道德素养，在利益面前不能坚守立场，失去道德原则</w:t>
            </w:r>
            <w:r>
              <w:rPr>
                <w:rFonts w:hint="default" w:ascii="Arial" w:hAnsi="Arial" w:cs="Arial"/>
                <w:i w:val="0"/>
                <w:iCs w:val="0"/>
                <w:caps w:val="0"/>
                <w:color w:val="404040"/>
                <w:spacing w:val="0"/>
                <w:sz w:val="19"/>
                <w:szCs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eastAsia="zh-CN"/>
              </w:rPr>
            </w:pPr>
            <w:r>
              <w:rPr>
                <w:rFonts w:hint="eastAsia"/>
                <w:b w:val="0"/>
                <w:bCs/>
              </w:rPr>
              <w:t>舞弊风险</w:t>
            </w:r>
            <w:r>
              <w:rPr>
                <w:rFonts w:hint="eastAsia"/>
                <w:b w:val="0"/>
                <w:bCs/>
                <w:lang w:val="en-US" w:eastAsia="zh-CN"/>
              </w:rPr>
              <w:t xml:space="preserve"> </w:t>
            </w:r>
            <w:r>
              <w:rPr>
                <w:rFonts w:hint="eastAsia"/>
                <w:b w:val="0"/>
                <w:bCs/>
              </w:rPr>
              <w:t>内部控制制度</w:t>
            </w:r>
          </w:p>
        </w:tc>
      </w:tr>
    </w:tbl>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bookmarkStart w:id="47" w:name="_Toc28130"/>
      <w:r>
        <w:rPr>
          <w:rFonts w:hint="eastAsia"/>
          <w:lang w:val="en-US" w:eastAsia="zh-CN"/>
        </w:rPr>
        <w:t>37</w:t>
      </w:r>
      <w:r>
        <w:rPr>
          <w:rFonts w:hint="eastAsia"/>
        </w:rPr>
        <w:t>辽宁振隆特产股份有限公司</w:t>
      </w:r>
      <w:bookmarkEnd w:id="4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eastAsia="宋体"/>
                <w:lang w:val="en-US" w:eastAsia="zh-CN"/>
              </w:rPr>
            </w:pPr>
            <w:r>
              <w:rPr>
                <w:rFonts w:hint="eastAsia" w:ascii="Times New Roman" w:hAnsi="Times New Roman" w:eastAsia="宋体" w:cs="Times New Roman"/>
                <w:kern w:val="2"/>
                <w:sz w:val="21"/>
                <w:szCs w:val="22"/>
                <w:lang w:val="en-US" w:eastAsia="zh-CN" w:bidi="ar-SA"/>
              </w:rPr>
              <w:t>辽宁振隆特产股份有限公司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微软雅黑" w:hAnsi="微软雅黑" w:eastAsia="微软雅黑" w:cs="微软雅黑"/>
                <w:i w:val="0"/>
                <w:caps w:val="0"/>
                <w:color w:val="000000"/>
                <w:spacing w:val="0"/>
                <w:sz w:val="16"/>
                <w:szCs w:val="16"/>
                <w:shd w:val="clear" w:fill="FFFFFF"/>
                <w:lang w:val="en-US" w:eastAsia="zh-CN"/>
              </w:rPr>
              <w:t>农业种植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bidi w:val="0"/>
              <w:spacing w:after="280" w:afterAutospacing="1"/>
              <w:jc w:val="left"/>
              <w:rPr>
                <w:rFonts w:hint="eastAsia"/>
              </w:rPr>
            </w:pPr>
            <w:r>
              <w:tab/>
            </w:r>
            <w:r>
              <w:rPr>
                <w:rFonts w:hint="eastAsia"/>
              </w:rPr>
              <w:t>辽宁振隆特产股份有限公司，前身为阜新振隆土特产有限公司，是一家具有出口自营权的中外合资企业，成立于2000年10月，2011年9月完成股份制改造并更名为辽宁振隆特产股份有限公司。公司是中国食品土畜进出口商会会员，下辖一个全资子公司、两个销售分公司、三个生产厂，总占地面积22万平方米。</w:t>
            </w:r>
          </w:p>
          <w:p>
            <w:pPr>
              <w:bidi w:val="0"/>
              <w:spacing w:after="280" w:afterAutospacing="1"/>
              <w:jc w:val="left"/>
              <w:rPr>
                <w:rFonts w:hint="eastAsia" w:ascii="Times New Roman" w:hAnsi="Times New Roman" w:cs="Times New Roman"/>
                <w:b w:val="0"/>
                <w:bCs/>
              </w:rPr>
            </w:pPr>
            <w:r>
              <w:rPr>
                <w:rFonts w:hint="eastAsia"/>
              </w:rPr>
              <w:t>公司主营业务为籽仁系列产品及其他干果、坚果类产品的加工与销售。公司产品包括南瓜籽仁、松籽仁、葵花籽仁等籽仁类产品；开心果等坚果类产品；南瓜籽、南瓜面等南瓜籽系列综合利用产品以及豆类、杂粮等其他产品。其中南瓜籽仁、松籽仁为本公司的主要产品。产品销售分为国外和国内两个渠道，国外市场分布在欧、美、亚及大洋洲等20几个国家和地区，国内市场已经同华润万家、兴隆大家庭、深圳宝芝霖等国内知名的大型连锁超市和食品加工、批发厂家建立了友好合作关系，形成了覆盖面广、服务体系完善的国内外销售网络。</w:t>
            </w:r>
          </w:p>
          <w:p>
            <w:pPr>
              <w:rPr>
                <w:b/>
              </w:rPr>
            </w:pPr>
            <w:r>
              <w:rPr>
                <w:rFonts w:hint="eastAsia"/>
                <w:b/>
              </w:rPr>
              <w:t>【案情背景</w:t>
            </w:r>
            <w:r>
              <w:rPr>
                <w:b/>
              </w:rPr>
              <w:t>】</w:t>
            </w:r>
          </w:p>
          <w:p>
            <w:pPr>
              <w:bidi w:val="0"/>
              <w:spacing w:after="280" w:afterAutospacing="1"/>
              <w:jc w:val="left"/>
              <w:rPr>
                <w:rFonts w:hint="eastAsia"/>
                <w:sz w:val="21"/>
              </w:rPr>
            </w:pPr>
            <w:r>
              <w:rPr>
                <w:b/>
              </w:rPr>
              <w:tab/>
            </w:r>
            <w:r>
              <w:rPr>
                <w:sz w:val="21"/>
              </w:rPr>
              <w:t> </w:t>
            </w:r>
            <w:r>
              <w:rPr>
                <w:rFonts w:hint="eastAsia"/>
                <w:sz w:val="21"/>
              </w:rPr>
              <w:t>2015年6月，证监会IPO专项财务检查发现，振隆特产存在存货大量盘亏等异常情况，涉嫌虚假陈述，2015年7月，证监会对振隆特产信息披露违法违规案立案调查。2016年9月，证监会依法对拟上市公司辽宁振隆特产股份有限公司财务造假、虚假报送行为作出行政处罚，振隆特产被处以60万元“顶格”罚款，董事长黄跃等人分别被处以8-10年市场禁入。</w:t>
            </w:r>
          </w:p>
          <w:p>
            <w:pPr>
              <w:bidi w:val="0"/>
              <w:spacing w:after="280" w:afterAutospacing="1"/>
              <w:jc w:val="left"/>
              <w:rPr>
                <w:rFonts w:hint="eastAsia" w:ascii="Times New Roman" w:hAnsi="Times New Roman" w:cs="Times New Roman"/>
                <w:b w:val="0"/>
                <w:bCs/>
              </w:rPr>
            </w:pPr>
            <w:r>
              <w:rPr>
                <w:rFonts w:hint="eastAsia"/>
                <w:sz w:val="21"/>
              </w:rPr>
              <w:t>　　振隆特产成立于2000年10月，经营范围为农副产品生产加工销售等，拟在深交所上市，2013年至2015年向证监会陆续报送过4次招股说明书，于2014年4月23日在证监会网站预先披露。因在振隆特产首次公开发行并上市的执业中未勤勉尽责，保荐机构信达证券股份有限公司和法律服务机构北京市中银律师事务所及相关责任人均受到相应处罚。</w:t>
            </w:r>
          </w:p>
          <w:p>
            <w:pPr>
              <w:rPr>
                <w:b/>
              </w:rPr>
            </w:pPr>
            <w:r>
              <w:rPr>
                <w:rFonts w:hint="eastAsia"/>
                <w:b/>
              </w:rPr>
              <w:t>【案情描述】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sz w:val="21"/>
              </w:rPr>
              <w:t> </w:t>
            </w:r>
            <w:r>
              <w:rPr>
                <w:rFonts w:hint="eastAsia" w:ascii="Times New Roman" w:hAnsi="Times New Roman" w:eastAsia="宋体" w:cs="Times New Roman"/>
                <w:b w:val="0"/>
                <w:bCs/>
                <w:kern w:val="2"/>
                <w:sz w:val="21"/>
                <w:szCs w:val="22"/>
                <w:lang w:val="en-US" w:eastAsia="zh-CN" w:bidi="ar-SA"/>
              </w:rPr>
              <w:t>一、2012年至2014年虚增销售收入和利润</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2012年至2014年，振隆特产以虚增合同销售单价的方式累计虚增出口销售收入8,268.51万元。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其中，2012年、2013年、2014年分别虚增收入662.04万元、1,813.51万元、5,792.96万元，并相应虚增各年利润，虚增利润金额分别占振隆特产当年账面利润总额的8.61%、20.81%、67.33%。</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振隆特产在虚增收入的同时虚增应收账款，并通过第三方公司回款或用其他外销客户回款进行冲抵的方式调节应收账款的账龄。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二、2012年至2014年虚增存货少结转销售成本，虚增利润</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2012年至2014年，振隆特产分别通过调节出成率、调低原材料采购单价方式少结转销售成本，以及未在账面确认已处理霉变存货损失的方式虚增利润，累计虚增利润7,616.18万元，虚增存货数量3,254.13吨，金额7,631.24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其中，2012年少结转销售成本1,962.43万元，虚增利润1,962.43万元，虚增存货数量568.57吨，金额1,962.43万元;2013年少结转销售成本2,863.19万元，虚增利润2,863.19万元，虚增存货数量1,328.96吨，金额2,979.23万元;2014年少结转销售成本2,790.56万元，虚增利润2,790.56万元，虚增存货数量1,356.6吨，金额2,689.58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综上，振隆特产通过虚增合同销售单价，调节出成率、调低原材料采购单价、未在账面确认已处理霉变存货损失的方式虚增利润，虚增利润金额分别占2012年、2013年、2014年利润总额的34.13%、53.66%、99.76%。</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三、虚假披露主营业务情况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振隆特产绝大部分成品松籽仁、南瓜籽仁是通过直接采购“仁”加工出来的，而在账面上却虚构了由采购的“籽”加工为“仁”的整个过程;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大部分开心果未经加工直接销售，而在账面上却虚构了由原料开心果加工为成品开心果的整个过程，故招股说明书披露的与主营业务相关的工艺流程、采购原材料种类、生产模式和产品产量以及与产量相关的产能利用率等各项重要内容均存在虚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一、信达证券未审慎核查振隆特产与主要客户销售情况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信达证券在核查振隆特产销售情况时，未按照《保荐人尽职调查工作准则》(以下简称《保荐准则》)第四条、第五条、第六条和第二十二条的规定执行销售情况尽职调查，导致未能发现振隆特产虚增销售收入和利润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在振隆特产产品大量出口的情况下，信达证券对境外客户的销售收入未执行独立函证程序，其保荐工作底稿中的函证文件均取自会计师，且未审慎核查会计师的函证，未尽到应有的注意义务，未发现会计师的询证函是由振隆特产寄发这一明显的程序瑕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在走访海关时，信达证券未能从海关等机构确定发行人销售的真实性。</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信达证券对振隆特产境外客户走访不充分，仅在2011年11月至12月期间现场走访了荷兰的HCH公司、QF公司、SC公司、MEN公司，德国的AGA公司、KG公司、SP公司，丹麦的DLG公司等共8家客户，这8家客户销售额合计占振隆特产2012年外销收入的28.12%、2013年外销收入的22.47%、2014年外销收入的22.32%。</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信达证券在对境外客户走访中未调取销售合同等相关凭证，在访谈境外客户时未聘请第三方翻译，访谈内容的真实性存疑。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访谈记录的制作程序存在明显瑕疵，境外访谈仅聘请律师参与见证了访谈尽职调查整个过程，未取得境外客户对访谈记录的确认签字，并在回国后制作与境外客户的访谈记录，记录里的销售数量和金额是回国后根据财务资料补充的，访谈记录的法律效力待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2012年至2014年信达证券未对境外客户进行实地访谈。此外，信达证券没有关注境外客户销售合同格式存在前后不一致的情况。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二、信达证券未审慎核查振隆特产生产情况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信达证券在核查振隆特产生产情况时，未按照《保荐准则》第四条、第五条、第六条和第二十一条的规定执行生产情况尽职调查，导致未能发现振隆特产招股说明书虚假披露主营业务相关的工艺流程、生产模式等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信达证券在执行生产情况尽职调查程序时，对振隆特产产能利用率超过100%、出仁率逐年上升、副料异常减少、用电量异常等情况未能保持足够关注。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在对振隆特产生产工艺、技术进行分析评价的尽职调查过程中，未能发现振隆特产直接采购南瓜籽仁、松籽仁进行加工，没有经过所谓破壳加工工序生产，开心果大部分未加工生产而是采购后直接销售产品的情形。</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同时，信达证券未能合理分析南瓜籽仁生产环节是否存在瓶颈制约情况，未能对南瓜籽仁产能利用率超过100%的情况进行有效分析。</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三、信达证券未审慎核查振隆特产存货情况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信达证券在核查振隆特产存货情况时，未按照《保荐准则》第四条、第五条、第六条和第四十一条、第五十二条的规定执行存货情况尽职调查，报告期内未勤勉尽责地实地抽盘大额存货，相关材料全部引用了会计师的存货盘点文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同时，未对会计师存货盘点工作的合理性、准确性、完整性进行审慎核查和独立判断，进而未能发现振隆特产账实不符、虚增存货、虚增利润的情况。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振隆特产的存货南瓜籽、松籽仁、开心果出现大额亏空，2012年至2014年共虚增存货7,631.24万元。其中，2012年亏空存货数量为568.57吨，金额为1,962.43万元;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2012、2013年共亏空存货数量为1,897.53吨，金额为4,941.66万元;2012、2013、2014年共亏空存货数量为3,254.13吨，金额为7,631.24万元。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1" w:beforeAutospacing="0" w:after="161" w:afterAutospacing="0"/>
              <w:ind w:left="0" w:right="0" w:firstLine="0"/>
            </w:pPr>
            <w:r>
              <w:rPr>
                <w:rFonts w:hint="eastAsia" w:ascii="Times New Roman" w:hAnsi="Times New Roman" w:eastAsia="宋体" w:cs="Times New Roman"/>
                <w:b w:val="0"/>
                <w:bCs/>
                <w:kern w:val="2"/>
                <w:sz w:val="21"/>
                <w:szCs w:val="22"/>
                <w:lang w:val="en-US" w:eastAsia="zh-CN" w:bidi="ar-SA"/>
              </w:rPr>
              <w:t>　　此外，振隆特产2012年至2014年存放在天津代工厂的存货未纳入盘点范围。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r>
              <w:rPr>
                <w:rFonts w:hint="eastAsia" w:ascii="Times New Roman" w:hAnsi="Times New Roman" w:eastAsia="宋体" w:cs="Times New Roman"/>
                <w:b w:val="0"/>
                <w:bCs/>
                <w:kern w:val="2"/>
                <w:sz w:val="21"/>
                <w:szCs w:val="22"/>
                <w:lang w:val="en-US" w:eastAsia="zh-CN" w:bidi="ar-SA"/>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sz w:val="21"/>
              </w:rPr>
              <w:t xml:space="preserve"> </w:t>
            </w:r>
            <w:r>
              <w:rPr>
                <w:rFonts w:hint="eastAsia" w:ascii="微软雅黑" w:hAnsi="微软雅黑" w:eastAsia="微软雅黑" w:cs="微软雅黑"/>
                <w:i w:val="0"/>
                <w:iCs w:val="0"/>
                <w:caps w:val="0"/>
                <w:color w:val="121212"/>
                <w:spacing w:val="0"/>
                <w:sz w:val="27"/>
                <w:szCs w:val="27"/>
                <w:shd w:val="clear" w:fill="FFFFFF"/>
              </w:rPr>
              <w:t> </w:t>
            </w:r>
            <w:r>
              <w:rPr>
                <w:rFonts w:hint="eastAsia" w:ascii="Times New Roman" w:hAnsi="Times New Roman" w:eastAsia="宋体" w:cs="Times New Roman"/>
                <w:b w:val="0"/>
                <w:bCs/>
                <w:kern w:val="2"/>
                <w:sz w:val="21"/>
                <w:szCs w:val="22"/>
                <w:lang w:val="en-US" w:eastAsia="zh-CN" w:bidi="ar-SA"/>
              </w:rPr>
              <w:t>瑞华会计师事务所对辽宁振隆 IPO 舞弊审计失败案例的结论</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IPO 审计失败给审计主体、审计客体都带来了巨大的影响，同时严重损害了潜在投资人的利益，不利于营建良好的市场环境和秩序。因此，我们必须重视每一个 IPO 审计失败的个案，勤于总结其中的得失。在上文中，通过瑞华会计师事务所对辽宁振隆审计失败案件的详细分析，可以总结出如下结论</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（1）注册会计师独立性缺失。瑞华会计师事务所对辽宁振隆 IPO 舞弊审计失败的案件中，注册会计师审计独立性的缺失是造成审计失败的直接原因之一。瑞华所在报告期内一直担任辽宁振隆的专用审计机构，辽宁振隆连续多年虚增收入、虚增利润、虚增存货、少结转成本、虚假披露主营业务情况，瑞华所都给出了“标准无保留意见”。尤其是在函证环节，注册会计师连形式上的独立都没有做到。在我国的 IPO 审计工作之中，注册会计师与公司的管理层之间并非利益冲突的关系，反而呈现出一种相互合作的伙伴关系。双方的利益始终纠缠在一起，是我国注册会计师在审计过程中难以保持独立性的根源。</w:t>
            </w:r>
          </w:p>
          <w:p>
            <w:pPr>
              <w:pStyle w:val="11"/>
              <w:keepNext w:val="0"/>
              <w:keepLines w:val="0"/>
              <w:widowControl/>
              <w:suppressLineNumbers w:val="0"/>
              <w:shd w:val="clear" w:fill="FFFFFF"/>
              <w:spacing w:before="294" w:beforeAutospacing="0" w:after="294" w:afterAutospacing="0"/>
              <w:ind w:left="0" w:right="0" w:firstLine="0"/>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（2）注册会计师投入不足。投入的不足是造成本案审计失败的第二个直接原因。面对繁重的 IPO 审计任务，项目组本应选调精兵强将，组建一支经验丰富、人员配备充足的审计队伍。但受限于现实状况中审计时间的不足、审计人员的不足、审计经费的不足，很多审计程序并没有真正严格执行到位。加之 IPO 审计数据量巨大，注册会计师往往需要加班加点连续奋战，在精力分配、休息质量上都不能得到很好的保证，不能以最饱满的工作状态、工作热情投身于本案的审计工作。因此，审计质量肯定也就不能维持在一个较高的水平。</w:t>
            </w:r>
          </w:p>
          <w:p>
            <w:pPr>
              <w:bidi w:val="0"/>
              <w:spacing w:after="280" w:afterAutospacing="1"/>
              <w:jc w:val="left"/>
              <w:rPr>
                <w:sz w:val="2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hAnsi="Times New Roman" w:cs="Times New Roman"/>
                <w:b w:val="0"/>
                <w:bCs/>
              </w:rPr>
              <w:t>虚增销售收入</w:t>
            </w:r>
            <w:r>
              <w:rPr>
                <w:rFonts w:hint="eastAsia" w:ascii="Times New Roman" w:hAnsi="Times New Roman" w:cs="Times New Roman"/>
                <w:b w:val="0"/>
                <w:bCs/>
                <w:lang w:val="en-US" w:eastAsia="zh-CN"/>
              </w:rPr>
              <w:t xml:space="preserve"> </w:t>
            </w:r>
            <w:r>
              <w:rPr>
                <w:rFonts w:hint="eastAsia" w:ascii="Times New Roman" w:hAnsi="Times New Roman" w:eastAsia="宋体" w:cs="Times New Roman"/>
                <w:b w:val="0"/>
                <w:bCs/>
                <w:kern w:val="2"/>
                <w:sz w:val="21"/>
                <w:szCs w:val="22"/>
                <w:lang w:val="en-US" w:eastAsia="zh-CN" w:bidi="ar-SA"/>
              </w:rPr>
              <w:t>注册会计师独立性</w:t>
            </w:r>
            <w:r>
              <w:rPr>
                <w:rFonts w:hint="eastAsia" w:ascii="Times New Roman" w:hAnsi="Times New Roman" w:cs="Times New Roman"/>
                <w:b w:val="0"/>
                <w:bCs/>
                <w:kern w:val="2"/>
                <w:sz w:val="21"/>
                <w:szCs w:val="22"/>
                <w:lang w:val="en-US" w:eastAsia="zh-CN" w:bidi="ar-SA"/>
              </w:rPr>
              <w:t xml:space="preserve"> </w:t>
            </w:r>
            <w:r>
              <w:rPr>
                <w:rFonts w:hint="eastAsia" w:ascii="Times New Roman" w:hAnsi="Times New Roman" w:eastAsia="宋体" w:cs="Times New Roman"/>
                <w:b w:val="0"/>
                <w:bCs/>
                <w:kern w:val="2"/>
                <w:sz w:val="21"/>
                <w:szCs w:val="22"/>
                <w:lang w:val="en-US" w:eastAsia="zh-CN" w:bidi="ar-SA"/>
              </w:rPr>
              <w:t>虚假披露主营业务情况</w:t>
            </w:r>
          </w:p>
        </w:tc>
      </w:tr>
    </w:tbl>
    <w:p/>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bookmarkStart w:id="48" w:name="_Toc16558"/>
      <w:r>
        <w:rPr>
          <w:rFonts w:hint="eastAsia"/>
          <w:lang w:val="en-US" w:eastAsia="zh-CN"/>
        </w:rPr>
        <w:t>38</w:t>
      </w:r>
      <w:r>
        <w:rPr>
          <w:rFonts w:hint="eastAsia" w:ascii="Times New Roman" w:hAnsi="Times New Roman" w:cs="Times New Roman"/>
          <w:lang w:val="en-US" w:eastAsia="zh-CN"/>
        </w:rPr>
        <w:t>广西康华农业股份有限公司</w:t>
      </w:r>
      <w:bookmarkEnd w:id="48"/>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2014年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eastAsia="宋体"/>
                <w:lang w:val="en-US" w:eastAsia="zh-CN"/>
              </w:rPr>
            </w:pPr>
            <w:r>
              <w:rPr>
                <w:rFonts w:hint="eastAsia" w:ascii="Times New Roman" w:hAnsi="Times New Roman" w:eastAsia="宋体" w:cs="Times New Roman"/>
                <w:b w:val="0"/>
                <w:bCs/>
                <w:kern w:val="2"/>
                <w:sz w:val="21"/>
                <w:szCs w:val="22"/>
                <w:lang w:val="en-US" w:eastAsia="zh-CN" w:bidi="ar-SA"/>
              </w:rPr>
              <w:t>广西康华农业股份有限公司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微软雅黑" w:hAnsi="微软雅黑" w:eastAsia="微软雅黑" w:cs="微软雅黑"/>
                <w:i w:val="0"/>
                <w:caps w:val="0"/>
                <w:color w:val="000000"/>
                <w:spacing w:val="0"/>
                <w:sz w:val="16"/>
                <w:szCs w:val="16"/>
                <w:shd w:val="clear" w:fill="FFFFFF"/>
                <w:lang w:val="en-US" w:eastAsia="zh-CN"/>
              </w:rPr>
              <w:t>农业种植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bidi w:val="0"/>
              <w:spacing w:after="280" w:afterAutospacing="1"/>
              <w:jc w:val="left"/>
              <w:rPr>
                <w:rFonts w:hint="eastAsia" w:ascii="Times New Roman" w:hAnsi="Times New Roman" w:eastAsia="宋体" w:cs="Times New Roman"/>
                <w:b w:val="0"/>
                <w:bCs/>
                <w:kern w:val="2"/>
                <w:sz w:val="21"/>
                <w:szCs w:val="22"/>
                <w:lang w:val="en-US" w:eastAsia="zh-CN" w:bidi="ar-SA"/>
              </w:rPr>
            </w:pPr>
            <w:r>
              <w:tab/>
            </w:r>
            <w:r>
              <w:rPr>
                <w:rFonts w:hint="eastAsia" w:ascii="Times New Roman" w:hAnsi="Times New Roman" w:eastAsia="宋体" w:cs="Times New Roman"/>
                <w:b w:val="0"/>
                <w:bCs/>
                <w:kern w:val="2"/>
                <w:sz w:val="21"/>
                <w:szCs w:val="22"/>
                <w:lang w:val="en-US" w:eastAsia="zh-CN" w:bidi="ar-SA"/>
              </w:rPr>
              <w:t>广西康华农业股份有限公司的前身是2008年注册成立的广西康华生态农业种植发展有限公司，2011年公司改制为股份有限公司，注册资金1亿元，总部位于广西桂林，拥有员工500多人。公司主要从事优质水稻等农作物生态化、规模化、标准化种植以及自产优质稻谷等农产品销售，以生产“安全、优质”农产品为宗旨，按照“种植环境、种植过程”建立全方位、可追溯的质量控制和安全保障体系：在种植环境方面，公司结合传统农业知识，运用现代农业技术，针对性实施土壤普查及障碍因子分析，进行以土壤改良和地力提升为核心的生态环境改善，同时配以完善的种植环境监测体系，进行以科学管理和合理耕作为核心的生态环境维护，从而全面保障农业产业链生产源头的环境质量安全。在种植过程方面，公司根据市场需求和区域特点，精选优质品种，按照有机、绿色或无公害等生态化的生产标准，制定种植规程和质量控制体系，有效保障了公司产品质量和品质，提升了公司产品附加值。目前公司生产基地面积达12万多亩，2012年优质稻谷产量7万多吨。</w:t>
            </w:r>
          </w:p>
          <w:p>
            <w:pPr>
              <w:rPr>
                <w:b/>
              </w:rPr>
            </w:pPr>
            <w:r>
              <w:rPr>
                <w:rFonts w:hint="eastAsia"/>
                <w:b/>
              </w:rPr>
              <w:t>【案情背景</w:t>
            </w:r>
            <w:r>
              <w:rPr>
                <w:b/>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xml:space="preserve"> </w:t>
            </w:r>
            <w:r>
              <w:rPr>
                <w:rFonts w:hint="default" w:ascii="Times New Roman" w:hAnsi="Times New Roman" w:eastAsia="宋体" w:cs="Times New Roman"/>
                <w:b w:val="0"/>
                <w:bCs/>
                <w:kern w:val="2"/>
                <w:sz w:val="21"/>
                <w:szCs w:val="22"/>
                <w:lang w:val="en-US" w:eastAsia="zh-CN" w:bidi="ar-SA"/>
              </w:rPr>
              <w:t>2014 年8月22日，步森股份公告了《重大资产重组报告书（草案）》，其中披露了重组对象康华农业2011年至2014年4月30日期间主要财务数据。证监会在调查后发现康华农业主要财务数据中，资产和营业收入存在虚假记载。</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Times New Roman" w:hAnsi="Times New Roman" w:eastAsia="宋体" w:cs="Times New Roman"/>
                <w:b w:val="0"/>
                <w:bCs/>
                <w:kern w:val="2"/>
                <w:sz w:val="21"/>
                <w:szCs w:val="22"/>
                <w:lang w:val="en-US" w:eastAsia="zh-CN" w:bidi="ar-SA"/>
              </w:rPr>
              <w:t>康华农业2011年财务报表虚增资产204,451,195.14元，占康华农业披露当期总资产47.54%；2012 年财务报表虚增资产339,713,667.53元，占康华农业披露当期总资产53.91%；2013 年财务报表虚增资产470,469,226.00元，占康华农业披露当期总资产52.87%；2014年1月1日至2014年4月30日财务报表虚增资产503,309,782.17元，占康华农业披露当期总资产53.00%。</w:t>
            </w:r>
          </w:p>
          <w:p>
            <w:pPr>
              <w:rPr>
                <w:b/>
              </w:rPr>
            </w:pPr>
            <w:r>
              <w:rPr>
                <w:rFonts w:hint="eastAsia"/>
                <w:b/>
              </w:rPr>
              <w:t>【案情描述】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xml:space="preserve">  </w:t>
            </w:r>
            <w:r>
              <w:rPr>
                <w:rFonts w:hint="default" w:ascii="Times New Roman" w:hAnsi="Times New Roman" w:eastAsia="宋体" w:cs="Times New Roman"/>
                <w:b w:val="0"/>
                <w:bCs/>
                <w:kern w:val="2"/>
                <w:sz w:val="21"/>
                <w:szCs w:val="22"/>
                <w:lang w:val="en-US" w:eastAsia="zh-CN" w:bidi="ar-SA"/>
              </w:rPr>
              <w:t>2014 年8月22日，步森股份公告了《重大资产重组报告书（草案）》，其中披露了重组对象康华农业2011年至2014年4月30日期间主要财务数据。证监会在调查后发现康华农业主要财务数据中，资产和营业收入存在虚假记载。</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康华农业2011年财务报表虚增资产204,451,195.14元，占康华农业披露当期总资产47.54%；2012 年财务报表虚增资产339,713,667.53元，占康华农业披露当期总资产53.91%；2013 年财务报表虚增资产470,469,226.00元，占康华农业披露当期总资产52.87%；2014年1月1日至2014年4月30日财务报表虚增资产503,309,782.17元，占康华农业披露当期总资产53.00%。</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康华农业2011年财务报表虚增营业收入147,524,498.58元，占康华农业当期披露营业收入34.89%；2012年财务报表虚增营业收183,114,299.70元，占康华农业当期披露 营业收36.90%；2013年财务报表虚增营业收入238,408,819.30元，占康华农业当期披露营业收入42.62%；2014年1月1 日至2014 年4月30日财务报表虚增营业收入41,289,583.20元，占康华农业当期披露营业收入 44.25%。</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Times New Roman" w:hAnsi="Times New Roman" w:eastAsia="宋体" w:cs="Times New Roman"/>
                <w:b w:val="0"/>
                <w:bCs/>
                <w:kern w:val="2"/>
                <w:sz w:val="21"/>
                <w:szCs w:val="22"/>
                <w:lang w:val="en-US" w:eastAsia="zh-CN" w:bidi="ar-SA"/>
              </w:rPr>
            </w:pPr>
            <w:r>
              <w:rPr>
                <w:rFonts w:hint="default" w:ascii="Times New Roman" w:hAnsi="Times New Roman" w:eastAsia="宋体" w:cs="Times New Roman"/>
                <w:b w:val="0"/>
                <w:bCs/>
                <w:kern w:val="2"/>
                <w:sz w:val="21"/>
                <w:szCs w:val="22"/>
                <w:lang w:val="en-US" w:eastAsia="zh-CN" w:bidi="ar-SA"/>
              </w:rPr>
              <w:t>康华农业资产和营业收入造假如此严重，证监会给出的处罚也是相当严厉，一、责令康华农业改正，给予警告，并处以60万元罚款；二、对李艳、章楠、蒋燕、杜常铭给予警告，并分别处以30万元罚款；三、对钱兆华给予警告，并处以20万元罚款；四、对晏支华、薛伟给予警告，并分别处以10万元罚款；五、对邵桂娥、段春来、张飚给予警告，并分别处以8万元罚款；六、对申伟、程米町、唐革伟、胡金沛给予警告，并分别处以5万元罚款。其中对康华农业的董事长、总经理、实际控制人李艳，副总经理兼财务总监章楠，分管销售的副总经理蒋燕处罚最重，采取市场禁入措施。一、对李艳采取终身证券市场禁入措施，自我会宣布决定之日起，在禁入期间内，不得从事证券业务或者担任上市公司董事、监事、高级管理人员职务；二、对章楠、蒋燕采取10年证券市场禁入措施，自我会宣布决定之日起，在禁入期间内，不得从事证券业务或者担任上市公司董事、监事、高级管理人员职务。</w:t>
            </w: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right="0" w:rightChars="0" w:firstLine="480" w:firstLineChars="20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r>
              <w:rPr>
                <w:rFonts w:hint="eastAsia" w:ascii="Times New Roman" w:hAnsi="Times New Roman" w:cs="Times New Roman"/>
                <w:b w:val="0"/>
                <w:bCs/>
                <w:kern w:val="2"/>
                <w:sz w:val="21"/>
                <w:szCs w:val="22"/>
                <w:lang w:val="en-US" w:eastAsia="zh-CN" w:bidi="ar-SA"/>
              </w:rPr>
              <w:t>立信</w:t>
            </w:r>
            <w:r>
              <w:rPr>
                <w:rFonts w:hint="eastAsia" w:ascii="Times New Roman" w:hAnsi="Times New Roman" w:eastAsia="宋体" w:cs="Times New Roman"/>
                <w:b w:val="0"/>
                <w:bCs/>
                <w:kern w:val="2"/>
                <w:sz w:val="21"/>
                <w:szCs w:val="22"/>
                <w:lang w:val="en-US" w:eastAsia="zh-CN" w:bidi="ar-S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ascii="微软雅黑" w:hAnsi="微软雅黑" w:eastAsia="微软雅黑" w:cs="微软雅黑"/>
                <w:i w:val="0"/>
                <w:iCs w:val="0"/>
                <w:caps w:val="0"/>
                <w:color w:val="333333"/>
                <w:spacing w:val="6"/>
                <w:sz w:val="17"/>
                <w:szCs w:val="17"/>
              </w:rPr>
            </w:pPr>
            <w:r>
              <w:rPr>
                <w:sz w:val="21"/>
              </w:rPr>
              <w:t xml:space="preserve"> </w:t>
            </w:r>
            <w:r>
              <w:rPr>
                <w:rFonts w:ascii="黑体" w:hAnsi="宋体" w:eastAsia="黑体" w:cs="黑体"/>
                <w:i w:val="0"/>
                <w:iCs w:val="0"/>
                <w:caps w:val="0"/>
                <w:color w:val="333333"/>
                <w:spacing w:val="6"/>
                <w:sz w:val="17"/>
                <w:szCs w:val="17"/>
                <w:shd w:val="clear" w:fill="FFFFFF"/>
              </w:rPr>
              <w:t>首先，我们看下货币资金审计失败的原因【非注册会计师处罚的原因】：核心要点是企业虚构大量银行存款，手段是：企业虚构银行对账单，虚构银行回函。</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r>
              <w:rPr>
                <w:rFonts w:ascii="黑体" w:hAnsi="宋体" w:eastAsia="黑体" w:cs="黑体"/>
                <w:i w:val="0"/>
                <w:iCs w:val="0"/>
                <w:caps w:val="0"/>
                <w:color w:val="333333"/>
                <w:spacing w:val="6"/>
                <w:sz w:val="17"/>
                <w:szCs w:val="17"/>
                <w:shd w:val="clear" w:fill="FFFFFF"/>
              </w:rPr>
              <w:t>其次，看下注册会计师处罚原因，主要原因是2011年发函金额错误【我感觉是发账面金额，不是发对账单金额】，已经出现差异时候，没有进一步核查导致被处罚。那假设没有2011年暴露这个差异，我们函证程序无瑕疵，到底我们不去银行亲自打印对帐单出现问题会被处罚吗？</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r>
              <w:rPr>
                <w:rFonts w:ascii="黑体" w:hAnsi="宋体" w:eastAsia="黑体" w:cs="黑体"/>
                <w:i w:val="0"/>
                <w:iCs w:val="0"/>
                <w:caps w:val="0"/>
                <w:color w:val="333333"/>
                <w:spacing w:val="6"/>
                <w:sz w:val="17"/>
                <w:szCs w:val="17"/>
                <w:shd w:val="clear" w:fill="FFFFFF"/>
              </w:rPr>
              <w:t>我们理解不会，从《中国注册会计师审计准则问题解答第12号——货币资金审计》：如果对被审计单位银行对账单的真实性存有疑虑，注册会计师可以在被审计单位协助下亲自到银行获取银行对账单。在获取银行对账单时，注册会计师要全程关注银行对账单的打印过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r>
              <w:rPr>
                <w:rFonts w:ascii="黑体" w:hAnsi="宋体" w:eastAsia="黑体" w:cs="黑体"/>
                <w:i w:val="0"/>
                <w:iCs w:val="0"/>
                <w:caps w:val="0"/>
                <w:color w:val="333333"/>
                <w:spacing w:val="6"/>
                <w:sz w:val="17"/>
                <w:szCs w:val="17"/>
                <w:shd w:val="clear" w:fill="FFFFFF"/>
              </w:rPr>
              <w:t>其次，我们来说说启示及预防措施（措施，上述相关案例皆可参考）：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r>
              <w:rPr>
                <w:rFonts w:ascii="黑体" w:hAnsi="宋体" w:eastAsia="黑体" w:cs="黑体"/>
                <w:i w:val="0"/>
                <w:iCs w:val="0"/>
                <w:caps w:val="0"/>
                <w:color w:val="333333"/>
                <w:spacing w:val="6"/>
                <w:sz w:val="17"/>
                <w:szCs w:val="17"/>
                <w:shd w:val="clear" w:fill="FFFFFF"/>
              </w:rPr>
              <w:t>（1）被审计单位系地方银行的投资方甚至关联方，或者信用社等小金融机构，</w:t>
            </w:r>
            <w:r>
              <w:rPr>
                <w:rStyle w:val="16"/>
                <w:rFonts w:ascii="黑体" w:hAnsi="宋体" w:eastAsia="黑体" w:cs="黑体"/>
                <w:b/>
                <w:bCs/>
                <w:i w:val="0"/>
                <w:iCs w:val="0"/>
                <w:caps w:val="0"/>
                <w:color w:val="333333"/>
                <w:spacing w:val="6"/>
                <w:sz w:val="17"/>
                <w:szCs w:val="17"/>
                <w:u w:val="single"/>
                <w:shd w:val="clear" w:fill="FFFFFF"/>
              </w:rPr>
              <w:t>必然要对银行伙同被审计单位造假保持全程关注</w:t>
            </w:r>
            <w:r>
              <w:rPr>
                <w:rFonts w:ascii="黑体" w:hAnsi="宋体" w:eastAsia="黑体" w:cs="黑体"/>
                <w:i w:val="0"/>
                <w:iCs w:val="0"/>
                <w:caps w:val="0"/>
                <w:color w:val="333333"/>
                <w:spacing w:val="6"/>
                <w:sz w:val="17"/>
                <w:szCs w:val="17"/>
                <w:shd w:val="clear" w:fill="FFFFFF"/>
              </w:rPr>
              <w:t>，实地打印对帐单与银行函证</w:t>
            </w:r>
            <w:r>
              <w:rPr>
                <w:rStyle w:val="17"/>
                <w:rFonts w:ascii="黑体" w:hAnsi="宋体" w:eastAsia="黑体" w:cs="黑体"/>
                <w:b/>
                <w:bCs/>
                <w:i w:val="0"/>
                <w:iCs w:val="0"/>
                <w:caps w:val="0"/>
                <w:color w:val="333333"/>
                <w:spacing w:val="6"/>
                <w:sz w:val="17"/>
                <w:szCs w:val="17"/>
                <w:u w:val="single"/>
                <w:shd w:val="clear" w:fill="FFFFFF"/>
              </w:rPr>
              <w:t>【康华农业董事长李艳是漓江银行的董事】；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r>
              <w:rPr>
                <w:rFonts w:ascii="黑体" w:hAnsi="宋体" w:eastAsia="黑体" w:cs="黑体"/>
                <w:i w:val="0"/>
                <w:iCs w:val="0"/>
                <w:caps w:val="0"/>
                <w:color w:val="333333"/>
                <w:spacing w:val="6"/>
                <w:sz w:val="17"/>
                <w:szCs w:val="17"/>
                <w:shd w:val="clear" w:fill="FFFFFF"/>
              </w:rPr>
              <w:t>（2）审计资源的考虑：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r>
              <w:rPr>
                <w:rFonts w:ascii="黑体" w:hAnsi="宋体" w:eastAsia="黑体" w:cs="黑体"/>
                <w:i w:val="0"/>
                <w:iCs w:val="0"/>
                <w:caps w:val="0"/>
                <w:color w:val="333333"/>
                <w:spacing w:val="6"/>
                <w:sz w:val="17"/>
                <w:szCs w:val="17"/>
                <w:shd w:val="clear" w:fill="FFFFFF"/>
              </w:rPr>
              <w:t>①年报审计等类似项目，如果全部打印对帐单，人手不够，几乎不可能。一般该类项目设定某额度以上的银行账户余额必须进行网银截图核对。常年客户，要逼着所有账户开通网银；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r>
              <w:rPr>
                <w:rFonts w:ascii="黑体" w:hAnsi="宋体" w:eastAsia="黑体" w:cs="黑体"/>
                <w:i w:val="0"/>
                <w:iCs w:val="0"/>
                <w:caps w:val="0"/>
                <w:color w:val="333333"/>
                <w:spacing w:val="6"/>
                <w:sz w:val="17"/>
                <w:szCs w:val="17"/>
                <w:shd w:val="clear" w:fill="FFFFFF"/>
              </w:rPr>
              <w:t>②同上，依然是设置一定的额度以上的流水需要核对，尤其本身发生额对不上的，必须重点核查，银行流水核对应上升的年报审计的常用程序，同时我们还需要关注到，如果按照企业提供的银行对账单进行流水核对必然会陷入对方布好的疑阵，此时保证银行对账单（银行流水）的真实性与完整性，是进行银行流水核对的前提条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5" w:lineRule="atLeast"/>
              <w:ind w:left="0" w:right="0" w:firstLine="0"/>
              <w:jc w:val="both"/>
              <w:rPr>
                <w:rFonts w:hint="eastAsia" w:ascii="微软雅黑" w:hAnsi="微软雅黑" w:eastAsia="微软雅黑" w:cs="微软雅黑"/>
                <w:i w:val="0"/>
                <w:iCs w:val="0"/>
                <w:caps w:val="0"/>
                <w:color w:val="333333"/>
                <w:spacing w:val="6"/>
                <w:sz w:val="17"/>
                <w:szCs w:val="17"/>
              </w:rPr>
            </w:pPr>
            <w:r>
              <w:rPr>
                <w:rFonts w:ascii="黑体" w:hAnsi="宋体" w:eastAsia="黑体" w:cs="黑体"/>
                <w:i w:val="0"/>
                <w:iCs w:val="0"/>
                <w:caps w:val="0"/>
                <w:color w:val="333333"/>
                <w:spacing w:val="6"/>
                <w:sz w:val="17"/>
                <w:szCs w:val="17"/>
                <w:shd w:val="clear" w:fill="FFFFFF"/>
              </w:rPr>
              <w:t>③大额未达账项必须落实到对账单（有网银，优先银行流水；没有银行，高风险项目必须亲自打印）与银行收入支出凭单，三者缺一不可。</w:t>
            </w:r>
          </w:p>
          <w:p>
            <w:pPr>
              <w:bidi w:val="0"/>
              <w:spacing w:after="280" w:afterAutospacing="1"/>
              <w:jc w:val="left"/>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eastAsia="zh-CN"/>
              </w:rPr>
            </w:pPr>
            <w:r>
              <w:rPr>
                <w:rFonts w:hint="eastAsia" w:ascii="Times New Roman" w:hAnsi="Times New Roman" w:eastAsia="宋体" w:cs="Times New Roman"/>
                <w:b w:val="0"/>
                <w:bCs/>
                <w:kern w:val="2"/>
                <w:sz w:val="21"/>
                <w:szCs w:val="22"/>
                <w:lang w:val="en-US" w:eastAsia="zh-CN" w:bidi="ar-SA"/>
              </w:rPr>
              <w:t>会计造假虚增资产</w:t>
            </w:r>
            <w:r>
              <w:rPr>
                <w:rFonts w:hint="eastAsia" w:ascii="Times New Roman" w:hAnsi="Times New Roman" w:cs="Times New Roman"/>
                <w:b w:val="0"/>
                <w:bCs/>
                <w:kern w:val="2"/>
                <w:sz w:val="21"/>
                <w:szCs w:val="22"/>
                <w:lang w:val="en-US" w:eastAsia="zh-CN" w:bidi="ar-SA"/>
              </w:rPr>
              <w:t xml:space="preserve"> </w:t>
            </w:r>
            <w:r>
              <w:rPr>
                <w:rFonts w:hint="eastAsia" w:ascii="Times New Roman" w:hAnsi="Times New Roman" w:eastAsia="宋体" w:cs="Times New Roman"/>
                <w:b w:val="0"/>
                <w:bCs/>
                <w:kern w:val="2"/>
                <w:sz w:val="21"/>
                <w:szCs w:val="22"/>
                <w:lang w:val="en-US" w:eastAsia="zh-CN" w:bidi="ar-SA"/>
              </w:rPr>
              <w:t>财务造假，虚增利润</w:t>
            </w:r>
          </w:p>
        </w:tc>
      </w:tr>
    </w:tbl>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bookmarkStart w:id="49" w:name="_Toc5518"/>
      <w:r>
        <w:rPr>
          <w:rFonts w:hint="eastAsia"/>
          <w:lang w:val="en-US" w:eastAsia="zh-CN"/>
        </w:rPr>
        <w:t>39</w:t>
      </w:r>
      <w:r>
        <w:rPr>
          <w:rFonts w:hint="eastAsia" w:ascii="Times New Roman" w:hAnsi="Times New Roman" w:cs="Times New Roman"/>
          <w:lang w:val="en-US" w:eastAsia="zh-CN"/>
        </w:rPr>
        <w:fldChar w:fldCharType="begin"/>
      </w:r>
      <w:r>
        <w:rPr>
          <w:rFonts w:hint="eastAsia" w:ascii="Times New Roman" w:hAnsi="Times New Roman" w:cs="Times New Roman"/>
          <w:lang w:val="en-US" w:eastAsia="zh-CN"/>
        </w:rPr>
        <w:instrText xml:space="preserve"> HYPERLINK "https://baike.baidu.com/item/%E9%BE%99%E5%AE%9D%E5%8F%82%E8%8C%B8%E8%82%A1%E4%BB%BD%E6%9C%89%E9%99%90%E5%85%AC%E5%8F%B8/20010612" \t "https://baike.baidu.com/item/_blank" </w:instrText>
      </w:r>
      <w:r>
        <w:rPr>
          <w:rFonts w:hint="eastAsia" w:ascii="Times New Roman" w:hAnsi="Times New Roman" w:cs="Times New Roman"/>
          <w:lang w:val="en-US" w:eastAsia="zh-CN"/>
        </w:rPr>
        <w:fldChar w:fldCharType="separate"/>
      </w:r>
      <w:r>
        <w:rPr>
          <w:rFonts w:hint="default" w:ascii="Times New Roman" w:hAnsi="Times New Roman" w:cs="Times New Roman"/>
          <w:lang w:val="en-US" w:eastAsia="zh-CN"/>
        </w:rPr>
        <w:t>龙宝参茸股份有限公司</w:t>
      </w:r>
      <w:r>
        <w:rPr>
          <w:rFonts w:hint="default" w:ascii="Times New Roman" w:hAnsi="Times New Roman" w:cs="Times New Roman"/>
          <w:lang w:val="en-US" w:eastAsia="zh-CN"/>
        </w:rPr>
        <w:fldChar w:fldCharType="end"/>
      </w:r>
      <w:bookmarkEnd w:id="49"/>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2013年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eastAsia="宋体"/>
                <w:lang w:val="en-US" w:eastAsia="zh-CN"/>
              </w:rPr>
            </w:pP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"https://baike.baidu.com/item/%E9%BE%99%E5%AE%9D%E5%8F%82%E8%8C%B8%E8%82%A1%E4%BB%BD%E6%9C%89%E9%99%90%E5%85%AC%E5%8F%B8/20010612" \t "https://baike.baidu.com/item/_blank" </w:instrText>
            </w:r>
            <w:r>
              <w:rPr>
                <w:rFonts w:hint="eastAsia" w:ascii="Times New Roman" w:hAnsi="Times New Roman" w:eastAsia="宋体" w:cs="Times New Roman"/>
                <w:kern w:val="2"/>
                <w:sz w:val="21"/>
                <w:szCs w:val="22"/>
                <w:lang w:val="en-US" w:eastAsia="zh-CN" w:bidi="ar-SA"/>
              </w:rPr>
              <w:fldChar w:fldCharType="separate"/>
            </w:r>
            <w:r>
              <w:rPr>
                <w:rFonts w:hint="default" w:ascii="Times New Roman" w:hAnsi="Times New Roman" w:eastAsia="宋体" w:cs="Times New Roman"/>
                <w:kern w:val="2"/>
                <w:sz w:val="21"/>
                <w:szCs w:val="22"/>
                <w:lang w:val="en-US" w:eastAsia="zh-CN" w:bidi="ar-SA"/>
              </w:rPr>
              <w:t>龙宝参茸股份有限公司</w:t>
            </w:r>
            <w:r>
              <w:rPr>
                <w:rFonts w:hint="default" w:ascii="Times New Roman" w:hAnsi="Times New Roman" w:eastAsia="宋体" w:cs="Times New Roman"/>
                <w:kern w:val="2"/>
                <w:sz w:val="21"/>
                <w:szCs w:val="22"/>
                <w:lang w:val="en-US" w:eastAsia="zh-CN" w:bidi="ar-SA"/>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lang w:val="en-US"/>
              </w:rPr>
            </w:pPr>
            <w:r>
              <w:rPr>
                <w:rFonts w:hint="eastAsia" w:ascii="微软雅黑" w:hAnsi="微软雅黑" w:eastAsia="微软雅黑" w:cs="微软雅黑"/>
                <w:i w:val="0"/>
                <w:caps w:val="0"/>
                <w:color w:val="000000"/>
                <w:spacing w:val="0"/>
                <w:sz w:val="16"/>
                <w:szCs w:val="16"/>
                <w:shd w:val="clear" w:fill="FFFFFF"/>
                <w:lang w:val="en-US" w:eastAsia="zh-CN"/>
              </w:rPr>
              <w:t>花卉养殖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ab/>
            </w:r>
            <w:r>
              <w:rPr>
                <w:rFonts w:hint="eastAsia" w:ascii="Times New Roman" w:hAnsi="Times New Roman" w:eastAsia="宋体" w:cs="Times New Roman"/>
                <w:kern w:val="2"/>
                <w:sz w:val="21"/>
                <w:szCs w:val="22"/>
                <w:lang w:val="en-US" w:eastAsia="zh-CN" w:bidi="ar-SA"/>
              </w:rPr>
              <w:t>我司的主要产品有红参、白参，</w:t>
            </w:r>
            <w:r>
              <w:rPr>
                <w:rFonts w:hint="default" w:ascii="Times New Roman" w:hAnsi="Times New Roman" w:eastAsia="宋体" w:cs="Times New Roman"/>
                <w:kern w:val="2"/>
                <w:sz w:val="21"/>
                <w:szCs w:val="22"/>
                <w:lang w:val="en-US" w:eastAsia="zh-CN" w:bidi="ar-SA"/>
              </w:rPr>
              <w:fldChar w:fldCharType="begin"/>
            </w:r>
            <w:r>
              <w:rPr>
                <w:rFonts w:hint="default" w:ascii="Times New Roman" w:hAnsi="Times New Roman" w:eastAsia="宋体" w:cs="Times New Roman"/>
                <w:kern w:val="2"/>
                <w:sz w:val="21"/>
                <w:szCs w:val="22"/>
                <w:lang w:val="en-US" w:eastAsia="zh-CN" w:bidi="ar-SA"/>
              </w:rPr>
              <w:instrText xml:space="preserve"> HYPERLINK "https://baike.baidu.com/item/%E9%AB%98%E4%B8%BD%E5%8F%82" \t "https://baike.baidu.com/item/_blank" </w:instrText>
            </w:r>
            <w:r>
              <w:rPr>
                <w:rFonts w:hint="default" w:ascii="Times New Roman" w:hAnsi="Times New Roman" w:eastAsia="宋体" w:cs="Times New Roman"/>
                <w:kern w:val="2"/>
                <w:sz w:val="21"/>
                <w:szCs w:val="22"/>
                <w:lang w:val="en-US" w:eastAsia="zh-CN" w:bidi="ar-SA"/>
              </w:rPr>
              <w:fldChar w:fldCharType="separate"/>
            </w:r>
            <w:r>
              <w:rPr>
                <w:rFonts w:hint="default" w:ascii="Times New Roman" w:hAnsi="Times New Roman" w:eastAsia="宋体" w:cs="Times New Roman"/>
                <w:kern w:val="2"/>
                <w:sz w:val="21"/>
                <w:szCs w:val="22"/>
                <w:lang w:val="en-US" w:eastAsia="zh-CN" w:bidi="ar-SA"/>
              </w:rPr>
              <w:t>高丽参</w:t>
            </w:r>
            <w:r>
              <w:rPr>
                <w:rFonts w:hint="default" w:ascii="Times New Roman" w:hAnsi="Times New Roman" w:eastAsia="宋体" w:cs="Times New Roman"/>
                <w:kern w:val="2"/>
                <w:sz w:val="21"/>
                <w:szCs w:val="22"/>
                <w:lang w:val="en-US" w:eastAsia="zh-CN" w:bidi="ar-SA"/>
              </w:rPr>
              <w:fldChar w:fldCharType="end"/>
            </w:r>
            <w:r>
              <w:rPr>
                <w:rFonts w:hint="default" w:ascii="Times New Roman" w:hAnsi="Times New Roman" w:eastAsia="宋体" w:cs="Times New Roman"/>
                <w:kern w:val="2"/>
                <w:sz w:val="21"/>
                <w:szCs w:val="22"/>
                <w:lang w:val="en-US" w:eastAsia="zh-CN" w:bidi="ar-SA"/>
              </w:rPr>
              <w:t>、野山参、冬虫夏草、鹿茸、哈士蟆油以及其他精制中药饮片等。</w:t>
            </w:r>
            <w:r>
              <w:rPr>
                <w:rFonts w:hint="default" w:ascii="Times New Roman" w:hAnsi="Times New Roman" w:eastAsia="宋体" w:cs="Times New Roman"/>
                <w:kern w:val="2"/>
                <w:sz w:val="21"/>
                <w:szCs w:val="22"/>
                <w:lang w:val="en-US" w:eastAsia="zh-CN" w:bidi="ar-SA"/>
              </w:rPr>
              <w:br w:type="textWrapping"/>
            </w:r>
            <w:r>
              <w:rPr>
                <w:rFonts w:hint="default" w:ascii="Times New Roman" w:hAnsi="Times New Roman" w:eastAsia="宋体" w:cs="Times New Roman"/>
                <w:kern w:val="2"/>
                <w:sz w:val="21"/>
                <w:szCs w:val="22"/>
                <w:lang w:val="en-US" w:eastAsia="zh-CN" w:bidi="ar-SA"/>
              </w:rPr>
              <w:t>　　天地聚灵气于百草，龙宝取百草济世间。一直以来，我公司秉承道地的产业精神，精选每一种药材，细炮每一味良方。道地的产业精神成就道地的精方良品，专业的产业理念铸就专业的企业灵魂。</w:t>
            </w:r>
            <w:r>
              <w:rPr>
                <w:rFonts w:hint="default" w:ascii="Times New Roman" w:hAnsi="Times New Roman" w:eastAsia="宋体" w:cs="Times New Roman"/>
                <w:kern w:val="2"/>
                <w:sz w:val="21"/>
                <w:szCs w:val="22"/>
                <w:lang w:val="en-US" w:eastAsia="zh-CN" w:bidi="ar-SA"/>
              </w:rPr>
              <w:br w:type="textWrapping"/>
            </w:r>
            <w:r>
              <w:rPr>
                <w:rFonts w:hint="default" w:ascii="Times New Roman" w:hAnsi="Times New Roman" w:eastAsia="宋体" w:cs="Times New Roman"/>
                <w:kern w:val="2"/>
                <w:sz w:val="21"/>
                <w:szCs w:val="22"/>
                <w:lang w:val="en-US" w:eastAsia="zh-CN" w:bidi="ar-SA"/>
              </w:rPr>
              <w:t>　　天济我时，地济我利，我聚人和。多年来，我司以精深的企业文化和广博的人文关怀吸引聚集了大量中医，中药专业人才。道地打造品质，专业成就未来，传统的中药理论和现代的精尖技术成就了今日龙宝参茸独有的精专，即专业的健康产品加工理论和专业的健康系列产品。</w:t>
            </w:r>
            <w:r>
              <w:rPr>
                <w:rFonts w:hint="default" w:ascii="Times New Roman" w:hAnsi="Times New Roman" w:eastAsia="宋体" w:cs="Times New Roman"/>
                <w:kern w:val="2"/>
                <w:sz w:val="21"/>
                <w:szCs w:val="22"/>
                <w:lang w:val="en-US" w:eastAsia="zh-CN" w:bidi="ar-SA"/>
              </w:rPr>
              <w:br w:type="textWrapping"/>
            </w:r>
            <w:r>
              <w:rPr>
                <w:rFonts w:hint="default" w:ascii="Times New Roman" w:hAnsi="Times New Roman" w:eastAsia="宋体" w:cs="Times New Roman"/>
                <w:kern w:val="2"/>
                <w:sz w:val="21"/>
                <w:szCs w:val="22"/>
                <w:lang w:val="en-US" w:eastAsia="zh-CN" w:bidi="ar-SA"/>
              </w:rPr>
              <w:t>　　天道酬勤，业成于专。龙宝人将一如既往的以道地、专业、关怀健康为产业宗旨，为祖国的中药健康事业奋斗不息。</w:t>
            </w:r>
          </w:p>
          <w:p>
            <w:pPr>
              <w:rPr>
                <w:b/>
              </w:rPr>
            </w:pPr>
            <w:r>
              <w:rPr>
                <w:rFonts w:hint="eastAsia"/>
                <w:b/>
              </w:rPr>
              <w:t>【案情背景</w:t>
            </w:r>
            <w:r>
              <w:rPr>
                <w:b/>
              </w:rPr>
              <w:t>】</w:t>
            </w:r>
          </w:p>
          <w:p>
            <w:pPr>
              <w:keepNext w:val="0"/>
              <w:keepLines w:val="0"/>
              <w:widowControl/>
              <w:suppressLineNumbers w:val="0"/>
              <w:shd w:val="clear" w:fill="FFFFFF"/>
              <w:spacing w:after="161" w:afterAutospacing="0" w:line="258" w:lineRule="atLeast"/>
              <w:ind w:left="0" w:firstLine="301"/>
              <w:jc w:val="left"/>
              <w:rPr>
                <w:rFonts w:hint="eastAsia" w:ascii="Times New Roman" w:hAnsi="Times New Roman" w:eastAsia="宋体" w:cs="Times New Roman"/>
                <w:kern w:val="2"/>
                <w:sz w:val="21"/>
                <w:szCs w:val="22"/>
                <w:lang w:val="en-US" w:eastAsia="zh-CN" w:bidi="ar-SA"/>
              </w:rPr>
            </w:pPr>
            <w:r>
              <w:rPr>
                <w:b/>
              </w:rPr>
              <w:tab/>
            </w:r>
            <w:r>
              <w:rPr>
                <w:rFonts w:hint="eastAsia" w:ascii="Arial" w:hAnsi="Arial" w:eastAsia="Arial" w:cs="Arial"/>
                <w:i w:val="0"/>
                <w:iCs w:val="0"/>
                <w:caps w:val="0"/>
                <w:color w:val="191919"/>
                <w:spacing w:val="0"/>
                <w:sz w:val="17"/>
                <w:szCs w:val="17"/>
                <w:shd w:val="clear" w:fill="FFFFFF"/>
              </w:rPr>
              <w:t>农业企业造假无外乎虚增收入，虚假关联交易，存货水份大减值计提不充分、通过资金体外循环虚构交易，同时由于农业企业自身得规范性不足，内控缺失导致证据不足，现金交易导致证据链断裂，所以有比较大得造假空间，同为人参加工企业得仙参源得造假手段其实也不高明，通过</w:t>
            </w:r>
            <w:r>
              <w:rPr>
                <w:rStyle w:val="16"/>
                <w:rFonts w:hint="default" w:ascii="Arial" w:hAnsi="Arial" w:eastAsia="Arial" w:cs="Arial"/>
                <w:b/>
                <w:bCs/>
                <w:i w:val="0"/>
                <w:iCs w:val="0"/>
                <w:caps w:val="0"/>
                <w:color w:val="191919"/>
                <w:spacing w:val="0"/>
                <w:sz w:val="17"/>
                <w:szCs w:val="17"/>
                <w:shd w:val="clear" w:fill="FFFFFF"/>
              </w:rPr>
              <w:t>少计成本+虚增收入、外购野山参“变”自挖野山参</w:t>
            </w:r>
            <w:r>
              <w:rPr>
                <w:rFonts w:hint="default" w:ascii="Arial" w:hAnsi="Arial" w:eastAsia="Arial" w:cs="Arial"/>
                <w:i w:val="0"/>
                <w:iCs w:val="0"/>
                <w:caps w:val="0"/>
                <w:color w:val="191919"/>
                <w:spacing w:val="0"/>
                <w:sz w:val="17"/>
                <w:szCs w:val="17"/>
                <w:shd w:val="clear" w:fill="FFFFFF"/>
              </w:rPr>
              <w:t>，5月30日参仙源发布“风险提示”公告称，公司去年7月被证监会立案调查，近日结果落地，公司收到了证监会的《行政处罚事先告知书》——“因2013年，公司将外购野山参作为自挖野山参销售，少计成本5538.22万元，导致虚增利润5538.22万元；同时，因公司2013年将野山参销售给关联方辽宁参仙源酒业有限公司，认定关联交易虚增收入7372.93万元，导致虚增利润7372.93万元。”其实辽宁振隆得造假手段也相差不大，也是将外购南瓜子仁作为自己加工对外出售，少结转成本以及虚假国外销售来虚增营业额和利润。</w:t>
            </w:r>
          </w:p>
          <w:p>
            <w:pPr>
              <w:rPr>
                <w:b/>
              </w:rPr>
            </w:pPr>
            <w:r>
              <w:rPr>
                <w:rFonts w:hint="eastAsia"/>
                <w:b/>
              </w:rPr>
              <w:t>【案情描述】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eastAsia"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首先龙宝参茸属于二次申报IPO了，第一次申报为2014年，二次申报得龙宝参茸业绩情况不错，公司2013至2015年实现营业收入分别为3.78亿元、4.24亿元、4.62亿元，净利润分别为7686万元、7748万元、8454万元，总资产分别为4.17亿元、5.35亿元、6.53亿元，负债合计分别为8997万元、1.3亿元、1.63亿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10月21日，证监会在新闻发布会上表示，IPO申报企业龙宝参茸被正式启动立案调查的行政立法程序，该公司涉嫌在招股说明书中虚假陈述，包括</w:t>
            </w:r>
            <w:r>
              <w:rPr>
                <w:rStyle w:val="16"/>
                <w:rFonts w:hint="default" w:ascii="Arial" w:hAnsi="Arial" w:eastAsia="Arial" w:cs="Arial"/>
                <w:b/>
                <w:bCs/>
                <w:i w:val="0"/>
                <w:iCs w:val="0"/>
                <w:caps w:val="0"/>
                <w:color w:val="191919"/>
                <w:spacing w:val="0"/>
                <w:sz w:val="17"/>
                <w:szCs w:val="17"/>
                <w:shd w:val="clear" w:fill="FFFFFF"/>
              </w:rPr>
              <w:t>隐瞒重大担保事项、不实披露公司治理及内控情况</w:t>
            </w:r>
            <w:r>
              <w:rPr>
                <w:rFonts w:hint="default" w:ascii="Arial" w:hAnsi="Arial" w:eastAsia="Arial" w:cs="Arial"/>
                <w:i w:val="0"/>
                <w:iCs w:val="0"/>
                <w:caps w:val="0"/>
                <w:color w:val="191919"/>
                <w:spacing w:val="0"/>
                <w:sz w:val="17"/>
                <w:szCs w:val="17"/>
                <w:shd w:val="clear" w:fill="FFFFFF"/>
              </w:rPr>
              <w:t>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Style w:val="16"/>
                <w:rFonts w:hint="default" w:ascii="Arial" w:hAnsi="Arial" w:eastAsia="Arial" w:cs="Arial"/>
                <w:b/>
                <w:bCs/>
                <w:i w:val="0"/>
                <w:iCs w:val="0"/>
                <w:caps w:val="0"/>
                <w:color w:val="191919"/>
                <w:spacing w:val="0"/>
                <w:sz w:val="17"/>
                <w:szCs w:val="17"/>
                <w:shd w:val="clear" w:fill="FFFFFF"/>
              </w:rPr>
              <w:t>一、经销占比大、毛利率下滑，经销商核查困难销售真实性存疑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首先我们从</w:t>
            </w:r>
            <w:r>
              <w:rPr>
                <w:rStyle w:val="16"/>
                <w:rFonts w:hint="default" w:ascii="Arial" w:hAnsi="Arial" w:eastAsia="Arial" w:cs="Arial"/>
                <w:b/>
                <w:bCs/>
                <w:i w:val="0"/>
                <w:iCs w:val="0"/>
                <w:caps w:val="0"/>
                <w:color w:val="191919"/>
                <w:spacing w:val="0"/>
                <w:sz w:val="17"/>
                <w:szCs w:val="17"/>
                <w:shd w:val="clear" w:fill="FFFFFF"/>
              </w:rPr>
              <w:t>销售模式</w:t>
            </w:r>
            <w:r>
              <w:rPr>
                <w:rFonts w:hint="default" w:ascii="Arial" w:hAnsi="Arial" w:eastAsia="Arial" w:cs="Arial"/>
                <w:i w:val="0"/>
                <w:iCs w:val="0"/>
                <w:caps w:val="0"/>
                <w:color w:val="191919"/>
                <w:spacing w:val="0"/>
                <w:sz w:val="17"/>
                <w:szCs w:val="17"/>
                <w:shd w:val="clear" w:fill="FFFFFF"/>
              </w:rPr>
              <w:t>上看，公司以</w:t>
            </w:r>
            <w:r>
              <w:rPr>
                <w:rStyle w:val="16"/>
                <w:rFonts w:hint="default" w:ascii="Arial" w:hAnsi="Arial" w:eastAsia="Arial" w:cs="Arial"/>
                <w:b/>
                <w:bCs/>
                <w:i w:val="0"/>
                <w:iCs w:val="0"/>
                <w:caps w:val="0"/>
                <w:color w:val="191919"/>
                <w:spacing w:val="0"/>
                <w:sz w:val="17"/>
                <w:szCs w:val="17"/>
                <w:shd w:val="clear" w:fill="FFFFFF"/>
              </w:rPr>
              <w:t>经销</w:t>
            </w:r>
            <w:r>
              <w:rPr>
                <w:rFonts w:hint="default" w:ascii="Arial" w:hAnsi="Arial" w:eastAsia="Arial" w:cs="Arial"/>
                <w:i w:val="0"/>
                <w:iCs w:val="0"/>
                <w:caps w:val="0"/>
                <w:color w:val="191919"/>
                <w:spacing w:val="0"/>
                <w:sz w:val="17"/>
                <w:szCs w:val="17"/>
                <w:shd w:val="clear" w:fill="FFFFFF"/>
              </w:rPr>
              <w:t>为主，同时有代销和直销两种模式，同时在经销商或者代理商处设立“龙宝”品牌形象销售专柜。这样一个销售模式也是极易发生财务造假得，需要关注经是否有向销商铺货的情形，收入确认方式以及退换货得相关规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第一次申报的、报告期内，龙宝参茸综合毛利率总体呈现下降趋势。2011-2015年来，龙宝参茸的人参毛利率分别为41.48%、35.27%、33.52%、31.98%和32.83%，五年来一直下滑。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对此，龙宝参茸在招股书中解释道：“报告期内，由于公司扩大了向医药流通类企业和医药制造企业客户的统货销售量，而统货产品相对单独包装的产品，毛利率相对较低，从而导致了公司人参类产品的总体毛利率逐年降低。”</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2013年在限制三公消费的政策影响下，参茸产品中部分高档产品的销售量以及以往通过商场等传统团购渠道采购的产品销售量也或多或少受到影响，而公司业绩能保持增长主要是由于销量增长带动，而销售增长主要是经销商购货所致，是否存在收入确认方面得问题值得怀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关于经销模式的核查需要核查到什么程度，小贱在之前也专门进行过研究，这里跟大家分享一下：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1、发行人经销模式的占比、经销商的数量以及变动情况、经销商的区域分布是否合理、经销商的注册资本以及经营资产是否与业务合作相匹配；</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2、与经销商之间的合作模式、结算模式、退换货条款、各期实际退换货情况及主要原因、会计处理；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3、报告期各期经销商进入、退出及存续情况，报告期内与发行人持续存在业务往来的经销商数量及销售收入、发行人是否存在期末新增加经销商的情形、发行人对单个经销商的收入分布情况；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4、经销商采购产品最终销售的大致去向，经销商是否实现了最终销售；</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5、经销商属于发行人前员工的情形、经销商与发行人共用商号的情形、经销商与发行人以及相关人员之间是否存在关联关系；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6、发行人经销模式与直销模式在信用政策、会计处理等方面是否存在差异，两种模式在毛利率方面是否存在重大差异；</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Style w:val="16"/>
                <w:rFonts w:hint="default" w:ascii="Arial" w:hAnsi="Arial" w:eastAsia="Arial" w:cs="Arial"/>
                <w:b/>
                <w:bCs/>
                <w:i w:val="0"/>
                <w:iCs w:val="0"/>
                <w:caps w:val="0"/>
                <w:color w:val="191919"/>
                <w:spacing w:val="0"/>
                <w:sz w:val="17"/>
                <w:szCs w:val="17"/>
                <w:shd w:val="clear" w:fill="FFFFFF"/>
              </w:rPr>
              <w:t>二、存货金额持续增长、核查困难，存在较大减值风险</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我们查看公司的存货也是逐年增长，2011-2015年，龙宝参茸存货价值分别为10,822.87万元、16,574.72万元、23,932.79万元、32,748.15万元和39,765.99万元，上升幅度较大，且“预计随着公司销售网络的持续扩大以及市场需求的持续上升，年末存货余额将会持续增长”。</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由于公司的销售模式为经销模式为主，所以存货相当一部分是分布在全国各地的经销商处，存货的盘点无法正常进行，同时由于经销商可能属于公司型的较少，函证也存在一定得困难，存货核查难度较大，会计师和券商的核查是否到位存在相当大的不确定性。</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由于存货逐年增加，收到销售价格可能存在下降风险以及保管质量的影响，存货存在减值风险，但是经查询招股书明书并未见到计提减值，所以减值准备的计提是否充分存在疑问。</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Style w:val="16"/>
                <w:rFonts w:hint="default" w:ascii="Arial" w:hAnsi="Arial" w:eastAsia="Arial" w:cs="Arial"/>
                <w:b/>
                <w:bCs/>
                <w:i w:val="0"/>
                <w:iCs w:val="0"/>
                <w:caps w:val="0"/>
                <w:color w:val="191919"/>
                <w:spacing w:val="0"/>
                <w:sz w:val="17"/>
                <w:szCs w:val="17"/>
                <w:shd w:val="clear" w:fill="FFFFFF"/>
              </w:rPr>
              <w:t>三、现金流紧张、经营性现金流持续为负</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2011年-2015年龙宝参茸经营活动产生的现金流量净额分别为-3503万元、598万元、-136万元、-2608万元和544万元。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公司经营性现金流为负，且采购存货压力较大，主要通过银行借款以及当地政府的2000万无息贷款维持。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募集的3.98亿元资金将被用于GMP生产厂房扩建项目、营销网络优化技术改造项目、补充流动资金及偿还银行贷款。值得注意的是，用于补充流动资金及偿还银行贷款的“补血”部分占总体募集资金比例近三成。资金压力巨大，结合证监会立案调查存在未披露的担保事项，可能与公司的资金紧张有关。</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通常核查担保事项需要查看公司的信用报告，通过银行做的担保应该都可以看的到，不知道相关中介的核查是否到位。</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Style w:val="16"/>
                <w:rFonts w:hint="default" w:ascii="Arial" w:hAnsi="Arial" w:eastAsia="Arial" w:cs="Arial"/>
                <w:b/>
                <w:bCs/>
                <w:i w:val="0"/>
                <w:iCs w:val="0"/>
                <w:caps w:val="0"/>
                <w:color w:val="191919"/>
                <w:spacing w:val="0"/>
                <w:sz w:val="17"/>
                <w:szCs w:val="17"/>
                <w:shd w:val="clear" w:fill="FFFFFF"/>
              </w:rPr>
              <w:t>四、供应商个体户较大，核查困难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t>公司的采购中个人供应商占比达到了95%以上，主要采购对象为农户，而且报告期内均无改善情况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17"/>
                <w:szCs w:val="17"/>
              </w:rPr>
            </w:pPr>
            <w:r>
              <w:rPr>
                <w:rFonts w:hint="default" w:ascii="Arial" w:hAnsi="Arial" w:eastAsia="Arial" w:cs="Arial"/>
                <w:i w:val="0"/>
                <w:iCs w:val="0"/>
                <w:caps w:val="0"/>
                <w:color w:val="191919"/>
                <w:spacing w:val="0"/>
                <w:sz w:val="17"/>
                <w:szCs w:val="17"/>
                <w:shd w:val="clear" w:fill="FFFFFF"/>
              </w:rPr>
              <w:drawing>
                <wp:inline distT="0" distB="0" distL="114300" distR="114300">
                  <wp:extent cx="6096000" cy="2200275"/>
                  <wp:effectExtent l="0" t="0" r="11430" b="0"/>
                  <wp:docPr id="2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descr="IMG_256"/>
                          <pic:cNvPicPr>
                            <a:picLocks noChangeAspect="1"/>
                          </pic:cNvPicPr>
                        </pic:nvPicPr>
                        <pic:blipFill>
                          <a:blip r:embed="rId26"/>
                          <a:stretch>
                            <a:fillRect/>
                          </a:stretch>
                        </pic:blipFill>
                        <pic:spPr>
                          <a:xfrm>
                            <a:off x="0" y="0"/>
                            <a:ext cx="6096000" cy="2200275"/>
                          </a:xfrm>
                          <a:prstGeom prst="rect">
                            <a:avLst/>
                          </a:prstGeom>
                          <a:noFill/>
                          <a:ln w="9525">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r>
              <w:rPr>
                <w:rFonts w:hint="default" w:ascii="Arial" w:hAnsi="Arial" w:eastAsia="Arial" w:cs="Arial"/>
                <w:i w:val="0"/>
                <w:iCs w:val="0"/>
                <w:caps w:val="0"/>
                <w:color w:val="191919"/>
                <w:spacing w:val="0"/>
                <w:sz w:val="17"/>
                <w:szCs w:val="17"/>
                <w:shd w:val="clear" w:fill="FFFFFF"/>
              </w:rPr>
              <w:t>农户一般涉及现金采购较多，且核查困难，这一块的核查不知道相关中介是否核查到位，核查的比例有多大，公司是否通过个人供应商来压低采购价格或者采用类似于辽宁</w:t>
            </w:r>
            <w:r>
              <w:rPr>
                <w:rFonts w:hint="default" w:ascii="Times New Roman" w:hAnsi="Times New Roman" w:eastAsia="宋体" w:cs="Times New Roman"/>
                <w:b w:val="0"/>
                <w:bCs/>
                <w:kern w:val="2"/>
                <w:sz w:val="21"/>
                <w:szCs w:val="22"/>
                <w:lang w:val="en-US" w:eastAsia="zh-CN" w:bidi="ar-SA"/>
              </w:rPr>
              <w:t>振隆的模式，向外部采购直接就是成品然后再卖出去，通过虚增存货的方式虚增利润，值得怀疑。</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一、龙宝参茸招股说明书中关于其经销模式的描述存在重大遗漏</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2013年至2015年，龙宝参茸与其经销商浙江珍诚医药在线股份有限公司（以下简称珍诚在线）签订《产品购销/经销分合同（E路融）》并向珍诚在线出具《委托销售指定书》，合同约定龙宝参茸委托珍诚在线销售给指定第三方时，若发生珍诚在线不能及时收回货款、未收回货款、滞销或不能销售等情况时，珍诚在线可分别对上述情形选择终止销售委托、扣除龙宝参茸相应货款、向龙宝参茸退货等。同时，合同约定龙宝参茸无条件对与珍诚在线合同项下的货款或退货等情况承担连带责任担保，担保范围包括货款、违约金、损害赔偿金以及珍诚在线为实现债权而发生的费用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2013年至2015年，上述合同的发生额分别为23，449，800元、28，645，850元和48，448，610.88元，涉及的担保金额分别为16，568，580元、34，630，958元和45，281，120.34元，占经审计净资产的6.62%、10.58%和11.19%。2013年至2015年末，担保余额分别为10，399，380元、13，400，989.5元和25，727，565.54元，占经审计净资产的4.15%、4.09%和6.36%。</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龙宝参茸2014年5月7日披露的《龙宝参茸首次公开发行股票申请文件》（以下简称招股说明书），以及2016年6月3日更新的招股说明书均简单披露其与珍诚在线的销售模式为经销模式，未披露涉及销售风险转移和提供担保事项的经销合同签订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二、龙宝参茸销售的部分野山参所附鉴定证书与招股说明书披露不一致</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龙宝参茸销售的部分野山参所附鉴定证书由亚创联中国参茸专家委员会鉴定中心出具，并非招股说明书中披露的国家参茸质检中心。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上述事实，有招股说明书、相关合同、董事会会议记录、相关当事人询问笔录、相关原始凭证、情况说明等证据证明，足以认定。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公司、实际控制人均被罚款。现在的悬念是，龙宝参茸高管是否会被市场禁入？</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唉，农业公司真是大坑，各种造假，花式造假。</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龙宝参茸操作相当高端，向经销商提供担保实现“销售”，并据此提前确认收入，实现利润。然而产品的风险依旧停留在公司，产品卖不出去，经销商可退货。不过这些在当年招股说明书中还是能看出一些端倪。</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珍诚在线连续3年都是公司的第一大客户，销售占比常年23%以上</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drawing>
                <wp:inline distT="0" distB="0" distL="114300" distR="114300">
                  <wp:extent cx="5238750" cy="3248025"/>
                  <wp:effectExtent l="0" t="0" r="1905" b="5715"/>
                  <wp:docPr id="33"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descr="IMG_256"/>
                          <pic:cNvPicPr>
                            <a:picLocks noChangeAspect="1"/>
                          </pic:cNvPicPr>
                        </pic:nvPicPr>
                        <pic:blipFill>
                          <a:blip r:embed="rId27"/>
                          <a:stretch>
                            <a:fillRect/>
                          </a:stretch>
                        </pic:blipFill>
                        <pic:spPr>
                          <a:xfrm>
                            <a:off x="0" y="0"/>
                            <a:ext cx="5238750" cy="3248025"/>
                          </a:xfrm>
                          <a:prstGeom prst="rect">
                            <a:avLst/>
                          </a:prstGeom>
                          <a:noFill/>
                          <a:ln w="9525">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不知道核查底稿做的怎么样？访谈笔录做的是否规范？是否所有中介机构都去现场？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越是重要客户，利益越容易与发行人捆绑，合作造假，中介核查也甚为无力。</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报告期经营现金流极其难看</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drawing>
                <wp:inline distT="0" distB="0" distL="114300" distR="114300">
                  <wp:extent cx="5238750" cy="1238250"/>
                  <wp:effectExtent l="0" t="0" r="1905" b="1905"/>
                  <wp:docPr id="32"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IMG_257"/>
                          <pic:cNvPicPr>
                            <a:picLocks noChangeAspect="1"/>
                          </pic:cNvPicPr>
                        </pic:nvPicPr>
                        <pic:blipFill>
                          <a:blip r:embed="rId28"/>
                          <a:stretch>
                            <a:fillRect/>
                          </a:stretch>
                        </pic:blipFill>
                        <pic:spPr>
                          <a:xfrm>
                            <a:off x="0" y="0"/>
                            <a:ext cx="5238750" cy="1238250"/>
                          </a:xfrm>
                          <a:prstGeom prst="rect">
                            <a:avLst/>
                          </a:prstGeom>
                          <a:noFill/>
                          <a:ln w="9525">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3年累计净利润逾2亿，但经营现金流竟为负的，资金根本没流入公司。</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应收账款、存货高企</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drawing>
                <wp:inline distT="0" distB="0" distL="114300" distR="114300">
                  <wp:extent cx="5238750" cy="3209925"/>
                  <wp:effectExtent l="0" t="0" r="1905" b="3810"/>
                  <wp:docPr id="34"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descr="IMG_258"/>
                          <pic:cNvPicPr>
                            <a:picLocks noChangeAspect="1"/>
                          </pic:cNvPicPr>
                        </pic:nvPicPr>
                        <pic:blipFill>
                          <a:blip r:embed="rId29"/>
                          <a:stretch>
                            <a:fillRect/>
                          </a:stretch>
                        </pic:blipFill>
                        <pic:spPr>
                          <a:xfrm>
                            <a:off x="0" y="0"/>
                            <a:ext cx="5238750" cy="3209925"/>
                          </a:xfrm>
                          <a:prstGeom prst="rect">
                            <a:avLst/>
                          </a:prstGeom>
                          <a:noFill/>
                          <a:ln w="9525">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存货，占比超过公司资产50%。而公司对经销商提供担保就是便于将存货变成销售收入，让公司财务数据看起来更“靓丽”。</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公司高管薪酬奇低</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drawing>
                <wp:inline distT="0" distB="0" distL="114300" distR="114300">
                  <wp:extent cx="5238750" cy="3448050"/>
                  <wp:effectExtent l="0" t="0" r="1905" b="5715"/>
                  <wp:docPr id="31" name="图片 2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descr="IMG_259"/>
                          <pic:cNvPicPr>
                            <a:picLocks noChangeAspect="1"/>
                          </pic:cNvPicPr>
                        </pic:nvPicPr>
                        <pic:blipFill>
                          <a:blip r:embed="rId30"/>
                          <a:stretch>
                            <a:fillRect/>
                          </a:stretch>
                        </pic:blipFill>
                        <pic:spPr>
                          <a:xfrm>
                            <a:off x="0" y="0"/>
                            <a:ext cx="5238750" cy="3448050"/>
                          </a:xfrm>
                          <a:prstGeom prst="rect">
                            <a:avLst/>
                          </a:prstGeom>
                          <a:noFill/>
                          <a:ln w="9525">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总经理、董事长分别才12万，财务总监竟然降薪，合理吗？</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财务总监年薪仅6.5万，可能建议造假吗？这么隐秘的手法谁建议的？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公司综合毛利率约32%</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drawing>
                <wp:inline distT="0" distB="0" distL="114300" distR="114300">
                  <wp:extent cx="5238750" cy="3971925"/>
                  <wp:effectExtent l="0" t="0" r="1905" b="1905"/>
                  <wp:docPr id="30" name="图片 2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descr="IMG_260"/>
                          <pic:cNvPicPr>
                            <a:picLocks noChangeAspect="1"/>
                          </pic:cNvPicPr>
                        </pic:nvPicPr>
                        <pic:blipFill>
                          <a:blip r:embed="rId31"/>
                          <a:stretch>
                            <a:fillRect/>
                          </a:stretch>
                        </pic:blipFill>
                        <pic:spPr>
                          <a:xfrm>
                            <a:off x="0" y="0"/>
                            <a:ext cx="5238750" cy="3971925"/>
                          </a:xfrm>
                          <a:prstGeom prst="rect">
                            <a:avLst/>
                          </a:prstGeom>
                          <a:noFill/>
                          <a:ln w="9525">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eastAsia" w:ascii="Times New Roman" w:hAnsi="Times New Roman" w:eastAsia="宋体" w:cs="Times New Roman"/>
                <w:b w:val="0"/>
                <w:bCs/>
                <w:kern w:val="2"/>
                <w:sz w:val="21"/>
                <w:szCs w:val="22"/>
                <w:lang w:val="en-US" w:eastAsia="zh-CN" w:bidi="ar-SA"/>
              </w:rPr>
            </w:pPr>
            <w:r>
              <w:rPr>
                <w:rFonts w:hint="eastAsia" w:ascii="Times New Roman" w:hAnsi="Times New Roman" w:eastAsia="宋体" w:cs="Times New Roman"/>
                <w:b w:val="0"/>
                <w:bCs/>
                <w:kern w:val="2"/>
                <w:sz w:val="21"/>
                <w:szCs w:val="22"/>
                <w:lang w:val="en-US" w:eastAsia="zh-CN" w:bidi="ar-SA"/>
              </w:rPr>
              <w:t>　　IPO造假防不胜防，中介安身立命，7分靠专业，3分看命。大家自求多福。</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365" w:beforeAutospacing="0" w:after="365" w:afterAutospacing="0"/>
              <w:ind w:left="0" w:right="0" w:firstLine="0"/>
              <w:jc w:val="both"/>
              <w:rPr>
                <w:rFonts w:hint="default" w:ascii="Times New Roman" w:hAnsi="Times New Roman" w:eastAsia="宋体" w:cs="Times New Roman"/>
                <w:b w:val="0"/>
                <w:bCs/>
                <w:kern w:val="2"/>
                <w:sz w:val="21"/>
                <w:szCs w:val="22"/>
                <w:lang w:val="en-US" w:eastAsia="zh-CN" w:bidi="ar-SA"/>
              </w:rPr>
            </w:pP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lang w:val="en-US"/>
              </w:rPr>
            </w:pPr>
            <w:r>
              <w:rPr>
                <w:rFonts w:hint="eastAsia" w:ascii="Times New Roman" w:hAnsi="Times New Roman" w:eastAsia="宋体" w:cs="Times New Roman"/>
                <w:b w:val="0"/>
                <w:bCs/>
                <w:kern w:val="2"/>
                <w:sz w:val="21"/>
                <w:szCs w:val="22"/>
                <w:lang w:val="en-US" w:eastAsia="zh-CN" w:bidi="ar-SA"/>
              </w:rPr>
              <w:t xml:space="preserve"> </w:t>
            </w:r>
            <w:r>
              <w:rPr>
                <w:rFonts w:hint="eastAsia" w:ascii="Times New Roman" w:hAnsi="Times New Roman" w:cs="Times New Roman"/>
                <w:b w:val="0"/>
                <w:bCs/>
                <w:kern w:val="2"/>
                <w:sz w:val="21"/>
                <w:szCs w:val="22"/>
                <w:lang w:val="en-US" w:eastAsia="zh-CN" w:bidi="ar-SA"/>
              </w:rPr>
              <w:t>天健会计师事务所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bidi w:val="0"/>
              <w:spacing w:after="280" w:afterAutospacing="1"/>
              <w:jc w:val="left"/>
              <w:rPr>
                <w:sz w:val="21"/>
              </w:rPr>
            </w:pPr>
            <w:r>
              <w:rPr>
                <w:sz w:val="21"/>
              </w:rPr>
              <w:t>（一）从农业行业特征的角度</w:t>
            </w:r>
          </w:p>
          <w:p>
            <w:pPr>
              <w:bidi w:val="0"/>
              <w:spacing w:after="280" w:afterAutospacing="1"/>
              <w:jc w:val="left"/>
              <w:rPr>
                <w:sz w:val="21"/>
              </w:rPr>
            </w:pPr>
            <w:r>
              <w:rPr>
                <w:sz w:val="21"/>
              </w:rPr>
              <w:t>         1、农业上市公司存货监盘困难。一般生产制造类企业的存货容易堆放，一般都是存放在生产车间或者仓库中，也因存放的空间比较小，易于盘点，而且不易受环境的影响，所以价值比较固定，很少会发生不可抗力因素如地震导致的仓库倒塌造成损失的情况。农业上市从事存货以生物资产为主，此类资产具有生长性和繁衍性，存放空间不仅包括陆地还有海洋，盘点困难，抽盘结果差异性大。</w:t>
            </w:r>
          </w:p>
          <w:p>
            <w:pPr>
              <w:bidi w:val="0"/>
              <w:spacing w:after="280" w:afterAutospacing="1"/>
              <w:jc w:val="left"/>
              <w:rPr>
                <w:sz w:val="21"/>
              </w:rPr>
            </w:pPr>
            <w:r>
              <w:rPr>
                <w:sz w:val="21"/>
              </w:rPr>
              <w:t>         2、以自然环境为借口。农业类企业往往是看天吃饭，天气适合农作物生长，收成就会好，企业就会有更多的原材料来加工产品;反之，如果天气不适合生物资产的生长，则会歉收，对于以前年度虚增存货来粉饰报表的农业上市公司来说，这就是对存货计提跌价准备的天赐良机。万福生科利用此方式来分别掩饰原材料供应无法稳定和虚增存货的事实。</w:t>
            </w:r>
          </w:p>
          <w:p>
            <w:pPr>
              <w:bidi w:val="0"/>
              <w:spacing w:after="280" w:afterAutospacing="1"/>
              <w:jc w:val="left"/>
              <w:rPr>
                <w:sz w:val="21"/>
              </w:rPr>
            </w:pPr>
            <w:r>
              <w:rPr>
                <w:sz w:val="21"/>
              </w:rPr>
              <w:t>         3、产品交易终端分散。农业企业的原材料来源大部分是来自于农民个体或者一些农民合作组织，又或者是提供幼崽和饲料让农民养，最后收购农民手中的成品，交易对象非常广散，注册会计师难以对交易的存在与否下定论;从交易方式的角度上说，大量的现金交易使得坐支的出现和难以复核的风险越来越大，为农业企业粉饰报表而虚构客户提供了有利环境，导致审计质量不佳。</w:t>
            </w:r>
          </w:p>
          <w:p>
            <w:pPr>
              <w:bidi w:val="0"/>
              <w:spacing w:after="280" w:afterAutospacing="1"/>
              <w:jc w:val="left"/>
              <w:rPr>
                <w:sz w:val="21"/>
              </w:rPr>
            </w:pPr>
            <w:r>
              <w:rPr>
                <w:sz w:val="21"/>
              </w:rPr>
              <w:t>         （二）从会计事务所和注册会计师的角度</w:t>
            </w:r>
          </w:p>
          <w:p>
            <w:pPr>
              <w:bidi w:val="0"/>
              <w:spacing w:after="280" w:afterAutospacing="1"/>
              <w:jc w:val="left"/>
              <w:rPr>
                <w:sz w:val="21"/>
              </w:rPr>
            </w:pPr>
            <w:r>
              <w:rPr>
                <w:sz w:val="21"/>
              </w:rPr>
              <w:t>         1、轻视存货的监盘。存货的监盘程序在整个审计过程中不可或缺，一旦存货监盘结果失真，就很可能会令审计结果偏移。尤其是对于农业企业存货而言，其价值随着时间、环境的变化增长或降低，而且农业企业的存货可能在深山、大海中，注册会计师难以盘点，若是想要监盘出最接近的数值，那么存货监盘的成本就会大幅度的上升。</w:t>
            </w:r>
          </w:p>
          <w:p>
            <w:pPr>
              <w:bidi w:val="0"/>
              <w:spacing w:after="280" w:afterAutospacing="1"/>
              <w:jc w:val="left"/>
              <w:rPr>
                <w:sz w:val="21"/>
              </w:rPr>
            </w:pPr>
            <w:r>
              <w:rPr>
                <w:sz w:val="21"/>
              </w:rPr>
              <w:t>         2、不注重审计的质量。在审计中，审计师们一般都会在资料室里面进行审查。注册会计师因为考虑到节省成本和时间的缘故不做分析性复核，只关注被审计单位的报表，很少会对同行业同期的各个财务指标进行对比，结果就无法发现其实不合理的地方。比如，万福生科在2008～2010年淀粉糖平均毛利率达到了28%，而其他同类企业的毛利率却只有10%。在全面不如竞争对手的情况下，毛利率却是人家的3倍。中磊会计事务所如果能够横向比较其他企业，不难发现其中的问题。</w:t>
            </w:r>
          </w:p>
          <w:p>
            <w:pPr>
              <w:bidi w:val="0"/>
              <w:spacing w:after="280" w:afterAutospacing="1"/>
              <w:jc w:val="left"/>
              <w:rPr>
                <w:sz w:val="21"/>
              </w:rPr>
            </w:pPr>
            <w:r>
              <w:rPr>
                <w:sz w:val="21"/>
              </w:rPr>
              <w:t>         （三）从社会的角度</w:t>
            </w:r>
          </w:p>
          <w:p>
            <w:pPr>
              <w:bidi w:val="0"/>
              <w:spacing w:after="280" w:afterAutospacing="1"/>
              <w:jc w:val="left"/>
              <w:rPr>
                <w:sz w:val="21"/>
              </w:rPr>
            </w:pPr>
            <w:r>
              <w:rPr>
                <w:sz w:val="21"/>
              </w:rPr>
              <w:t>         1、财务造假的处罚力度低。我国相关的法律法规对于农业上市公司和提供审计方的事务所合谋进行财务审计舞弊的处罚多是行政处罚，如警告、暂停执业、撤销等，对于财务报表造假的上市公司一般是让其在规定的时间内改正，并不会直接终止上市。中国证监会最初只对万福生科罚款30万元，主要犯案人员也是最高处罚了30万元，最终法院判决主要涉案人员龚永福、覃学军分别处以三年半和两年四个月的监禁，对中磊事务所的处罚也是未落到实处。</w:t>
            </w:r>
          </w:p>
          <w:p>
            <w:pPr>
              <w:bidi w:val="0"/>
              <w:spacing w:after="280" w:afterAutospacing="1"/>
              <w:jc w:val="left"/>
              <w:rPr>
                <w:sz w:val="21"/>
              </w:rPr>
            </w:pPr>
            <w:r>
              <w:rPr>
                <w:sz w:val="21"/>
              </w:rPr>
              <w:t>         2、监管不到位。农业上市公司因为其行业特殊性股份结构都是一股独大的局面，缺乏应有的内部治理结构，监事会毫无作用，根本起不到内部监管应有的作用。事实上在已经被社会熟知的多件审计失败案例中，绝大多数都由媒体曝光和企业因经营困难不得不自曝，很少由监管机构或自律组织查出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eastAsia="zh-CN"/>
              </w:rPr>
            </w:pPr>
            <w:r>
              <w:rPr>
                <w:rStyle w:val="16"/>
                <w:rFonts w:hint="default" w:ascii="Arial" w:hAnsi="Arial" w:eastAsia="Arial" w:cs="Arial"/>
                <w:b/>
                <w:bCs/>
                <w:i w:val="0"/>
                <w:iCs w:val="0"/>
                <w:caps w:val="0"/>
                <w:color w:val="191919"/>
                <w:spacing w:val="0"/>
                <w:sz w:val="17"/>
                <w:szCs w:val="17"/>
                <w:shd w:val="clear" w:fill="FFFFFF"/>
              </w:rPr>
              <w:t>存货金额</w:t>
            </w:r>
            <w:r>
              <w:rPr>
                <w:rStyle w:val="16"/>
                <w:rFonts w:hint="eastAsia" w:ascii="Arial" w:hAnsi="Arial" w:cs="Arial"/>
                <w:b/>
                <w:bCs/>
                <w:i w:val="0"/>
                <w:iCs w:val="0"/>
                <w:caps w:val="0"/>
                <w:color w:val="191919"/>
                <w:spacing w:val="0"/>
                <w:sz w:val="17"/>
                <w:szCs w:val="17"/>
                <w:shd w:val="clear" w:fill="FFFFFF"/>
                <w:lang w:val="en-US" w:eastAsia="zh-CN"/>
              </w:rPr>
              <w:t xml:space="preserve"> </w:t>
            </w:r>
            <w:r>
              <w:rPr>
                <w:rStyle w:val="16"/>
                <w:rFonts w:hint="default" w:ascii="Arial" w:hAnsi="Arial" w:eastAsia="Arial" w:cs="Arial"/>
                <w:b/>
                <w:bCs/>
                <w:i w:val="0"/>
                <w:iCs w:val="0"/>
                <w:caps w:val="0"/>
                <w:color w:val="191919"/>
                <w:spacing w:val="0"/>
                <w:sz w:val="17"/>
                <w:szCs w:val="17"/>
                <w:shd w:val="clear" w:fill="FFFFFF"/>
              </w:rPr>
              <w:t>减值风险</w:t>
            </w:r>
            <w:r>
              <w:rPr>
                <w:rStyle w:val="16"/>
                <w:rFonts w:hint="eastAsia" w:ascii="Arial" w:hAnsi="Arial" w:cs="Arial"/>
                <w:b/>
                <w:bCs/>
                <w:i w:val="0"/>
                <w:iCs w:val="0"/>
                <w:caps w:val="0"/>
                <w:color w:val="191919"/>
                <w:spacing w:val="0"/>
                <w:sz w:val="17"/>
                <w:szCs w:val="17"/>
                <w:shd w:val="clear" w:fill="FFFFFF"/>
                <w:lang w:val="en-US" w:eastAsia="zh-CN"/>
              </w:rPr>
              <w:t xml:space="preserve"> </w:t>
            </w:r>
            <w:r>
              <w:rPr>
                <w:rStyle w:val="16"/>
                <w:rFonts w:hint="default" w:ascii="Arial" w:hAnsi="Arial" w:eastAsia="Arial" w:cs="Arial"/>
                <w:b/>
                <w:bCs/>
                <w:i w:val="0"/>
                <w:iCs w:val="0"/>
                <w:caps w:val="0"/>
                <w:color w:val="191919"/>
                <w:spacing w:val="0"/>
                <w:sz w:val="17"/>
                <w:szCs w:val="17"/>
                <w:shd w:val="clear" w:fill="FFFFFF"/>
              </w:rPr>
              <w:t>供应商个体户较大，核查困难</w:t>
            </w:r>
          </w:p>
        </w:tc>
      </w:tr>
    </w:tbl>
    <w:p/>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imes New Roman" w:hAnsi="Times New Roman" w:cs="Times New Roman"/>
          <w:lang w:val="en-US" w:eastAsia="zh-CN"/>
        </w:rPr>
      </w:pPr>
      <w:bookmarkStart w:id="50" w:name="_Toc31512"/>
      <w:r>
        <w:rPr>
          <w:rFonts w:hint="eastAsia" w:ascii="Times New Roman" w:hAnsi="Times New Roman" w:cs="Times New Roman"/>
          <w:lang w:val="en-US" w:eastAsia="zh-CN"/>
        </w:rPr>
        <w:t>40北京密农人家农业科技有限公司</w:t>
      </w:r>
      <w:bookmarkEnd w:id="50"/>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农林牧渔业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2020年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pStyle w:val="2"/>
              <w:keepNext w:val="0"/>
              <w:keepLines w:val="0"/>
              <w:widowControl/>
              <w:suppressLineNumbers w:val="0"/>
              <w:spacing w:before="0" w:beforeAutospacing="0" w:after="0" w:afterAutospacing="0" w:line="537" w:lineRule="atLeast"/>
              <w:ind w:left="0" w:right="0" w:firstLine="0"/>
              <w:jc w:val="center"/>
              <w:rPr>
                <w:rFonts w:hint="default" w:eastAsia="宋体"/>
                <w:lang w:val="en-US" w:eastAsia="zh-CN"/>
              </w:rPr>
            </w:pPr>
            <w:bookmarkStart w:id="51" w:name="_Toc31276"/>
            <w:r>
              <w:rPr>
                <w:rFonts w:hint="default" w:ascii="Times New Roman" w:hAnsi="Times New Roman" w:eastAsia="宋体" w:cs="Times New Roman"/>
                <w:b w:val="0"/>
                <w:kern w:val="2"/>
                <w:sz w:val="21"/>
                <w:szCs w:val="22"/>
                <w:lang w:val="en-US" w:eastAsia="zh-CN" w:bidi="ar-SA"/>
              </w:rPr>
              <w:t>北京密农人家农业科技有限公司</w:t>
            </w:r>
            <w:bookmarkEnd w:id="5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Times New Roman" w:hAnsi="Times New Roman" w:cs="Times New Roman"/>
                <w:b w:val="0"/>
                <w:bCs/>
              </w:rPr>
              <w:t>农副水产品种养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bidi w:val="0"/>
              <w:spacing w:after="280" w:afterAutospacing="1"/>
              <w:jc w:val="left"/>
              <w:rPr>
                <w:rFonts w:hint="eastAsia" w:ascii="Arial" w:hAnsi="Arial" w:eastAsia="宋体" w:cs="Arial"/>
                <w:i w:val="0"/>
                <w:iCs w:val="0"/>
                <w:caps w:val="0"/>
                <w:color w:val="222222"/>
                <w:spacing w:val="0"/>
                <w:sz w:val="19"/>
                <w:szCs w:val="19"/>
                <w:lang w:val="en-US" w:eastAsia="zh-CN"/>
              </w:rPr>
            </w:pPr>
            <w:r>
              <w:tab/>
            </w:r>
            <w:r>
              <w:rPr>
                <w:rFonts w:hint="default" w:ascii="Arial" w:hAnsi="Arial" w:eastAsia="宋体" w:cs="Arial"/>
                <w:i w:val="0"/>
                <w:iCs w:val="0"/>
                <w:caps w:val="0"/>
                <w:color w:val="222222"/>
                <w:spacing w:val="0"/>
                <w:sz w:val="19"/>
                <w:szCs w:val="19"/>
              </w:rPr>
              <w:t> </w:t>
            </w:r>
            <w:r>
              <w:rPr>
                <w:rFonts w:hint="eastAsia" w:ascii="Arial" w:hAnsi="Arial" w:eastAsia="宋体" w:cs="Arial"/>
                <w:i w:val="0"/>
                <w:iCs w:val="0"/>
                <w:caps w:val="0"/>
                <w:color w:val="222222"/>
                <w:spacing w:val="0"/>
                <w:sz w:val="19"/>
                <w:szCs w:val="19"/>
              </w:rPr>
              <w:t>北京密农人家农业科技有限公司，成立于2012年6月，依托北京市密云区丰富、优良的农产品资源，通过互联网渠道进行农产品的推广和销售，并塑造了“密农人家”安全、新鲜、好味道的品牌形象。全年为顾客提供新鲜的时令蔬果、散养土鸡蛋、密云水库鱼、农家种植的杂粮和干货等，在服务广大消费者的同时，带领密云区当地农民创业、提高当地农民农业生产收入。</w:t>
            </w:r>
          </w:p>
          <w:p>
            <w:pPr>
              <w:rPr>
                <w:b/>
              </w:rPr>
            </w:pPr>
            <w:r>
              <w:rPr>
                <w:rFonts w:hint="eastAsia"/>
                <w:b/>
              </w:rPr>
              <w:t>【案情背景</w:t>
            </w:r>
            <w:r>
              <w:rPr>
                <w:b/>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4" w:beforeAutospacing="0" w:after="129" w:afterAutospacing="0" w:line="258" w:lineRule="atLeast"/>
              <w:ind w:left="0" w:right="0" w:firstLine="0"/>
              <w:rPr>
                <w:rFonts w:hint="eastAsia" w:ascii="Arial" w:hAnsi="Arial" w:eastAsia="宋体" w:cs="Arial"/>
                <w:i w:val="0"/>
                <w:iCs w:val="0"/>
                <w:caps w:val="0"/>
                <w:color w:val="222222"/>
                <w:spacing w:val="0"/>
                <w:kern w:val="2"/>
                <w:sz w:val="19"/>
                <w:szCs w:val="19"/>
                <w:lang w:val="en-US" w:eastAsia="zh-CN" w:bidi="ar-SA"/>
              </w:rPr>
            </w:pPr>
            <w:r>
              <w:rPr>
                <w:rFonts w:hint="eastAsia" w:ascii="宋体" w:hAnsi="宋体" w:eastAsia="宋体" w:cs="宋体"/>
                <w:i w:val="0"/>
                <w:iCs w:val="0"/>
                <w:caps w:val="0"/>
                <w:color w:val="000000"/>
                <w:spacing w:val="0"/>
                <w:sz w:val="15"/>
                <w:szCs w:val="15"/>
                <w:shd w:val="clear" w:fill="FFFFFF"/>
              </w:rPr>
              <w:t>　</w:t>
            </w:r>
            <w:r>
              <w:rPr>
                <w:rFonts w:hint="eastAsia" w:ascii="Arial" w:hAnsi="Arial" w:eastAsia="宋体" w:cs="Arial"/>
                <w:i w:val="0"/>
                <w:iCs w:val="0"/>
                <w:caps w:val="0"/>
                <w:color w:val="222222"/>
                <w:spacing w:val="0"/>
                <w:kern w:val="2"/>
                <w:sz w:val="19"/>
                <w:szCs w:val="19"/>
                <w:lang w:val="en-US" w:eastAsia="zh-CN" w:bidi="ar-SA"/>
              </w:rPr>
              <w:t>四年来，“密农人家”本着“诚信经营、回报家乡”的理念与密云区境内50余家肉、蛋、果蔬、粮食生产基地和农户建立了互助、互利、互信的合作关系，引领2000余农户年收入超过5万元。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4" w:beforeAutospacing="0" w:after="129" w:afterAutospacing="0" w:line="258" w:lineRule="atLeast"/>
              <w:ind w:left="0" w:right="0" w:firstLine="0"/>
              <w:rPr>
                <w:rFonts w:hint="eastAsia" w:ascii="Arial" w:hAnsi="Arial" w:eastAsia="宋体" w:cs="Arial"/>
                <w:i w:val="0"/>
                <w:iCs w:val="0"/>
                <w:caps w:val="0"/>
                <w:color w:val="222222"/>
                <w:spacing w:val="0"/>
                <w:kern w:val="2"/>
                <w:sz w:val="19"/>
                <w:szCs w:val="19"/>
                <w:lang w:val="en-US" w:eastAsia="zh-CN" w:bidi="ar-SA"/>
              </w:rPr>
            </w:pPr>
            <w:r>
              <w:rPr>
                <w:rFonts w:hint="eastAsia" w:ascii="Arial" w:hAnsi="Arial" w:eastAsia="宋体" w:cs="Arial"/>
                <w:i w:val="0"/>
                <w:iCs w:val="0"/>
                <w:caps w:val="0"/>
                <w:color w:val="222222"/>
                <w:spacing w:val="0"/>
                <w:kern w:val="2"/>
                <w:sz w:val="19"/>
                <w:szCs w:val="19"/>
                <w:lang w:val="en-US" w:eastAsia="zh-CN" w:bidi="ar-SA"/>
              </w:rPr>
              <w:t>　　2015年4月，通过密农人家平台，金叵罗村“开心农场”土地租赁权一个月内售罄，助力农民增收致富,扩大金叵罗村的知名度，带动生态旅游，挖掘和激活乡村内动力。</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4" w:beforeAutospacing="0" w:after="129" w:afterAutospacing="0" w:line="258" w:lineRule="atLeast"/>
              <w:ind w:left="0" w:right="0" w:firstLine="0"/>
              <w:rPr>
                <w:rFonts w:hint="eastAsia" w:ascii="Arial" w:hAnsi="Arial" w:eastAsia="宋体" w:cs="Arial"/>
                <w:i w:val="0"/>
                <w:iCs w:val="0"/>
                <w:caps w:val="0"/>
                <w:color w:val="222222"/>
                <w:spacing w:val="0"/>
                <w:kern w:val="2"/>
                <w:sz w:val="19"/>
                <w:szCs w:val="19"/>
                <w:lang w:val="en-US" w:eastAsia="zh-CN" w:bidi="ar-SA"/>
              </w:rPr>
            </w:pPr>
            <w:r>
              <w:rPr>
                <w:rFonts w:hint="eastAsia" w:ascii="Arial" w:hAnsi="Arial" w:eastAsia="宋体" w:cs="Arial"/>
                <w:i w:val="0"/>
                <w:iCs w:val="0"/>
                <w:caps w:val="0"/>
                <w:color w:val="222222"/>
                <w:spacing w:val="0"/>
                <w:kern w:val="2"/>
                <w:sz w:val="19"/>
                <w:szCs w:val="19"/>
                <w:lang w:val="en-US" w:eastAsia="zh-CN" w:bidi="ar-SA"/>
              </w:rPr>
              <w:t>　　2015年6月，承办密云区首届农产品电子商务培训班，50余名意向从事农产品电商的青年参加，积极带动更多的年轻人投入到农业领域，改变农民传统的思维方式，多渠道地扩大市场占有率。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4" w:beforeAutospacing="0" w:after="129" w:afterAutospacing="0" w:line="258" w:lineRule="atLeast"/>
              <w:ind w:left="0" w:right="0" w:firstLine="0"/>
              <w:rPr>
                <w:rFonts w:hint="eastAsia" w:ascii="Arial" w:hAnsi="Arial" w:eastAsia="宋体" w:cs="Arial"/>
                <w:i w:val="0"/>
                <w:iCs w:val="0"/>
                <w:caps w:val="0"/>
                <w:color w:val="222222"/>
                <w:spacing w:val="0"/>
                <w:kern w:val="2"/>
                <w:sz w:val="19"/>
                <w:szCs w:val="19"/>
                <w:lang w:val="en-US" w:eastAsia="zh-CN" w:bidi="ar-SA"/>
              </w:rPr>
            </w:pPr>
            <w:r>
              <w:rPr>
                <w:rFonts w:hint="eastAsia" w:ascii="Arial" w:hAnsi="Arial" w:eastAsia="宋体" w:cs="Arial"/>
                <w:i w:val="0"/>
                <w:iCs w:val="0"/>
                <w:caps w:val="0"/>
                <w:color w:val="222222"/>
                <w:spacing w:val="0"/>
                <w:kern w:val="2"/>
                <w:sz w:val="19"/>
                <w:szCs w:val="19"/>
                <w:lang w:val="en-US" w:eastAsia="zh-CN" w:bidi="ar-SA"/>
              </w:rPr>
              <w:t>　　2015年7月，2个星期内通过互联网销售集中收购东邵渠镇石娥村李子5.3万斤，成功解决村民李子大批量上市且不耐存储、销售难的问题，带动农民增收。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4" w:beforeAutospacing="0" w:after="129" w:afterAutospacing="0" w:line="258" w:lineRule="atLeast"/>
              <w:ind w:left="0" w:right="0" w:firstLine="0"/>
              <w:rPr>
                <w:rFonts w:hint="eastAsia" w:ascii="Arial" w:hAnsi="Arial" w:eastAsia="宋体" w:cs="Arial"/>
                <w:i w:val="0"/>
                <w:iCs w:val="0"/>
                <w:caps w:val="0"/>
                <w:color w:val="222222"/>
                <w:spacing w:val="0"/>
                <w:kern w:val="2"/>
                <w:sz w:val="19"/>
                <w:szCs w:val="19"/>
                <w:lang w:val="en-US" w:eastAsia="zh-CN" w:bidi="ar-SA"/>
              </w:rPr>
            </w:pPr>
            <w:r>
              <w:rPr>
                <w:rFonts w:hint="eastAsia" w:ascii="Arial" w:hAnsi="Arial" w:eastAsia="宋体" w:cs="Arial"/>
                <w:i w:val="0"/>
                <w:iCs w:val="0"/>
                <w:caps w:val="0"/>
                <w:color w:val="222222"/>
                <w:spacing w:val="0"/>
                <w:kern w:val="2"/>
                <w:sz w:val="19"/>
                <w:szCs w:val="19"/>
                <w:lang w:val="en-US" w:eastAsia="zh-CN" w:bidi="ar-SA"/>
              </w:rPr>
              <w:t>　　2016月1月，密农人家与金叵罗民俗村达成进一步战略合作，密农人家利用互联网平台大规模宣传金叵罗村民俗旅游，并将金叵罗村作为密农人家线下体验基地，线上服务线下体验，形成闭环，积极打造金叵罗村的生态旅游系统。</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4" w:beforeAutospacing="0" w:after="129" w:afterAutospacing="0" w:line="258" w:lineRule="atLeast"/>
              <w:ind w:left="0" w:right="0" w:firstLine="0"/>
              <w:rPr>
                <w:rFonts w:hint="eastAsia" w:ascii="Arial" w:hAnsi="Arial" w:eastAsia="宋体" w:cs="Arial"/>
                <w:i w:val="0"/>
                <w:iCs w:val="0"/>
                <w:caps w:val="0"/>
                <w:color w:val="222222"/>
                <w:spacing w:val="0"/>
                <w:kern w:val="2"/>
                <w:sz w:val="19"/>
                <w:szCs w:val="19"/>
                <w:lang w:val="en-US" w:eastAsia="zh-CN" w:bidi="ar-SA"/>
              </w:rPr>
            </w:pPr>
            <w:r>
              <w:rPr>
                <w:rFonts w:hint="eastAsia" w:ascii="Arial" w:hAnsi="Arial" w:eastAsia="宋体" w:cs="Arial"/>
                <w:i w:val="0"/>
                <w:iCs w:val="0"/>
                <w:caps w:val="0"/>
                <w:color w:val="222222"/>
                <w:spacing w:val="0"/>
                <w:kern w:val="2"/>
                <w:sz w:val="19"/>
                <w:szCs w:val="19"/>
                <w:lang w:val="en-US" w:eastAsia="zh-CN" w:bidi="ar-SA"/>
              </w:rPr>
              <w:t>　　2016年4月，农业部党组副书记、副部长余欣荣一行来到密农人家，了解密农人家电商运营模式，调研新型农民创业，指导新农人创业。余部长对密农人家积极推进“互联网+农业”的行动给予充分肯定，并对未来的发展方向给予指导。</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4" w:beforeAutospacing="0" w:after="129" w:afterAutospacing="0" w:line="258" w:lineRule="atLeast"/>
              <w:ind w:left="0" w:right="0" w:firstLine="0"/>
              <w:rPr>
                <w:rFonts w:hint="default" w:ascii="Arial" w:hAnsi="Arial" w:eastAsia="宋体" w:cs="Arial"/>
                <w:i w:val="0"/>
                <w:iCs w:val="0"/>
                <w:caps w:val="0"/>
                <w:color w:val="222222"/>
                <w:spacing w:val="0"/>
                <w:sz w:val="19"/>
                <w:szCs w:val="19"/>
              </w:rPr>
            </w:pPr>
            <w:r>
              <w:rPr>
                <w:rFonts w:hint="eastAsia" w:ascii="Arial" w:hAnsi="Arial" w:eastAsia="宋体" w:cs="Arial"/>
                <w:i w:val="0"/>
                <w:iCs w:val="0"/>
                <w:caps w:val="0"/>
                <w:color w:val="222222"/>
                <w:spacing w:val="0"/>
                <w:kern w:val="2"/>
                <w:sz w:val="19"/>
                <w:szCs w:val="19"/>
                <w:lang w:val="en-US" w:eastAsia="zh-CN" w:bidi="ar-SA"/>
              </w:rPr>
              <w:t>　　2016年6月，经市农委、市邮政管理局和区农委的支持和指导下建立区域性农产品集散配送中心--“农邮通”服务站，并开通了密云区首条农产品邮政配送服务专线。未来，这个平台将成为有志于从事农业电商的新农人的孵化器，共同打造密云农业的集体品牌，扩大品牌影响力。</w:t>
            </w:r>
            <w:r>
              <w:rPr>
                <w:rFonts w:hint="default" w:ascii="Arial" w:hAnsi="Arial" w:eastAsia="宋体" w:cs="Arial"/>
                <w:i w:val="0"/>
                <w:iCs w:val="0"/>
                <w:caps w:val="0"/>
                <w:color w:val="222222"/>
                <w:spacing w:val="0"/>
                <w:sz w:val="19"/>
                <w:szCs w:val="19"/>
              </w:rPr>
              <w:t xml:space="preserve"> </w:t>
            </w:r>
          </w:p>
          <w:p>
            <w:pPr>
              <w:rPr>
                <w:b/>
              </w:rPr>
            </w:pPr>
            <w:r>
              <w:rPr>
                <w:rFonts w:hint="eastAsia"/>
                <w:b/>
              </w:rPr>
              <w:t>【案情描述】</w:t>
            </w: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5" w:beforeAutospacing="0" w:after="0" w:afterAutospacing="0" w:line="269" w:lineRule="atLeast"/>
              <w:ind w:right="0" w:rightChars="0" w:firstLine="480" w:firstLineChars="20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pPr>
            <w:r>
              <w:rPr>
                <w:rFonts w:hint="eastAsia" w:ascii="Times New Roman" w:hAnsi="Times New Roman" w:eastAsia="宋体" w:cs="Times New Roman"/>
                <w:b w:val="0"/>
                <w:bCs/>
                <w:kern w:val="2"/>
                <w:sz w:val="21"/>
                <w:szCs w:val="22"/>
                <w:lang w:val="en-US" w:eastAsia="zh-CN" w:bidi="ar-S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bidi w:val="0"/>
              <w:spacing w:after="280" w:afterAutospacing="1"/>
              <w:jc w:val="left"/>
              <w:rPr>
                <w:rStyle w:val="19"/>
                <w:i w:val="0"/>
                <w:iCs w:val="0"/>
                <w:color w:val="auto"/>
              </w:rPr>
            </w:pPr>
            <w:r>
              <w:rPr>
                <w:sz w:val="21"/>
              </w:rPr>
              <w:t xml:space="preserve"> </w:t>
            </w:r>
            <w:r>
              <w:rPr>
                <w:rFonts w:ascii="Arial" w:hAnsi="Arial" w:eastAsia="宋体" w:cs="Arial"/>
                <w:i w:val="0"/>
                <w:iCs w:val="0"/>
                <w:caps w:val="0"/>
                <w:color w:val="222222"/>
                <w:spacing w:val="0"/>
                <w:sz w:val="19"/>
                <w:szCs w:val="19"/>
              </w:rPr>
              <w:t>一，对农业上市公司的启示 农业上市公司在生产</w:t>
            </w:r>
            <w:r>
              <w:rPr>
                <w:rFonts w:hint="default" w:ascii="Arial" w:hAnsi="Arial" w:eastAsia="宋体" w:cs="Arial"/>
                <w:i w:val="0"/>
                <w:iCs w:val="0"/>
                <w:caps w:val="0"/>
                <w:color w:val="222222"/>
                <w:spacing w:val="0"/>
                <w:sz w:val="19"/>
                <w:szCs w:val="19"/>
              </w:rPr>
              <w:t>经营活劢时应当注重于对该行业可能存在的风险的披露并制定应对措施,即使有些风险是很微小的,仍然需要及时披露,这样投资者才能及时把握投资信息。 ，二，对投资者的启示 在投资农业上市公司时,尤其是水底养殖和植物种植的行业,必须十分谨慎小心,只有在全面了解被投资企业的生产技术、管理制度、信息披露觃范等之后,才可以考虑进行投资,以减小陷入被投资企业造假风波的可能性。 ，三，对审计的启示 在农业企业里,处于不同种类的农企对存货的计量方法在具体上表现不同,这就要求有各行业的与家和会计结合,为不同类型的农业企业制定相应的成本及存货的盘点方法,这就需要国家的引领和政策扶持。 结语 无论是国外还是国内,上市公司造假都是资本市场和投资者十分关注的问题,而农业上市公司造假由于其得天独厚的造假条件和高风险的盈利模式成为十分棘手的难题。关于农业上市公司生物性资产会计确认和计量一直是一个充满争议的领域,目前在诸多方面对于如何科孥合理的计量生物性资产还不能达成统一的觃定。 除了生物性资产的难以确认和计量,交易终端的分散和大量的现金交易也给防范和治理农业企业上市公司财务造假带来很多不便。这就要求我国农业从根本上转变发展方式,向集约化、产业化农业发展,这才能有效的综合资源,培养统一的交易终端,减少现金交易,从而使农业上市公司的经营生产更透明。 本文以最新的獐子岛案例出发,结合獐子岛实际情况分析了农业上市公司造假的特点,并为投资者和企业一级审计提出一些建议,但是由于主观和客观条件,一些想法还缺乏科孥的依据,因此,在今后的孥习和工作中,还要进行进一步的探讨和研究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无保留审计意见</w:t>
            </w:r>
          </w:p>
        </w:tc>
      </w:tr>
    </w:tbl>
    <w:p/>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5FAE软雅黑">
    <w:altName w:val="黑体"/>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6FEF7E"/>
    <w:multiLevelType w:val="singleLevel"/>
    <w:tmpl w:val="976FEF7E"/>
    <w:lvl w:ilvl="0" w:tentative="0">
      <w:start w:val="1"/>
      <w:numFmt w:val="chineseCounting"/>
      <w:suff w:val="nothing"/>
      <w:lvlText w:val="%1、"/>
      <w:lvlJc w:val="left"/>
      <w:rPr>
        <w:rFonts w:hint="eastAsia"/>
      </w:rPr>
    </w:lvl>
  </w:abstractNum>
  <w:abstractNum w:abstractNumId="1">
    <w:nsid w:val="00000001"/>
    <w:multiLevelType w:val="multilevel"/>
    <w:tmpl w:val="0000000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4FBD881"/>
    <w:multiLevelType w:val="singleLevel"/>
    <w:tmpl w:val="34FBD881"/>
    <w:lvl w:ilvl="0" w:tentative="0">
      <w:start w:val="2"/>
      <w:numFmt w:val="decimal"/>
      <w:lvlText w:val="%1."/>
      <w:lvlJc w:val="left"/>
      <w:pPr>
        <w:tabs>
          <w:tab w:val="left" w:pos="312"/>
        </w:tabs>
      </w:pPr>
    </w:lvl>
  </w:abstractNum>
  <w:abstractNum w:abstractNumId="3">
    <w:nsid w:val="6163EC39"/>
    <w:multiLevelType w:val="singleLevel"/>
    <w:tmpl w:val="6163EC39"/>
    <w:lvl w:ilvl="0" w:tentative="0">
      <w:start w:val="1"/>
      <w:numFmt w:val="decimal"/>
      <w:suff w:val="nothing"/>
      <w:lvlText w:val="%1、"/>
      <w:lvlJc w:val="left"/>
    </w:lvl>
  </w:abstractNum>
  <w:abstractNum w:abstractNumId="4">
    <w:nsid w:val="6301BD66"/>
    <w:multiLevelType w:val="singleLevel"/>
    <w:tmpl w:val="6301BD66"/>
    <w:lvl w:ilvl="0" w:tentative="0">
      <w:start w:val="1"/>
      <w:numFmt w:val="decimal"/>
      <w:suff w:val="nothing"/>
      <w:lvlText w:val="%1）"/>
      <w:lvlJc w:val="left"/>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0D"/>
    <w:rsid w:val="009F7F0D"/>
    <w:rsid w:val="00DC1117"/>
    <w:rsid w:val="07233993"/>
    <w:rsid w:val="0B7A6B98"/>
    <w:rsid w:val="0D557A43"/>
    <w:rsid w:val="1190697E"/>
    <w:rsid w:val="11DC7735"/>
    <w:rsid w:val="13461536"/>
    <w:rsid w:val="14B73AE3"/>
    <w:rsid w:val="19752559"/>
    <w:rsid w:val="1E7F23C7"/>
    <w:rsid w:val="1ECF5ED7"/>
    <w:rsid w:val="23502223"/>
    <w:rsid w:val="23873829"/>
    <w:rsid w:val="27924B1A"/>
    <w:rsid w:val="2CC750F8"/>
    <w:rsid w:val="2D2B7B2D"/>
    <w:rsid w:val="2D8E75D2"/>
    <w:rsid w:val="2E4C6F28"/>
    <w:rsid w:val="399C3B45"/>
    <w:rsid w:val="401C3379"/>
    <w:rsid w:val="41CB2D40"/>
    <w:rsid w:val="441107F3"/>
    <w:rsid w:val="45803CCD"/>
    <w:rsid w:val="4F7E04D0"/>
    <w:rsid w:val="54241190"/>
    <w:rsid w:val="55AE56AA"/>
    <w:rsid w:val="571626B2"/>
    <w:rsid w:val="571A19CB"/>
    <w:rsid w:val="5C793F13"/>
    <w:rsid w:val="5E366B8E"/>
    <w:rsid w:val="629A7296"/>
    <w:rsid w:val="66424CDC"/>
    <w:rsid w:val="67E26207"/>
    <w:rsid w:val="68BC128B"/>
    <w:rsid w:val="6D6864B9"/>
    <w:rsid w:val="6F841548"/>
    <w:rsid w:val="717727F8"/>
    <w:rsid w:val="76140704"/>
    <w:rsid w:val="7A9A1071"/>
    <w:rsid w:val="7B10390D"/>
    <w:rsid w:val="7B9125AF"/>
    <w:rsid w:val="7FD75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0"/>
    <w:qFormat/>
    <w:uiPriority w:val="0"/>
    <w:pPr>
      <w:keepNext/>
      <w:keepLines/>
      <w:widowControl w:val="0"/>
      <w:spacing w:before="340" w:after="330" w:line="578" w:lineRule="auto"/>
      <w:jc w:val="both"/>
      <w:outlineLvl w:val="0"/>
    </w:pPr>
    <w:rPr>
      <w:rFonts w:ascii="Times New Roman" w:hAnsi="Times New Roman" w:eastAsia="宋体" w:cs="Times New Roman"/>
      <w:b/>
      <w:kern w:val="44"/>
      <w:sz w:val="44"/>
      <w:szCs w:val="44"/>
      <w:lang w:val="en-US" w:eastAsia="zh-CN" w:bidi="ar-SA"/>
    </w:rPr>
  </w:style>
  <w:style w:type="paragraph" w:styleId="3">
    <w:name w:val="heading 2"/>
    <w:basedOn w:val="1"/>
    <w:next w:val="1"/>
    <w:link w:val="21"/>
    <w:qFormat/>
    <w:uiPriority w:val="0"/>
    <w:pPr>
      <w:keepNext/>
      <w:keepLines/>
      <w:widowControl w:val="0"/>
      <w:spacing w:before="260" w:after="260" w:line="415" w:lineRule="auto"/>
      <w:jc w:val="both"/>
      <w:outlineLvl w:val="1"/>
    </w:pPr>
    <w:rPr>
      <w:rFonts w:ascii="Times New Roman" w:hAnsi="Times New Roman" w:eastAsia="宋体" w:cs="Times New Roman"/>
      <w:b/>
      <w:kern w:val="2"/>
      <w:sz w:val="32"/>
      <w:szCs w:val="32"/>
      <w:lang w:val="en-US" w:eastAsia="zh-CN" w:bidi="ar-SA"/>
    </w:rPr>
  </w:style>
  <w:style w:type="paragraph" w:styleId="4">
    <w:name w:val="heading 3"/>
    <w:next w:val="1"/>
    <w:link w:val="22"/>
    <w:qFormat/>
    <w:uiPriority w:val="0"/>
    <w:pPr>
      <w:keepNext/>
      <w:keepLines/>
      <w:widowControl w:val="0"/>
      <w:spacing w:before="260" w:after="260" w:line="415" w:lineRule="auto"/>
      <w:jc w:val="both"/>
      <w:outlineLvl w:val="2"/>
    </w:pPr>
    <w:rPr>
      <w:rFonts w:ascii="Times New Roman" w:hAnsi="Times New Roman" w:eastAsia="宋体" w:cs="Times New Roman"/>
      <w:b/>
      <w:kern w:val="2"/>
      <w:sz w:val="32"/>
      <w:szCs w:val="32"/>
      <w:lang w:val="en-US" w:eastAsia="zh-CN" w:bidi="ar-SA"/>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Balloon Text"/>
    <w:basedOn w:val="1"/>
    <w:link w:val="34"/>
    <w:qFormat/>
    <w:uiPriority w:val="99"/>
    <w:rPr>
      <w:sz w:val="18"/>
      <w:szCs w:val="18"/>
    </w:rPr>
  </w:style>
  <w:style w:type="paragraph" w:styleId="6">
    <w:name w:val="footer"/>
    <w:basedOn w:val="1"/>
    <w:link w:val="25"/>
    <w:qFormat/>
    <w:uiPriority w:val="99"/>
    <w:pPr>
      <w:tabs>
        <w:tab w:val="center" w:pos="4153"/>
        <w:tab w:val="right" w:pos="8306"/>
      </w:tabs>
      <w:snapToGrid w:val="0"/>
      <w:jc w:val="left"/>
    </w:pPr>
    <w:rPr>
      <w:sz w:val="18"/>
      <w:szCs w:val="18"/>
    </w:rPr>
  </w:style>
  <w:style w:type="paragraph" w:styleId="7">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style>
  <w:style w:type="paragraph" w:styleId="9">
    <w:name w:val="toc 2"/>
    <w:basedOn w:val="1"/>
    <w:next w:val="1"/>
    <w:semiHidden/>
    <w:unhideWhenUsed/>
    <w:uiPriority w:val="39"/>
    <w:pPr>
      <w:ind w:left="420" w:leftChars="200"/>
    </w:pPr>
  </w:style>
  <w:style w:type="paragraph" w:styleId="10">
    <w:name w:val="HTML Preformatted"/>
    <w:basedOn w:val="1"/>
    <w:link w:val="42"/>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1">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2">
    <w:name w:val="Title"/>
    <w:basedOn w:val="1"/>
    <w:next w:val="1"/>
    <w:link w:val="28"/>
    <w:qFormat/>
    <w:uiPriority w:val="10"/>
    <w:pPr>
      <w:spacing w:before="240" w:after="60"/>
      <w:jc w:val="center"/>
      <w:outlineLvl w:val="0"/>
    </w:pPr>
    <w:rPr>
      <w:rFonts w:asciiTheme="majorHAnsi" w:hAnsiTheme="majorHAnsi" w:eastAsiaTheme="majorEastAsia" w:cstheme="majorBidi"/>
      <w:b/>
      <w:bCs/>
      <w:sz w:val="32"/>
      <w:szCs w:val="32"/>
    </w:rPr>
  </w:style>
  <w:style w:type="table" w:styleId="14">
    <w:name w:val="Table Grid"/>
    <w:basedOn w:val="1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20"/>
    <w:rPr>
      <w:i/>
      <w:iCs/>
    </w:rPr>
  </w:style>
  <w:style w:type="character" w:styleId="18">
    <w:name w:val="Hyperlink"/>
    <w:basedOn w:val="15"/>
    <w:qFormat/>
    <w:uiPriority w:val="99"/>
    <w:rPr>
      <w:color w:val="0000FF"/>
      <w:u w:val="single"/>
    </w:rPr>
  </w:style>
  <w:style w:type="character" w:customStyle="1" w:styleId="19">
    <w:name w:val="明显强调1"/>
    <w:basedOn w:val="15"/>
    <w:qFormat/>
    <w:uiPriority w:val="21"/>
    <w:rPr>
      <w:i/>
      <w:iCs/>
      <w:color w:val="5B9BD5"/>
    </w:rPr>
  </w:style>
  <w:style w:type="character" w:customStyle="1" w:styleId="20">
    <w:name w:val="标题 1 字符"/>
    <w:basedOn w:val="15"/>
    <w:link w:val="2"/>
    <w:qFormat/>
    <w:uiPriority w:val="9"/>
    <w:rPr>
      <w:b/>
      <w:bCs/>
      <w:kern w:val="44"/>
      <w:sz w:val="44"/>
      <w:szCs w:val="44"/>
    </w:rPr>
  </w:style>
  <w:style w:type="character" w:customStyle="1" w:styleId="21">
    <w:name w:val="标题 2 字符"/>
    <w:basedOn w:val="15"/>
    <w:link w:val="3"/>
    <w:qFormat/>
    <w:uiPriority w:val="9"/>
    <w:rPr>
      <w:rFonts w:asciiTheme="majorHAnsi" w:hAnsiTheme="majorHAnsi" w:eastAsiaTheme="majorEastAsia" w:cstheme="majorBidi"/>
      <w:b/>
      <w:bCs/>
      <w:sz w:val="32"/>
      <w:szCs w:val="32"/>
    </w:rPr>
  </w:style>
  <w:style w:type="character" w:customStyle="1" w:styleId="22">
    <w:name w:val="标题 3 字符"/>
    <w:basedOn w:val="15"/>
    <w:link w:val="4"/>
    <w:qFormat/>
    <w:uiPriority w:val="9"/>
    <w:rPr>
      <w:b/>
      <w:bCs/>
      <w:sz w:val="32"/>
      <w:szCs w:val="32"/>
    </w:rPr>
  </w:style>
  <w:style w:type="paragraph" w:styleId="23">
    <w:name w:val="List Paragraph"/>
    <w:basedOn w:val="1"/>
    <w:qFormat/>
    <w:uiPriority w:val="34"/>
    <w:pPr>
      <w:ind w:firstLine="420" w:firstLineChars="200"/>
    </w:pPr>
  </w:style>
  <w:style w:type="character" w:customStyle="1" w:styleId="24">
    <w:name w:val="页眉 字符"/>
    <w:basedOn w:val="15"/>
    <w:link w:val="7"/>
    <w:qFormat/>
    <w:uiPriority w:val="99"/>
    <w:rPr>
      <w:sz w:val="18"/>
      <w:szCs w:val="18"/>
    </w:rPr>
  </w:style>
  <w:style w:type="character" w:customStyle="1" w:styleId="25">
    <w:name w:val="页脚 字符"/>
    <w:basedOn w:val="15"/>
    <w:link w:val="6"/>
    <w:qFormat/>
    <w:uiPriority w:val="99"/>
    <w:rPr>
      <w:sz w:val="18"/>
      <w:szCs w:val="18"/>
    </w:rPr>
  </w:style>
  <w:style w:type="paragraph" w:styleId="26">
    <w:name w:val="Quote"/>
    <w:basedOn w:val="1"/>
    <w:next w:val="1"/>
    <w:link w:val="27"/>
    <w:qFormat/>
    <w:uiPriority w:val="29"/>
    <w:pPr>
      <w:spacing w:before="200" w:after="160"/>
      <w:ind w:left="864" w:right="864"/>
      <w:jc w:val="center"/>
    </w:pPr>
    <w:rPr>
      <w:i/>
      <w:iCs/>
      <w:color w:val="404040"/>
    </w:rPr>
  </w:style>
  <w:style w:type="character" w:customStyle="1" w:styleId="27">
    <w:name w:val="引用 字符"/>
    <w:basedOn w:val="15"/>
    <w:link w:val="26"/>
    <w:qFormat/>
    <w:uiPriority w:val="29"/>
    <w:rPr>
      <w:i/>
      <w:iCs/>
      <w:color w:val="404040"/>
    </w:rPr>
  </w:style>
  <w:style w:type="character" w:customStyle="1" w:styleId="28">
    <w:name w:val="标题 字符"/>
    <w:basedOn w:val="15"/>
    <w:link w:val="12"/>
    <w:qFormat/>
    <w:uiPriority w:val="10"/>
    <w:rPr>
      <w:rFonts w:asciiTheme="majorHAnsi" w:hAnsiTheme="majorHAnsi" w:eastAsiaTheme="majorEastAsia" w:cstheme="majorBidi"/>
      <w:b/>
      <w:bCs/>
      <w:sz w:val="32"/>
      <w:szCs w:val="32"/>
    </w:rPr>
  </w:style>
  <w:style w:type="character" w:customStyle="1" w:styleId="29">
    <w:name w:val="不明显参考1"/>
    <w:basedOn w:val="15"/>
    <w:qFormat/>
    <w:uiPriority w:val="31"/>
    <w:rPr>
      <w:smallCaps/>
      <w:color w:val="595959"/>
    </w:rPr>
  </w:style>
  <w:style w:type="character" w:customStyle="1" w:styleId="30">
    <w:name w:val="明显参考1"/>
    <w:basedOn w:val="15"/>
    <w:qFormat/>
    <w:uiPriority w:val="32"/>
    <w:rPr>
      <w:b/>
      <w:bCs/>
      <w:smallCaps/>
      <w:color w:val="5B9BD5"/>
      <w:spacing w:val="5"/>
    </w:rPr>
  </w:style>
  <w:style w:type="table" w:customStyle="1" w:styleId="31">
    <w:name w:val="网格表 1 浅色1"/>
    <w:basedOn w:val="13"/>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paragraph" w:customStyle="1" w:styleId="32">
    <w:name w:val="TOC 标题1"/>
    <w:basedOn w:val="2"/>
    <w:next w:val="1"/>
    <w:qFormat/>
    <w:uiPriority w:val="39"/>
    <w:pPr>
      <w:widowControl/>
      <w:spacing w:before="240" w:after="0" w:line="259" w:lineRule="auto"/>
      <w:jc w:val="left"/>
      <w:outlineLvl w:val="9"/>
    </w:pPr>
    <w:rPr>
      <w:rFonts w:asciiTheme="majorHAnsi" w:hAnsiTheme="majorHAnsi" w:eastAsiaTheme="majorEastAsia" w:cstheme="majorBidi"/>
      <w:b w:val="0"/>
      <w:color w:val="2E74B5"/>
      <w:kern w:val="0"/>
      <w:sz w:val="32"/>
      <w:szCs w:val="32"/>
    </w:rPr>
  </w:style>
  <w:style w:type="character" w:customStyle="1" w:styleId="33">
    <w:name w:val="明显强调11"/>
    <w:basedOn w:val="15"/>
    <w:qFormat/>
    <w:uiPriority w:val="21"/>
    <w:rPr>
      <w:i/>
      <w:iCs/>
      <w:color w:val="5B9BD5"/>
    </w:rPr>
  </w:style>
  <w:style w:type="character" w:customStyle="1" w:styleId="34">
    <w:name w:val="批注框文本 字符"/>
    <w:basedOn w:val="15"/>
    <w:link w:val="5"/>
    <w:qFormat/>
    <w:uiPriority w:val="99"/>
    <w:rPr>
      <w:rFonts w:asciiTheme="minorHAnsi" w:hAnsiTheme="minorHAnsi" w:eastAsiaTheme="minorEastAsia" w:cstheme="minorBidi"/>
      <w:kern w:val="2"/>
      <w:sz w:val="18"/>
      <w:szCs w:val="18"/>
    </w:rPr>
  </w:style>
  <w:style w:type="character" w:customStyle="1" w:styleId="35">
    <w:name w:val="Intense Emphasis"/>
    <w:basedOn w:val="15"/>
    <w:qFormat/>
    <w:uiPriority w:val="21"/>
    <w:rPr>
      <w:i/>
      <w:iCs/>
      <w:color w:val="5B9BD5"/>
    </w:rPr>
  </w:style>
  <w:style w:type="character" w:customStyle="1" w:styleId="36">
    <w:name w:val="Intense Reference"/>
    <w:basedOn w:val="15"/>
    <w:qFormat/>
    <w:uiPriority w:val="32"/>
    <w:rPr>
      <w:b/>
      <w:bCs/>
      <w:smallCaps/>
      <w:color w:val="5B9BD5"/>
      <w:spacing w:val="5"/>
    </w:rPr>
  </w:style>
  <w:style w:type="paragraph" w:customStyle="1" w:styleId="37">
    <w:name w:val="p0"/>
    <w:basedOn w:val="1"/>
    <w:uiPriority w:val="0"/>
    <w:pPr>
      <w:widowControl/>
      <w:spacing w:before="100" w:beforeAutospacing="1" w:after="100" w:afterAutospacing="1"/>
      <w:jc w:val="left"/>
    </w:pPr>
    <w:rPr>
      <w:kern w:val="0"/>
      <w:sz w:val="24"/>
      <w:szCs w:val="24"/>
    </w:rPr>
  </w:style>
  <w:style w:type="paragraph" w:customStyle="1" w:styleId="38">
    <w:name w:val="p17"/>
    <w:basedOn w:val="1"/>
    <w:uiPriority w:val="0"/>
    <w:pPr>
      <w:widowControl/>
      <w:spacing w:before="100" w:beforeAutospacing="1" w:after="100" w:afterAutospacing="1"/>
      <w:jc w:val="left"/>
    </w:pPr>
    <w:rPr>
      <w:kern w:val="0"/>
      <w:sz w:val="24"/>
      <w:szCs w:val="24"/>
    </w:rPr>
  </w:style>
  <w:style w:type="character" w:customStyle="1" w:styleId="39">
    <w:name w:val="apple-converted-space"/>
    <w:basedOn w:val="15"/>
    <w:uiPriority w:val="0"/>
  </w:style>
  <w:style w:type="paragraph" w:customStyle="1" w:styleId="40">
    <w:name w:val="正文1"/>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41">
    <w:name w:val="ask-title"/>
    <w:basedOn w:val="15"/>
    <w:uiPriority w:val="0"/>
  </w:style>
  <w:style w:type="character" w:customStyle="1" w:styleId="42">
    <w:name w:val="HTML 预设格式 字符"/>
    <w:basedOn w:val="15"/>
    <w:link w:val="10"/>
    <w:uiPriority w:val="99"/>
    <w:rPr>
      <w:rFonts w:ascii="宋体" w:hAnsi="宋体" w:cs="宋体"/>
      <w:sz w:val="24"/>
      <w:szCs w:val="24"/>
    </w:rPr>
  </w:style>
  <w:style w:type="paragraph" w:customStyle="1" w:styleId="43">
    <w:name w:val="&quot;toc 1&quot;"/>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44">
    <w:name w:val="&quot;Title&quot;"/>
    <w:qFormat/>
    <w:uiPriority w:val="0"/>
    <w:pPr>
      <w:widowControl w:val="0"/>
      <w:spacing w:before="240" w:after="60"/>
      <w:jc w:val="center"/>
      <w:outlineLvl w:val="0"/>
    </w:pPr>
    <w:rPr>
      <w:rFonts w:ascii="Times New Roman" w:hAnsi="Times New Roman" w:eastAsia="宋体" w:cs="Times New Roman"/>
      <w:b/>
      <w:kern w:val="2"/>
      <w:sz w:val="32"/>
      <w:szCs w:val="32"/>
      <w:lang w:val="en-US" w:eastAsia="zh-CN" w:bidi="ar-SA"/>
    </w:rPr>
  </w:style>
  <w:style w:type="paragraph" w:customStyle="1" w:styleId="45">
    <w:name w:val="&quot;Balloon Text&quot;"/>
    <w:qFormat/>
    <w:uiPriority w:val="0"/>
    <w:pPr>
      <w:widowControl w:val="0"/>
      <w:jc w:val="both"/>
    </w:pPr>
    <w:rPr>
      <w:rFonts w:ascii="Times New Roman" w:hAnsi="Times New Roman" w:eastAsia="宋体" w:cs="Times New Roman"/>
      <w:kern w:val="2"/>
      <w:sz w:val="18"/>
      <w:szCs w:val="18"/>
      <w:lang w:val="en-US" w:eastAsia="zh-CN" w:bidi="ar-SA"/>
    </w:rPr>
  </w:style>
  <w:style w:type="paragraph" w:customStyle="1" w:styleId="46">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47">
    <w:name w:val="&quot;p0&quot;"/>
    <w:uiPriority w:val="0"/>
    <w:pPr>
      <w:spacing w:before="100" w:beforeAutospacing="1" w:after="100" w:afterAutospacing="1"/>
    </w:pPr>
    <w:rPr>
      <w:rFonts w:ascii="Times New Roman" w:hAnsi="Times New Roman" w:eastAsia="宋体" w:cs="Times New Roman"/>
      <w:sz w:val="24"/>
      <w:szCs w:val="24"/>
      <w:lang w:val="en-US" w:eastAsia="zh-CN" w:bidi="ar-SA"/>
    </w:rPr>
  </w:style>
  <w:style w:type="paragraph" w:customStyle="1" w:styleId="48">
    <w:name w:val="&quot;List Paragraph&quot;"/>
    <w:qFormat/>
    <w:uiPriority w:val="0"/>
    <w:pPr>
      <w:widowControl w:val="0"/>
      <w:ind w:firstLine="420" w:firstLineChars="200"/>
      <w:jc w:val="both"/>
    </w:pPr>
    <w:rPr>
      <w:rFonts w:ascii="Times New Roman" w:hAnsi="Times New Roman" w:eastAsia="宋体" w:cs="Times New Roman"/>
      <w:kern w:val="2"/>
      <w:sz w:val="21"/>
      <w:szCs w:val="22"/>
      <w:lang w:val="en-US" w:eastAsia="zh-CN" w:bidi="ar-SA"/>
    </w:rPr>
  </w:style>
  <w:style w:type="paragraph" w:customStyle="1" w:styleId="49">
    <w:name w:val="&quot;HTML Preformatted&quot;"/>
    <w:uiPriority w:val="0"/>
    <w:pPr>
      <w:tabs>
        <w:tab w:val="left" w:pos="900"/>
        <w:tab w:val="left" w:pos="1820"/>
        <w:tab w:val="left" w:pos="2740"/>
        <w:tab w:val="left" w:pos="3660"/>
        <w:tab w:val="left" w:pos="4580"/>
        <w:tab w:val="left" w:pos="5480"/>
        <w:tab w:val="left" w:pos="6400"/>
        <w:tab w:val="left" w:pos="7320"/>
        <w:tab w:val="left" w:pos="8240"/>
        <w:tab w:val="left" w:pos="9160"/>
        <w:tab w:val="left" w:pos="10060"/>
        <w:tab w:val="left" w:pos="10980"/>
        <w:tab w:val="left" w:pos="11900"/>
        <w:tab w:val="left" w:pos="12820"/>
        <w:tab w:val="left" w:pos="13740"/>
        <w:tab w:val="left" w:pos="14640"/>
      </w:tabs>
    </w:pPr>
    <w:rPr>
      <w:rFonts w:ascii="宋体" w:hAnsi="宋体" w:eastAsia="宋体" w:cs="宋体"/>
      <w:sz w:val="24"/>
      <w:szCs w:val="24"/>
      <w:lang w:val="en-US" w:eastAsia="zh-CN" w:bidi="ar-SA"/>
    </w:rPr>
  </w:style>
  <w:style w:type="paragraph" w:customStyle="1" w:styleId="50">
    <w:name w:val="&quot;TOC 标题1&quot;"/>
    <w:qFormat/>
    <w:uiPriority w:val="0"/>
    <w:pPr>
      <w:keepNext/>
      <w:keepLines/>
      <w:spacing w:before="240" w:line="259" w:lineRule="auto"/>
    </w:pPr>
    <w:rPr>
      <w:rFonts w:ascii="Times New Roman" w:hAnsi="Times New Roman" w:eastAsia="宋体" w:cs="Times New Roman"/>
      <w:color w:val="2E74B5"/>
      <w:sz w:val="32"/>
      <w:szCs w:val="32"/>
      <w:lang w:val="en-US" w:eastAsia="zh-CN" w:bidi="ar-SA"/>
    </w:rPr>
  </w:style>
  <w:style w:type="paragraph" w:customStyle="1" w:styleId="51">
    <w:name w:val="&quot;Quote&quot;"/>
    <w:qFormat/>
    <w:uiPriority w:val="0"/>
    <w:pPr>
      <w:widowControl w:val="0"/>
      <w:spacing w:before="200" w:after="160"/>
      <w:jc w:val="center"/>
    </w:pPr>
    <w:rPr>
      <w:rFonts w:ascii="Times New Roman" w:hAnsi="Times New Roman" w:eastAsia="宋体" w:cs="Times New Roman"/>
      <w:i/>
      <w:color w:val="404040"/>
      <w:kern w:val="2"/>
      <w:sz w:val="21"/>
      <w:szCs w:val="22"/>
      <w:lang w:val="en-US" w:eastAsia="zh-CN" w:bidi="ar-SA"/>
    </w:rPr>
  </w:style>
  <w:style w:type="paragraph" w:customStyle="1" w:styleId="52">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paragraph" w:customStyle="1" w:styleId="53">
    <w:name w:val="&quot;正文1&quot;"/>
    <w:qFormat/>
    <w:uiPriority w:val="0"/>
    <w:pPr>
      <w:widowControl w:val="0"/>
      <w:adjustRightInd w:val="0"/>
      <w:spacing w:line="312" w:lineRule="atLeast"/>
      <w:jc w:val="both"/>
    </w:pPr>
    <w:rPr>
      <w:rFonts w:ascii="宋体" w:hAnsi="Times New Roman" w:eastAsia="宋体" w:cs="Times New Roman"/>
      <w:sz w:val="34"/>
      <w:lang w:val="en-US" w:eastAsia="zh-CN" w:bidi="ar-SA"/>
    </w:rPr>
  </w:style>
  <w:style w:type="paragraph" w:customStyle="1" w:styleId="54">
    <w:name w:val="&quot;header&quot;"/>
    <w:qFormat/>
    <w:uiPriority w:val="0"/>
    <w:pPr>
      <w:widowControl w:val="0"/>
      <w:pBdr>
        <w:bottom w:val="single" w:color="000000" w:sz="6" w:space="1"/>
      </w:pBdr>
      <w:tabs>
        <w:tab w:val="center" w:pos="4140"/>
        <w:tab w:val="right" w:pos="8300"/>
      </w:tabs>
      <w:snapToGrid w:val="0"/>
      <w:jc w:val="center"/>
    </w:pPr>
    <w:rPr>
      <w:rFonts w:ascii="Times New Roman" w:hAnsi="Times New Roman" w:eastAsia="宋体" w:cs="Times New Roman"/>
      <w:kern w:val="2"/>
      <w:sz w:val="18"/>
      <w:szCs w:val="18"/>
      <w:lang w:val="en-US" w:eastAsia="zh-CN" w:bidi="ar-SA"/>
    </w:rPr>
  </w:style>
  <w:style w:type="paragraph" w:customStyle="1" w:styleId="55">
    <w:name w:val="&quot;p17&quot;"/>
    <w:uiPriority w:val="0"/>
    <w:pPr>
      <w:spacing w:before="100" w:beforeAutospacing="1" w:after="100" w:afterAutospacing="1"/>
    </w:pPr>
    <w:rPr>
      <w:rFonts w:ascii="Times New Roman" w:hAnsi="Times New Roman" w:eastAsia="宋体"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1</Pages>
  <Words>24851</Words>
  <Characters>141654</Characters>
  <Lines>1180</Lines>
  <Paragraphs>332</Paragraphs>
  <TotalTime>1</TotalTime>
  <ScaleCrop>false</ScaleCrop>
  <LinksUpToDate>false</LinksUpToDate>
  <CharactersWithSpaces>166173</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2018-05-30T06:12:00Z</dcterms:created>
  <dc:creator>lib</dc:creator>
  <cp:lastModifiedBy>、</cp:lastModifiedBy>
  <dcterms:modified xsi:type="dcterms:W3CDTF">2021-06-22T12:35:15Z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9447FB38ADE34A0C8AC569B7DBB75C45</vt:lpwstr>
  </property>
</Properties>
</file>