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DC36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eastAsia="黑体" w:cs="Times New Roman"/>
          <w:b/>
          <w:bCs/>
          <w:sz w:val="32"/>
          <w:szCs w:val="32"/>
        </w:rPr>
      </w:pPr>
      <w:r>
        <w:rPr>
          <w:rFonts w:ascii="Times New Roman" w:hAnsi="Times New Roman" w:eastAsia="黑体" w:cs="Times New Roman"/>
          <w:b/>
          <w:bCs/>
          <w:sz w:val="32"/>
          <w:szCs w:val="32"/>
        </w:rPr>
        <w:t>审计行为</w:t>
      </w:r>
      <w:r>
        <w:rPr>
          <w:rFonts w:hint="eastAsia" w:ascii="Times New Roman" w:hAnsi="Times New Roman" w:eastAsia="黑体" w:cs="Times New Roman"/>
          <w:b/>
          <w:bCs/>
          <w:sz w:val="32"/>
          <w:szCs w:val="32"/>
        </w:rPr>
        <w:t>能</w:t>
      </w:r>
      <w:r>
        <w:rPr>
          <w:rFonts w:hint="eastAsia" w:ascii="Times New Roman" w:hAnsi="Times New Roman" w:eastAsia="黑体" w:cs="Times New Roman"/>
          <w:b/>
          <w:bCs/>
          <w:sz w:val="32"/>
          <w:szCs w:val="32"/>
          <w:lang w:val="en-US" w:eastAsia="zh-CN"/>
        </w:rPr>
        <w:t>否</w:t>
      </w:r>
      <w:r>
        <w:rPr>
          <w:rFonts w:hint="eastAsia" w:ascii="Times New Roman" w:hAnsi="Times New Roman" w:eastAsia="黑体" w:cs="Times New Roman"/>
          <w:b/>
          <w:bCs/>
          <w:sz w:val="32"/>
          <w:szCs w:val="32"/>
        </w:rPr>
        <w:t>抑制真实</w:t>
      </w:r>
      <w:r>
        <w:rPr>
          <w:rFonts w:ascii="Times New Roman" w:hAnsi="Times New Roman" w:eastAsia="黑体" w:cs="Times New Roman"/>
          <w:b/>
          <w:bCs/>
          <w:sz w:val="32"/>
          <w:szCs w:val="32"/>
        </w:rPr>
        <w:t>盈余管理</w:t>
      </w:r>
      <w:r>
        <w:rPr>
          <w:rFonts w:hint="eastAsia" w:ascii="Times New Roman" w:hAnsi="Times New Roman" w:eastAsia="黑体" w:cs="Times New Roman"/>
          <w:b/>
          <w:bCs/>
          <w:sz w:val="32"/>
          <w:szCs w:val="32"/>
        </w:rPr>
        <w:t>行为吗？</w:t>
      </w:r>
      <w:r>
        <w:rPr>
          <w:rFonts w:ascii="Times New Roman" w:hAnsi="Times New Roman" w:eastAsia="黑体" w:cs="Times New Roman"/>
          <w:b/>
          <w:bCs/>
          <w:sz w:val="32"/>
          <w:szCs w:val="32"/>
        </w:rPr>
        <w:t>—基于内控质量传导路径的实证研究</w:t>
      </w:r>
      <w:r>
        <w:rPr>
          <w:rStyle w:val="14"/>
          <w:rFonts w:ascii="Times New Roman" w:hAnsi="Times New Roman" w:eastAsia="黑体" w:cs="Times New Roman"/>
          <w:b/>
          <w:bCs/>
          <w:sz w:val="32"/>
          <w:szCs w:val="32"/>
        </w:rPr>
        <w:footnoteReference w:id="0"/>
      </w:r>
    </w:p>
    <w:p w14:paraId="5C87E30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eastAsia="宋体" w:cs="Times New Roman"/>
          <w:sz w:val="24"/>
          <w:szCs w:val="21"/>
          <w:vertAlign w:val="superscript"/>
        </w:rPr>
      </w:pPr>
      <w:r>
        <w:rPr>
          <w:rFonts w:hint="eastAsia" w:ascii="Times New Roman" w:hAnsi="Times New Roman" w:eastAsia="宋体" w:cs="Times New Roman"/>
          <w:sz w:val="24"/>
          <w:szCs w:val="21"/>
        </w:rPr>
        <w:t>梁力军</w:t>
      </w:r>
      <w:r>
        <w:rPr>
          <w:rFonts w:ascii="Times New Roman" w:hAnsi="Times New Roman" w:eastAsia="宋体" w:cs="Times New Roman"/>
          <w:sz w:val="24"/>
          <w:szCs w:val="21"/>
          <w:vertAlign w:val="superscript"/>
        </w:rPr>
        <w:t>1</w:t>
      </w:r>
      <w:r>
        <w:rPr>
          <w:rFonts w:ascii="Times New Roman" w:hAnsi="Times New Roman" w:eastAsia="宋体" w:cs="Times New Roman"/>
          <w:sz w:val="24"/>
          <w:szCs w:val="21"/>
        </w:rPr>
        <w:t>，</w:t>
      </w:r>
      <w:r>
        <w:rPr>
          <w:rFonts w:hint="eastAsia" w:ascii="Times New Roman" w:hAnsi="Times New Roman" w:eastAsia="宋体" w:cs="Times New Roman"/>
          <w:sz w:val="24"/>
          <w:szCs w:val="21"/>
        </w:rPr>
        <w:t>刘佳琦</w:t>
      </w:r>
      <w:r>
        <w:rPr>
          <w:rFonts w:ascii="Times New Roman" w:hAnsi="Times New Roman" w:eastAsia="宋体" w:cs="Times New Roman"/>
          <w:sz w:val="24"/>
          <w:szCs w:val="21"/>
          <w:vertAlign w:val="superscript"/>
        </w:rPr>
        <w:t>2</w:t>
      </w:r>
    </w:p>
    <w:p w14:paraId="575E2D94">
      <w:pPr>
        <w:keepNext w:val="0"/>
        <w:keepLines w:val="0"/>
        <w:pageBreakBefore w:val="0"/>
        <w:widowControl/>
        <w:numPr>
          <w:ilvl w:val="255"/>
          <w:numId w:val="0"/>
        </w:numPr>
        <w:kinsoku/>
        <w:wordWrap/>
        <w:overflowPunct/>
        <w:topLinePunct w:val="0"/>
        <w:autoSpaceDE/>
        <w:autoSpaceDN/>
        <w:bidi w:val="0"/>
        <w:adjustRightInd/>
        <w:spacing w:line="300" w:lineRule="auto"/>
        <w:jc w:val="center"/>
        <w:textAlignment w:val="auto"/>
        <w:rPr>
          <w:rFonts w:ascii="Times New Roman" w:hAnsi="Times New Roman" w:eastAsia="宋体" w:cs="Times New Roman"/>
          <w:bCs/>
          <w:sz w:val="24"/>
          <w:szCs w:val="21"/>
        </w:rPr>
      </w:pPr>
      <w:r>
        <w:rPr>
          <w:rFonts w:hint="eastAsia" w:ascii="Times New Roman" w:hAnsi="Times New Roman" w:eastAsia="宋体" w:cs="Times New Roman"/>
          <w:bCs/>
          <w:sz w:val="24"/>
          <w:szCs w:val="21"/>
        </w:rPr>
        <w:t>1.</w:t>
      </w:r>
      <w:r>
        <w:rPr>
          <w:rFonts w:ascii="Times New Roman" w:hAnsi="Times New Roman" w:eastAsia="宋体" w:cs="Times New Roman"/>
          <w:bCs/>
          <w:sz w:val="24"/>
          <w:szCs w:val="21"/>
        </w:rPr>
        <w:t>北京信息科技大学</w:t>
      </w:r>
      <w:r>
        <w:rPr>
          <w:rFonts w:hint="eastAsia" w:ascii="Times New Roman" w:hAnsi="Times New Roman" w:eastAsia="宋体" w:cs="Times New Roman"/>
          <w:bCs/>
          <w:sz w:val="24"/>
          <w:szCs w:val="21"/>
        </w:rPr>
        <w:t xml:space="preserve"> </w:t>
      </w:r>
      <w:r>
        <w:rPr>
          <w:rFonts w:ascii="Times New Roman" w:hAnsi="Times New Roman" w:eastAsia="宋体" w:cs="Times New Roman"/>
          <w:bCs/>
          <w:sz w:val="24"/>
          <w:szCs w:val="21"/>
        </w:rPr>
        <w:t>商学院</w:t>
      </w:r>
      <w:r>
        <w:rPr>
          <w:rFonts w:hint="eastAsia" w:ascii="Times New Roman" w:hAnsi="Times New Roman" w:eastAsia="宋体" w:cs="Times New Roman"/>
          <w:bCs/>
          <w:sz w:val="24"/>
          <w:szCs w:val="21"/>
        </w:rPr>
        <w:t>，北京</w:t>
      </w:r>
      <w:r>
        <w:rPr>
          <w:rFonts w:ascii="Times New Roman" w:hAnsi="Times New Roman" w:eastAsia="宋体" w:cs="Times New Roman"/>
          <w:bCs/>
          <w:sz w:val="24"/>
          <w:szCs w:val="21"/>
        </w:rPr>
        <w:t xml:space="preserve"> 102206</w:t>
      </w:r>
    </w:p>
    <w:p w14:paraId="73D2C410">
      <w:pPr>
        <w:keepNext w:val="0"/>
        <w:keepLines w:val="0"/>
        <w:pageBreakBefore w:val="0"/>
        <w:widowControl/>
        <w:numPr>
          <w:ilvl w:val="255"/>
          <w:numId w:val="0"/>
        </w:numPr>
        <w:kinsoku/>
        <w:wordWrap/>
        <w:overflowPunct/>
        <w:topLinePunct w:val="0"/>
        <w:autoSpaceDE/>
        <w:autoSpaceDN/>
        <w:bidi w:val="0"/>
        <w:adjustRightInd/>
        <w:spacing w:line="300" w:lineRule="auto"/>
        <w:jc w:val="center"/>
        <w:textAlignment w:val="auto"/>
        <w:rPr>
          <w:rFonts w:ascii="Times New Roman" w:hAnsi="Times New Roman" w:eastAsia="宋体" w:cs="Times New Roman"/>
          <w:bCs/>
          <w:sz w:val="24"/>
          <w:szCs w:val="21"/>
        </w:rPr>
      </w:pPr>
      <w:r>
        <w:rPr>
          <w:rFonts w:hint="eastAsia" w:ascii="Times New Roman" w:hAnsi="Times New Roman" w:eastAsia="宋体" w:cs="Times New Roman"/>
          <w:bCs/>
          <w:sz w:val="24"/>
          <w:szCs w:val="21"/>
        </w:rPr>
        <w:t>2.首都经贸大学 会计学院，北京 100070</w:t>
      </w:r>
    </w:p>
    <w:p w14:paraId="6946368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eastAsia="宋体" w:cs="Times New Roman"/>
          <w:sz w:val="24"/>
          <w:szCs w:val="21"/>
          <w:vertAlign w:val="superscript"/>
        </w:rPr>
      </w:pPr>
    </w:p>
    <w:p w14:paraId="17AFD329">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eastAsia="宋体" w:cs="Times New Roman"/>
          <w:bCs/>
          <w:sz w:val="24"/>
          <w:szCs w:val="21"/>
        </w:rPr>
      </w:pPr>
      <w:r>
        <w:rPr>
          <w:rFonts w:ascii="Times New Roman" w:hAnsi="Times New Roman" w:eastAsia="宋体" w:cs="Times New Roman"/>
          <w:b/>
          <w:sz w:val="24"/>
          <w:szCs w:val="21"/>
        </w:rPr>
        <w:t>摘要：</w:t>
      </w:r>
      <w:r>
        <w:rPr>
          <w:rFonts w:ascii="Times New Roman" w:hAnsi="Times New Roman" w:eastAsia="宋体" w:cs="Times New Roman"/>
          <w:bCs/>
          <w:sz w:val="24"/>
          <w:szCs w:val="21"/>
        </w:rPr>
        <w:t>为探究审计行为</w:t>
      </w:r>
      <w:r>
        <w:rPr>
          <w:rFonts w:hint="eastAsia" w:ascii="Times New Roman" w:hAnsi="Times New Roman" w:eastAsia="宋体" w:cs="Times New Roman"/>
          <w:bCs/>
          <w:sz w:val="24"/>
          <w:szCs w:val="21"/>
        </w:rPr>
        <w:t>能否</w:t>
      </w:r>
      <w:r>
        <w:rPr>
          <w:rFonts w:ascii="Times New Roman" w:hAnsi="Times New Roman" w:eastAsia="宋体" w:cs="Times New Roman"/>
          <w:bCs/>
          <w:sz w:val="24"/>
          <w:szCs w:val="21"/>
        </w:rPr>
        <w:t>对企业真实盈余管理</w:t>
      </w:r>
      <w:r>
        <w:rPr>
          <w:rFonts w:hint="eastAsia" w:ascii="Times New Roman" w:hAnsi="Times New Roman" w:eastAsia="宋体" w:cs="Times New Roman"/>
          <w:bCs/>
          <w:sz w:val="24"/>
          <w:szCs w:val="21"/>
          <w:lang w:val="en-US" w:eastAsia="zh-CN"/>
        </w:rPr>
        <w:t>行为</w:t>
      </w:r>
      <w:r>
        <w:rPr>
          <w:rFonts w:hint="eastAsia" w:ascii="Times New Roman" w:hAnsi="Times New Roman" w:eastAsia="宋体" w:cs="Times New Roman"/>
          <w:bCs/>
          <w:sz w:val="24"/>
          <w:szCs w:val="21"/>
        </w:rPr>
        <w:t>产生抑制</w:t>
      </w:r>
      <w:r>
        <w:rPr>
          <w:rFonts w:ascii="Times New Roman" w:hAnsi="Times New Roman" w:eastAsia="宋体" w:cs="Times New Roman"/>
          <w:bCs/>
          <w:sz w:val="24"/>
          <w:szCs w:val="21"/>
        </w:rPr>
        <w:t>效应及</w:t>
      </w:r>
      <w:r>
        <w:rPr>
          <w:rFonts w:hint="eastAsia" w:ascii="Times New Roman" w:hAnsi="Times New Roman" w:eastAsia="宋体" w:cs="Times New Roman"/>
          <w:bCs/>
          <w:sz w:val="24"/>
          <w:szCs w:val="21"/>
        </w:rPr>
        <w:t>其</w:t>
      </w:r>
      <w:r>
        <w:rPr>
          <w:rFonts w:ascii="Times New Roman" w:hAnsi="Times New Roman" w:eastAsia="宋体" w:cs="Times New Roman"/>
          <w:bCs/>
          <w:sz w:val="24"/>
          <w:szCs w:val="21"/>
        </w:rPr>
        <w:t>作用机制，本文构建了以审计收费为核心解释变量、真实盈余管理为被解释变量、</w:t>
      </w:r>
      <w:r>
        <w:rPr>
          <w:rFonts w:hint="eastAsia" w:ascii="Times New Roman" w:hAnsi="Times New Roman" w:eastAsia="宋体" w:cs="Times New Roman"/>
          <w:bCs/>
          <w:sz w:val="24"/>
          <w:szCs w:val="21"/>
        </w:rPr>
        <w:t>企业内控</w:t>
      </w:r>
      <w:r>
        <w:rPr>
          <w:rFonts w:ascii="Times New Roman" w:hAnsi="Times New Roman" w:eastAsia="宋体" w:cs="Times New Roman"/>
          <w:bCs/>
          <w:sz w:val="24"/>
          <w:szCs w:val="21"/>
        </w:rPr>
        <w:t>质量为中介变量，以及资产负债率、资产净利率、主营业务收入增长率、事务所排名等作为控制变量的测度模型，并以2014—2023年中国A股房地产上市公司面板数据进行模型实证。研究发现：①审计行为与真实盈余管理</w:t>
      </w:r>
      <w:r>
        <w:rPr>
          <w:rFonts w:hint="eastAsia" w:ascii="Times New Roman" w:hAnsi="Times New Roman" w:eastAsia="宋体" w:cs="Times New Roman"/>
          <w:bCs/>
          <w:sz w:val="24"/>
          <w:szCs w:val="21"/>
        </w:rPr>
        <w:t>行为</w:t>
      </w:r>
      <w:r>
        <w:rPr>
          <w:rFonts w:ascii="Times New Roman" w:hAnsi="Times New Roman" w:eastAsia="宋体" w:cs="Times New Roman"/>
          <w:bCs/>
          <w:sz w:val="24"/>
          <w:szCs w:val="21"/>
        </w:rPr>
        <w:t>之间呈现显著负相关关系，这表明审计监督能够有效抑制企业的盈余操纵行为；②审计行为</w:t>
      </w:r>
      <w:r>
        <w:rPr>
          <w:rFonts w:hint="eastAsia" w:ascii="Times New Roman" w:hAnsi="Times New Roman" w:eastAsia="宋体" w:cs="Times New Roman"/>
          <w:bCs/>
          <w:sz w:val="24"/>
          <w:szCs w:val="21"/>
          <w:lang w:val="en-US" w:eastAsia="zh-CN"/>
        </w:rPr>
        <w:t>能够</w:t>
      </w:r>
      <w:r>
        <w:rPr>
          <w:rFonts w:ascii="Times New Roman" w:hAnsi="Times New Roman" w:eastAsia="宋体" w:cs="Times New Roman"/>
          <w:bCs/>
          <w:sz w:val="24"/>
          <w:szCs w:val="21"/>
        </w:rPr>
        <w:t>通过强化</w:t>
      </w:r>
      <w:r>
        <w:rPr>
          <w:rFonts w:hint="eastAsia" w:ascii="Times New Roman" w:hAnsi="Times New Roman" w:eastAsia="宋体" w:cs="Times New Roman"/>
          <w:bCs/>
          <w:sz w:val="24"/>
          <w:szCs w:val="21"/>
        </w:rPr>
        <w:t>企业内控</w:t>
      </w:r>
      <w:r>
        <w:rPr>
          <w:rFonts w:ascii="Times New Roman" w:hAnsi="Times New Roman" w:eastAsia="宋体" w:cs="Times New Roman"/>
          <w:bCs/>
          <w:sz w:val="24"/>
          <w:szCs w:val="21"/>
        </w:rPr>
        <w:t>质量，形成针对盈余质量的间接约束路径，证实了“审计监督</w:t>
      </w:r>
      <w:r>
        <w:rPr>
          <w:rFonts w:hint="eastAsia" w:ascii="Times New Roman" w:hAnsi="Times New Roman" w:eastAsia="宋体" w:cs="Times New Roman"/>
          <w:bCs/>
          <w:sz w:val="24"/>
          <w:szCs w:val="21"/>
          <w:lang w:eastAsia="zh-CN"/>
        </w:rPr>
        <w:t>－</w:t>
      </w:r>
      <w:r>
        <w:rPr>
          <w:rFonts w:ascii="Times New Roman" w:hAnsi="Times New Roman" w:eastAsia="宋体" w:cs="Times New Roman"/>
          <w:bCs/>
          <w:sz w:val="24"/>
          <w:szCs w:val="21"/>
        </w:rPr>
        <w:t>内控增强</w:t>
      </w:r>
      <w:r>
        <w:rPr>
          <w:rFonts w:hint="eastAsia" w:ascii="Times New Roman" w:hAnsi="Times New Roman" w:eastAsia="宋体" w:cs="Times New Roman"/>
          <w:bCs/>
          <w:sz w:val="24"/>
          <w:szCs w:val="21"/>
          <w:lang w:eastAsia="zh-CN"/>
        </w:rPr>
        <w:t>－</w:t>
      </w:r>
      <w:r>
        <w:rPr>
          <w:rFonts w:ascii="Times New Roman" w:hAnsi="Times New Roman" w:eastAsia="宋体" w:cs="Times New Roman"/>
          <w:bCs/>
          <w:sz w:val="24"/>
          <w:szCs w:val="21"/>
        </w:rPr>
        <w:t>盈余质量优化”的传导机制；③异质性检验显示，审计行为对内控质量的提升作用在国有控股类企业中表现更为突出。研究以期从审计监管与内部控制协同视角，</w:t>
      </w:r>
      <w:r>
        <w:rPr>
          <w:rFonts w:hint="eastAsia" w:ascii="Times New Roman" w:hAnsi="Times New Roman" w:eastAsia="宋体" w:cs="Times New Roman"/>
          <w:bCs/>
          <w:sz w:val="24"/>
          <w:szCs w:val="21"/>
        </w:rPr>
        <w:t>为</w:t>
      </w:r>
      <w:r>
        <w:rPr>
          <w:rFonts w:ascii="Times New Roman" w:hAnsi="Times New Roman" w:eastAsia="宋体" w:cs="Times New Roman"/>
          <w:bCs/>
          <w:sz w:val="24"/>
          <w:szCs w:val="21"/>
        </w:rPr>
        <w:t>优化审计资源配置</w:t>
      </w:r>
      <w:r>
        <w:rPr>
          <w:rFonts w:hint="eastAsia" w:ascii="Times New Roman" w:hAnsi="Times New Roman" w:eastAsia="宋体" w:cs="Times New Roman"/>
          <w:bCs/>
          <w:sz w:val="24"/>
          <w:szCs w:val="21"/>
        </w:rPr>
        <w:t>和抑制盈余操作行为</w:t>
      </w:r>
      <w:r>
        <w:rPr>
          <w:rFonts w:ascii="Times New Roman" w:hAnsi="Times New Roman" w:eastAsia="宋体" w:cs="Times New Roman"/>
          <w:bCs/>
          <w:sz w:val="24"/>
          <w:szCs w:val="21"/>
        </w:rPr>
        <w:t>提供经验证据与政策启示。</w:t>
      </w:r>
    </w:p>
    <w:p w14:paraId="249009A8">
      <w:pPr>
        <w:keepNext w:val="0"/>
        <w:keepLines w:val="0"/>
        <w:pageBreakBefore w:val="0"/>
        <w:kinsoku/>
        <w:wordWrap/>
        <w:overflowPunct/>
        <w:topLinePunct w:val="0"/>
        <w:autoSpaceDE/>
        <w:autoSpaceDN/>
        <w:bidi w:val="0"/>
        <w:adjustRightInd/>
        <w:spacing w:line="300" w:lineRule="auto"/>
        <w:textAlignment w:val="auto"/>
        <w:rPr>
          <w:rFonts w:hint="default" w:ascii="Times New Roman" w:hAnsi="Times New Roman" w:eastAsia="宋体" w:cs="Times New Roman"/>
          <w:bCs/>
          <w:sz w:val="24"/>
          <w:szCs w:val="21"/>
          <w:lang w:val="en-US" w:eastAsia="zh-CN"/>
        </w:rPr>
      </w:pPr>
      <w:r>
        <w:rPr>
          <w:rFonts w:ascii="Times New Roman" w:hAnsi="Times New Roman" w:eastAsia="宋体" w:cs="Times New Roman"/>
          <w:bCs/>
          <w:sz w:val="24"/>
          <w:szCs w:val="21"/>
        </w:rPr>
        <w:t>关键词：审计行为；盈余管理；内控质量；中介效应</w:t>
      </w:r>
      <w:r>
        <w:rPr>
          <w:rFonts w:hint="eastAsia" w:ascii="Times New Roman" w:hAnsi="Times New Roman" w:eastAsia="宋体" w:cs="Times New Roman"/>
          <w:bCs/>
          <w:sz w:val="24"/>
          <w:szCs w:val="21"/>
        </w:rPr>
        <w:t>；</w:t>
      </w:r>
      <w:r>
        <w:rPr>
          <w:rFonts w:hint="eastAsia" w:ascii="Times New Roman" w:hAnsi="Times New Roman" w:eastAsia="宋体" w:cs="Times New Roman"/>
          <w:bCs/>
          <w:sz w:val="24"/>
          <w:szCs w:val="21"/>
          <w:lang w:val="en-US" w:eastAsia="zh-CN"/>
        </w:rPr>
        <w:t>传导路径</w:t>
      </w:r>
    </w:p>
    <w:p w14:paraId="4E5CE4A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eastAsia="宋体" w:cs="Times New Roman"/>
          <w:sz w:val="28"/>
          <w:szCs w:val="28"/>
        </w:rPr>
      </w:pPr>
      <w:r>
        <w:rPr>
          <w:rFonts w:hint="eastAsia" w:ascii="Times New Roman" w:hAnsi="Times New Roman" w:eastAsia="宋体" w:cs="Times New Roman"/>
          <w:sz w:val="28"/>
          <w:szCs w:val="28"/>
        </w:rPr>
        <w:t>Can audit behavior restrain real earnings management behavior? - Empirical research based on internal control quality transmission path</w:t>
      </w:r>
    </w:p>
    <w:p w14:paraId="1039FA5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eastAsia="宋体" w:cs="Times New Roman"/>
          <w:color w:val="000000"/>
          <w:szCs w:val="21"/>
        </w:rPr>
      </w:pPr>
      <w:r>
        <w:rPr>
          <w:rFonts w:ascii="Times New Roman" w:hAnsi="Times New Roman" w:eastAsia="宋体" w:cs="Times New Roman"/>
          <w:color w:val="000000"/>
          <w:szCs w:val="21"/>
        </w:rPr>
        <w:t xml:space="preserve"> Lijun LIANG</w:t>
      </w:r>
      <w:r>
        <w:rPr>
          <w:rFonts w:ascii="Times New Roman" w:hAnsi="Times New Roman" w:eastAsia="宋体" w:cs="Times New Roman"/>
          <w:color w:val="000000"/>
          <w:szCs w:val="21"/>
          <w:vertAlign w:val="superscript"/>
        </w:rPr>
        <w:t>1</w:t>
      </w:r>
      <w:r>
        <w:rPr>
          <w:rFonts w:hint="eastAsia" w:ascii="Times New Roman" w:hAnsi="Times New Roman" w:eastAsia="宋体" w:cs="Times New Roman"/>
          <w:color w:val="000000"/>
          <w:szCs w:val="21"/>
          <w:vertAlign w:val="superscript"/>
          <w:lang w:eastAsia="zh-CN"/>
        </w:rPr>
        <w:t>,</w:t>
      </w:r>
      <w:r>
        <w:rPr>
          <w:rFonts w:ascii="Times New Roman" w:hAnsi="Times New Roman" w:eastAsia="仿宋" w:cs="Times New Roman"/>
          <w:szCs w:val="21"/>
        </w:rPr>
        <w:t>Jiaqi</w:t>
      </w:r>
      <w:r>
        <w:rPr>
          <w:rFonts w:ascii="Times New Roman" w:hAnsi="Times New Roman" w:eastAsia="宋体" w:cs="Times New Roman"/>
          <w:color w:val="000000"/>
          <w:szCs w:val="21"/>
        </w:rPr>
        <w:t xml:space="preserve"> LI</w:t>
      </w:r>
      <w:r>
        <w:rPr>
          <w:rFonts w:hint="eastAsia" w:ascii="Times New Roman" w:hAnsi="Times New Roman" w:eastAsia="宋体" w:cs="Times New Roman"/>
          <w:color w:val="000000"/>
          <w:szCs w:val="21"/>
        </w:rPr>
        <w:t>U</w:t>
      </w:r>
      <w:r>
        <w:rPr>
          <w:rFonts w:ascii="Times New Roman" w:hAnsi="Times New Roman" w:eastAsia="宋体" w:cs="Times New Roman"/>
          <w:color w:val="000000"/>
          <w:szCs w:val="21"/>
          <w:vertAlign w:val="superscript"/>
        </w:rPr>
        <w:t>2</w:t>
      </w:r>
    </w:p>
    <w:p w14:paraId="60C64E86">
      <w:pPr>
        <w:keepNext w:val="0"/>
        <w:keepLines w:val="0"/>
        <w:pageBreakBefore w:val="0"/>
        <w:widowControl w:val="0"/>
        <w:kinsoku/>
        <w:wordWrap/>
        <w:overflowPunct/>
        <w:topLinePunct w:val="0"/>
        <w:autoSpaceDE/>
        <w:autoSpaceDN/>
        <w:bidi w:val="0"/>
        <w:adjustRightInd/>
        <w:snapToGrid/>
        <w:spacing w:line="240" w:lineRule="auto"/>
        <w:textAlignment w:val="auto"/>
        <w:rPr>
          <w:rFonts w:ascii="Times New Roman" w:hAnsi="Times New Roman" w:eastAsia="仿宋" w:cs="Times New Roman"/>
          <w:szCs w:val="21"/>
        </w:rPr>
      </w:pPr>
      <w:r>
        <w:rPr>
          <w:rFonts w:ascii="Times New Roman" w:hAnsi="Times New Roman" w:eastAsia="仿宋" w:cs="Times New Roman"/>
          <w:szCs w:val="21"/>
        </w:rPr>
        <w:t>Abstract: To explore whether auditing behavior can have inhibitory and restrictive effects on the real earnings management of enterprises and its mechanism of action, this paper constructs a measurement model with auditing fees as the core explanatory variable, real earnings management as the explained variable, the internal control quality of the company as the mediating variable, and the asset-liability ratio, net asset profit margin, growth rate of main business income, ranking of accounting firms, etc. as control variables. And conduct model empirical research based on the panel data of real estate listed companies in China's A-share market from 2014 to 2023. The research findings are as follows: ① There is a significant negative correlation between auditing behavior and real earnings management, indicating that auditing supervision can effectively curb the earnings manipulation behavior of enterprises; ② Audit behavior forms an indirect constraint path for earnings quality by strengthening the internal control quality of the company, confirming the transmission mechanism of "audit supervision</w:t>
      </w:r>
      <w:r>
        <w:rPr>
          <w:rFonts w:hint="eastAsia" w:ascii="Times New Roman" w:hAnsi="Times New Roman" w:eastAsia="仿宋" w:cs="Times New Roman"/>
          <w:szCs w:val="21"/>
        </w:rPr>
        <w:t>-</w:t>
      </w:r>
      <w:r>
        <w:rPr>
          <w:rFonts w:ascii="Times New Roman" w:hAnsi="Times New Roman" w:eastAsia="仿宋" w:cs="Times New Roman"/>
          <w:szCs w:val="21"/>
        </w:rPr>
        <w:t xml:space="preserve"> internal control enhancement</w:t>
      </w:r>
      <w:r>
        <w:rPr>
          <w:rFonts w:hint="eastAsia" w:ascii="Times New Roman" w:hAnsi="Times New Roman" w:eastAsia="仿宋" w:cs="Times New Roman"/>
          <w:szCs w:val="21"/>
        </w:rPr>
        <w:t>-</w:t>
      </w:r>
      <w:r>
        <w:rPr>
          <w:rFonts w:ascii="Times New Roman" w:hAnsi="Times New Roman" w:eastAsia="仿宋" w:cs="Times New Roman"/>
          <w:szCs w:val="21"/>
        </w:rPr>
        <w:t xml:space="preserve"> earnings quality optimization". ③ Heterogeneity tests show that the effect of auditing behavior on improving the quality of internal control is more prominent in state-controlled enterprises. The research aims to provide empirical evidence and policy inspirations for improving corporate governance and optimizing the allocation of audit resources from the perspective of the synergy between audit supervision and internal control</w:t>
      </w:r>
      <w:r>
        <w:rPr>
          <w:rFonts w:hint="eastAsia" w:ascii="Times New Roman" w:hAnsi="Times New Roman" w:eastAsia="仿宋" w:cs="Times New Roman"/>
          <w:szCs w:val="21"/>
          <w:lang w:eastAsia="zh-CN"/>
        </w:rPr>
        <w:t>.</w:t>
      </w:r>
    </w:p>
    <w:p w14:paraId="64E28602">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w:hAnsi="Times New Roman" w:eastAsia="仿宋" w:cs="Times New Roman"/>
          <w:szCs w:val="21"/>
          <w:lang w:val="en-US" w:eastAsia="zh-CN"/>
        </w:rPr>
      </w:pPr>
      <w:r>
        <w:rPr>
          <w:rFonts w:ascii="Times New Roman" w:hAnsi="Times New Roman" w:eastAsia="仿宋" w:cs="Times New Roman"/>
          <w:szCs w:val="21"/>
        </w:rPr>
        <w:t>Key words:</w:t>
      </w:r>
      <w:r>
        <w:rPr>
          <w:rFonts w:hint="eastAsia" w:ascii="Times New Roman" w:hAnsi="Times New Roman" w:eastAsia="仿宋" w:cs="Times New Roman"/>
          <w:szCs w:val="21"/>
        </w:rPr>
        <w:t xml:space="preserve"> </w:t>
      </w:r>
      <w:bookmarkStart w:id="32" w:name="_GoBack"/>
      <w:r>
        <w:rPr>
          <w:rFonts w:ascii="Times New Roman" w:hAnsi="Times New Roman" w:eastAsia="仿宋" w:cs="Times New Roman"/>
          <w:szCs w:val="21"/>
        </w:rPr>
        <w:t>Auditing behavior</w:t>
      </w:r>
      <w:r>
        <w:rPr>
          <w:rFonts w:hint="eastAsia" w:ascii="Times New Roman" w:hAnsi="Times New Roman" w:eastAsia="仿宋" w:cs="Times New Roman"/>
          <w:szCs w:val="21"/>
          <w:lang w:eastAsia="zh-CN"/>
        </w:rPr>
        <w:t>;</w:t>
      </w:r>
      <w:r>
        <w:rPr>
          <w:rFonts w:ascii="Times New Roman" w:hAnsi="Times New Roman" w:eastAsia="仿宋" w:cs="Times New Roman"/>
          <w:szCs w:val="21"/>
        </w:rPr>
        <w:t>Earnings management</w:t>
      </w:r>
      <w:r>
        <w:rPr>
          <w:rFonts w:hint="eastAsia" w:ascii="Times New Roman" w:hAnsi="Times New Roman" w:eastAsia="仿宋" w:cs="Times New Roman"/>
          <w:szCs w:val="21"/>
          <w:lang w:eastAsia="zh-CN"/>
        </w:rPr>
        <w:t>;</w:t>
      </w:r>
      <w:r>
        <w:rPr>
          <w:rFonts w:ascii="Times New Roman" w:hAnsi="Times New Roman" w:eastAsia="仿宋" w:cs="Times New Roman"/>
          <w:szCs w:val="21"/>
        </w:rPr>
        <w:t>Internal control quality</w:t>
      </w:r>
      <w:r>
        <w:rPr>
          <w:rFonts w:hint="eastAsia" w:ascii="Times New Roman" w:hAnsi="Times New Roman" w:eastAsia="仿宋" w:cs="Times New Roman"/>
          <w:szCs w:val="21"/>
          <w:lang w:eastAsia="zh-CN"/>
        </w:rPr>
        <w:t>;</w:t>
      </w:r>
      <w:r>
        <w:rPr>
          <w:rFonts w:ascii="Times New Roman" w:hAnsi="Times New Roman" w:eastAsia="仿宋" w:cs="Times New Roman"/>
          <w:szCs w:val="21"/>
        </w:rPr>
        <w:t>Mediating effect</w:t>
      </w:r>
      <w:r>
        <w:rPr>
          <w:rFonts w:hint="eastAsia" w:ascii="Times New Roman" w:hAnsi="Times New Roman" w:eastAsia="仿宋" w:cs="Times New Roman"/>
          <w:szCs w:val="21"/>
          <w:lang w:eastAsia="zh-CN"/>
        </w:rPr>
        <w:t>;</w:t>
      </w:r>
      <w:r>
        <w:rPr>
          <w:rFonts w:hint="eastAsia" w:ascii="Times New Roman" w:hAnsi="Times New Roman" w:eastAsia="仿宋" w:cs="Times New Roman"/>
          <w:szCs w:val="21"/>
          <w:lang w:val="en-US" w:eastAsia="zh-CN"/>
        </w:rPr>
        <w:t>Conduct path</w:t>
      </w:r>
    </w:p>
    <w:bookmarkEnd w:id="32"/>
    <w:p w14:paraId="75E32B2F">
      <w:pPr>
        <w:keepNext w:val="0"/>
        <w:keepLines w:val="0"/>
        <w:pageBreakBefore w:val="0"/>
        <w:kinsoku/>
        <w:wordWrap/>
        <w:overflowPunct/>
        <w:topLinePunct w:val="0"/>
        <w:autoSpaceDE/>
        <w:autoSpaceDN/>
        <w:bidi w:val="0"/>
        <w:adjustRightInd/>
        <w:spacing w:line="300" w:lineRule="auto"/>
        <w:ind w:firstLine="560" w:firstLineChars="200"/>
        <w:jc w:val="center"/>
        <w:textAlignment w:val="auto"/>
        <w:outlineLvl w:val="0"/>
        <w:rPr>
          <w:rFonts w:ascii="Times New Roman" w:hAnsi="Times New Roman" w:eastAsia="黑体" w:cs="Times New Roman"/>
          <w:bCs/>
          <w:kern w:val="44"/>
          <w:sz w:val="28"/>
          <w:szCs w:val="28"/>
        </w:rPr>
      </w:pPr>
      <w:r>
        <w:rPr>
          <w:rFonts w:ascii="Times New Roman" w:hAnsi="Times New Roman" w:eastAsia="黑体" w:cs="Times New Roman"/>
          <w:bCs/>
          <w:kern w:val="44"/>
          <w:sz w:val="28"/>
          <w:szCs w:val="28"/>
        </w:rPr>
        <w:t>一、引言</w:t>
      </w:r>
    </w:p>
    <w:p w14:paraId="1B9A7274">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近年来，随着市场竞争的加剧和企业经营压力的增大，</w:t>
      </w:r>
      <w:r>
        <w:rPr>
          <w:rFonts w:hint="eastAsia" w:ascii="Times New Roman" w:hAnsi="Times New Roman" w:eastAsia="宋体" w:cs="Times New Roman"/>
          <w:sz w:val="24"/>
          <w:lang w:val="en-US" w:eastAsia="zh-CN"/>
        </w:rPr>
        <w:t>企业的</w:t>
      </w:r>
      <w:r>
        <w:rPr>
          <w:rFonts w:ascii="Times New Roman" w:hAnsi="Times New Roman" w:eastAsia="宋体" w:cs="Times New Roman"/>
          <w:sz w:val="24"/>
        </w:rPr>
        <w:t>盈余操纵行为呈</w:t>
      </w:r>
      <w:r>
        <w:rPr>
          <w:rFonts w:hint="eastAsia" w:ascii="Times New Roman" w:hAnsi="Times New Roman" w:eastAsia="宋体" w:cs="Times New Roman"/>
          <w:sz w:val="24"/>
          <w:lang w:val="en-US" w:eastAsia="zh-CN"/>
        </w:rPr>
        <w:t>屡禁不绝的态势</w:t>
      </w:r>
      <w:r>
        <w:rPr>
          <w:rFonts w:ascii="Times New Roman" w:hAnsi="Times New Roman" w:eastAsia="宋体" w:cs="Times New Roman"/>
          <w:sz w:val="24"/>
        </w:rPr>
        <w:t>。</w:t>
      </w:r>
      <w:r>
        <w:rPr>
          <w:rFonts w:hint="eastAsia" w:ascii="Times New Roman" w:hAnsi="Times New Roman" w:eastAsia="宋体" w:cs="Times New Roman"/>
          <w:sz w:val="24"/>
          <w:lang w:val="en-US" w:eastAsia="zh-CN"/>
        </w:rPr>
        <w:t>部分</w:t>
      </w:r>
      <w:r>
        <w:rPr>
          <w:rFonts w:ascii="Times New Roman" w:hAnsi="Times New Roman" w:eastAsia="宋体" w:cs="Times New Roman"/>
          <w:sz w:val="24"/>
        </w:rPr>
        <w:t>企业为了满足市场预期、获取融资便利或规避监管要求，存在不同程度的</w:t>
      </w:r>
      <w:r>
        <w:rPr>
          <w:rFonts w:hint="eastAsia" w:ascii="Times New Roman" w:hAnsi="Times New Roman" w:eastAsia="宋体" w:cs="Times New Roman"/>
          <w:sz w:val="24"/>
        </w:rPr>
        <w:t>真实</w:t>
      </w:r>
      <w:r>
        <w:rPr>
          <w:rFonts w:ascii="Times New Roman" w:hAnsi="Times New Roman" w:eastAsia="宋体" w:cs="Times New Roman"/>
          <w:sz w:val="24"/>
        </w:rPr>
        <w:t>盈余管理行为，这种行为不仅损害了投资者利益，也扰乱了资本市场的正常秩序。据</w:t>
      </w:r>
      <w:r>
        <w:rPr>
          <w:rFonts w:hint="eastAsia" w:ascii="Times New Roman" w:hAnsi="Times New Roman" w:eastAsia="宋体" w:cs="Times New Roman"/>
          <w:sz w:val="24"/>
          <w:lang w:val="en-US" w:eastAsia="zh-CN"/>
        </w:rPr>
        <w:t>2021-</w:t>
      </w:r>
      <w:r>
        <w:rPr>
          <w:rFonts w:ascii="Times New Roman" w:hAnsi="Times New Roman" w:eastAsia="宋体" w:cs="Times New Roman"/>
          <w:sz w:val="24"/>
        </w:rPr>
        <w:t>2023年证监会通报查处</w:t>
      </w:r>
      <w:r>
        <w:rPr>
          <w:rFonts w:hint="eastAsia" w:ascii="Times New Roman" w:hAnsi="Times New Roman" w:eastAsia="宋体" w:cs="Times New Roman"/>
          <w:sz w:val="24"/>
          <w:lang w:val="en-US" w:eastAsia="zh-CN"/>
        </w:rPr>
        <w:t>的不完全统计，</w:t>
      </w:r>
      <w:r>
        <w:rPr>
          <w:rFonts w:ascii="Times New Roman" w:hAnsi="Times New Roman" w:eastAsia="宋体" w:cs="Times New Roman"/>
          <w:sz w:val="24"/>
        </w:rPr>
        <w:t>违规房地产开发企业、中介机构和物业服务企业</w:t>
      </w:r>
      <w:r>
        <w:rPr>
          <w:rFonts w:hint="eastAsia" w:ascii="Times New Roman" w:hAnsi="Times New Roman" w:eastAsia="宋体" w:cs="Times New Roman"/>
          <w:sz w:val="24"/>
          <w:lang w:val="en-US" w:eastAsia="zh-CN"/>
        </w:rPr>
        <w:t>等</w:t>
      </w:r>
      <w:r>
        <w:rPr>
          <w:rFonts w:ascii="Times New Roman" w:hAnsi="Times New Roman" w:eastAsia="宋体" w:cs="Times New Roman"/>
          <w:sz w:val="24"/>
        </w:rPr>
        <w:t>超</w:t>
      </w:r>
      <w:r>
        <w:rPr>
          <w:rFonts w:hint="eastAsia" w:ascii="Times New Roman" w:hAnsi="Times New Roman" w:eastAsia="宋体" w:cs="Times New Roman"/>
          <w:sz w:val="24"/>
          <w:lang w:val="en-US" w:eastAsia="zh-CN"/>
        </w:rPr>
        <w:t>过</w:t>
      </w:r>
      <w:r>
        <w:rPr>
          <w:rFonts w:ascii="Times New Roman" w:hAnsi="Times New Roman" w:eastAsia="宋体" w:cs="Times New Roman"/>
          <w:sz w:val="24"/>
        </w:rPr>
        <w:t>27</w:t>
      </w:r>
      <w:r>
        <w:rPr>
          <w:rFonts w:hint="eastAsia" w:ascii="Times New Roman" w:hAnsi="Times New Roman" w:eastAsia="宋体" w:cs="Times New Roman"/>
          <w:sz w:val="24"/>
          <w:lang w:val="en-US" w:eastAsia="zh-CN"/>
        </w:rPr>
        <w:t>0余</w:t>
      </w:r>
      <w:r>
        <w:rPr>
          <w:rFonts w:ascii="Times New Roman" w:hAnsi="Times New Roman" w:eastAsia="宋体" w:cs="Times New Roman"/>
          <w:sz w:val="24"/>
        </w:rPr>
        <w:t>家</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其主要操纵行为类型包括</w:t>
      </w:r>
      <w:r>
        <w:rPr>
          <w:rFonts w:ascii="Times New Roman" w:hAnsi="Times New Roman" w:eastAsia="宋体" w:cs="Times New Roman"/>
          <w:sz w:val="24"/>
        </w:rPr>
        <w:t>虚增收入和利润</w:t>
      </w:r>
      <w:r>
        <w:rPr>
          <w:rFonts w:hint="eastAsia" w:ascii="Times New Roman" w:hAnsi="Times New Roman" w:eastAsia="宋体" w:cs="Times New Roman"/>
          <w:sz w:val="24"/>
          <w:lang w:eastAsia="zh-CN"/>
        </w:rPr>
        <w:t>、</w:t>
      </w:r>
      <w:r>
        <w:rPr>
          <w:rFonts w:ascii="Times New Roman" w:hAnsi="Times New Roman" w:eastAsia="宋体" w:cs="Times New Roman"/>
          <w:sz w:val="24"/>
        </w:rPr>
        <w:t>隐瞒实际费用等方式来</w:t>
      </w:r>
      <w:r>
        <w:rPr>
          <w:rFonts w:hint="eastAsia" w:ascii="Times New Roman" w:hAnsi="Times New Roman" w:eastAsia="宋体" w:cs="Times New Roman"/>
          <w:sz w:val="24"/>
          <w:lang w:val="en-US" w:eastAsia="zh-CN"/>
        </w:rPr>
        <w:t>粉饰财务报表或非法谋利</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梁力军等，2025</w:t>
      </w:r>
      <w:r>
        <w:rPr>
          <w:rFonts w:hint="eastAsia" w:ascii="Times New Roman" w:hAnsi="Times New Roman" w:eastAsia="宋体" w:cs="Times New Roman"/>
          <w:sz w:val="24"/>
          <w:lang w:eastAsia="zh-CN"/>
        </w:rPr>
        <w:t>）</w:t>
      </w:r>
      <w:r>
        <w:rPr>
          <w:rStyle w:val="12"/>
        </w:rPr>
        <w:t>[</w:t>
      </w:r>
      <w:r>
        <w:rPr>
          <w:rStyle w:val="12"/>
          <w:rFonts w:hint="eastAsia" w:ascii="Times New Roman" w:hAnsi="Times New Roman" w:eastAsia="宋体" w:cs="Times New Roman"/>
          <w:sz w:val="24"/>
        </w:rPr>
        <w:endnoteReference w:id="0"/>
      </w:r>
      <w:r>
        <w:rPr>
          <w:rStyle w:val="12"/>
        </w:rPr>
        <w:t>]</w:t>
      </w:r>
      <w:r>
        <w:rPr>
          <w:rFonts w:hint="eastAsia"/>
          <w:lang w:eastAsia="zh-CN"/>
        </w:rPr>
        <w:t>。</w:t>
      </w:r>
    </w:p>
    <w:p w14:paraId="0CE7F7E4">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真实盈余管理指的是企业管理层借助构建真实的交易活动，或者对交易发生的时间节点加以操控，以此对财务报告里所呈现的会计盈余进行调节，以误导利益相关者认为财务目标已通过正常经营实现的行为（张静娴等，</w:t>
      </w:r>
      <w:r>
        <w:rPr>
          <w:rFonts w:ascii="Times New Roman" w:hAnsi="Times New Roman" w:eastAsia="宋体" w:cs="Times New Roman"/>
          <w:sz w:val="24"/>
        </w:rPr>
        <w:t>2025</w:t>
      </w:r>
      <w:r>
        <w:rPr>
          <w:rFonts w:hint="eastAsia" w:ascii="Times New Roman" w:hAnsi="Times New Roman" w:eastAsia="宋体" w:cs="Times New Roman"/>
          <w:sz w:val="24"/>
        </w:rPr>
        <w:t>）</w:t>
      </w:r>
      <w:r>
        <w:rPr>
          <w:rStyle w:val="12"/>
        </w:rPr>
        <w:t>[</w:t>
      </w:r>
      <w:r>
        <w:rPr>
          <w:rStyle w:val="12"/>
          <w:rFonts w:hint="eastAsia" w:ascii="Times New Roman" w:hAnsi="Times New Roman" w:eastAsia="宋体" w:cs="Times New Roman"/>
          <w:sz w:val="24"/>
        </w:rPr>
        <w:endnoteReference w:id="1"/>
      </w:r>
      <w:r>
        <w:rPr>
          <w:rStyle w:val="12"/>
        </w:rPr>
        <w:t>]</w:t>
      </w:r>
      <w:r>
        <w:rPr>
          <w:rFonts w:hint="eastAsia" w:ascii="Times New Roman" w:hAnsi="Times New Roman" w:eastAsia="宋体" w:cs="Times New Roman"/>
          <w:sz w:val="24"/>
        </w:rPr>
        <w:t>。真实</w:t>
      </w:r>
      <w:r>
        <w:rPr>
          <w:rFonts w:ascii="Times New Roman" w:hAnsi="Times New Roman" w:eastAsia="宋体" w:cs="Times New Roman"/>
          <w:sz w:val="24"/>
        </w:rPr>
        <w:t>盈余管理</w:t>
      </w:r>
      <w:r>
        <w:rPr>
          <w:rFonts w:hint="eastAsia" w:ascii="Times New Roman" w:hAnsi="Times New Roman" w:eastAsia="宋体" w:cs="Times New Roman"/>
          <w:sz w:val="24"/>
        </w:rPr>
        <w:t>长期以来受到</w:t>
      </w:r>
      <w:r>
        <w:rPr>
          <w:rFonts w:ascii="Times New Roman" w:hAnsi="Times New Roman" w:eastAsia="宋体" w:cs="Times New Roman"/>
          <w:sz w:val="24"/>
        </w:rPr>
        <w:t>会计</w:t>
      </w:r>
      <w:r>
        <w:rPr>
          <w:rFonts w:hint="eastAsia" w:ascii="Times New Roman" w:hAnsi="Times New Roman" w:eastAsia="宋体" w:cs="Times New Roman"/>
          <w:sz w:val="24"/>
        </w:rPr>
        <w:t>领域和审计</w:t>
      </w:r>
      <w:r>
        <w:rPr>
          <w:rFonts w:ascii="Times New Roman" w:hAnsi="Times New Roman" w:eastAsia="宋体" w:cs="Times New Roman"/>
          <w:sz w:val="24"/>
        </w:rPr>
        <w:t>领域的</w:t>
      </w:r>
      <w:r>
        <w:rPr>
          <w:rFonts w:hint="eastAsia" w:ascii="Times New Roman" w:hAnsi="Times New Roman" w:eastAsia="宋体" w:cs="Times New Roman"/>
          <w:sz w:val="24"/>
        </w:rPr>
        <w:t>高度关注。相关研究主要</w:t>
      </w:r>
      <w:r>
        <w:rPr>
          <w:rFonts w:ascii="Times New Roman" w:hAnsi="Times New Roman" w:eastAsia="宋体" w:cs="Times New Roman"/>
          <w:sz w:val="24"/>
        </w:rPr>
        <w:t>围绕</w:t>
      </w:r>
      <w:r>
        <w:rPr>
          <w:rFonts w:hint="eastAsia" w:ascii="Times New Roman" w:hAnsi="Times New Roman" w:eastAsia="宋体" w:cs="Times New Roman"/>
          <w:sz w:val="24"/>
        </w:rPr>
        <w:t>真实</w:t>
      </w:r>
      <w:r>
        <w:rPr>
          <w:rFonts w:ascii="Times New Roman" w:hAnsi="Times New Roman" w:eastAsia="宋体" w:cs="Times New Roman"/>
          <w:sz w:val="24"/>
        </w:rPr>
        <w:t>盈余管理的动机</w:t>
      </w:r>
      <w:r>
        <w:rPr>
          <w:rFonts w:hint="eastAsia" w:ascii="Times New Roman" w:hAnsi="Times New Roman" w:eastAsia="宋体" w:cs="Times New Roman"/>
          <w:sz w:val="24"/>
        </w:rPr>
        <w:t>，以及真实盈余管理</w:t>
      </w:r>
      <w:r>
        <w:rPr>
          <w:rFonts w:ascii="Times New Roman" w:hAnsi="Times New Roman" w:eastAsia="宋体" w:cs="Times New Roman"/>
          <w:sz w:val="24"/>
        </w:rPr>
        <w:t>与企业绩效、市场反应等之间的关系，</w:t>
      </w:r>
      <w:r>
        <w:rPr>
          <w:rFonts w:hint="eastAsia" w:ascii="Times New Roman" w:hAnsi="Times New Roman" w:eastAsia="宋体" w:cs="Times New Roman"/>
          <w:sz w:val="24"/>
        </w:rPr>
        <w:t>探究其</w:t>
      </w:r>
      <w:r>
        <w:rPr>
          <w:rFonts w:ascii="Times New Roman" w:hAnsi="Times New Roman" w:eastAsia="宋体" w:cs="Times New Roman"/>
          <w:sz w:val="24"/>
        </w:rPr>
        <w:t>对企业长期发展的影响</w:t>
      </w:r>
      <w:r>
        <w:rPr>
          <w:rFonts w:hint="eastAsia" w:ascii="Times New Roman" w:hAnsi="Times New Roman" w:eastAsia="宋体" w:cs="Times New Roman"/>
          <w:sz w:val="24"/>
        </w:rPr>
        <w:t>（王欣兰等，2024；刘艳霞等，2024）</w:t>
      </w:r>
      <w:r>
        <w:rPr>
          <w:rStyle w:val="12"/>
        </w:rPr>
        <w:t>[</w:t>
      </w:r>
      <w:r>
        <w:rPr>
          <w:rStyle w:val="12"/>
          <w:rFonts w:hint="eastAsia" w:ascii="Times New Roman" w:hAnsi="Times New Roman" w:eastAsia="宋体" w:cs="Times New Roman"/>
          <w:sz w:val="24"/>
        </w:rPr>
        <w:endnoteReference w:id="2"/>
      </w:r>
      <w:r>
        <w:rPr>
          <w:vertAlign w:val="superscript"/>
        </w:rPr>
        <w:t>-</w:t>
      </w:r>
      <w:r>
        <w:rPr>
          <w:rStyle w:val="12"/>
        </w:rPr>
        <w:endnoteReference w:id="3"/>
      </w:r>
      <w:r>
        <w:rPr>
          <w:rStyle w:val="12"/>
        </w:rPr>
        <w:t>]</w:t>
      </w:r>
      <w:r>
        <w:rPr>
          <w:rFonts w:ascii="Times New Roman" w:hAnsi="Times New Roman" w:eastAsia="宋体" w:cs="Times New Roman"/>
          <w:sz w:val="24"/>
        </w:rPr>
        <w:t>。然而，审计作为公司治理</w:t>
      </w:r>
      <w:r>
        <w:rPr>
          <w:rFonts w:hint="eastAsia" w:ascii="Times New Roman" w:hAnsi="Times New Roman" w:eastAsia="宋体" w:cs="Times New Roman"/>
          <w:sz w:val="24"/>
          <w:lang w:val="en-US" w:eastAsia="zh-CN"/>
        </w:rPr>
        <w:t>中的</w:t>
      </w:r>
      <w:r>
        <w:rPr>
          <w:rFonts w:ascii="Times New Roman" w:hAnsi="Times New Roman" w:eastAsia="宋体" w:cs="Times New Roman"/>
          <w:sz w:val="24"/>
        </w:rPr>
        <w:t>第三道防线，其行为强度（如程序深度、资源投入）能否穿透</w:t>
      </w:r>
      <w:r>
        <w:rPr>
          <w:rFonts w:hint="eastAsia" w:ascii="Times New Roman" w:hAnsi="Times New Roman" w:eastAsia="宋体" w:cs="Times New Roman"/>
          <w:sz w:val="24"/>
          <w:lang w:val="en-US" w:eastAsia="zh-CN"/>
        </w:rPr>
        <w:t>真实盈余管理中的</w:t>
      </w:r>
      <w:r>
        <w:rPr>
          <w:rFonts w:ascii="Times New Roman" w:hAnsi="Times New Roman" w:eastAsia="宋体" w:cs="Times New Roman"/>
          <w:sz w:val="24"/>
        </w:rPr>
        <w:t>隐蔽性尚存争议。</w:t>
      </w:r>
    </w:p>
    <w:p w14:paraId="68156EA6">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lang w:val="en-US" w:eastAsia="zh-CN"/>
        </w:rPr>
        <w:t>当前，</w:t>
      </w:r>
      <w:r>
        <w:rPr>
          <w:rFonts w:ascii="Times New Roman" w:hAnsi="Times New Roman" w:eastAsia="宋体" w:cs="Times New Roman"/>
          <w:sz w:val="24"/>
        </w:rPr>
        <w:t>关于审计</w:t>
      </w:r>
      <w:r>
        <w:rPr>
          <w:rFonts w:hint="eastAsia" w:ascii="Times New Roman" w:hAnsi="Times New Roman" w:eastAsia="宋体" w:cs="Times New Roman"/>
          <w:sz w:val="24"/>
          <w:lang w:val="en-US" w:eastAsia="zh-CN"/>
        </w:rPr>
        <w:t>行</w:t>
      </w:r>
      <w:r>
        <w:rPr>
          <w:rFonts w:ascii="Times New Roman" w:hAnsi="Times New Roman" w:eastAsia="宋体" w:cs="Times New Roman"/>
          <w:sz w:val="24"/>
        </w:rPr>
        <w:t>为对真实盈余管理的抑制作用及其作用机制的研究</w:t>
      </w:r>
      <w:r>
        <w:rPr>
          <w:rFonts w:hint="eastAsia" w:ascii="Times New Roman" w:hAnsi="Times New Roman" w:eastAsia="宋体" w:cs="Times New Roman"/>
          <w:sz w:val="24"/>
          <w:lang w:val="en-US" w:eastAsia="zh-CN"/>
        </w:rPr>
        <w:t>亦</w:t>
      </w:r>
      <w:r>
        <w:rPr>
          <w:rFonts w:ascii="Times New Roman" w:hAnsi="Times New Roman" w:eastAsia="宋体" w:cs="Times New Roman"/>
          <w:sz w:val="24"/>
        </w:rPr>
        <w:t>存在一定不足</w:t>
      </w:r>
      <w:r>
        <w:rPr>
          <w:rFonts w:hint="eastAsia" w:ascii="Times New Roman" w:hAnsi="Times New Roman" w:eastAsia="宋体" w:cs="Times New Roman"/>
          <w:sz w:val="24"/>
          <w:lang w:eastAsia="zh-CN"/>
        </w:rPr>
        <w:t>：</w:t>
      </w:r>
      <w:r>
        <w:rPr>
          <w:rFonts w:ascii="Times New Roman" w:hAnsi="Times New Roman" w:eastAsia="宋体" w:cs="Times New Roman"/>
          <w:sz w:val="24"/>
        </w:rPr>
        <w:t>一方面，现有研究大多侧重于审计行为对财务报告盈余管理的影响</w:t>
      </w:r>
      <w:r>
        <w:rPr>
          <w:rFonts w:hint="eastAsia" w:ascii="Times New Roman" w:hAnsi="Times New Roman" w:eastAsia="宋体" w:cs="Times New Roman"/>
          <w:sz w:val="24"/>
        </w:rPr>
        <w:t>（朱泽钢和姜丽莎，2021；喻采平等，2021）</w:t>
      </w:r>
      <w:r>
        <w:rPr>
          <w:rStyle w:val="12"/>
        </w:rPr>
        <w:t>[</w:t>
      </w:r>
      <w:r>
        <w:rPr>
          <w:rStyle w:val="12"/>
          <w:rFonts w:hint="eastAsia" w:ascii="Times New Roman" w:hAnsi="Times New Roman" w:eastAsia="宋体" w:cs="Times New Roman"/>
          <w:sz w:val="24"/>
        </w:rPr>
        <w:endnoteReference w:id="4"/>
      </w:r>
      <w:r>
        <w:rPr>
          <w:vertAlign w:val="superscript"/>
        </w:rPr>
        <w:t>-</w:t>
      </w:r>
      <w:r>
        <w:rPr>
          <w:rStyle w:val="12"/>
          <w:rFonts w:hint="eastAsia"/>
        </w:rPr>
        <w:endnoteReference w:id="5"/>
      </w:r>
      <w:r>
        <w:rPr>
          <w:rStyle w:val="12"/>
        </w:rPr>
        <w:t>]</w:t>
      </w:r>
      <w:r>
        <w:rPr>
          <w:rFonts w:ascii="Times New Roman" w:hAnsi="Times New Roman" w:eastAsia="宋体" w:cs="Times New Roman"/>
          <w:sz w:val="24"/>
        </w:rPr>
        <w:t>，对于真实盈余管理这一更为隐蔽的盈余操纵方式的关注相对较少；另一方面，虽然部分研究涉及了审计行为与盈余管理的关系</w:t>
      </w:r>
      <w:r>
        <w:rPr>
          <w:rFonts w:hint="eastAsia" w:ascii="Times New Roman" w:hAnsi="Times New Roman" w:cs="Times New Roman"/>
          <w:sz w:val="24"/>
        </w:rPr>
        <w:t>（陈奕虹，2020；宋娜，2021）</w:t>
      </w:r>
      <w:r>
        <w:rPr>
          <w:rStyle w:val="12"/>
        </w:rPr>
        <w:t>[</w:t>
      </w:r>
      <w:r>
        <w:rPr>
          <w:rStyle w:val="12"/>
          <w:rFonts w:hint="eastAsia" w:ascii="Times New Roman" w:hAnsi="Times New Roman" w:cs="Times New Roman"/>
          <w:sz w:val="24"/>
        </w:rPr>
        <w:endnoteReference w:id="6"/>
      </w:r>
      <w:r>
        <w:rPr>
          <w:vertAlign w:val="superscript"/>
        </w:rPr>
        <w:t>-</w:t>
      </w:r>
      <w:r>
        <w:rPr>
          <w:rStyle w:val="12"/>
          <w:rFonts w:hint="eastAsia"/>
        </w:rPr>
        <w:endnoteReference w:id="7"/>
      </w:r>
      <w:r>
        <w:rPr>
          <w:rStyle w:val="12"/>
        </w:rPr>
        <w:t>]</w:t>
      </w:r>
      <w:r>
        <w:rPr>
          <w:rFonts w:ascii="Times New Roman" w:hAnsi="Times New Roman" w:eastAsia="宋体" w:cs="Times New Roman"/>
          <w:sz w:val="24"/>
        </w:rPr>
        <w:t>，但对于审计行为如何通过中介变量来影响真实盈余管理的具体传导机制文章较少。</w:t>
      </w:r>
      <w:r>
        <w:rPr>
          <w:rFonts w:hint="eastAsia" w:ascii="Times New Roman" w:hAnsi="Times New Roman" w:eastAsia="宋体" w:cs="Times New Roman"/>
          <w:sz w:val="24"/>
          <w:lang w:val="en-US" w:eastAsia="zh-CN"/>
        </w:rPr>
        <w:t>而且，</w:t>
      </w:r>
      <w:r>
        <w:rPr>
          <w:rFonts w:ascii="Times New Roman" w:hAnsi="Times New Roman" w:eastAsia="宋体" w:cs="Times New Roman"/>
          <w:sz w:val="24"/>
        </w:rPr>
        <w:t>在</w:t>
      </w:r>
      <w:r>
        <w:rPr>
          <w:rFonts w:hint="eastAsia" w:ascii="Times New Roman" w:hAnsi="Times New Roman" w:eastAsia="宋体" w:cs="Times New Roman"/>
          <w:sz w:val="24"/>
          <w:lang w:val="en-US" w:eastAsia="zh-CN"/>
        </w:rPr>
        <w:t>当前</w:t>
      </w:r>
      <w:r>
        <w:rPr>
          <w:rFonts w:ascii="Times New Roman" w:hAnsi="Times New Roman" w:eastAsia="宋体" w:cs="Times New Roman"/>
          <w:sz w:val="24"/>
        </w:rPr>
        <w:t>资本市场财务舞弊事件频发的背景下，真实盈余管理（REM）因其隐蔽性成为监管难点，审计</w:t>
      </w:r>
      <w:r>
        <w:rPr>
          <w:rFonts w:hint="eastAsia" w:ascii="Times New Roman" w:hAnsi="Times New Roman" w:eastAsia="宋体" w:cs="Times New Roman"/>
          <w:sz w:val="24"/>
          <w:lang w:val="en-US" w:eastAsia="zh-CN"/>
        </w:rPr>
        <w:t>行为的具体</w:t>
      </w:r>
      <w:r>
        <w:rPr>
          <w:rFonts w:ascii="Times New Roman" w:hAnsi="Times New Roman" w:eastAsia="宋体" w:cs="Times New Roman"/>
          <w:sz w:val="24"/>
        </w:rPr>
        <w:t>效能亟待验证</w:t>
      </w:r>
      <w:r>
        <w:rPr>
          <w:rFonts w:hint="eastAsia" w:ascii="Times New Roman" w:hAnsi="Times New Roman" w:eastAsia="宋体" w:cs="Times New Roman"/>
          <w:sz w:val="24"/>
          <w:lang w:eastAsia="zh-CN"/>
        </w:rPr>
        <w:t>。</w:t>
      </w:r>
    </w:p>
    <w:p w14:paraId="657589DB">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基于上述现实</w:t>
      </w:r>
      <w:r>
        <w:rPr>
          <w:rFonts w:hint="eastAsia" w:ascii="Times New Roman" w:hAnsi="Times New Roman" w:eastAsia="宋体" w:cs="Times New Roman"/>
          <w:sz w:val="24"/>
        </w:rPr>
        <w:t>问题</w:t>
      </w:r>
      <w:r>
        <w:rPr>
          <w:rFonts w:ascii="Times New Roman" w:hAnsi="Times New Roman" w:eastAsia="宋体" w:cs="Times New Roman"/>
          <w:sz w:val="24"/>
        </w:rPr>
        <w:t>和</w:t>
      </w:r>
      <w:r>
        <w:rPr>
          <w:rFonts w:hint="eastAsia" w:ascii="Times New Roman" w:hAnsi="Times New Roman" w:eastAsia="宋体" w:cs="Times New Roman"/>
          <w:sz w:val="24"/>
          <w:lang w:val="en-US" w:eastAsia="zh-CN"/>
        </w:rPr>
        <w:t>研究</w:t>
      </w:r>
      <w:r>
        <w:rPr>
          <w:rFonts w:hint="eastAsia" w:ascii="Times New Roman" w:hAnsi="Times New Roman" w:eastAsia="宋体" w:cs="Times New Roman"/>
          <w:sz w:val="24"/>
        </w:rPr>
        <w:t>缺口</w:t>
      </w:r>
      <w:r>
        <w:rPr>
          <w:rFonts w:ascii="Times New Roman" w:hAnsi="Times New Roman" w:eastAsia="宋体" w:cs="Times New Roman"/>
          <w:sz w:val="24"/>
        </w:rPr>
        <w:t>，本文</w:t>
      </w:r>
      <w:r>
        <w:rPr>
          <w:rFonts w:hint="eastAsia" w:ascii="Times New Roman" w:hAnsi="Times New Roman" w:eastAsia="宋体" w:cs="Times New Roman"/>
          <w:sz w:val="24"/>
          <w:lang w:val="en-US" w:eastAsia="zh-CN"/>
        </w:rPr>
        <w:t>拟参考相关</w:t>
      </w:r>
      <w:r>
        <w:rPr>
          <w:rFonts w:ascii="Times New Roman" w:hAnsi="Times New Roman" w:eastAsia="宋体" w:cs="Times New Roman"/>
          <w:sz w:val="24"/>
        </w:rPr>
        <w:t>审计行为决策框架</w:t>
      </w:r>
      <w:r>
        <w:rPr>
          <w:rFonts w:hint="eastAsia" w:ascii="Times New Roman" w:hAnsi="Times New Roman" w:cs="Times New Roman"/>
          <w:sz w:val="24"/>
        </w:rPr>
        <w:t>（</w:t>
      </w:r>
      <w:r>
        <w:rPr>
          <w:rFonts w:ascii="Times New Roman" w:hAnsi="Times New Roman" w:cs="Times New Roman"/>
          <w:sz w:val="24"/>
        </w:rPr>
        <w:t>Khalil和Nehme</w:t>
      </w:r>
      <w:r>
        <w:rPr>
          <w:rFonts w:hint="eastAsia" w:ascii="Times New Roman" w:hAnsi="Times New Roman" w:cs="Times New Roman"/>
          <w:sz w:val="24"/>
        </w:rPr>
        <w:t>，</w:t>
      </w:r>
      <w:r>
        <w:rPr>
          <w:rFonts w:ascii="Times New Roman" w:hAnsi="Times New Roman" w:cs="Times New Roman"/>
          <w:sz w:val="24"/>
        </w:rPr>
        <w:t>2023）</w:t>
      </w:r>
      <w:r>
        <w:rPr>
          <w:rStyle w:val="12"/>
          <w:rFonts w:hint="eastAsia" w:ascii="Times New Roman" w:hAnsi="Times New Roman" w:cs="Times New Roman"/>
          <w:sz w:val="24"/>
        </w:rPr>
        <w:t>[</w:t>
      </w:r>
      <w:bookmarkStart w:id="0" w:name="_Ref5237"/>
      <w:r>
        <w:rPr>
          <w:rStyle w:val="12"/>
          <w:rFonts w:hint="eastAsia" w:ascii="Times New Roman" w:hAnsi="Times New Roman" w:cs="Times New Roman"/>
          <w:sz w:val="24"/>
        </w:rPr>
        <w:endnoteReference w:id="8"/>
      </w:r>
      <w:bookmarkEnd w:id="0"/>
      <w:r>
        <w:rPr>
          <w:rStyle w:val="12"/>
          <w:rFonts w:hint="eastAsia" w:ascii="Times New Roman" w:hAnsi="Times New Roman" w:cs="Times New Roman"/>
          <w:sz w:val="24"/>
        </w:rPr>
        <w:t>]</w:t>
      </w:r>
      <w:r>
        <w:rPr>
          <w:rFonts w:ascii="Times New Roman" w:hAnsi="Times New Roman" w:eastAsia="宋体" w:cs="Times New Roman"/>
          <w:sz w:val="24"/>
        </w:rPr>
        <w:t>，从</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行为实施—内控</w:t>
      </w:r>
      <w:r>
        <w:rPr>
          <w:rFonts w:ascii="Times New Roman" w:hAnsi="Times New Roman" w:eastAsia="宋体" w:cs="Times New Roman"/>
          <w:sz w:val="24"/>
        </w:rPr>
        <w:t>约束’双路径解构审计</w:t>
      </w:r>
      <w:r>
        <w:rPr>
          <w:rFonts w:hint="eastAsia" w:ascii="Times New Roman" w:hAnsi="Times New Roman" w:eastAsia="宋体" w:cs="Times New Roman"/>
          <w:sz w:val="24"/>
          <w:lang w:val="en-US" w:eastAsia="zh-CN"/>
        </w:rPr>
        <w:t>行为</w:t>
      </w:r>
      <w:r>
        <w:rPr>
          <w:rFonts w:ascii="Times New Roman" w:hAnsi="Times New Roman" w:eastAsia="宋体" w:cs="Times New Roman"/>
          <w:sz w:val="24"/>
        </w:rPr>
        <w:t>对</w:t>
      </w:r>
      <w:r>
        <w:rPr>
          <w:rFonts w:hint="eastAsia" w:ascii="Times New Roman" w:hAnsi="Times New Roman" w:eastAsia="宋体" w:cs="Times New Roman"/>
          <w:sz w:val="24"/>
          <w:lang w:val="en-US" w:eastAsia="zh-CN"/>
        </w:rPr>
        <w:t>真实盈余管理</w:t>
      </w:r>
      <w:r>
        <w:rPr>
          <w:rFonts w:ascii="Times New Roman" w:hAnsi="Times New Roman" w:eastAsia="宋体" w:cs="Times New Roman"/>
          <w:sz w:val="24"/>
        </w:rPr>
        <w:t>的作用黑箱</w:t>
      </w:r>
      <w:r>
        <w:rPr>
          <w:rFonts w:hint="eastAsia" w:ascii="Times New Roman" w:hAnsi="Times New Roman" w:eastAsia="宋体" w:cs="Times New Roman"/>
          <w:sz w:val="24"/>
          <w:lang w:eastAsia="zh-CN"/>
        </w:rPr>
        <w:t>，</w:t>
      </w:r>
      <w:r>
        <w:rPr>
          <w:rFonts w:ascii="Times New Roman" w:hAnsi="Times New Roman" w:eastAsia="宋体" w:cs="Times New Roman"/>
          <w:sz w:val="24"/>
        </w:rPr>
        <w:t>以2014—2023年中国A股房地产上市公司面板数据为样本，构建以审计收费为核心解释变量、真实盈余管理为被解释变量、</w:t>
      </w:r>
      <w:r>
        <w:rPr>
          <w:rFonts w:hint="eastAsia" w:ascii="Times New Roman" w:hAnsi="Times New Roman" w:eastAsia="宋体" w:cs="Times New Roman"/>
          <w:sz w:val="24"/>
        </w:rPr>
        <w:t>企业内控</w:t>
      </w:r>
      <w:r>
        <w:rPr>
          <w:rFonts w:ascii="Times New Roman" w:hAnsi="Times New Roman" w:eastAsia="宋体" w:cs="Times New Roman"/>
          <w:sz w:val="24"/>
        </w:rPr>
        <w:t>质量为中介变量的测度模型，并引入资产负债率、资产净利率、主营业务收入增长率、事务所排名等作为控制变量，运用中介效应模型进行实证分析</w:t>
      </w:r>
      <w:r>
        <w:rPr>
          <w:rFonts w:hint="eastAsia" w:ascii="Times New Roman" w:hAnsi="Times New Roman" w:eastAsia="宋体" w:cs="Times New Roman"/>
          <w:sz w:val="24"/>
          <w:lang w:val="en-US" w:eastAsia="zh-CN"/>
        </w:rPr>
        <w:t>和路径验证</w:t>
      </w:r>
      <w:r>
        <w:rPr>
          <w:rFonts w:hint="eastAsia" w:ascii="Times New Roman" w:hAnsi="Times New Roman" w:eastAsia="宋体" w:cs="Times New Roman"/>
          <w:sz w:val="24"/>
        </w:rPr>
        <w:t>，来</w:t>
      </w:r>
      <w:r>
        <w:rPr>
          <w:rFonts w:ascii="Times New Roman" w:hAnsi="Times New Roman" w:eastAsia="宋体" w:cs="Times New Roman"/>
          <w:sz w:val="24"/>
        </w:rPr>
        <w:t>深入探究审计行为对企业真实盈余管理的抑制约束效应及其作用机制。</w:t>
      </w:r>
    </w:p>
    <w:p w14:paraId="03209AE6">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本文</w:t>
      </w:r>
      <w:r>
        <w:rPr>
          <w:rFonts w:hint="eastAsia" w:ascii="Times New Roman" w:hAnsi="Times New Roman" w:eastAsia="宋体" w:cs="Times New Roman"/>
          <w:sz w:val="24"/>
          <w:lang w:val="en-US" w:eastAsia="zh-CN"/>
        </w:rPr>
        <w:t>可能</w:t>
      </w:r>
      <w:r>
        <w:rPr>
          <w:rFonts w:ascii="Times New Roman" w:hAnsi="Times New Roman" w:eastAsia="宋体" w:cs="Times New Roman"/>
          <w:sz w:val="24"/>
        </w:rPr>
        <w:t>的</w:t>
      </w:r>
      <w:r>
        <w:rPr>
          <w:rFonts w:hint="eastAsia" w:ascii="Times New Roman" w:hAnsi="Times New Roman" w:eastAsia="宋体" w:cs="Times New Roman"/>
          <w:sz w:val="24"/>
        </w:rPr>
        <w:t>潜在贡献可能在于：</w:t>
      </w:r>
      <w:r>
        <w:rPr>
          <w:rFonts w:ascii="Times New Roman" w:hAnsi="Times New Roman" w:eastAsia="宋体" w:cs="Times New Roman"/>
          <w:sz w:val="24"/>
        </w:rPr>
        <w:t>一方面，通过实证检验揭示审计行为与真实盈余管理之间的关系及其作用机制；另一方面，</w:t>
      </w:r>
      <w:r>
        <w:rPr>
          <w:rFonts w:hint="eastAsia" w:ascii="Times New Roman" w:hAnsi="Times New Roman" w:eastAsia="宋体" w:cs="Times New Roman"/>
          <w:sz w:val="24"/>
        </w:rPr>
        <w:t>基于研究得出的相关成果，提出具有针对性的政策建议</w:t>
      </w:r>
      <w:r>
        <w:rPr>
          <w:rFonts w:ascii="Times New Roman" w:hAnsi="Times New Roman" w:eastAsia="宋体" w:cs="Times New Roman"/>
          <w:sz w:val="24"/>
        </w:rPr>
        <w:t>，为完善企业公司治理和优化审计资源配置提供有益的参考和启示。</w:t>
      </w:r>
    </w:p>
    <w:p w14:paraId="25288B8A">
      <w:pPr>
        <w:keepNext w:val="0"/>
        <w:keepLines w:val="0"/>
        <w:pageBreakBefore w:val="0"/>
        <w:kinsoku/>
        <w:wordWrap/>
        <w:overflowPunct/>
        <w:topLinePunct w:val="0"/>
        <w:autoSpaceDE/>
        <w:autoSpaceDN/>
        <w:bidi w:val="0"/>
        <w:adjustRightInd/>
        <w:spacing w:line="300" w:lineRule="auto"/>
        <w:ind w:firstLine="560" w:firstLineChars="200"/>
        <w:jc w:val="center"/>
        <w:textAlignment w:val="auto"/>
        <w:outlineLvl w:val="0"/>
        <w:rPr>
          <w:rFonts w:ascii="Times New Roman" w:hAnsi="Times New Roman" w:eastAsia="仿宋" w:cs="Times New Roman"/>
          <w:b/>
          <w:bCs/>
          <w:szCs w:val="21"/>
        </w:rPr>
      </w:pPr>
      <w:r>
        <w:rPr>
          <w:rFonts w:hint="eastAsia" w:ascii="Times New Roman" w:hAnsi="Times New Roman" w:eastAsia="黑体" w:cs="Times New Roman"/>
          <w:bCs/>
          <w:kern w:val="44"/>
          <w:sz w:val="28"/>
          <w:szCs w:val="28"/>
        </w:rPr>
        <w:t>二、研究基础与假设分析</w:t>
      </w:r>
    </w:p>
    <w:p w14:paraId="7092CC14">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审计行为是审计师开展审计具体任务期间，结合专业判断、经验积累和外部环境因素做综合考量，所呈现的决策样式与行动手段，其核心是借助系统化的流程与方式，对被审计单位的财务信息实施独立的验证与测评，</w:t>
      </w:r>
      <w:r>
        <w:rPr>
          <w:rFonts w:hint="eastAsia" w:ascii="Times New Roman" w:hAnsi="Times New Roman" w:cs="Times New Roman"/>
          <w:sz w:val="24"/>
        </w:rPr>
        <w:t>以确保</w:t>
      </w:r>
      <w:r>
        <w:rPr>
          <w:rFonts w:ascii="Times New Roman" w:hAnsi="Times New Roman" w:cs="Times New Roman"/>
          <w:sz w:val="24"/>
        </w:rPr>
        <w:t>财务报告的真实、公平及合规</w:t>
      </w:r>
      <w:r>
        <w:rPr>
          <w:rStyle w:val="12"/>
          <w:rFonts w:hint="eastAsia" w:ascii="Times New Roman" w:hAnsi="Times New Roman" w:eastAsia="宋体" w:cs="Times New Roman"/>
          <w:sz w:val="24"/>
          <w:lang w:val="en-US" w:eastAsia="zh-CN"/>
        </w:rPr>
        <w:t>[</w:t>
      </w:r>
      <w:r>
        <w:rPr>
          <w:rStyle w:val="12"/>
          <w:rFonts w:hint="eastAsia" w:ascii="Times New Roman" w:hAnsi="Times New Roman" w:eastAsia="宋体" w:cs="Times New Roman"/>
          <w:sz w:val="24"/>
          <w:lang w:val="en-US" w:eastAsia="zh-CN"/>
        </w:rPr>
        <w:fldChar w:fldCharType="begin"/>
      </w:r>
      <w:r>
        <w:rPr>
          <w:rStyle w:val="12"/>
          <w:rFonts w:hint="eastAsia" w:ascii="Times New Roman" w:hAnsi="Times New Roman" w:eastAsia="宋体" w:cs="Times New Roman"/>
          <w:sz w:val="24"/>
          <w:lang w:val="en-US" w:eastAsia="zh-CN"/>
        </w:rPr>
        <w:instrText xml:space="preserve"> NOTEREF _Ref5237 \h </w:instrText>
      </w:r>
      <w:r>
        <w:rPr>
          <w:rStyle w:val="12"/>
          <w:rFonts w:hint="eastAsia" w:ascii="Times New Roman" w:hAnsi="Times New Roman" w:eastAsia="宋体" w:cs="Times New Roman"/>
          <w:sz w:val="24"/>
          <w:lang w:val="en-US" w:eastAsia="zh-CN"/>
        </w:rPr>
        <w:fldChar w:fldCharType="separate"/>
      </w:r>
      <w:r>
        <w:rPr>
          <w:rStyle w:val="12"/>
          <w:rFonts w:hint="eastAsia" w:ascii="Times New Roman" w:hAnsi="Times New Roman" w:eastAsia="宋体" w:cs="Times New Roman"/>
          <w:sz w:val="24"/>
          <w:lang w:val="en-US" w:eastAsia="zh-CN"/>
        </w:rPr>
        <w:t>8</w:t>
      </w:r>
      <w:r>
        <w:rPr>
          <w:rStyle w:val="12"/>
          <w:rFonts w:hint="eastAsia" w:ascii="Times New Roman" w:hAnsi="Times New Roman" w:eastAsia="宋体" w:cs="Times New Roman"/>
          <w:sz w:val="24"/>
          <w:lang w:val="en-US" w:eastAsia="zh-CN"/>
        </w:rPr>
        <w:fldChar w:fldCharType="end"/>
      </w:r>
      <w:r>
        <w:rPr>
          <w:rStyle w:val="12"/>
          <w:rFonts w:hint="eastAsia" w:ascii="Times New Roman" w:hAnsi="Times New Roman" w:eastAsia="宋体" w:cs="Times New Roman"/>
          <w:sz w:val="24"/>
          <w:lang w:val="en-US" w:eastAsia="zh-CN"/>
        </w:rPr>
        <w:t>]</w:t>
      </w:r>
      <w:r>
        <w:rPr>
          <w:rFonts w:ascii="Times New Roman" w:hAnsi="Times New Roman" w:cs="Times New Roman"/>
          <w:sz w:val="24"/>
        </w:rPr>
        <w:t>。审计行为不只是受审计师个体特征的影响，如专业知识的储备状况、过往的经历以及</w:t>
      </w:r>
      <w:bookmarkStart w:id="1" w:name="OLE_LINK1"/>
      <w:r>
        <w:rPr>
          <w:rFonts w:ascii="Times New Roman" w:hAnsi="Times New Roman" w:cs="Times New Roman"/>
          <w:sz w:val="24"/>
        </w:rPr>
        <w:t>非理性</w:t>
      </w:r>
      <w:bookmarkEnd w:id="1"/>
      <w:r>
        <w:rPr>
          <w:rFonts w:ascii="Times New Roman" w:hAnsi="Times New Roman" w:cs="Times New Roman"/>
          <w:sz w:val="24"/>
        </w:rPr>
        <w:t>心理方面要素，还</w:t>
      </w:r>
      <w:bookmarkStart w:id="2" w:name="OLE_LINK2"/>
      <w:r>
        <w:rPr>
          <w:rFonts w:ascii="Times New Roman" w:hAnsi="Times New Roman" w:cs="Times New Roman"/>
          <w:sz w:val="24"/>
        </w:rPr>
        <w:t>受外部监管环境、技术应用水平以及社会网络关系的显著影响。</w:t>
      </w:r>
    </w:p>
    <w:p w14:paraId="1F6AAA17">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而在复杂多变的市场环境中，企业盈余管理行为不仅关乎财务信息质量，更直接影响资本市场的资源配置效率与投资者决策。故审计行为作为企业财务信息披露和监督的核心机制，其对公司治理与财务报告真实性的约束作用备受关注。</w:t>
      </w:r>
    </w:p>
    <w:bookmarkEnd w:id="2"/>
    <w:p w14:paraId="12758FC0">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bookmarkStart w:id="3" w:name="_Toc10082"/>
      <w:bookmarkStart w:id="4" w:name="_Toc15576"/>
      <w:r>
        <w:rPr>
          <w:rFonts w:hint="eastAsia" w:ascii="Times New Roman" w:hAnsi="Times New Roman" w:cs="Times New Roman"/>
          <w:b/>
          <w:bCs/>
          <w:sz w:val="24"/>
        </w:rPr>
        <w:t>（一）审计行为与盈余管理的关系及假设</w:t>
      </w:r>
      <w:bookmarkEnd w:id="3"/>
      <w:bookmarkEnd w:id="4"/>
    </w:p>
    <w:p w14:paraId="45F650F4">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审计行为体现在审计师面对低质量审计传染风险时的应对策略上。在审计风险联结情境下，审计师会通过提升关键审计事项披露的数量、详细程度及可读性来应对风险，这反映了审计师在风险环境下的专业判断与行为决策，旨在维护声誉并保障审计质量</w:t>
      </w:r>
      <w:r>
        <w:rPr>
          <w:rFonts w:hint="eastAsia" w:ascii="Times New Roman" w:hAnsi="Times New Roman" w:cs="Times New Roman"/>
          <w:sz w:val="24"/>
        </w:rPr>
        <w:t>（张丽达等，2024</w:t>
      </w:r>
      <w:r>
        <w:rPr>
          <w:rFonts w:ascii="Times New Roman" w:hAnsi="Times New Roman" w:cs="Times New Roman"/>
          <w:sz w:val="24"/>
        </w:rPr>
        <w:t>）</w:t>
      </w:r>
      <w:r>
        <w:rPr>
          <w:rStyle w:val="12"/>
          <w:rFonts w:hint="eastAsia" w:ascii="Times New Roman" w:hAnsi="Times New Roman" w:cs="Times New Roman"/>
          <w:sz w:val="24"/>
        </w:rPr>
        <w:t>[</w:t>
      </w:r>
      <w:r>
        <w:rPr>
          <w:rStyle w:val="12"/>
          <w:rFonts w:hint="eastAsia" w:ascii="Times New Roman" w:hAnsi="Times New Roman" w:cs="Times New Roman"/>
          <w:sz w:val="24"/>
        </w:rPr>
        <w:endnoteReference w:id="9"/>
      </w:r>
      <w:r>
        <w:rPr>
          <w:rStyle w:val="12"/>
          <w:rFonts w:hint="eastAsia" w:ascii="Times New Roman" w:hAnsi="Times New Roman" w:cs="Times New Roman"/>
          <w:sz w:val="24"/>
        </w:rPr>
        <w:t>]</w:t>
      </w:r>
      <w:r>
        <w:rPr>
          <w:rFonts w:ascii="Times New Roman" w:hAnsi="Times New Roman" w:cs="Times New Roman"/>
          <w:sz w:val="24"/>
        </w:rPr>
        <w:t>。</w:t>
      </w:r>
    </w:p>
    <w:p w14:paraId="1437DD4B">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李燕</w:t>
      </w:r>
      <w:r>
        <w:rPr>
          <w:rFonts w:hint="eastAsia" w:ascii="Times New Roman" w:hAnsi="Times New Roman" w:cs="Times New Roman"/>
          <w:sz w:val="24"/>
          <w:lang w:eastAsia="zh-CN"/>
        </w:rPr>
        <w:t>（</w:t>
      </w:r>
      <w:r>
        <w:rPr>
          <w:rFonts w:ascii="Times New Roman" w:hAnsi="Times New Roman" w:cs="Times New Roman"/>
          <w:sz w:val="24"/>
        </w:rPr>
        <w:t>2022</w:t>
      </w:r>
      <w:r>
        <w:rPr>
          <w:rFonts w:hint="eastAsia" w:ascii="Times New Roman" w:hAnsi="Times New Roman" w:cs="Times New Roman"/>
          <w:sz w:val="24"/>
        </w:rPr>
        <w:t>）</w:t>
      </w:r>
      <w:r>
        <w:rPr>
          <w:rStyle w:val="12"/>
        </w:rPr>
        <w:t>[</w:t>
      </w:r>
      <w:r>
        <w:rPr>
          <w:rStyle w:val="12"/>
          <w:rFonts w:hint="eastAsia" w:ascii="Times New Roman" w:hAnsi="Times New Roman" w:cs="Times New Roman"/>
          <w:sz w:val="24"/>
        </w:rPr>
        <w:endnoteReference w:id="10"/>
      </w:r>
      <w:r>
        <w:rPr>
          <w:rStyle w:val="12"/>
        </w:rPr>
        <w:t>]</w:t>
      </w:r>
      <w:r>
        <w:rPr>
          <w:rFonts w:ascii="Times New Roman" w:hAnsi="Times New Roman" w:cs="Times New Roman"/>
          <w:sz w:val="24"/>
        </w:rPr>
        <w:t>以新审计报告准则实施为背景，通过实证分析发现，披露关键审计事项对盈余管理有抑制作用，且披露资产减值类事项</w:t>
      </w:r>
      <w:r>
        <w:rPr>
          <w:rFonts w:hint="eastAsia" w:ascii="Times New Roman" w:hAnsi="Times New Roman" w:cs="Times New Roman"/>
          <w:sz w:val="24"/>
        </w:rPr>
        <w:t>抑制效果更好</w:t>
      </w:r>
      <w:r>
        <w:rPr>
          <w:rFonts w:hint="eastAsia" w:ascii="Times New Roman" w:hAnsi="Times New Roman" w:cs="Times New Roman"/>
          <w:sz w:val="24"/>
          <w:lang w:eastAsia="zh-CN"/>
        </w:rPr>
        <w:t>，</w:t>
      </w:r>
      <w:r>
        <w:rPr>
          <w:rFonts w:ascii="Times New Roman" w:hAnsi="Times New Roman" w:cs="Times New Roman"/>
          <w:sz w:val="24"/>
        </w:rPr>
        <w:t>这</w:t>
      </w:r>
      <w:r>
        <w:rPr>
          <w:rFonts w:hint="eastAsia" w:ascii="Times New Roman" w:hAnsi="Times New Roman" w:cs="Times New Roman"/>
          <w:sz w:val="24"/>
          <w:lang w:val="en-US" w:eastAsia="zh-CN"/>
        </w:rPr>
        <w:t>也</w:t>
      </w:r>
      <w:r>
        <w:rPr>
          <w:rFonts w:ascii="Times New Roman" w:hAnsi="Times New Roman" w:cs="Times New Roman"/>
          <w:sz w:val="24"/>
        </w:rPr>
        <w:t>表明审计行为能有效约束盈余管理，维护市场秩序。刘静和关苗</w:t>
      </w:r>
      <w:r>
        <w:rPr>
          <w:rFonts w:hint="eastAsia" w:ascii="Times New Roman" w:hAnsi="Times New Roman" w:cs="Times New Roman"/>
          <w:sz w:val="24"/>
          <w:lang w:eastAsia="zh-CN"/>
        </w:rPr>
        <w:t>（</w:t>
      </w:r>
      <w:r>
        <w:rPr>
          <w:rFonts w:ascii="Times New Roman" w:hAnsi="Times New Roman" w:cs="Times New Roman"/>
          <w:sz w:val="24"/>
        </w:rPr>
        <w:t>2024）</w:t>
      </w:r>
      <w:r>
        <w:rPr>
          <w:rStyle w:val="12"/>
          <w:rFonts w:ascii="Times New Roman" w:hAnsi="Times New Roman" w:cs="Times New Roman"/>
          <w:sz w:val="24"/>
        </w:rPr>
        <w:t>[</w:t>
      </w:r>
      <w:bookmarkStart w:id="5" w:name="_Ref16423"/>
      <w:r>
        <w:rPr>
          <w:rStyle w:val="12"/>
          <w:rFonts w:ascii="Times New Roman" w:hAnsi="Times New Roman" w:cs="Times New Roman"/>
          <w:sz w:val="24"/>
        </w:rPr>
        <w:endnoteReference w:id="11"/>
      </w:r>
      <w:bookmarkEnd w:id="5"/>
      <w:r>
        <w:rPr>
          <w:rStyle w:val="12"/>
          <w:rFonts w:ascii="Times New Roman" w:hAnsi="Times New Roman" w:cs="Times New Roman"/>
          <w:sz w:val="24"/>
        </w:rPr>
        <w:t>]</w:t>
      </w:r>
      <w:r>
        <w:rPr>
          <w:rFonts w:ascii="Times New Roman" w:hAnsi="Times New Roman" w:cs="Times New Roman"/>
          <w:sz w:val="24"/>
        </w:rPr>
        <w:t>进一步地</w:t>
      </w:r>
      <w:r>
        <w:rPr>
          <w:rFonts w:hint="eastAsia" w:ascii="Times New Roman" w:hAnsi="Times New Roman" w:cs="Times New Roman"/>
          <w:sz w:val="24"/>
          <w:lang w:val="en-US" w:eastAsia="zh-CN"/>
        </w:rPr>
        <w:t>研究发现</w:t>
      </w:r>
      <w:r>
        <w:rPr>
          <w:rFonts w:ascii="Times New Roman" w:hAnsi="Times New Roman" w:cs="Times New Roman"/>
          <w:sz w:val="24"/>
        </w:rPr>
        <w:t>，关键审计事项披露</w:t>
      </w:r>
      <w:r>
        <w:rPr>
          <w:rFonts w:hint="eastAsia" w:ascii="Times New Roman" w:hAnsi="Times New Roman" w:cs="Times New Roman"/>
          <w:sz w:val="24"/>
          <w:lang w:val="en-US" w:eastAsia="zh-CN"/>
        </w:rPr>
        <w:t>能够</w:t>
      </w:r>
      <w:r>
        <w:rPr>
          <w:rFonts w:ascii="Times New Roman" w:hAnsi="Times New Roman" w:cs="Times New Roman"/>
          <w:sz w:val="24"/>
        </w:rPr>
        <w:t>显著增强审计师对企业真实盈余操纵的识别能力，</w:t>
      </w:r>
      <w:r>
        <w:rPr>
          <w:rFonts w:hint="eastAsia" w:ascii="Times New Roman" w:hAnsi="Times New Roman" w:cs="Times New Roman"/>
          <w:sz w:val="24"/>
          <w:lang w:val="en-US" w:eastAsia="zh-CN"/>
        </w:rPr>
        <w:t>从而</w:t>
      </w:r>
      <w:r>
        <w:rPr>
          <w:rFonts w:ascii="Times New Roman" w:hAnsi="Times New Roman" w:cs="Times New Roman"/>
          <w:sz w:val="24"/>
        </w:rPr>
        <w:t>有效抑制</w:t>
      </w:r>
      <w:r>
        <w:rPr>
          <w:rFonts w:hint="eastAsia" w:ascii="Times New Roman" w:hAnsi="Times New Roman" w:cs="Times New Roman"/>
          <w:sz w:val="24"/>
          <w:lang w:val="en-US" w:eastAsia="zh-CN"/>
        </w:rPr>
        <w:t>企业的</w:t>
      </w:r>
      <w:r>
        <w:rPr>
          <w:rFonts w:ascii="Times New Roman" w:hAnsi="Times New Roman" w:cs="Times New Roman"/>
          <w:sz w:val="24"/>
        </w:rPr>
        <w:t>真实盈余管理行为，</w:t>
      </w:r>
      <w:r>
        <w:rPr>
          <w:rFonts w:hint="eastAsia" w:ascii="Times New Roman" w:hAnsi="Times New Roman" w:cs="Times New Roman"/>
          <w:sz w:val="24"/>
          <w:lang w:val="en-US" w:eastAsia="zh-CN"/>
        </w:rPr>
        <w:t>这也</w:t>
      </w:r>
      <w:r>
        <w:rPr>
          <w:rFonts w:ascii="Times New Roman" w:hAnsi="Times New Roman" w:cs="Times New Roman"/>
          <w:sz w:val="24"/>
        </w:rPr>
        <w:t>凸显了审计行为在规范企业盈余管理中的关键作用。</w:t>
      </w:r>
      <w:r>
        <w:rPr>
          <w:rFonts w:hint="eastAsia" w:ascii="Times New Roman" w:hAnsi="Times New Roman" w:cs="Times New Roman"/>
          <w:sz w:val="24"/>
          <w:lang w:val="en-US" w:eastAsia="zh-CN"/>
        </w:rPr>
        <w:t>另外，</w:t>
      </w:r>
      <w:r>
        <w:rPr>
          <w:rFonts w:ascii="Times New Roman" w:hAnsi="Times New Roman" w:cs="Times New Roman"/>
          <w:sz w:val="24"/>
        </w:rPr>
        <w:t>黄亮华和汤晓燕</w:t>
      </w:r>
      <w:r>
        <w:rPr>
          <w:rFonts w:hint="eastAsia" w:ascii="Times New Roman" w:hAnsi="Times New Roman" w:cs="Times New Roman"/>
          <w:sz w:val="24"/>
          <w:lang w:eastAsia="zh-CN"/>
        </w:rPr>
        <w:t>（</w:t>
      </w:r>
      <w:r>
        <w:rPr>
          <w:rFonts w:ascii="Times New Roman" w:hAnsi="Times New Roman" w:cs="Times New Roman"/>
          <w:sz w:val="24"/>
        </w:rPr>
        <w:t>2021）</w:t>
      </w:r>
      <w:r>
        <w:rPr>
          <w:rStyle w:val="12"/>
          <w:rFonts w:ascii="Times New Roman" w:hAnsi="Times New Roman" w:cs="Times New Roman"/>
          <w:sz w:val="24"/>
        </w:rPr>
        <w:t>[</w:t>
      </w:r>
      <w:r>
        <w:rPr>
          <w:rStyle w:val="12"/>
          <w:rFonts w:ascii="Times New Roman" w:hAnsi="Times New Roman" w:cs="Times New Roman"/>
          <w:sz w:val="24"/>
        </w:rPr>
        <w:endnoteReference w:id="12"/>
      </w:r>
      <w:r>
        <w:rPr>
          <w:rStyle w:val="12"/>
          <w:rFonts w:ascii="Times New Roman" w:hAnsi="Times New Roman" w:cs="Times New Roman"/>
          <w:sz w:val="24"/>
        </w:rPr>
        <w:t>]</w:t>
      </w:r>
      <w:r>
        <w:rPr>
          <w:rFonts w:hint="eastAsia" w:ascii="Times New Roman" w:hAnsi="Times New Roman" w:cs="Times New Roman"/>
          <w:sz w:val="24"/>
          <w:lang w:val="en-US" w:eastAsia="zh-CN"/>
        </w:rPr>
        <w:t>提出，当</w:t>
      </w:r>
      <w:r>
        <w:rPr>
          <w:rFonts w:ascii="Times New Roman" w:hAnsi="Times New Roman" w:cs="Times New Roman"/>
          <w:sz w:val="24"/>
        </w:rPr>
        <w:t>审计师</w:t>
      </w:r>
      <w:r>
        <w:rPr>
          <w:rFonts w:hint="eastAsia" w:ascii="Times New Roman" w:hAnsi="Times New Roman" w:cs="Times New Roman"/>
          <w:sz w:val="24"/>
        </w:rPr>
        <w:t>发现</w:t>
      </w:r>
      <w:r>
        <w:rPr>
          <w:rFonts w:ascii="Times New Roman" w:hAnsi="Times New Roman" w:cs="Times New Roman"/>
          <w:sz w:val="24"/>
        </w:rPr>
        <w:t>公司</w:t>
      </w:r>
      <w:r>
        <w:rPr>
          <w:rFonts w:hint="eastAsia" w:ascii="Times New Roman" w:hAnsi="Times New Roman" w:cs="Times New Roman"/>
          <w:sz w:val="24"/>
        </w:rPr>
        <w:t>存在</w:t>
      </w:r>
      <w:r>
        <w:rPr>
          <w:rFonts w:ascii="Times New Roman" w:hAnsi="Times New Roman" w:cs="Times New Roman"/>
          <w:sz w:val="24"/>
        </w:rPr>
        <w:t>真实活动盈余管理行为</w:t>
      </w:r>
      <w:r>
        <w:rPr>
          <w:rFonts w:hint="eastAsia" w:ascii="Times New Roman" w:hAnsi="Times New Roman" w:cs="Times New Roman"/>
          <w:sz w:val="24"/>
        </w:rPr>
        <w:t>时，</w:t>
      </w:r>
      <w:r>
        <w:rPr>
          <w:rFonts w:hint="eastAsia" w:ascii="Times New Roman" w:hAnsi="Times New Roman" w:cs="Times New Roman"/>
          <w:sz w:val="24"/>
          <w:lang w:val="en-US" w:eastAsia="zh-CN"/>
        </w:rPr>
        <w:t>会</w:t>
      </w:r>
      <w:r>
        <w:rPr>
          <w:rFonts w:hint="eastAsia" w:ascii="Times New Roman" w:hAnsi="Times New Roman" w:cs="Times New Roman"/>
          <w:sz w:val="24"/>
        </w:rPr>
        <w:t>进一步实施</w:t>
      </w:r>
      <w:r>
        <w:rPr>
          <w:rFonts w:ascii="Times New Roman" w:hAnsi="Times New Roman" w:cs="Times New Roman"/>
          <w:sz w:val="24"/>
        </w:rPr>
        <w:t>针对性</w:t>
      </w:r>
      <w:r>
        <w:rPr>
          <w:rFonts w:hint="eastAsia" w:ascii="Times New Roman" w:hAnsi="Times New Roman" w:cs="Times New Roman"/>
          <w:sz w:val="24"/>
        </w:rPr>
        <w:t>的</w:t>
      </w:r>
      <w:r>
        <w:rPr>
          <w:rFonts w:ascii="Times New Roman" w:hAnsi="Times New Roman" w:cs="Times New Roman"/>
          <w:sz w:val="24"/>
        </w:rPr>
        <w:t>审计工作</w:t>
      </w:r>
      <w:r>
        <w:rPr>
          <w:rFonts w:hint="eastAsia" w:ascii="Times New Roman" w:hAnsi="Times New Roman" w:cs="Times New Roman"/>
          <w:sz w:val="24"/>
        </w:rPr>
        <w:t>，并</w:t>
      </w:r>
      <w:r>
        <w:rPr>
          <w:rFonts w:ascii="Times New Roman" w:hAnsi="Times New Roman" w:cs="Times New Roman"/>
          <w:sz w:val="24"/>
        </w:rPr>
        <w:t>会在关键性审计事项部分做出差异化陈述</w:t>
      </w:r>
      <w:r>
        <w:rPr>
          <w:rFonts w:hint="eastAsia" w:ascii="Times New Roman" w:hAnsi="Times New Roman" w:cs="Times New Roman"/>
          <w:sz w:val="24"/>
          <w:lang w:eastAsia="zh-CN"/>
        </w:rPr>
        <w:t>。</w:t>
      </w:r>
    </w:p>
    <w:p w14:paraId="4C34FD3D">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eastAsiaTheme="minorEastAsia"/>
          <w:sz w:val="24"/>
          <w:lang w:val="en-US" w:eastAsia="zh-CN"/>
        </w:rPr>
      </w:pPr>
      <w:r>
        <w:rPr>
          <w:rFonts w:hint="eastAsia" w:ascii="Times New Roman" w:hAnsi="Times New Roman" w:cs="Times New Roman"/>
          <w:sz w:val="24"/>
        </w:rPr>
        <w:t>另外，相关学者还</w:t>
      </w:r>
      <w:r>
        <w:rPr>
          <w:rFonts w:ascii="Times New Roman" w:hAnsi="Times New Roman" w:cs="Times New Roman"/>
          <w:sz w:val="24"/>
        </w:rPr>
        <w:t>基于信息不对称与委托代理理论，实证研究了审计质量、盈余管理与投资绩效的关系</w:t>
      </w:r>
      <w:r>
        <w:rPr>
          <w:rFonts w:hint="eastAsia" w:ascii="Times New Roman" w:hAnsi="Times New Roman" w:cs="Times New Roman"/>
          <w:sz w:val="24"/>
        </w:rPr>
        <w:t>。</w:t>
      </w:r>
      <w:r>
        <w:rPr>
          <w:rFonts w:hint="eastAsia" w:ascii="Times New Roman" w:hAnsi="Times New Roman" w:cs="Times New Roman"/>
          <w:sz w:val="24"/>
          <w:lang w:val="en-US" w:eastAsia="zh-CN"/>
        </w:rPr>
        <w:t>如</w:t>
      </w:r>
      <w:r>
        <w:rPr>
          <w:rFonts w:hint="eastAsia" w:ascii="Times New Roman" w:hAnsi="Times New Roman" w:cs="Times New Roman"/>
          <w:sz w:val="24"/>
        </w:rPr>
        <w:t>黎纪东和曹惠玲</w:t>
      </w:r>
      <w:r>
        <w:rPr>
          <w:rFonts w:hint="eastAsia" w:ascii="Times New Roman" w:hAnsi="Times New Roman" w:cs="Times New Roman"/>
          <w:sz w:val="24"/>
          <w:lang w:eastAsia="zh-CN"/>
        </w:rPr>
        <w:t>（</w:t>
      </w:r>
      <w:r>
        <w:rPr>
          <w:rFonts w:hint="eastAsia" w:ascii="Times New Roman" w:hAnsi="Times New Roman" w:cs="Times New Roman"/>
          <w:sz w:val="24"/>
        </w:rPr>
        <w:t>2023）</w:t>
      </w:r>
      <w:r>
        <w:rPr>
          <w:rStyle w:val="12"/>
        </w:rPr>
        <w:t>[</w:t>
      </w:r>
      <w:r>
        <w:rPr>
          <w:rStyle w:val="12"/>
          <w:rFonts w:hint="eastAsia" w:ascii="Times New Roman" w:hAnsi="Times New Roman" w:cs="Times New Roman"/>
          <w:sz w:val="24"/>
        </w:rPr>
        <w:endnoteReference w:id="13"/>
      </w:r>
      <w:r>
        <w:rPr>
          <w:rStyle w:val="12"/>
        </w:rPr>
        <w:t>]</w:t>
      </w:r>
      <w:r>
        <w:rPr>
          <w:rFonts w:hint="eastAsia" w:ascii="Times New Roman" w:hAnsi="Times New Roman" w:cs="Times New Roman"/>
          <w:sz w:val="24"/>
          <w:lang w:val="en-US" w:eastAsia="zh-CN"/>
        </w:rPr>
        <w:t>通过</w:t>
      </w:r>
      <w:r>
        <w:rPr>
          <w:rFonts w:ascii="Times New Roman" w:hAnsi="Times New Roman" w:cs="Times New Roman"/>
          <w:sz w:val="24"/>
        </w:rPr>
        <w:t>研究发现，审计质量与盈余管理</w:t>
      </w:r>
      <w:r>
        <w:rPr>
          <w:rFonts w:hint="eastAsia" w:ascii="Times New Roman" w:hAnsi="Times New Roman" w:cs="Times New Roman"/>
          <w:sz w:val="24"/>
        </w:rPr>
        <w:t>呈现</w:t>
      </w:r>
      <w:r>
        <w:rPr>
          <w:rFonts w:ascii="Times New Roman" w:hAnsi="Times New Roman" w:cs="Times New Roman"/>
          <w:sz w:val="24"/>
        </w:rPr>
        <w:t>显著负相关，表明高质量审计</w:t>
      </w:r>
      <w:r>
        <w:rPr>
          <w:rFonts w:hint="eastAsia" w:ascii="Times New Roman" w:hAnsi="Times New Roman" w:cs="Times New Roman"/>
          <w:sz w:val="24"/>
        </w:rPr>
        <w:t>行为</w:t>
      </w:r>
      <w:r>
        <w:rPr>
          <w:rFonts w:ascii="Times New Roman" w:hAnsi="Times New Roman" w:cs="Times New Roman"/>
          <w:sz w:val="24"/>
        </w:rPr>
        <w:t>能有效抑制盈余管理行为。同时，盈余管理在审计质量与投资绩效间起部分中介作用，意味着审计质量通过减少盈余管理，进而对投资绩效产生积极影响</w:t>
      </w:r>
      <w:r>
        <w:rPr>
          <w:rFonts w:hint="eastAsia" w:ascii="Times New Roman" w:hAnsi="Times New Roman" w:cs="Times New Roman"/>
          <w:sz w:val="24"/>
          <w:lang w:eastAsia="zh-CN"/>
        </w:rPr>
        <w:t>。</w:t>
      </w:r>
    </w:p>
    <w:p w14:paraId="73DE1519">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highlight w:val="yellow"/>
        </w:rPr>
      </w:pPr>
      <w:r>
        <w:rPr>
          <w:rFonts w:hint="eastAsia" w:ascii="Times New Roman" w:hAnsi="Times New Roman" w:cs="Times New Roman"/>
          <w:sz w:val="24"/>
        </w:rPr>
        <w:t>综上所述，</w:t>
      </w:r>
      <w:r>
        <w:rPr>
          <w:rFonts w:ascii="Times New Roman" w:hAnsi="Times New Roman" w:cs="Times New Roman"/>
          <w:sz w:val="24"/>
        </w:rPr>
        <w:t>高质量</w:t>
      </w:r>
      <w:r>
        <w:rPr>
          <w:rFonts w:hint="eastAsia" w:ascii="Times New Roman" w:hAnsi="Times New Roman" w:cs="Times New Roman"/>
          <w:sz w:val="24"/>
          <w:lang w:val="en-US" w:eastAsia="zh-CN"/>
        </w:rPr>
        <w:t>的</w:t>
      </w:r>
      <w:r>
        <w:rPr>
          <w:rFonts w:ascii="Times New Roman" w:hAnsi="Times New Roman" w:cs="Times New Roman"/>
          <w:sz w:val="24"/>
        </w:rPr>
        <w:t>审计</w:t>
      </w:r>
      <w:r>
        <w:rPr>
          <w:rFonts w:hint="eastAsia" w:ascii="Times New Roman" w:hAnsi="Times New Roman" w:cs="Times New Roman"/>
          <w:sz w:val="24"/>
          <w:lang w:val="en-US" w:eastAsia="zh-CN"/>
        </w:rPr>
        <w:t>行为</w:t>
      </w:r>
      <w:r>
        <w:rPr>
          <w:rFonts w:ascii="Times New Roman" w:hAnsi="Times New Roman" w:cs="Times New Roman"/>
          <w:sz w:val="24"/>
        </w:rPr>
        <w:t>能有效识别并抑制真实盈余管理。</w:t>
      </w:r>
      <w:r>
        <w:rPr>
          <w:rFonts w:hint="eastAsia" w:ascii="Times New Roman" w:hAnsi="Times New Roman" w:cs="Times New Roman"/>
          <w:sz w:val="24"/>
        </w:rPr>
        <w:t>基于此，本文提出第一条假设：</w:t>
      </w:r>
    </w:p>
    <w:p w14:paraId="4178E8D0">
      <w:pPr>
        <w:keepNext w:val="0"/>
        <w:keepLines w:val="0"/>
        <w:pageBreakBefore w:val="0"/>
        <w:kinsoku/>
        <w:wordWrap/>
        <w:overflowPunct/>
        <w:topLinePunct w:val="0"/>
        <w:autoSpaceDE/>
        <w:autoSpaceDN/>
        <w:bidi w:val="0"/>
        <w:adjustRightInd/>
        <w:spacing w:line="300" w:lineRule="auto"/>
        <w:ind w:firstLine="482" w:firstLineChars="200"/>
        <w:textAlignment w:val="auto"/>
        <w:rPr>
          <w:rFonts w:ascii="Times New Roman" w:hAnsi="Times New Roman" w:cs="Times New Roman"/>
          <w:sz w:val="24"/>
        </w:rPr>
      </w:pPr>
      <w:r>
        <w:rPr>
          <w:rFonts w:hint="eastAsia" w:ascii="Times New Roman" w:hAnsi="Times New Roman" w:cs="Times New Roman"/>
          <w:b/>
          <w:bCs/>
          <w:sz w:val="24"/>
        </w:rPr>
        <w:t>假设1：</w:t>
      </w:r>
      <w:r>
        <w:rPr>
          <w:rFonts w:hint="eastAsia" w:ascii="Times New Roman" w:hAnsi="Times New Roman" w:cs="Times New Roman"/>
          <w:b/>
          <w:bCs/>
          <w:sz w:val="24"/>
          <w:lang w:val="en-US" w:eastAsia="zh-CN"/>
        </w:rPr>
        <w:t>高质量</w:t>
      </w:r>
      <w:r>
        <w:rPr>
          <w:rFonts w:hint="eastAsia" w:ascii="Times New Roman" w:hAnsi="Times New Roman" w:cs="Times New Roman"/>
          <w:b/>
          <w:bCs/>
          <w:sz w:val="24"/>
        </w:rPr>
        <w:t>审计</w:t>
      </w:r>
      <w:r>
        <w:rPr>
          <w:rFonts w:hint="eastAsia" w:ascii="Times New Roman" w:hAnsi="Times New Roman" w:cs="Times New Roman"/>
          <w:b/>
          <w:bCs/>
          <w:sz w:val="24"/>
          <w:lang w:val="en-US" w:eastAsia="zh-CN"/>
        </w:rPr>
        <w:t>行为</w:t>
      </w:r>
      <w:r>
        <w:rPr>
          <w:rFonts w:hint="eastAsia" w:ascii="Times New Roman" w:hAnsi="Times New Roman" w:cs="Times New Roman"/>
          <w:b/>
          <w:bCs/>
          <w:sz w:val="24"/>
        </w:rPr>
        <w:t>与真实盈余管理水平显著负相关。</w:t>
      </w:r>
    </w:p>
    <w:p w14:paraId="0B9C444F">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bookmarkStart w:id="6" w:name="_Toc256"/>
      <w:bookmarkStart w:id="7" w:name="_Toc22275"/>
      <w:r>
        <w:rPr>
          <w:rFonts w:hint="eastAsia" w:ascii="Times New Roman" w:hAnsi="Times New Roman" w:cs="Times New Roman"/>
          <w:b/>
          <w:bCs/>
          <w:sz w:val="24"/>
        </w:rPr>
        <w:t>（二）审计行为与企业内控质量的关系及假设</w:t>
      </w:r>
      <w:bookmarkEnd w:id="6"/>
      <w:bookmarkEnd w:id="7"/>
    </w:p>
    <w:p w14:paraId="3227911E">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李双承</w:t>
      </w:r>
      <w:r>
        <w:rPr>
          <w:rFonts w:hint="eastAsia" w:ascii="Times New Roman" w:hAnsi="Times New Roman" w:cs="Times New Roman"/>
          <w:sz w:val="24"/>
          <w:lang w:eastAsia="zh-CN"/>
        </w:rPr>
        <w:t>（</w:t>
      </w:r>
      <w:r>
        <w:rPr>
          <w:rFonts w:hint="eastAsia" w:ascii="Times New Roman" w:hAnsi="Times New Roman" w:cs="Times New Roman"/>
          <w:sz w:val="24"/>
        </w:rPr>
        <w:t>2021）</w:t>
      </w:r>
      <w:r>
        <w:rPr>
          <w:rStyle w:val="12"/>
        </w:rPr>
        <w:t>[</w:t>
      </w:r>
      <w:r>
        <w:rPr>
          <w:rStyle w:val="12"/>
          <w:rFonts w:hint="eastAsia" w:ascii="Times New Roman" w:hAnsi="Times New Roman" w:cs="Times New Roman"/>
          <w:sz w:val="24"/>
        </w:rPr>
        <w:endnoteReference w:id="14"/>
      </w:r>
      <w:r>
        <w:rPr>
          <w:rStyle w:val="12"/>
        </w:rPr>
        <w:t>]</w:t>
      </w:r>
      <w:r>
        <w:rPr>
          <w:rFonts w:ascii="Times New Roman" w:hAnsi="Times New Roman" w:cs="Times New Roman"/>
          <w:sz w:val="24"/>
        </w:rPr>
        <w:t>以2016年至2019年A股上市公司为样本</w:t>
      </w:r>
      <w:r>
        <w:rPr>
          <w:rFonts w:hint="eastAsia" w:ascii="Times New Roman" w:hAnsi="Times New Roman" w:cs="Times New Roman"/>
          <w:sz w:val="24"/>
          <w:lang w:eastAsia="zh-CN"/>
        </w:rPr>
        <w:t>，</w:t>
      </w:r>
      <w:r>
        <w:rPr>
          <w:rFonts w:ascii="Times New Roman" w:hAnsi="Times New Roman" w:cs="Times New Roman"/>
          <w:sz w:val="24"/>
        </w:rPr>
        <w:t>构建了多元回归模型对理论假设加以验证</w:t>
      </w:r>
      <w:r>
        <w:rPr>
          <w:rFonts w:hint="eastAsia" w:ascii="Times New Roman" w:hAnsi="Times New Roman" w:cs="Times New Roman"/>
          <w:sz w:val="24"/>
        </w:rPr>
        <w:t>，发现</w:t>
      </w:r>
      <w:r>
        <w:rPr>
          <w:rFonts w:ascii="Times New Roman" w:hAnsi="Times New Roman" w:cs="Times New Roman"/>
          <w:sz w:val="24"/>
        </w:rPr>
        <w:t>企业环境不确定性与关键审计事项披露数量正相关，而内部控制质量与之负相关。同时，较高环境不确定性会削弱内部控制质量与关键审计事项披露数量的负相关关系，且这种关系在不同产权性质及领导权结构下存在异质性。</w:t>
      </w:r>
      <w:r>
        <w:rPr>
          <w:rFonts w:hint="eastAsia" w:ascii="Times New Roman" w:hAnsi="Times New Roman" w:cs="Times New Roman"/>
          <w:sz w:val="24"/>
          <w:lang w:val="en-US" w:eastAsia="zh-CN"/>
        </w:rPr>
        <w:t>另外，</w:t>
      </w:r>
      <w:r>
        <w:rPr>
          <w:rFonts w:hint="eastAsia" w:ascii="Times New Roman" w:hAnsi="Times New Roman" w:cs="Times New Roman"/>
          <w:sz w:val="24"/>
        </w:rPr>
        <w:t>王雅和杨航</w:t>
      </w:r>
      <w:r>
        <w:rPr>
          <w:rFonts w:hint="eastAsia" w:ascii="Times New Roman" w:hAnsi="Times New Roman" w:cs="Times New Roman"/>
          <w:sz w:val="24"/>
          <w:lang w:eastAsia="zh-CN"/>
        </w:rPr>
        <w:t>（</w:t>
      </w:r>
      <w:r>
        <w:rPr>
          <w:rFonts w:hint="eastAsia" w:ascii="Times New Roman" w:hAnsi="Times New Roman" w:cs="Times New Roman"/>
          <w:sz w:val="24"/>
        </w:rPr>
        <w:t>2021）</w:t>
      </w:r>
      <w:r>
        <w:rPr>
          <w:rStyle w:val="12"/>
        </w:rPr>
        <w:t>[</w:t>
      </w:r>
      <w:r>
        <w:rPr>
          <w:rStyle w:val="12"/>
          <w:rFonts w:hint="eastAsia" w:ascii="Times New Roman" w:hAnsi="Times New Roman" w:cs="Times New Roman"/>
          <w:sz w:val="24"/>
        </w:rPr>
        <w:endnoteReference w:id="15"/>
      </w:r>
      <w:r>
        <w:rPr>
          <w:rStyle w:val="12"/>
        </w:rPr>
        <w:t>]</w:t>
      </w:r>
      <w:r>
        <w:rPr>
          <w:rFonts w:ascii="Times New Roman" w:hAnsi="Times New Roman" w:cs="Times New Roman"/>
          <w:sz w:val="24"/>
        </w:rPr>
        <w:t>以2014</w:t>
      </w:r>
      <w:r>
        <w:rPr>
          <w:rFonts w:hint="eastAsia" w:ascii="Times New Roman" w:hAnsi="Times New Roman" w:cs="Times New Roman"/>
          <w:sz w:val="24"/>
          <w:lang w:eastAsia="zh-CN"/>
        </w:rPr>
        <w:t>—2018年</w:t>
      </w:r>
      <w:r>
        <w:rPr>
          <w:rFonts w:ascii="Times New Roman" w:hAnsi="Times New Roman" w:cs="Times New Roman"/>
          <w:sz w:val="24"/>
        </w:rPr>
        <w:t>A股上市公司为样本，得出</w:t>
      </w:r>
      <w:r>
        <w:rPr>
          <w:rFonts w:hint="eastAsia" w:ascii="Times New Roman" w:hAnsi="Times New Roman" w:cs="Times New Roman"/>
          <w:sz w:val="24"/>
        </w:rPr>
        <w:t>了</w:t>
      </w:r>
      <w:r>
        <w:rPr>
          <w:rFonts w:ascii="Times New Roman" w:hAnsi="Times New Roman" w:cs="Times New Roman"/>
          <w:sz w:val="24"/>
        </w:rPr>
        <w:t>审计收费随内部控制质量提高而降低，反之则上升的结论。</w:t>
      </w:r>
      <w:r>
        <w:rPr>
          <w:rFonts w:hint="eastAsia" w:ascii="Times New Roman" w:hAnsi="Times New Roman" w:cs="Times New Roman"/>
          <w:sz w:val="24"/>
        </w:rPr>
        <w:t>此外，将董事会规模作为调节变量纳入分析后发现，董事会规模的大小对企业内部控制质量与外部审计收费之间的关系存在较为显著的影响</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而</w:t>
      </w:r>
      <w:r>
        <w:rPr>
          <w:rFonts w:hint="eastAsia" w:ascii="Times New Roman" w:hAnsi="Times New Roman" w:cs="Times New Roman"/>
          <w:sz w:val="24"/>
        </w:rPr>
        <w:t>张宏霞和解辰影</w:t>
      </w:r>
      <w:r>
        <w:rPr>
          <w:rFonts w:hint="eastAsia" w:ascii="Times New Roman" w:hAnsi="Times New Roman" w:cs="Times New Roman"/>
          <w:sz w:val="24"/>
          <w:lang w:eastAsia="zh-CN"/>
        </w:rPr>
        <w:t>（</w:t>
      </w:r>
      <w:r>
        <w:rPr>
          <w:rFonts w:hint="eastAsia" w:ascii="Times New Roman" w:hAnsi="Times New Roman" w:cs="Times New Roman"/>
          <w:sz w:val="24"/>
        </w:rPr>
        <w:t>2024）</w:t>
      </w:r>
      <w:r>
        <w:rPr>
          <w:rStyle w:val="12"/>
        </w:rPr>
        <w:t>[</w:t>
      </w:r>
      <w:r>
        <w:rPr>
          <w:rStyle w:val="12"/>
          <w:rFonts w:hint="eastAsia" w:ascii="Times New Roman" w:hAnsi="Times New Roman" w:cs="Times New Roman"/>
          <w:sz w:val="24"/>
        </w:rPr>
        <w:endnoteReference w:id="16"/>
      </w:r>
      <w:r>
        <w:rPr>
          <w:rStyle w:val="12"/>
        </w:rPr>
        <w:t>]</w:t>
      </w:r>
      <w:r>
        <w:rPr>
          <w:rFonts w:hint="eastAsia" w:ascii="Times New Roman" w:hAnsi="Times New Roman" w:cs="Times New Roman"/>
          <w:sz w:val="24"/>
          <w:lang w:val="en-US" w:eastAsia="zh-CN"/>
        </w:rPr>
        <w:t>则</w:t>
      </w:r>
      <w:r>
        <w:rPr>
          <w:rFonts w:hint="eastAsia" w:ascii="Times New Roman" w:hAnsi="Times New Roman" w:cs="Times New Roman"/>
          <w:sz w:val="24"/>
        </w:rPr>
        <w:t>以2009</w:t>
      </w:r>
      <w:r>
        <w:rPr>
          <w:rFonts w:hint="eastAsia" w:ascii="Times New Roman" w:hAnsi="Times New Roman" w:cs="Times New Roman"/>
          <w:sz w:val="24"/>
          <w:lang w:eastAsia="zh-CN"/>
        </w:rPr>
        <w:t>—</w:t>
      </w:r>
      <w:r>
        <w:rPr>
          <w:rFonts w:hint="eastAsia" w:ascii="Times New Roman" w:hAnsi="Times New Roman" w:cs="Times New Roman"/>
          <w:sz w:val="24"/>
        </w:rPr>
        <w:t>2021年沪深A股上市公司的数据为基础，发现企业数字化转型能显著提升审计质量，且这一提升作用部分通过改善内部控制质量实现。数字化转型促使企业优化内部控制，降低运营风险，进而提升审计质量。</w:t>
      </w:r>
    </w:p>
    <w:p w14:paraId="75038C14">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综上所述，审计行为与企业内控</w:t>
      </w:r>
      <w:r>
        <w:rPr>
          <w:rFonts w:hint="eastAsia" w:ascii="Times New Roman" w:hAnsi="Times New Roman" w:cs="Times New Roman"/>
          <w:sz w:val="24"/>
          <w:lang w:val="en-US" w:eastAsia="zh-CN"/>
        </w:rPr>
        <w:t>水平</w:t>
      </w:r>
      <w:r>
        <w:rPr>
          <w:rFonts w:hint="eastAsia" w:ascii="Times New Roman" w:hAnsi="Times New Roman" w:cs="Times New Roman"/>
          <w:sz w:val="24"/>
        </w:rPr>
        <w:t>紧密相关。基于此，本文提出第二条假设：</w:t>
      </w:r>
    </w:p>
    <w:p w14:paraId="29B1F3AB">
      <w:pPr>
        <w:keepNext w:val="0"/>
        <w:keepLines w:val="0"/>
        <w:pageBreakBefore w:val="0"/>
        <w:kinsoku/>
        <w:wordWrap/>
        <w:overflowPunct/>
        <w:topLinePunct w:val="0"/>
        <w:autoSpaceDE/>
        <w:autoSpaceDN/>
        <w:bidi w:val="0"/>
        <w:adjustRightInd/>
        <w:spacing w:line="300" w:lineRule="auto"/>
        <w:ind w:firstLine="482" w:firstLineChars="200"/>
        <w:textAlignment w:val="auto"/>
        <w:rPr>
          <w:rFonts w:ascii="Times New Roman" w:hAnsi="Times New Roman" w:cs="Times New Roman"/>
          <w:sz w:val="24"/>
        </w:rPr>
      </w:pPr>
      <w:r>
        <w:rPr>
          <w:rFonts w:hint="eastAsia" w:ascii="Times New Roman" w:hAnsi="Times New Roman" w:cs="Times New Roman"/>
          <w:b/>
          <w:bCs/>
          <w:sz w:val="24"/>
        </w:rPr>
        <w:t>假设2：</w:t>
      </w:r>
      <w:r>
        <w:rPr>
          <w:rFonts w:hint="eastAsia" w:ascii="Times New Roman" w:hAnsi="Times New Roman" w:cs="Times New Roman"/>
          <w:b/>
          <w:bCs/>
          <w:sz w:val="24"/>
          <w:lang w:val="en-US" w:eastAsia="zh-CN"/>
        </w:rPr>
        <w:t>高质量</w:t>
      </w:r>
      <w:r>
        <w:rPr>
          <w:rFonts w:hint="eastAsia" w:ascii="Times New Roman" w:hAnsi="Times New Roman" w:cs="Times New Roman"/>
          <w:b/>
          <w:bCs/>
          <w:sz w:val="24"/>
        </w:rPr>
        <w:t>审计行为</w:t>
      </w:r>
      <w:r>
        <w:rPr>
          <w:rFonts w:hint="eastAsia" w:ascii="Times New Roman" w:hAnsi="Times New Roman" w:cs="Times New Roman"/>
          <w:b/>
          <w:bCs/>
          <w:sz w:val="24"/>
          <w:lang w:val="en-US" w:eastAsia="zh-CN"/>
        </w:rPr>
        <w:t>与</w:t>
      </w:r>
      <w:r>
        <w:rPr>
          <w:rFonts w:hint="eastAsia" w:ascii="Times New Roman" w:hAnsi="Times New Roman" w:cs="Times New Roman"/>
          <w:b/>
          <w:bCs/>
          <w:sz w:val="24"/>
        </w:rPr>
        <w:t>企业内控</w:t>
      </w:r>
      <w:r>
        <w:rPr>
          <w:rFonts w:hint="eastAsia" w:ascii="Times New Roman" w:hAnsi="Times New Roman" w:cs="Times New Roman"/>
          <w:b/>
          <w:bCs/>
          <w:sz w:val="24"/>
          <w:lang w:val="en-US" w:eastAsia="zh-CN"/>
        </w:rPr>
        <w:t>水平显著正相关</w:t>
      </w:r>
      <w:r>
        <w:rPr>
          <w:rFonts w:hint="eastAsia" w:ascii="Times New Roman" w:hAnsi="Times New Roman" w:cs="Times New Roman"/>
          <w:b/>
          <w:bCs/>
          <w:sz w:val="24"/>
        </w:rPr>
        <w:t>。</w:t>
      </w:r>
    </w:p>
    <w:p w14:paraId="405DF8B0">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bookmarkStart w:id="8" w:name="_Toc3404"/>
      <w:bookmarkStart w:id="9" w:name="_Toc6312"/>
      <w:r>
        <w:rPr>
          <w:rFonts w:hint="eastAsia" w:ascii="Times New Roman" w:hAnsi="Times New Roman" w:cs="Times New Roman"/>
          <w:b/>
          <w:bCs/>
          <w:sz w:val="24"/>
        </w:rPr>
        <w:t>（三）审计行为、企业内控质量与盈余管理的关系</w:t>
      </w:r>
      <w:bookmarkEnd w:id="8"/>
      <w:bookmarkEnd w:id="9"/>
    </w:p>
    <w:p w14:paraId="1C79CCF1">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黄静如和高雄天</w:t>
      </w:r>
      <w:r>
        <w:rPr>
          <w:rFonts w:hint="eastAsia" w:ascii="Times New Roman" w:hAnsi="Times New Roman" w:cs="Times New Roman"/>
          <w:sz w:val="24"/>
          <w:lang w:eastAsia="zh-CN"/>
        </w:rPr>
        <w:t>（</w:t>
      </w:r>
      <w:r>
        <w:rPr>
          <w:rFonts w:ascii="Times New Roman" w:hAnsi="Times New Roman" w:cs="Times New Roman"/>
          <w:sz w:val="24"/>
        </w:rPr>
        <w:t>2024</w:t>
      </w:r>
      <w:r>
        <w:rPr>
          <w:rFonts w:hint="eastAsia" w:ascii="Times New Roman" w:hAnsi="Times New Roman" w:cs="Times New Roman"/>
          <w:sz w:val="24"/>
        </w:rPr>
        <w:t>）</w:t>
      </w:r>
      <w:r>
        <w:rPr>
          <w:rStyle w:val="12"/>
          <w:rFonts w:hint="eastAsia" w:ascii="Times New Roman" w:hAnsi="Times New Roman" w:cs="Times New Roman"/>
          <w:sz w:val="24"/>
        </w:rPr>
        <w:t>[</w:t>
      </w:r>
      <w:r>
        <w:rPr>
          <w:rStyle w:val="12"/>
          <w:rFonts w:hint="eastAsia" w:ascii="Times New Roman" w:hAnsi="Times New Roman" w:cs="Times New Roman"/>
          <w:sz w:val="24"/>
        </w:rPr>
        <w:endnoteReference w:id="17"/>
      </w:r>
      <w:r>
        <w:rPr>
          <w:rStyle w:val="12"/>
          <w:rFonts w:hint="eastAsia" w:ascii="Times New Roman" w:hAnsi="Times New Roman" w:cs="Times New Roman"/>
          <w:sz w:val="24"/>
        </w:rPr>
        <w:t>]</w:t>
      </w:r>
      <w:r>
        <w:rPr>
          <w:rFonts w:hint="eastAsia" w:ascii="Times New Roman" w:hAnsi="Times New Roman" w:cs="Times New Roman"/>
          <w:sz w:val="24"/>
        </w:rPr>
        <w:t>运用信号传递理论，发现持续经营审计意见的出具可有效抑制管理层真实盈余管理行为，表明审计行为通过传递负面信号强化外部监督，约束企业盈余操纵。而高审计费用会进一步增强这种抑制作用，反映审计资源投入对审计质量的提升；在非国有企业及财务困境企业中，监管效果更为显著，这显示内控薄弱或经营压力大的企业更依赖外部审计来规范盈余管理。</w:t>
      </w:r>
      <w:r>
        <w:rPr>
          <w:rFonts w:ascii="Times New Roman" w:hAnsi="Times New Roman" w:cs="Times New Roman"/>
          <w:sz w:val="24"/>
        </w:rPr>
        <w:t>李慧敏</w:t>
      </w:r>
      <w:r>
        <w:rPr>
          <w:rFonts w:hint="eastAsia" w:ascii="Times New Roman" w:hAnsi="Times New Roman" w:cs="Times New Roman"/>
          <w:sz w:val="24"/>
          <w:lang w:eastAsia="zh-CN"/>
        </w:rPr>
        <w:t>（</w:t>
      </w:r>
      <w:r>
        <w:rPr>
          <w:rFonts w:hint="eastAsia" w:ascii="Times New Roman" w:hAnsi="Times New Roman" w:cs="Times New Roman"/>
          <w:sz w:val="24"/>
        </w:rPr>
        <w:t>2024）</w:t>
      </w:r>
      <w:r>
        <w:rPr>
          <w:rStyle w:val="12"/>
        </w:rPr>
        <w:t>[</w:t>
      </w:r>
      <w:r>
        <w:rPr>
          <w:rStyle w:val="12"/>
          <w:rFonts w:hint="eastAsia" w:ascii="Times New Roman" w:hAnsi="Times New Roman" w:cs="Times New Roman"/>
          <w:sz w:val="24"/>
        </w:rPr>
        <w:endnoteReference w:id="18"/>
      </w:r>
      <w:r>
        <w:rPr>
          <w:rStyle w:val="12"/>
        </w:rPr>
        <w:t>]</w:t>
      </w:r>
      <w:r>
        <w:rPr>
          <w:rFonts w:hint="eastAsia" w:ascii="Times New Roman" w:hAnsi="Times New Roman" w:cs="Times New Roman"/>
          <w:sz w:val="24"/>
          <w:lang w:val="en-US" w:eastAsia="zh-CN"/>
        </w:rPr>
        <w:t>则</w:t>
      </w:r>
      <w:r>
        <w:rPr>
          <w:rFonts w:ascii="Times New Roman" w:hAnsi="Times New Roman" w:cs="Times New Roman"/>
          <w:sz w:val="24"/>
        </w:rPr>
        <w:t>选取</w:t>
      </w:r>
      <w:r>
        <w:rPr>
          <w:rFonts w:hint="eastAsia" w:ascii="Times New Roman" w:hAnsi="Times New Roman" w:cs="Times New Roman"/>
          <w:sz w:val="24"/>
        </w:rPr>
        <w:t>了</w:t>
      </w:r>
      <w:r>
        <w:rPr>
          <w:rFonts w:ascii="Times New Roman" w:hAnsi="Times New Roman" w:cs="Times New Roman"/>
          <w:sz w:val="24"/>
        </w:rPr>
        <w:t>2011</w:t>
      </w:r>
      <w:r>
        <w:rPr>
          <w:rFonts w:hint="eastAsia" w:ascii="Times New Roman" w:hAnsi="Times New Roman" w:cs="Times New Roman"/>
          <w:sz w:val="24"/>
          <w:lang w:eastAsia="zh-CN"/>
        </w:rPr>
        <w:t>—</w:t>
      </w:r>
      <w:r>
        <w:rPr>
          <w:rFonts w:ascii="Times New Roman" w:hAnsi="Times New Roman" w:cs="Times New Roman"/>
          <w:sz w:val="24"/>
        </w:rPr>
        <w:t>2023年沪深交易所上市的A股公司作为样本，</w:t>
      </w:r>
      <w:r>
        <w:rPr>
          <w:rFonts w:hint="eastAsia" w:ascii="Times New Roman" w:hAnsi="Times New Roman" w:cs="Times New Roman"/>
          <w:sz w:val="24"/>
          <w:lang w:val="en-US" w:eastAsia="zh-CN"/>
        </w:rPr>
        <w:t>发现</w:t>
      </w:r>
      <w:r>
        <w:rPr>
          <w:rFonts w:ascii="Times New Roman" w:hAnsi="Times New Roman" w:cs="Times New Roman"/>
          <w:sz w:val="24"/>
        </w:rPr>
        <w:t>审计行为中关键审计事项的披露显著增强了企业盈余持续性，通过提高信息透明度抑制了盈余管理行为。同时，高质量的企业内控质量作为保障，与审计行为共同作用，促进了盈余质量的提升。</w:t>
      </w:r>
      <w:r>
        <w:rPr>
          <w:rFonts w:hint="eastAsia" w:ascii="Times New Roman" w:hAnsi="Times New Roman" w:cs="Times New Roman"/>
          <w:sz w:val="24"/>
          <w:lang w:val="en-US" w:eastAsia="zh-CN"/>
        </w:rPr>
        <w:t>另外，</w:t>
      </w:r>
      <w:r>
        <w:rPr>
          <w:rFonts w:ascii="Times New Roman" w:hAnsi="Times New Roman" w:cs="Times New Roman"/>
          <w:sz w:val="24"/>
        </w:rPr>
        <w:t>审计行为的规范性和内控质量的有效性相辅相成，共同对盈余管理产生制约，进而提升了企业的盈余持续性</w:t>
      </w:r>
      <w:r>
        <w:rPr>
          <w:rFonts w:hint="eastAsia" w:ascii="Times New Roman" w:hAnsi="Times New Roman" w:cs="Times New Roman"/>
          <w:sz w:val="24"/>
        </w:rPr>
        <w:t>。还有学者（刘静和关苗，2024）</w:t>
      </w:r>
      <w:r>
        <w:rPr>
          <w:rStyle w:val="12"/>
        </w:rPr>
        <w:t>[</w:t>
      </w:r>
      <w:r>
        <w:rPr>
          <w:vertAlign w:val="superscript"/>
        </w:rPr>
        <w:fldChar w:fldCharType="begin"/>
      </w:r>
      <w:r>
        <w:rPr>
          <w:vertAlign w:val="superscript"/>
        </w:rPr>
        <w:instrText xml:space="preserve"> NOTEREF _Ref16423 \h </w:instrText>
      </w:r>
      <w:r>
        <w:rPr>
          <w:vertAlign w:val="superscript"/>
        </w:rPr>
        <w:fldChar w:fldCharType="separate"/>
      </w:r>
      <w:r>
        <w:rPr>
          <w:vertAlign w:val="superscript"/>
        </w:rPr>
        <w:t>12</w:t>
      </w:r>
      <w:r>
        <w:rPr>
          <w:vertAlign w:val="superscript"/>
        </w:rPr>
        <w:fldChar w:fldCharType="end"/>
      </w:r>
      <w:r>
        <w:rPr>
          <w:rStyle w:val="12"/>
        </w:rPr>
        <w:t>]</w:t>
      </w:r>
      <w:r>
        <w:rPr>
          <w:rFonts w:hint="eastAsia" w:ascii="Times New Roman" w:hAnsi="Times New Roman" w:cs="Times New Roman"/>
          <w:sz w:val="24"/>
        </w:rPr>
        <w:t>以2017- 2021年我国A股上市公司数据为样本，探究关键审计事项披露对真实盈余管理的影响。研究</w:t>
      </w:r>
      <w:r>
        <w:rPr>
          <w:rFonts w:hint="eastAsia" w:ascii="Times New Roman" w:hAnsi="Times New Roman" w:cs="Times New Roman"/>
          <w:sz w:val="24"/>
          <w:lang w:val="en-US" w:eastAsia="zh-CN"/>
        </w:rPr>
        <w:t>也同样</w:t>
      </w:r>
      <w:r>
        <w:rPr>
          <w:rFonts w:hint="eastAsia" w:ascii="Times New Roman" w:hAnsi="Times New Roman" w:cs="Times New Roman"/>
          <w:sz w:val="24"/>
        </w:rPr>
        <w:t>发现，关键审计事项披露能增强审计师对盈余操纵的识别能力，抑制企业真实盈余管理行为。且在企业数字化赋能下，审计行为与企业内控能实现更好地协同，进而共同作用于盈余管理。</w:t>
      </w:r>
    </w:p>
    <w:p w14:paraId="6DE158F9">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基于上，本文提出第三条假设：</w:t>
      </w:r>
    </w:p>
    <w:p w14:paraId="52858ECD">
      <w:pPr>
        <w:keepNext w:val="0"/>
        <w:keepLines w:val="0"/>
        <w:pageBreakBefore w:val="0"/>
        <w:kinsoku/>
        <w:wordWrap/>
        <w:overflowPunct/>
        <w:topLinePunct w:val="0"/>
        <w:autoSpaceDE/>
        <w:autoSpaceDN/>
        <w:bidi w:val="0"/>
        <w:adjustRightInd/>
        <w:spacing w:line="300" w:lineRule="auto"/>
        <w:ind w:firstLine="482" w:firstLineChars="200"/>
        <w:textAlignment w:val="auto"/>
        <w:rPr>
          <w:rFonts w:ascii="Times New Roman" w:hAnsi="Times New Roman" w:cs="Times New Roman"/>
          <w:b/>
          <w:bCs/>
          <w:sz w:val="24"/>
        </w:rPr>
      </w:pPr>
      <w:r>
        <w:rPr>
          <w:rFonts w:hint="eastAsia" w:ascii="Times New Roman" w:hAnsi="Times New Roman" w:cs="Times New Roman"/>
          <w:b/>
          <w:bCs/>
          <w:sz w:val="24"/>
        </w:rPr>
        <w:t>假设3：</w:t>
      </w:r>
      <w:r>
        <w:rPr>
          <w:rFonts w:hint="eastAsia" w:ascii="Times New Roman" w:hAnsi="Times New Roman" w:cs="Times New Roman"/>
          <w:b/>
          <w:bCs/>
          <w:sz w:val="24"/>
          <w:lang w:val="en-US" w:eastAsia="zh-CN"/>
        </w:rPr>
        <w:t>高质量</w:t>
      </w:r>
      <w:r>
        <w:rPr>
          <w:rFonts w:hint="eastAsia" w:ascii="Times New Roman" w:hAnsi="Times New Roman" w:cs="Times New Roman"/>
          <w:b/>
          <w:bCs/>
          <w:sz w:val="24"/>
        </w:rPr>
        <w:t>审计行为</w:t>
      </w:r>
      <w:r>
        <w:rPr>
          <w:rFonts w:hint="eastAsia" w:ascii="Times New Roman" w:hAnsi="Times New Roman" w:cs="Times New Roman"/>
          <w:b/>
          <w:bCs/>
          <w:sz w:val="24"/>
          <w:lang w:val="en-US" w:eastAsia="zh-CN"/>
        </w:rPr>
        <w:t>以</w:t>
      </w:r>
      <w:r>
        <w:rPr>
          <w:rFonts w:hint="eastAsia" w:ascii="Times New Roman" w:hAnsi="Times New Roman" w:cs="Times New Roman"/>
          <w:b/>
          <w:bCs/>
          <w:sz w:val="24"/>
        </w:rPr>
        <w:t>企业内控</w:t>
      </w:r>
      <w:r>
        <w:rPr>
          <w:rFonts w:hint="eastAsia" w:ascii="Times New Roman" w:hAnsi="Times New Roman" w:cs="Times New Roman"/>
          <w:b/>
          <w:bCs/>
          <w:sz w:val="24"/>
          <w:lang w:val="en-US" w:eastAsia="zh-CN"/>
        </w:rPr>
        <w:t>为中介，</w:t>
      </w:r>
      <w:r>
        <w:rPr>
          <w:rFonts w:hint="eastAsia" w:ascii="Times New Roman" w:hAnsi="Times New Roman" w:cs="Times New Roman"/>
          <w:b/>
          <w:bCs/>
          <w:sz w:val="24"/>
        </w:rPr>
        <w:t>抑制真实盈余管理</w:t>
      </w:r>
      <w:r>
        <w:rPr>
          <w:rFonts w:hint="eastAsia" w:ascii="Times New Roman" w:hAnsi="Times New Roman" w:cs="Times New Roman"/>
          <w:b/>
          <w:bCs/>
          <w:sz w:val="24"/>
          <w:lang w:val="en-US" w:eastAsia="zh-CN"/>
        </w:rPr>
        <w:t>水平</w:t>
      </w:r>
      <w:r>
        <w:rPr>
          <w:rFonts w:hint="eastAsia" w:ascii="Times New Roman" w:hAnsi="Times New Roman" w:cs="Times New Roman"/>
          <w:b/>
          <w:bCs/>
          <w:sz w:val="24"/>
        </w:rPr>
        <w:t>。</w:t>
      </w:r>
    </w:p>
    <w:p w14:paraId="0EE87285">
      <w:pPr>
        <w:keepNext w:val="0"/>
        <w:keepLines w:val="0"/>
        <w:pageBreakBefore w:val="0"/>
        <w:kinsoku/>
        <w:wordWrap/>
        <w:overflowPunct/>
        <w:topLinePunct w:val="0"/>
        <w:autoSpaceDE/>
        <w:autoSpaceDN/>
        <w:bidi w:val="0"/>
        <w:adjustRightInd/>
        <w:spacing w:line="300" w:lineRule="auto"/>
        <w:textAlignment w:val="auto"/>
        <w:outlineLvl w:val="0"/>
        <w:rPr>
          <w:rFonts w:ascii="Times New Roman" w:hAnsi="Times New Roman" w:cs="Times New Roman"/>
          <w:b/>
          <w:bCs/>
          <w:sz w:val="24"/>
        </w:rPr>
      </w:pPr>
      <w:r>
        <w:rPr>
          <w:rFonts w:hint="eastAsia" w:ascii="Times New Roman" w:hAnsi="Times New Roman" w:cs="Times New Roman"/>
          <w:b/>
          <w:bCs/>
          <w:sz w:val="24"/>
        </w:rPr>
        <w:t>三、研究设计</w:t>
      </w:r>
    </w:p>
    <w:p w14:paraId="67B85A27">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本文以企业内控质量为中介变量，研究审计行为对真实盈余管理的影响研究。研究设计如图1所示。</w:t>
      </w:r>
    </w:p>
    <w:p w14:paraId="0E9D940F">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sz w:val="24"/>
        </w:rPr>
        <w:pict>
          <v:shape id="_x0000_s1026" o:spid="_x0000_s1026" o:spt="75" type="#_x0000_t75" style="position:absolute;left:0pt;margin-top:7.25pt;height:201.3pt;width:382.2pt;mso-position-horizontal:center;mso-wrap-distance-bottom:0pt;mso-wrap-distance-left:9pt;mso-wrap-distance-right:9pt;mso-wrap-distance-top:0pt;z-index:251659264;mso-width-relative:page;mso-height-relative:page;" o:ole="t" filled="f" o:preferrelative="t" stroked="f" coordsize="21600,21600">
            <v:path/>
            <v:fill on="f" focussize="0,0"/>
            <v:stroke on="f" joinstyle="miter"/>
            <v:imagedata r:id="rId7" o:title=""/>
            <o:lock v:ext="edit" aspectratio="f"/>
            <w10:wrap type="square"/>
          </v:shape>
          <o:OLEObject Type="Embed" ProgID="Visio.Drawing.15" ShapeID="_x0000_s1026" DrawAspect="Content" ObjectID="_1468075725" r:id="rId6">
            <o:LockedField>false</o:LockedField>
          </o:OLEObject>
        </w:pict>
      </w:r>
      <w:r>
        <w:rPr>
          <w:rFonts w:hint="eastAsia" w:ascii="Times New Roman" w:hAnsi="Times New Roman" w:cs="Times New Roman"/>
          <w:b/>
          <w:bCs/>
          <w:szCs w:val="21"/>
        </w:rPr>
        <w:t>图1 研究框架图</w:t>
      </w:r>
    </w:p>
    <w:p w14:paraId="45D4DE17">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r>
        <w:rPr>
          <w:rFonts w:hint="eastAsia" w:ascii="Times New Roman" w:hAnsi="Times New Roman" w:cs="Times New Roman"/>
          <w:b/>
          <w:bCs/>
          <w:sz w:val="24"/>
        </w:rPr>
        <w:t>（一）研究方法厘选</w:t>
      </w:r>
    </w:p>
    <w:p w14:paraId="366BD0BA">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ascii="Times New Roman" w:hAnsi="Times New Roman" w:cs="Times New Roman"/>
          <w:sz w:val="24"/>
        </w:rPr>
        <w:t>中介效应模型被视为分析变量间作用机制的重要工具。该模型通过构建自变量、中介变量与因变量之间的路径关系，揭示自变量对因变量产生影响的内在过程。中介效应分析不仅方法上具有进步性，而且能够提供比单纯分析自变量对因变量影响更为深入的结果</w:t>
      </w:r>
      <w:r>
        <w:rPr>
          <w:rFonts w:hint="eastAsia" w:ascii="Times New Roman" w:hAnsi="Times New Roman" w:cs="Times New Roman"/>
          <w:sz w:val="24"/>
        </w:rPr>
        <w:t>（温忠麟等，2024）</w:t>
      </w:r>
      <w:r>
        <w:rPr>
          <w:rStyle w:val="12"/>
        </w:rPr>
        <w:t>[</w:t>
      </w:r>
      <w:r>
        <w:rPr>
          <w:rStyle w:val="12"/>
          <w:rFonts w:hint="eastAsia" w:ascii="Times New Roman" w:hAnsi="Times New Roman" w:cs="Times New Roman"/>
          <w:sz w:val="24"/>
        </w:rPr>
        <w:endnoteReference w:id="19"/>
      </w:r>
      <w:r>
        <w:rPr>
          <w:rStyle w:val="12"/>
        </w:rPr>
        <w:t>]</w:t>
      </w:r>
      <w:r>
        <w:rPr>
          <w:rFonts w:ascii="Times New Roman" w:hAnsi="Times New Roman" w:cs="Times New Roman"/>
          <w:sz w:val="24"/>
        </w:rPr>
        <w:t>。中介效应模型是对传统中介分析方法的完善与发展，侧重于因果推断的视角。此外，中介效应的估计方法包括参数化估计和非参数化估计，中介变量存在内生性时的处理方法包括工具变量法和双重差分法</w:t>
      </w:r>
      <w:r>
        <w:rPr>
          <w:rFonts w:hint="eastAsia" w:ascii="Times New Roman" w:hAnsi="Times New Roman" w:cs="Times New Roman"/>
          <w:sz w:val="24"/>
        </w:rPr>
        <w:t>（赵西亮，</w:t>
      </w:r>
      <w:r>
        <w:rPr>
          <w:rFonts w:ascii="Times New Roman" w:hAnsi="Times New Roman" w:cs="Times New Roman"/>
          <w:sz w:val="24"/>
        </w:rPr>
        <w:t>2025</w:t>
      </w:r>
      <w:r>
        <w:rPr>
          <w:rFonts w:hint="eastAsia" w:ascii="Times New Roman" w:hAnsi="Times New Roman" w:cs="Times New Roman"/>
          <w:sz w:val="24"/>
        </w:rPr>
        <w:t>）</w:t>
      </w:r>
      <w:r>
        <w:rPr>
          <w:rStyle w:val="12"/>
        </w:rPr>
        <w:t>[</w:t>
      </w:r>
      <w:r>
        <w:rPr>
          <w:rStyle w:val="12"/>
          <w:rFonts w:hint="eastAsia" w:ascii="Times New Roman" w:hAnsi="Times New Roman" w:cs="Times New Roman"/>
          <w:sz w:val="24"/>
        </w:rPr>
        <w:endnoteReference w:id="20"/>
      </w:r>
      <w:r>
        <w:rPr>
          <w:rStyle w:val="12"/>
        </w:rPr>
        <w:t>]</w:t>
      </w:r>
      <w:r>
        <w:rPr>
          <w:rFonts w:ascii="Times New Roman" w:hAnsi="Times New Roman" w:cs="Times New Roman"/>
          <w:sz w:val="24"/>
        </w:rPr>
        <w:t>。</w:t>
      </w:r>
    </w:p>
    <w:p w14:paraId="31DA81E7">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从理论相符程度看，经典中介效应框架跟本文假设极为匹配，模型将总效应拆分为直接效应，可将“审计行为→内控质量→真实盈余管理”的传导路径进行量化分析。如有学者研究了企业风险承担水平对审计收费的影响，以及形成影响的过程中的中介作用。研究结果显示，企业风险承担程度与审计收费之间呈现出正相关态势，且盈余管理在其中发挥了部分中介作用（马楷纯，2022）</w:t>
      </w:r>
      <w:r>
        <w:rPr>
          <w:rStyle w:val="12"/>
          <w:rFonts w:hint="eastAsia" w:ascii="Times New Roman" w:hAnsi="Times New Roman" w:cs="Times New Roman"/>
          <w:sz w:val="24"/>
        </w:rPr>
        <w:t>[</w:t>
      </w:r>
      <w:r>
        <w:rPr>
          <w:rStyle w:val="12"/>
          <w:rFonts w:hint="eastAsia" w:ascii="Times New Roman" w:hAnsi="Times New Roman" w:cs="Times New Roman"/>
          <w:sz w:val="24"/>
        </w:rPr>
        <w:endnoteReference w:id="21"/>
      </w:r>
      <w:r>
        <w:rPr>
          <w:rStyle w:val="12"/>
          <w:rFonts w:hint="eastAsia" w:ascii="Times New Roman" w:hAnsi="Times New Roman" w:cs="Times New Roman"/>
          <w:sz w:val="24"/>
        </w:rPr>
        <w:t>]</w:t>
      </w:r>
      <w:r>
        <w:rPr>
          <w:rFonts w:hint="eastAsia" w:ascii="Times New Roman" w:hAnsi="Times New Roman" w:cs="Times New Roman"/>
          <w:sz w:val="24"/>
        </w:rPr>
        <w:t>。还有学者研究发现，企业审计委员会独立性、专业性和活跃度等要素，可通过增进内部控制质量，间接增进企业财务成效。采用“中介效应”相关因果分析模型，验证了内部控制质量在审计委员会特征与企业财务绩效关系里的部分中介作用（王冠青和郜攀峰，2023）</w:t>
      </w:r>
      <w:r>
        <w:rPr>
          <w:rStyle w:val="12"/>
          <w:rFonts w:hint="eastAsia" w:ascii="Times New Roman" w:hAnsi="Times New Roman" w:cs="Times New Roman"/>
          <w:sz w:val="24"/>
        </w:rPr>
        <w:t>[</w:t>
      </w:r>
      <w:r>
        <w:rPr>
          <w:rStyle w:val="12"/>
          <w:rFonts w:hint="eastAsia" w:ascii="Times New Roman" w:hAnsi="Times New Roman" w:cs="Times New Roman"/>
          <w:sz w:val="24"/>
        </w:rPr>
        <w:endnoteReference w:id="22"/>
      </w:r>
      <w:r>
        <w:rPr>
          <w:rStyle w:val="12"/>
          <w:rFonts w:hint="eastAsia" w:ascii="Times New Roman" w:hAnsi="Times New Roman" w:cs="Times New Roman"/>
          <w:sz w:val="24"/>
        </w:rPr>
        <w:t>]</w:t>
      </w:r>
      <w:r>
        <w:rPr>
          <w:rFonts w:hint="eastAsia" w:ascii="Times New Roman" w:hAnsi="Times New Roman" w:cs="Times New Roman"/>
          <w:sz w:val="24"/>
        </w:rPr>
        <w:t>。这些研究为本文采纳中介效应模型提供了强有力的实证支撑。</w:t>
      </w:r>
    </w:p>
    <w:p w14:paraId="704EB28B">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lang w:val="en-US" w:eastAsia="zh-CN"/>
        </w:rPr>
        <w:t>基于上，本文拟</w:t>
      </w:r>
      <w:r>
        <w:rPr>
          <w:rFonts w:hint="eastAsia" w:ascii="Times New Roman" w:hAnsi="Times New Roman" w:cs="Times New Roman"/>
          <w:sz w:val="24"/>
        </w:rPr>
        <w:t>构建</w:t>
      </w:r>
      <w:r>
        <w:rPr>
          <w:rFonts w:hint="eastAsia" w:ascii="Times New Roman" w:hAnsi="Times New Roman" w:cs="Times New Roman"/>
          <w:sz w:val="24"/>
          <w:lang w:val="en-US" w:eastAsia="zh-CN"/>
        </w:rPr>
        <w:t>起</w:t>
      </w:r>
      <w:r>
        <w:rPr>
          <w:rFonts w:hint="eastAsia" w:ascii="Times New Roman" w:hAnsi="Times New Roman" w:cs="Times New Roman"/>
          <w:sz w:val="24"/>
        </w:rPr>
        <w:t>以审计费用（ln_AudFee）为核心解释变量、</w:t>
      </w:r>
      <w:r>
        <w:rPr>
          <w:rFonts w:hint="eastAsia" w:ascii="Times New Roman" w:hAnsi="Times New Roman" w:cs="Times New Roman"/>
          <w:sz w:val="24"/>
          <w:lang w:val="en-US" w:eastAsia="zh-CN"/>
        </w:rPr>
        <w:t>真实盈余管理（</w:t>
      </w:r>
      <w:r>
        <w:rPr>
          <w:rFonts w:hint="eastAsia" w:ascii="Times New Roman" w:hAnsi="Times New Roman" w:cs="Times New Roman"/>
          <w:sz w:val="24"/>
        </w:rPr>
        <w:t>REM</w:t>
      </w:r>
      <w:r>
        <w:rPr>
          <w:rFonts w:hint="eastAsia" w:ascii="Times New Roman" w:hAnsi="Times New Roman" w:cs="Times New Roman"/>
          <w:sz w:val="24"/>
          <w:lang w:eastAsia="zh-CN"/>
        </w:rPr>
        <w:t>）</w:t>
      </w:r>
      <w:r>
        <w:rPr>
          <w:rFonts w:hint="eastAsia" w:ascii="Times New Roman" w:hAnsi="Times New Roman" w:cs="Times New Roman"/>
          <w:sz w:val="24"/>
        </w:rPr>
        <w:t>绝对值为被解释变量、内控质量（ICQ）为中介变量的中介效应模型</w:t>
      </w:r>
      <w:r>
        <w:rPr>
          <w:rFonts w:hint="eastAsia" w:ascii="Times New Roman" w:hAnsi="Times New Roman" w:cs="Times New Roman"/>
          <w:sz w:val="24"/>
          <w:lang w:eastAsia="zh-CN"/>
        </w:rPr>
        <w:t>。</w:t>
      </w:r>
    </w:p>
    <w:p w14:paraId="629144FF">
      <w:pPr>
        <w:keepNext w:val="0"/>
        <w:keepLines w:val="0"/>
        <w:pageBreakBefore w:val="0"/>
        <w:kinsoku/>
        <w:wordWrap/>
        <w:overflowPunct/>
        <w:topLinePunct w:val="0"/>
        <w:autoSpaceDE/>
        <w:autoSpaceDN/>
        <w:bidi w:val="0"/>
        <w:adjustRightInd/>
        <w:spacing w:line="300" w:lineRule="auto"/>
        <w:ind w:firstLine="420"/>
        <w:textAlignment w:val="auto"/>
        <w:outlineLvl w:val="1"/>
        <w:rPr>
          <w:rFonts w:hint="eastAsia" w:ascii="Times New Roman" w:hAnsi="Times New Roman" w:cs="Times New Roman"/>
          <w:b/>
          <w:bCs/>
          <w:sz w:val="24"/>
        </w:rPr>
      </w:pPr>
      <w:bookmarkStart w:id="10" w:name="_Toc6542"/>
      <w:bookmarkStart w:id="11" w:name="_Toc18978"/>
      <w:r>
        <w:rPr>
          <w:rFonts w:hint="eastAsia" w:ascii="Times New Roman" w:hAnsi="Times New Roman" w:cs="Times New Roman"/>
          <w:b/>
          <w:bCs/>
          <w:sz w:val="24"/>
        </w:rPr>
        <w:t>（二）变量设计与构建</w:t>
      </w:r>
      <w:bookmarkEnd w:id="10"/>
      <w:bookmarkEnd w:id="11"/>
    </w:p>
    <w:p w14:paraId="6DB39959">
      <w:pPr>
        <w:keepNext w:val="0"/>
        <w:keepLines w:val="0"/>
        <w:pageBreakBefore w:val="0"/>
        <w:kinsoku/>
        <w:wordWrap/>
        <w:overflowPunct/>
        <w:topLinePunct w:val="0"/>
        <w:autoSpaceDE/>
        <w:autoSpaceDN/>
        <w:bidi w:val="0"/>
        <w:adjustRightInd/>
        <w:spacing w:line="300" w:lineRule="auto"/>
        <w:ind w:firstLine="420"/>
        <w:textAlignment w:val="auto"/>
        <w:outlineLvl w:val="2"/>
        <w:rPr>
          <w:rFonts w:hint="eastAsia" w:ascii="Times New Roman" w:hAnsi="Times New Roman" w:cs="Times New Roman"/>
          <w:b/>
          <w:bCs/>
          <w:sz w:val="24"/>
        </w:rPr>
      </w:pPr>
      <w:bookmarkStart w:id="12" w:name="_Toc13811"/>
      <w:bookmarkStart w:id="13" w:name="_Toc9109"/>
      <w:r>
        <w:rPr>
          <w:rFonts w:hint="eastAsia" w:ascii="Times New Roman" w:hAnsi="Times New Roman" w:cs="Times New Roman"/>
          <w:b/>
          <w:bCs/>
          <w:sz w:val="24"/>
        </w:rPr>
        <w:t>1.被解释变量</w:t>
      </w:r>
      <w:bookmarkEnd w:id="12"/>
      <w:r>
        <w:rPr>
          <w:rFonts w:hint="eastAsia" w:ascii="Times New Roman" w:hAnsi="Times New Roman" w:cs="Times New Roman"/>
          <w:b/>
          <w:bCs/>
          <w:sz w:val="24"/>
        </w:rPr>
        <w:t>及其表征</w:t>
      </w:r>
      <w:r>
        <w:rPr>
          <w:rFonts w:hint="eastAsia" w:ascii="Times New Roman" w:hAnsi="Times New Roman" w:cs="Times New Roman"/>
          <w:b/>
          <w:bCs/>
          <w:sz w:val="24"/>
          <w:lang w:eastAsia="zh-CN"/>
        </w:rPr>
        <w:t>－</w:t>
      </w:r>
      <w:r>
        <w:rPr>
          <w:rFonts w:hint="eastAsia" w:ascii="Times New Roman" w:hAnsi="Times New Roman" w:cs="Times New Roman"/>
          <w:b/>
          <w:bCs/>
          <w:sz w:val="24"/>
        </w:rPr>
        <w:t>盈余管理绝对值</w:t>
      </w:r>
      <w:bookmarkEnd w:id="13"/>
    </w:p>
    <w:p w14:paraId="5049D011">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本文基于相关文献研究（刘斌等，2021；</w:t>
      </w:r>
      <w:r>
        <w:rPr>
          <w:rFonts w:ascii="Times New Roman" w:hAnsi="Times New Roman" w:cs="Times New Roman"/>
          <w:sz w:val="24"/>
        </w:rPr>
        <w:t>庾爽</w:t>
      </w:r>
      <w:r>
        <w:rPr>
          <w:rFonts w:hint="eastAsia" w:ascii="Times New Roman" w:hAnsi="Times New Roman" w:cs="Times New Roman"/>
          <w:sz w:val="24"/>
        </w:rPr>
        <w:t>，</w:t>
      </w:r>
      <w:r>
        <w:rPr>
          <w:rFonts w:ascii="Times New Roman" w:hAnsi="Times New Roman" w:cs="Times New Roman"/>
          <w:sz w:val="24"/>
        </w:rPr>
        <w:t>20</w:t>
      </w:r>
      <w:r>
        <w:rPr>
          <w:rFonts w:hint="eastAsia" w:ascii="Times New Roman" w:hAnsi="Times New Roman" w:cs="Times New Roman"/>
          <w:sz w:val="24"/>
        </w:rPr>
        <w:t>2</w:t>
      </w:r>
      <w:r>
        <w:rPr>
          <w:rFonts w:ascii="Times New Roman" w:hAnsi="Times New Roman" w:cs="Times New Roman"/>
          <w:sz w:val="24"/>
        </w:rPr>
        <w:t>3</w:t>
      </w:r>
      <w:r>
        <w:rPr>
          <w:rFonts w:hint="eastAsia" w:ascii="Times New Roman" w:hAnsi="Times New Roman" w:cs="Times New Roman"/>
          <w:sz w:val="24"/>
        </w:rPr>
        <w:t>）</w:t>
      </w:r>
      <w:r>
        <w:rPr>
          <w:rStyle w:val="12"/>
          <w:rFonts w:hint="eastAsia" w:ascii="Times New Roman" w:hAnsi="Times New Roman" w:cs="Times New Roman"/>
          <w:sz w:val="24"/>
        </w:rPr>
        <w:t>[</w:t>
      </w:r>
      <w:r>
        <w:rPr>
          <w:rStyle w:val="12"/>
          <w:rFonts w:ascii="Times New Roman" w:hAnsi="Times New Roman" w:cs="Times New Roman"/>
          <w:sz w:val="24"/>
        </w:rPr>
        <w:endnoteReference w:id="23"/>
      </w:r>
      <w:r>
        <w:rPr>
          <w:rStyle w:val="12"/>
        </w:rPr>
        <w:t>-</w:t>
      </w:r>
      <w:r>
        <w:rPr>
          <w:rStyle w:val="12"/>
          <w:rFonts w:ascii="Times New Roman" w:hAnsi="Times New Roman" w:cs="Times New Roman"/>
          <w:sz w:val="24"/>
        </w:rPr>
        <w:endnoteReference w:id="24"/>
      </w:r>
      <w:r>
        <w:rPr>
          <w:rStyle w:val="12"/>
          <w:rFonts w:hint="eastAsia" w:ascii="Times New Roman" w:hAnsi="Times New Roman" w:cs="Times New Roman"/>
          <w:sz w:val="24"/>
        </w:rPr>
        <w:t>]</w:t>
      </w:r>
      <w:r>
        <w:rPr>
          <w:rFonts w:hint="eastAsia" w:ascii="Times New Roman" w:hAnsi="Times New Roman" w:cs="Times New Roman"/>
          <w:sz w:val="24"/>
        </w:rPr>
        <w:t>，采用真实的盈余管理作为评估盈余管理的指标，其中涉及异常现金流、异常生产成本以及异常费用三个指标的构建。本文分别构建现金流量模型、生产成本模型和费用模型，具体方程如下：</w:t>
      </w:r>
    </w:p>
    <w:p w14:paraId="49C8AAAD">
      <w:pPr>
        <w:keepNext w:val="0"/>
        <w:keepLines w:val="0"/>
        <w:pageBreakBefore w:val="0"/>
        <w:kinsoku/>
        <w:wordWrap/>
        <w:overflowPunct/>
        <w:topLinePunct w:val="0"/>
        <w:autoSpaceDE/>
        <w:autoSpaceDN/>
        <w:bidi w:val="0"/>
        <w:adjustRightInd/>
        <w:spacing w:line="300" w:lineRule="auto"/>
        <w:ind w:firstLine="480" w:firstLineChars="200"/>
        <w:jc w:val="right"/>
        <w:textAlignment w:val="auto"/>
        <w:rPr>
          <w:rFonts w:hint="eastAsia" w:ascii="Times New Roman" w:hAnsi="Times New Roman" w:cs="Times New Roman"/>
          <w:sz w:val="24"/>
        </w:rPr>
      </w:pPr>
      <m:oMath>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CFO</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f>
          <m:fPr>
            <m:ctrlPr>
              <w:rPr>
                <w:rFonts w:ascii="Cambria Math" w:hAnsi="Cambria Math" w:cs="Times New Roman"/>
                <w:sz w:val="24"/>
              </w:rPr>
            </m:ctrlPr>
          </m:fPr>
          <m:num>
            <m:r>
              <m:rPr>
                <m:sty m:val="p"/>
              </m:rPr>
              <w:rPr>
                <w:rFonts w:ascii="Cambria Math" w:hAnsi="Cambria Math" w:cs="Times New Roman"/>
                <w:sz w:val="24"/>
              </w:rPr>
              <m:t>1</m:t>
            </m:r>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2</m:t>
            </m:r>
            <m:ctrlPr>
              <w:rPr>
                <w:rFonts w:ascii="Cambria Math" w:hAnsi="Cambria Math" w:cs="Times New Roman"/>
                <w:sz w:val="24"/>
              </w:rPr>
            </m:ctrlPr>
          </m:sub>
        </m:sSub>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3</m:t>
            </m:r>
            <m:ctrlPr>
              <w:rPr>
                <w:rFonts w:ascii="Cambria Math" w:hAnsi="Cambria Math" w:cs="Times New Roman"/>
                <w:sz w:val="24"/>
              </w:rPr>
            </m:ctrlPr>
          </m:sub>
        </m:sSub>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∆REV</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ε</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 xml:space="preserve">        </w:t>
      </w:r>
      <w:r>
        <w:rPr>
          <w:rFonts w:hint="eastAsia" w:ascii="Times New Roman" w:hAnsi="Times New Roman" w:cs="Times New Roman"/>
          <w:sz w:val="24"/>
          <w:lang w:eastAsia="zh-CN"/>
        </w:rPr>
        <w:t>(</w:t>
      </w:r>
      <w:r>
        <w:rPr>
          <w:rFonts w:hint="eastAsia" w:ascii="Times New Roman" w:hAnsi="Times New Roman" w:cs="Times New Roman"/>
          <w:sz w:val="24"/>
        </w:rPr>
        <w:t>1</w:t>
      </w:r>
      <w:r>
        <w:rPr>
          <w:rFonts w:hint="eastAsia" w:ascii="Times New Roman" w:hAnsi="Times New Roman" w:cs="Times New Roman"/>
          <w:sz w:val="24"/>
          <w:lang w:eastAsia="zh-CN"/>
        </w:rPr>
        <w:t>)</w:t>
      </w:r>
    </w:p>
    <w:p w14:paraId="50B7AF1E">
      <w:pPr>
        <w:keepNext w:val="0"/>
        <w:keepLines w:val="0"/>
        <w:pageBreakBefore w:val="0"/>
        <w:kinsoku/>
        <w:wordWrap/>
        <w:overflowPunct/>
        <w:topLinePunct w:val="0"/>
        <w:autoSpaceDE/>
        <w:autoSpaceDN/>
        <w:bidi w:val="0"/>
        <w:adjustRightInd/>
        <w:spacing w:line="300" w:lineRule="auto"/>
        <w:ind w:firstLine="480" w:firstLineChars="200"/>
        <w:jc w:val="right"/>
        <w:textAlignment w:val="auto"/>
        <w:rPr>
          <w:rFonts w:hint="eastAsia" w:ascii="Times New Roman" w:hAnsi="Times New Roman" w:cs="Times New Roman"/>
          <w:sz w:val="24"/>
        </w:rPr>
      </w:pPr>
      <m:oMath>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PROD</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f>
          <m:fPr>
            <m:ctrlPr>
              <w:rPr>
                <w:rFonts w:ascii="Cambria Math" w:hAnsi="Cambria Math" w:cs="Times New Roman"/>
                <w:sz w:val="24"/>
              </w:rPr>
            </m:ctrlPr>
          </m:fPr>
          <m:num>
            <m:r>
              <m:rPr>
                <m:sty m:val="p"/>
              </m:rPr>
              <w:rPr>
                <w:rFonts w:ascii="Cambria Math" w:hAnsi="Cambria Math" w:cs="Times New Roman"/>
                <w:sz w:val="24"/>
              </w:rPr>
              <m:t>1</m:t>
            </m:r>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2</m:t>
            </m:r>
            <m:ctrlPr>
              <w:rPr>
                <w:rFonts w:ascii="Cambria Math" w:hAnsi="Cambria Math" w:cs="Times New Roman"/>
                <w:sz w:val="24"/>
              </w:rPr>
            </m:ctrlPr>
          </m:sub>
        </m:sSub>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3</m:t>
            </m:r>
            <m:ctrlPr>
              <w:rPr>
                <w:rFonts w:ascii="Cambria Math" w:hAnsi="Cambria Math" w:cs="Times New Roman"/>
                <w:sz w:val="24"/>
              </w:rPr>
            </m:ctrlPr>
          </m:sub>
        </m:sSub>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∆REV</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4</m:t>
            </m:r>
            <m:ctrlPr>
              <w:rPr>
                <w:rFonts w:ascii="Cambria Math" w:hAnsi="Cambria Math" w:cs="Times New Roman"/>
                <w:sz w:val="24"/>
              </w:rPr>
            </m:ctrlPr>
          </m:sub>
        </m:sSub>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∆REV</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ε</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 xml:space="preserve">   （2</w:t>
      </w:r>
      <w:r>
        <w:rPr>
          <w:rFonts w:hint="eastAsia" w:ascii="Times New Roman" w:hAnsi="Times New Roman" w:cs="Times New Roman"/>
          <w:sz w:val="24"/>
          <w:lang w:eastAsia="zh-CN"/>
        </w:rPr>
        <w:t>)</w:t>
      </w:r>
    </w:p>
    <w:p w14:paraId="56AA1D96">
      <w:pPr>
        <w:keepNext w:val="0"/>
        <w:keepLines w:val="0"/>
        <w:pageBreakBefore w:val="0"/>
        <w:kinsoku/>
        <w:wordWrap/>
        <w:overflowPunct/>
        <w:topLinePunct w:val="0"/>
        <w:autoSpaceDE/>
        <w:autoSpaceDN/>
        <w:bidi w:val="0"/>
        <w:adjustRightInd/>
        <w:spacing w:line="300" w:lineRule="auto"/>
        <w:ind w:firstLine="480" w:firstLineChars="200"/>
        <w:jc w:val="right"/>
        <w:textAlignment w:val="auto"/>
        <w:rPr>
          <w:rFonts w:hint="eastAsia" w:ascii="Times New Roman" w:hAnsi="Times New Roman" w:cs="Times New Roman"/>
          <w:sz w:val="24"/>
        </w:rPr>
      </w:pPr>
      <m:oMath>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DISX</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f>
          <m:fPr>
            <m:ctrlPr>
              <w:rPr>
                <w:rFonts w:ascii="Cambria Math" w:hAnsi="Cambria Math" w:cs="Times New Roman"/>
                <w:sz w:val="24"/>
              </w:rPr>
            </m:ctrlPr>
          </m:fPr>
          <m:num>
            <m:r>
              <m:rPr>
                <m:sty m:val="p"/>
              </m:rPr>
              <w:rPr>
                <w:rFonts w:ascii="Cambria Math" w:hAnsi="Cambria Math" w:cs="Times New Roman"/>
                <w:sz w:val="24"/>
              </w:rPr>
              <m:t>1</m:t>
            </m:r>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α</m:t>
            </m:r>
            <m:ctrlPr>
              <w:rPr>
                <w:rFonts w:ascii="Cambria Math" w:hAnsi="Cambria Math" w:cs="Times New Roman"/>
                <w:sz w:val="24"/>
              </w:rPr>
            </m:ctrlPr>
          </m:e>
          <m:sub>
            <m:r>
              <m:rPr>
                <m:sty m:val="p"/>
              </m:rPr>
              <w:rPr>
                <w:rFonts w:ascii="Cambria Math" w:hAnsi="Cambria Math" w:cs="Times New Roman"/>
                <w:sz w:val="24"/>
              </w:rPr>
              <m:t>2</m:t>
            </m:r>
            <m:ctrlPr>
              <w:rPr>
                <w:rFonts w:ascii="Cambria Math" w:hAnsi="Cambria Math" w:cs="Times New Roman"/>
                <w:sz w:val="24"/>
              </w:rPr>
            </m:ctrlPr>
          </m:sub>
        </m:sSub>
        <m:f>
          <m:fPr>
            <m:ctrlPr>
              <w:rPr>
                <w:rFonts w:ascii="Cambria Math" w:hAnsi="Cambria Math" w:cs="Times New Roman"/>
                <w:sz w:val="24"/>
              </w:rPr>
            </m:ctrlPr>
          </m:fPr>
          <m:num>
            <m:sSub>
              <m:sSubPr>
                <m:ctrlPr>
                  <w:rPr>
                    <w:rFonts w:ascii="Cambria Math" w:hAnsi="Cambria Math" w:cs="Times New Roman"/>
                    <w:sz w:val="24"/>
                  </w:rPr>
                </m:ctrlPr>
              </m:sSubPr>
              <m:e>
                <m:r>
                  <m:rPr>
                    <m:sty m:val="p"/>
                  </m:rPr>
                  <w:rPr>
                    <w:rFonts w:ascii="Cambria Math" w:hAnsi="Cambria Math" w:cs="Times New Roman"/>
                    <w:sz w:val="24"/>
                  </w:rPr>
                  <m:t>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num>
          <m:den>
            <m:sSub>
              <m:sSubPr>
                <m:ctrlPr>
                  <w:rPr>
                    <w:rFonts w:ascii="Cambria Math" w:hAnsi="Cambria Math" w:cs="Times New Roman"/>
                    <w:sz w:val="24"/>
                  </w:rPr>
                </m:ctrlPr>
              </m:sSubPr>
              <m:e>
                <m:r>
                  <m:rPr>
                    <m:sty m:val="p"/>
                  </m:rPr>
                  <w:rPr>
                    <w:rFonts w:ascii="Cambria Math" w:hAnsi="Cambria Math" w:cs="Times New Roman"/>
                    <w:sz w:val="24"/>
                  </w:rPr>
                  <m:t>A</m:t>
                </m:r>
                <m:ctrlPr>
                  <w:rPr>
                    <w:rFonts w:ascii="Cambria Math" w:hAnsi="Cambria Math" w:cs="Times New Roman"/>
                    <w:sz w:val="24"/>
                  </w:rPr>
                </m:ctrlPr>
              </m:e>
              <m:sub>
                <m:r>
                  <m:rPr>
                    <m:sty m:val="p"/>
                  </m:rPr>
                  <w:rPr>
                    <w:rFonts w:ascii="Cambria Math" w:hAnsi="Cambria Math" w:cs="Times New Roman"/>
                    <w:sz w:val="24"/>
                  </w:rPr>
                  <m:t>i,t−1</m:t>
                </m:r>
                <m:ctrlPr>
                  <w:rPr>
                    <w:rFonts w:ascii="Cambria Math" w:hAnsi="Cambria Math" w:cs="Times New Roman"/>
                    <w:sz w:val="24"/>
                  </w:rPr>
                </m:ctrlPr>
              </m:sub>
            </m:sSub>
            <m:ctrlPr>
              <w:rPr>
                <w:rFonts w:ascii="Cambria Math" w:hAnsi="Cambria Math" w:cs="Times New Roman"/>
                <w:sz w:val="24"/>
              </w:rPr>
            </m:ctrlPr>
          </m:den>
        </m:f>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ε</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 xml:space="preserve">             </w:t>
      </w:r>
      <w:r>
        <w:rPr>
          <w:rFonts w:hint="eastAsia" w:ascii="Times New Roman" w:hAnsi="Times New Roman" w:cs="Times New Roman"/>
          <w:sz w:val="24"/>
          <w:lang w:eastAsia="zh-CN"/>
        </w:rPr>
        <w:t>(</w:t>
      </w:r>
      <w:r>
        <w:rPr>
          <w:rFonts w:hint="eastAsia" w:ascii="Times New Roman" w:hAnsi="Times New Roman" w:cs="Times New Roman"/>
          <w:sz w:val="24"/>
        </w:rPr>
        <w:t>3</w:t>
      </w:r>
      <w:r>
        <w:rPr>
          <w:rFonts w:hint="eastAsia" w:ascii="Times New Roman" w:hAnsi="Times New Roman" w:cs="Times New Roman"/>
          <w:sz w:val="24"/>
          <w:lang w:eastAsia="zh-CN"/>
        </w:rPr>
        <w:t>)</w:t>
      </w:r>
    </w:p>
    <w:p w14:paraId="28A05F0C">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式（1）、式（2）和式（3）中，CFO表示经营现金流量；S表示销售收入；</w:t>
      </w:r>
      <w:r>
        <w:rPr>
          <w:rFonts w:ascii="Times New Roman" w:hAnsi="Times New Roman" w:cs="Times New Roman"/>
          <w:sz w:val="24"/>
        </w:rPr>
        <w:t>∆REV</w:t>
      </w:r>
      <w:r>
        <w:rPr>
          <w:rFonts w:hint="eastAsia" w:ascii="Times New Roman" w:hAnsi="Times New Roman" w:cs="Times New Roman"/>
          <w:sz w:val="24"/>
        </w:rPr>
        <w:t>表示销售收入变动额；A表示总资产账面价值；PROD是公司的生产成本；DISX表示可自由支配支出；</w:t>
      </w:r>
      <m:oMath>
        <m:r>
          <m:rPr>
            <m:sty m:val="p"/>
          </m:rPr>
          <w:rPr>
            <w:rFonts w:hint="eastAsia" w:ascii="Cambria Math" w:hAnsi="Cambria Math" w:cs="Times New Roman"/>
            <w:sz w:val="24"/>
          </w:rPr>
          <m:t>ε</m:t>
        </m:r>
      </m:oMath>
      <w:r>
        <w:rPr>
          <w:rFonts w:hint="eastAsia" w:ascii="Times New Roman" w:hAnsi="Times New Roman" w:cs="Times New Roman"/>
          <w:sz w:val="24"/>
        </w:rPr>
        <w:t>表示误差项；</w:t>
      </w:r>
      <m:oMath>
        <m:r>
          <m:rPr>
            <m:sty m:val="p"/>
          </m:rPr>
          <w:rPr>
            <w:rFonts w:hint="eastAsia" w:ascii="Cambria Math" w:hAnsi="Cambria Math" w:cs="Times New Roman"/>
            <w:sz w:val="24"/>
          </w:rPr>
          <m:t>α</m:t>
        </m:r>
      </m:oMath>
      <w:r>
        <w:rPr>
          <w:rFonts w:hint="eastAsia" w:ascii="Times New Roman" w:hAnsi="Times New Roman" w:cs="Times New Roman"/>
          <w:sz w:val="24"/>
        </w:rPr>
        <w:t>表示回归系数；i表示不同公司；t表示不同年份。</w:t>
      </w:r>
    </w:p>
    <w:p w14:paraId="1822ED2C">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经过计算拟合出正常的经营性现金流NCFO，正常的生产成本NPROD和正常的可自由支配支出NDISX。式1，式2和式3回归后的残差项分别为非常规的经营性现金流ABCFO，非常规的生产成本ABPROD和非常规的可自由支配支出ABDISX。</w:t>
      </w:r>
    </w:p>
    <w:p w14:paraId="76ECFEB7">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依靠上述三个指标，将真实盈余管理指标定义为</w:t>
      </w:r>
      <w:r>
        <w:rPr>
          <w:rFonts w:hint="eastAsia" w:ascii="Times New Roman" w:hAnsi="Times New Roman" w:cs="Times New Roman"/>
          <w:sz w:val="24"/>
          <w:lang w:eastAsia="zh-CN"/>
        </w:rPr>
        <w:t>：</w:t>
      </w:r>
      <w:r>
        <w:rPr>
          <w:rFonts w:hint="eastAsia" w:ascii="Times New Roman" w:hAnsi="Times New Roman" w:cs="Times New Roman"/>
          <w:sz w:val="24"/>
        </w:rPr>
        <w:t xml:space="preserve"> REM=ABPROD-ABCFO-ABDISX</w:t>
      </w:r>
      <w:r>
        <w:rPr>
          <w:rFonts w:hint="eastAsia" w:ascii="Times New Roman" w:hAnsi="Times New Roman" w:cs="Times New Roman"/>
          <w:sz w:val="24"/>
          <w:lang w:eastAsia="zh-CN"/>
        </w:rPr>
        <w:t>，</w:t>
      </w:r>
      <w:r>
        <w:rPr>
          <w:rFonts w:hint="eastAsia" w:ascii="Times New Roman" w:hAnsi="Times New Roman" w:cs="Times New Roman"/>
          <w:sz w:val="24"/>
        </w:rPr>
        <w:t>将真实盈余管理的绝对值|REM|当作公司盈余管理水平的度量指标（田志凡等，2019）</w:t>
      </w:r>
      <w:r>
        <w:rPr>
          <w:rStyle w:val="12"/>
          <w:rFonts w:hint="eastAsia" w:ascii="Times New Roman" w:hAnsi="Times New Roman" w:cs="Times New Roman"/>
          <w:sz w:val="24"/>
        </w:rPr>
        <w:t>[</w:t>
      </w:r>
      <w:r>
        <w:rPr>
          <w:rStyle w:val="12"/>
          <w:rFonts w:hint="eastAsia" w:ascii="Times New Roman" w:hAnsi="Times New Roman" w:cs="Times New Roman"/>
          <w:sz w:val="24"/>
        </w:rPr>
        <w:endnoteReference w:id="25"/>
      </w:r>
      <w:r>
        <w:rPr>
          <w:rStyle w:val="12"/>
          <w:rFonts w:hint="eastAsia" w:ascii="Times New Roman" w:hAnsi="Times New Roman" w:cs="Times New Roman"/>
          <w:sz w:val="24"/>
        </w:rPr>
        <w:t>]</w:t>
      </w:r>
      <w:r>
        <w:rPr>
          <w:rFonts w:hint="eastAsia" w:ascii="Times New Roman" w:hAnsi="Times New Roman" w:cs="Times New Roman"/>
          <w:sz w:val="24"/>
        </w:rPr>
        <w:t>。</w:t>
      </w:r>
    </w:p>
    <w:p w14:paraId="60C12BA7">
      <w:pPr>
        <w:keepNext w:val="0"/>
        <w:keepLines w:val="0"/>
        <w:pageBreakBefore w:val="0"/>
        <w:kinsoku/>
        <w:wordWrap/>
        <w:overflowPunct/>
        <w:topLinePunct w:val="0"/>
        <w:autoSpaceDE/>
        <w:autoSpaceDN/>
        <w:bidi w:val="0"/>
        <w:adjustRightInd/>
        <w:spacing w:line="300" w:lineRule="auto"/>
        <w:ind w:firstLine="420"/>
        <w:textAlignment w:val="auto"/>
        <w:outlineLvl w:val="2"/>
        <w:rPr>
          <w:rFonts w:hint="eastAsia" w:ascii="Times New Roman" w:hAnsi="Times New Roman" w:cs="Times New Roman"/>
          <w:b/>
          <w:bCs/>
          <w:sz w:val="24"/>
        </w:rPr>
      </w:pPr>
      <w:bookmarkStart w:id="14" w:name="_Toc12330"/>
      <w:bookmarkStart w:id="15" w:name="_Toc10638"/>
      <w:r>
        <w:rPr>
          <w:rFonts w:hint="eastAsia" w:ascii="Times New Roman" w:hAnsi="Times New Roman" w:cs="Times New Roman"/>
          <w:b/>
          <w:bCs/>
          <w:sz w:val="24"/>
        </w:rPr>
        <w:t>2.解释变量</w:t>
      </w:r>
      <w:bookmarkEnd w:id="14"/>
      <w:r>
        <w:rPr>
          <w:rFonts w:hint="eastAsia" w:ascii="Times New Roman" w:hAnsi="Times New Roman" w:cs="Times New Roman"/>
          <w:b/>
          <w:bCs/>
          <w:sz w:val="24"/>
        </w:rPr>
        <w:t>及其表征-审计费用</w:t>
      </w:r>
      <w:bookmarkEnd w:id="15"/>
    </w:p>
    <w:p w14:paraId="4BC920A7">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解释变量是反映审计行为特征的核心指标，在审计领域研究当中有着关键意义。审计行为涉及审计投入、审计程序的开展以及审计独立性等多个层面，这些维度共同左右着审计质量的高低。</w:t>
      </w:r>
    </w:p>
    <w:p w14:paraId="17307119">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由于审计收费能够反映出审计服务的市场价值，从侧面表达了审计师在审计流程中投入的资源以及</w:t>
      </w:r>
      <w:r>
        <w:rPr>
          <w:rFonts w:hint="eastAsia" w:ascii="Times New Roman" w:hAnsi="Times New Roman" w:cs="Times New Roman"/>
          <w:sz w:val="24"/>
          <w:lang w:val="en-US" w:eastAsia="zh-CN"/>
        </w:rPr>
        <w:t>可能</w:t>
      </w:r>
      <w:r>
        <w:rPr>
          <w:rFonts w:hint="eastAsia" w:ascii="Times New Roman" w:hAnsi="Times New Roman" w:cs="Times New Roman"/>
          <w:sz w:val="24"/>
        </w:rPr>
        <w:t>面临的审计风险</w:t>
      </w:r>
      <w:r>
        <w:rPr>
          <w:rFonts w:hint="eastAsia" w:ascii="Times New Roman" w:hAnsi="Times New Roman" w:cs="Times New Roman"/>
          <w:sz w:val="24"/>
          <w:lang w:val="en-US" w:eastAsia="zh-CN"/>
        </w:rPr>
        <w:t>水平</w:t>
      </w:r>
      <w:r>
        <w:rPr>
          <w:rFonts w:hint="eastAsia" w:ascii="Times New Roman" w:hAnsi="Times New Roman" w:cs="Times New Roman"/>
          <w:sz w:val="24"/>
        </w:rPr>
        <w:t>。故本文以用审计收费取对数来表征审计行为（张静，2020）</w:t>
      </w:r>
      <w:r>
        <w:rPr>
          <w:rStyle w:val="12"/>
        </w:rPr>
        <w:t>[</w:t>
      </w:r>
      <w:r>
        <w:rPr>
          <w:rStyle w:val="12"/>
          <w:rFonts w:hint="eastAsia" w:ascii="Times New Roman" w:hAnsi="Times New Roman" w:cs="Times New Roman"/>
          <w:sz w:val="24"/>
        </w:rPr>
        <w:endnoteReference w:id="26"/>
      </w:r>
      <w:r>
        <w:rPr>
          <w:rStyle w:val="12"/>
        </w:rPr>
        <w:t>]</w:t>
      </w:r>
      <w:r>
        <w:rPr>
          <w:rFonts w:hint="eastAsia" w:ascii="Times New Roman" w:hAnsi="Times New Roman" w:cs="Times New Roman"/>
          <w:sz w:val="24"/>
        </w:rPr>
        <w:t>。审计收费上升，意味着审计师在开展审计活动过程中投入的资源更多，审计程序执行可能更严格，审计独立性相对而言保障程度更高，进而对被审计单位的盈余管理行为形成更强的约束效力。</w:t>
      </w:r>
    </w:p>
    <w:p w14:paraId="2BCCD59F">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另外，本文对审计收费采用取对数处理手段，不仅能缓解数据也许存在的异方差状况，让回归结果的稳健性增强，且便于跟其他变量进行线性回归运算。</w:t>
      </w:r>
    </w:p>
    <w:p w14:paraId="155A4ED3">
      <w:pPr>
        <w:keepNext w:val="0"/>
        <w:keepLines w:val="0"/>
        <w:pageBreakBefore w:val="0"/>
        <w:kinsoku/>
        <w:wordWrap/>
        <w:overflowPunct/>
        <w:topLinePunct w:val="0"/>
        <w:autoSpaceDE/>
        <w:autoSpaceDN/>
        <w:bidi w:val="0"/>
        <w:adjustRightInd/>
        <w:spacing w:line="300" w:lineRule="auto"/>
        <w:ind w:firstLine="420"/>
        <w:textAlignment w:val="auto"/>
        <w:outlineLvl w:val="2"/>
        <w:rPr>
          <w:rFonts w:hint="eastAsia" w:ascii="Times New Roman" w:hAnsi="Times New Roman" w:cs="Times New Roman"/>
          <w:b/>
          <w:bCs/>
          <w:sz w:val="24"/>
        </w:rPr>
      </w:pPr>
      <w:bookmarkStart w:id="16" w:name="_Toc10230"/>
      <w:bookmarkStart w:id="17" w:name="_Toc32166"/>
      <w:r>
        <w:rPr>
          <w:rFonts w:hint="eastAsia" w:ascii="Times New Roman" w:hAnsi="Times New Roman" w:cs="Times New Roman"/>
          <w:b/>
          <w:bCs/>
          <w:sz w:val="24"/>
        </w:rPr>
        <w:t>3.中介变量</w:t>
      </w:r>
      <w:bookmarkEnd w:id="16"/>
      <w:r>
        <w:rPr>
          <w:rFonts w:hint="eastAsia" w:ascii="Times New Roman" w:hAnsi="Times New Roman" w:cs="Times New Roman"/>
          <w:b/>
          <w:bCs/>
          <w:sz w:val="24"/>
        </w:rPr>
        <w:t>及其表征</w:t>
      </w:r>
      <w:r>
        <w:rPr>
          <w:rFonts w:hint="eastAsia" w:ascii="Times New Roman" w:hAnsi="Times New Roman" w:cs="Times New Roman"/>
          <w:b/>
          <w:bCs/>
          <w:sz w:val="24"/>
          <w:lang w:eastAsia="zh-CN"/>
        </w:rPr>
        <w:t>－</w:t>
      </w:r>
      <w:r>
        <w:rPr>
          <w:rFonts w:hint="eastAsia" w:ascii="Times New Roman" w:hAnsi="Times New Roman" w:cs="Times New Roman"/>
          <w:b/>
          <w:bCs/>
          <w:sz w:val="24"/>
        </w:rPr>
        <w:t>内部控制质量</w:t>
      </w:r>
      <w:bookmarkEnd w:id="17"/>
    </w:p>
    <w:p w14:paraId="224F4864">
      <w:pPr>
        <w:keepNext w:val="0"/>
        <w:keepLines w:val="0"/>
        <w:pageBreakBefore w:val="0"/>
        <w:kinsoku/>
        <w:wordWrap/>
        <w:overflowPunct/>
        <w:topLinePunct w:val="0"/>
        <w:autoSpaceDE/>
        <w:autoSpaceDN/>
        <w:bidi w:val="0"/>
        <w:adjustRightInd/>
        <w:spacing w:line="300" w:lineRule="auto"/>
        <w:ind w:firstLine="420"/>
        <w:textAlignment w:val="auto"/>
        <w:rPr>
          <w:rFonts w:ascii="Times New Roman" w:hAnsi="Times New Roman" w:cs="Times New Roman"/>
          <w:sz w:val="24"/>
        </w:rPr>
      </w:pPr>
      <w:r>
        <w:rPr>
          <w:rFonts w:hint="eastAsia" w:ascii="Times New Roman" w:hAnsi="Times New Roman" w:cs="Times New Roman"/>
          <w:sz w:val="24"/>
        </w:rPr>
        <w:t>中介变量连接着解释变量和被解释变量，充当传导媒介，推动影响机制的传递。处于企业经营管理的阶段，企业内控质量是影响公司财务信息质量与经营效益的关键因子，健全的内部控制制度可规范企业各类业务流程，保证财务信息真实、准确又完整，同时又可以有效抵御和纠正管理层的舞弊现象。</w:t>
      </w:r>
    </w:p>
    <w:p w14:paraId="65177209">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本文选取内控质量作为中介变量展开研究。从国泰安数据库（CSMAR）下载企业的内控审计报告数据。通过对内控审计报告的细致分析，以“内控实施是否有效”这一指标来表征内控质量，内控实施有效取0，否则取1。</w:t>
      </w:r>
    </w:p>
    <w:p w14:paraId="6957C0F0">
      <w:pPr>
        <w:keepNext w:val="0"/>
        <w:keepLines w:val="0"/>
        <w:pageBreakBefore w:val="0"/>
        <w:kinsoku/>
        <w:wordWrap/>
        <w:overflowPunct/>
        <w:topLinePunct w:val="0"/>
        <w:autoSpaceDE/>
        <w:autoSpaceDN/>
        <w:bidi w:val="0"/>
        <w:adjustRightInd/>
        <w:spacing w:line="300" w:lineRule="auto"/>
        <w:ind w:firstLine="420"/>
        <w:textAlignment w:val="auto"/>
        <w:outlineLvl w:val="2"/>
        <w:rPr>
          <w:rFonts w:hint="eastAsia" w:ascii="Times New Roman" w:hAnsi="Times New Roman" w:cs="Times New Roman"/>
          <w:b/>
          <w:bCs/>
          <w:sz w:val="24"/>
        </w:rPr>
      </w:pPr>
      <w:bookmarkStart w:id="18" w:name="_Toc31152"/>
      <w:bookmarkStart w:id="19" w:name="_Toc6338"/>
      <w:r>
        <w:rPr>
          <w:rFonts w:hint="eastAsia" w:ascii="Times New Roman" w:hAnsi="Times New Roman" w:cs="Times New Roman"/>
          <w:b/>
          <w:bCs/>
          <w:sz w:val="24"/>
        </w:rPr>
        <w:t>4.控制变量</w:t>
      </w:r>
      <w:bookmarkEnd w:id="18"/>
      <w:bookmarkEnd w:id="19"/>
      <w:r>
        <w:rPr>
          <w:rFonts w:hint="eastAsia" w:ascii="Times New Roman" w:hAnsi="Times New Roman" w:cs="Times New Roman"/>
          <w:b/>
          <w:bCs/>
          <w:sz w:val="24"/>
        </w:rPr>
        <w:t>及表征</w:t>
      </w:r>
    </w:p>
    <w:p w14:paraId="09AABF9C">
      <w:pPr>
        <w:keepNext w:val="0"/>
        <w:keepLines w:val="0"/>
        <w:pageBreakBefore w:val="0"/>
        <w:kinsoku/>
        <w:wordWrap/>
        <w:overflowPunct/>
        <w:topLinePunct w:val="0"/>
        <w:autoSpaceDE/>
        <w:autoSpaceDN/>
        <w:bidi w:val="0"/>
        <w:adjustRightInd/>
        <w:spacing w:line="300" w:lineRule="auto"/>
        <w:ind w:firstLine="420"/>
        <w:textAlignment w:val="auto"/>
        <w:rPr>
          <w:rFonts w:ascii="Times New Roman" w:hAnsi="Times New Roman" w:cs="Times New Roman"/>
          <w:sz w:val="24"/>
        </w:rPr>
      </w:pPr>
      <w:r>
        <w:rPr>
          <w:rFonts w:hint="eastAsia" w:ascii="Times New Roman" w:hAnsi="Times New Roman" w:cs="Times New Roman"/>
          <w:sz w:val="24"/>
        </w:rPr>
        <w:t>基于</w:t>
      </w:r>
      <w:r>
        <w:rPr>
          <w:rFonts w:ascii="Times New Roman" w:hAnsi="Times New Roman" w:cs="Times New Roman"/>
          <w:sz w:val="24"/>
        </w:rPr>
        <w:t>审计质量（通过审计收费和审计意见衡量）对真实盈余管理行为的影响</w:t>
      </w:r>
      <w:r>
        <w:rPr>
          <w:rFonts w:hint="eastAsia" w:ascii="Times New Roman" w:hAnsi="Times New Roman" w:cs="Times New Roman"/>
          <w:sz w:val="24"/>
        </w:rPr>
        <w:t>关系（金炫智，2022）</w:t>
      </w:r>
      <w:r>
        <w:rPr>
          <w:rStyle w:val="12"/>
        </w:rPr>
        <w:t>[</w:t>
      </w:r>
      <w:r>
        <w:rPr>
          <w:rStyle w:val="12"/>
          <w:rFonts w:hint="eastAsia" w:ascii="Times New Roman" w:hAnsi="Times New Roman" w:cs="Times New Roman"/>
          <w:sz w:val="24"/>
        </w:rPr>
        <w:endnoteReference w:id="27"/>
      </w:r>
      <w:r>
        <w:rPr>
          <w:rStyle w:val="12"/>
        </w:rPr>
        <w:t>]</w:t>
      </w:r>
      <w:r>
        <w:rPr>
          <w:rFonts w:hint="eastAsia" w:ascii="Times New Roman" w:hAnsi="Times New Roman" w:cs="Times New Roman"/>
          <w:sz w:val="24"/>
        </w:rPr>
        <w:t>，本文特别</w:t>
      </w:r>
      <w:r>
        <w:rPr>
          <w:rFonts w:ascii="Times New Roman" w:hAnsi="Times New Roman" w:cs="Times New Roman"/>
          <w:sz w:val="24"/>
        </w:rPr>
        <w:t>选取</w:t>
      </w:r>
      <w:r>
        <w:rPr>
          <w:rFonts w:hint="eastAsia" w:ascii="Times New Roman" w:hAnsi="Times New Roman" w:cs="Times New Roman"/>
          <w:sz w:val="24"/>
        </w:rPr>
        <w:t>了</w:t>
      </w:r>
      <w:r>
        <w:rPr>
          <w:rFonts w:ascii="Times New Roman" w:hAnsi="Times New Roman" w:cs="Times New Roman"/>
          <w:sz w:val="24"/>
        </w:rPr>
        <w:t>资产负债率、资产净利率、营业收入增长率、总资产周转率、行业和年度作为控制变量</w:t>
      </w:r>
      <w:r>
        <w:rPr>
          <w:rFonts w:hint="eastAsia" w:ascii="Times New Roman" w:hAnsi="Times New Roman" w:cs="Times New Roman"/>
          <w:sz w:val="24"/>
        </w:rPr>
        <w:t>。另外，</w:t>
      </w:r>
      <w:r>
        <w:rPr>
          <w:rFonts w:ascii="Times New Roman" w:hAnsi="Times New Roman" w:cs="Times New Roman"/>
          <w:sz w:val="24"/>
        </w:rPr>
        <w:t>资产负债率、总资产报酬率、前十大股东持股比例以及审计意见</w:t>
      </w:r>
      <w:r>
        <w:rPr>
          <w:rFonts w:hint="eastAsia" w:ascii="Times New Roman" w:hAnsi="Times New Roman" w:cs="Times New Roman"/>
          <w:sz w:val="24"/>
        </w:rPr>
        <w:t>等，亦被视为</w:t>
      </w:r>
      <w:r>
        <w:rPr>
          <w:rFonts w:ascii="Times New Roman" w:hAnsi="Times New Roman" w:cs="Times New Roman"/>
          <w:sz w:val="24"/>
        </w:rPr>
        <w:t>控制变量用于分析会计师事务所审计质量与企业盈余管理行为之间的关系，以确保研究结果的准确性和可靠性</w:t>
      </w:r>
      <w:r>
        <w:rPr>
          <w:rFonts w:hint="eastAsia" w:ascii="Times New Roman" w:hAnsi="Times New Roman" w:cs="Times New Roman"/>
          <w:sz w:val="24"/>
        </w:rPr>
        <w:t>（孙文一，2023）</w:t>
      </w:r>
      <w:r>
        <w:rPr>
          <w:rStyle w:val="12"/>
          <w:highlight w:val="none"/>
        </w:rPr>
        <w:t>[</w:t>
      </w:r>
      <w:r>
        <w:rPr>
          <w:rStyle w:val="12"/>
          <w:rFonts w:ascii="Times New Roman" w:hAnsi="Times New Roman" w:cs="Times New Roman"/>
          <w:sz w:val="24"/>
          <w:highlight w:val="none"/>
        </w:rPr>
        <w:endnoteReference w:id="28"/>
      </w:r>
      <w:r>
        <w:rPr>
          <w:rStyle w:val="12"/>
          <w:highlight w:val="none"/>
        </w:rPr>
        <w:t>]</w:t>
      </w:r>
      <w:r>
        <w:rPr>
          <w:rFonts w:ascii="Times New Roman" w:hAnsi="Times New Roman" w:cs="Times New Roman"/>
          <w:sz w:val="24"/>
        </w:rPr>
        <w:t>。为全面分析分析师行为对盈余管理的影响，研究</w:t>
      </w:r>
      <w:r>
        <w:rPr>
          <w:rFonts w:hint="eastAsia" w:ascii="Times New Roman" w:hAnsi="Times New Roman" w:cs="Times New Roman"/>
          <w:sz w:val="24"/>
        </w:rPr>
        <w:t>还</w:t>
      </w:r>
      <w:r>
        <w:rPr>
          <w:rFonts w:ascii="Times New Roman" w:hAnsi="Times New Roman" w:cs="Times New Roman"/>
          <w:sz w:val="24"/>
        </w:rPr>
        <w:t>选取了公司现金持有水平、董事会规模、独董比例、代理成本、盈余管理柔性、公司成长性、账面市值比、企业性质、是否为四大审计、资产收益率作为控制变量。同时，研究还</w:t>
      </w:r>
      <w:r>
        <w:rPr>
          <w:rFonts w:hint="eastAsia" w:ascii="Times New Roman" w:hAnsi="Times New Roman" w:cs="Times New Roman"/>
          <w:sz w:val="24"/>
        </w:rPr>
        <w:t>纳入</w:t>
      </w:r>
      <w:r>
        <w:rPr>
          <w:rFonts w:ascii="Times New Roman" w:hAnsi="Times New Roman" w:cs="Times New Roman"/>
          <w:sz w:val="24"/>
        </w:rPr>
        <w:t>了年份固定效应和行业固定效应</w:t>
      </w:r>
      <w:r>
        <w:rPr>
          <w:rFonts w:hint="eastAsia" w:ascii="Times New Roman" w:hAnsi="Times New Roman" w:cs="Times New Roman"/>
          <w:sz w:val="24"/>
        </w:rPr>
        <w:t>（于庆超，2024）</w:t>
      </w:r>
      <w:r>
        <w:rPr>
          <w:rStyle w:val="12"/>
        </w:rPr>
        <w:t>[</w:t>
      </w:r>
      <w:r>
        <w:rPr>
          <w:rStyle w:val="12"/>
          <w:rFonts w:hint="eastAsia" w:ascii="Times New Roman" w:hAnsi="Times New Roman" w:cs="Times New Roman"/>
          <w:sz w:val="24"/>
        </w:rPr>
        <w:endnoteReference w:id="29"/>
      </w:r>
      <w:r>
        <w:rPr>
          <w:rStyle w:val="12"/>
        </w:rPr>
        <w:t>]</w:t>
      </w:r>
      <w:r>
        <w:rPr>
          <w:rFonts w:hint="eastAsia" w:ascii="Times New Roman" w:hAnsi="Times New Roman" w:cs="Times New Roman"/>
          <w:sz w:val="24"/>
        </w:rPr>
        <w:t>。</w:t>
      </w:r>
    </w:p>
    <w:p w14:paraId="52A4F596">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b/>
          <w:bCs/>
          <w:sz w:val="24"/>
          <w:lang w:eastAsia="zh-CN"/>
        </w:rPr>
        <w:t>(1)</w:t>
      </w:r>
      <w:r>
        <w:rPr>
          <w:rFonts w:hint="eastAsia" w:ascii="Times New Roman" w:hAnsi="Times New Roman" w:cs="Times New Roman"/>
          <w:b/>
          <w:bCs/>
          <w:sz w:val="24"/>
        </w:rPr>
        <w:t>资产负债率（Debt）：</w:t>
      </w:r>
      <w:r>
        <w:rPr>
          <w:rFonts w:hint="eastAsia" w:ascii="Times New Roman" w:hAnsi="Times New Roman" w:cs="Times New Roman"/>
          <w:sz w:val="24"/>
        </w:rPr>
        <w:t>资产负债率体现出企业的资本结构和长期偿债能力，较高的资产负债率体现企业面临较大的财务压力，也许能增加企业进行盈余管理的劲头，以改进财务指标，达到债权人的标准或维持企业的信用级别。高负债水平可能会影响企业的经营决策以及风险偏好，进而对真实盈余管理起到影响作用。</w:t>
      </w:r>
    </w:p>
    <w:p w14:paraId="3118A3AA">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b/>
          <w:bCs/>
          <w:sz w:val="24"/>
          <w:lang w:eastAsia="zh-CN"/>
        </w:rPr>
        <w:t>(2)</w:t>
      </w:r>
      <w:r>
        <w:rPr>
          <w:rFonts w:hint="eastAsia" w:ascii="Times New Roman" w:hAnsi="Times New Roman" w:cs="Times New Roman"/>
          <w:b/>
          <w:bCs/>
          <w:sz w:val="24"/>
        </w:rPr>
        <w:t>资产净利率（Roa）</w:t>
      </w:r>
      <w:r>
        <w:rPr>
          <w:rFonts w:hint="eastAsia" w:ascii="Times New Roman" w:hAnsi="Times New Roman" w:cs="Times New Roman"/>
          <w:sz w:val="24"/>
        </w:rPr>
        <w:t>：资产净利率体现出企业利用资产的盈利能力，资产净利率高的企业一般有着良好的经营业绩与盈利能力，说不定会降低其进行盈余管理的需求。资产净利率低的企业大概要面临更大的业绩压力，更大概率会采用盈余管理来粉饰财务报表，提高企业市场上的形象与投资者的信心。</w:t>
      </w:r>
    </w:p>
    <w:p w14:paraId="2E6E8596">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b/>
          <w:bCs/>
          <w:sz w:val="24"/>
          <w:lang w:eastAsia="zh-CN"/>
        </w:rPr>
        <w:t>(3)</w:t>
      </w:r>
      <w:r>
        <w:rPr>
          <w:rFonts w:hint="eastAsia" w:ascii="Times New Roman" w:hAnsi="Times New Roman" w:cs="Times New Roman"/>
          <w:b/>
          <w:bCs/>
          <w:sz w:val="24"/>
        </w:rPr>
        <w:t>主营业务收入增长率（Growth）：</w:t>
      </w:r>
      <w:r>
        <w:rPr>
          <w:rFonts w:hint="eastAsia" w:ascii="Times New Roman" w:hAnsi="Times New Roman" w:cs="Times New Roman"/>
          <w:sz w:val="24"/>
        </w:rPr>
        <w:t>主营业务收入增长率体现出企业核心业务的扩张节奏，处于快速增长阶段的企业或许会遭遇更多市场机会与竞争压力，其经营决策与财务状况或许更为复杂，从而对盈余管理行为形成影响。为达成业绩目标或契合市场预期，企业可能采用调整收入确认政策等手段来实施盈余管理。</w:t>
      </w:r>
    </w:p>
    <w:p w14:paraId="6737AEAE">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b/>
          <w:bCs/>
          <w:sz w:val="24"/>
          <w:lang w:eastAsia="zh-CN"/>
        </w:rPr>
        <w:t>(4)</w:t>
      </w:r>
      <w:r>
        <w:rPr>
          <w:rFonts w:hint="eastAsia" w:ascii="Times New Roman" w:hAnsi="Times New Roman" w:cs="Times New Roman"/>
          <w:b/>
          <w:bCs/>
          <w:sz w:val="24"/>
        </w:rPr>
        <w:t>事务所排名（Rank）：</w:t>
      </w:r>
      <w:r>
        <w:rPr>
          <w:rFonts w:hint="eastAsia" w:ascii="Times New Roman" w:hAnsi="Times New Roman" w:cs="Times New Roman"/>
          <w:sz w:val="24"/>
        </w:rPr>
        <w:t>事务所排名反映出审计机构的声誉与专业能力，排名靠前的事务所一般具备更完备的审计标准和更充足的审计经验，并能够提供更高质量的审计服务，对被审计单位的盈余管理行为具备更强的约束效力。</w:t>
      </w:r>
    </w:p>
    <w:p w14:paraId="096DDA47">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b/>
          <w:bCs/>
          <w:sz w:val="24"/>
        </w:rPr>
        <w:t>（</w:t>
      </w:r>
      <w:r>
        <w:rPr>
          <w:rFonts w:ascii="Times New Roman" w:hAnsi="Times New Roman" w:cs="Times New Roman"/>
          <w:b/>
          <w:bCs/>
          <w:sz w:val="24"/>
        </w:rPr>
        <w:t>5</w:t>
      </w:r>
      <w:r>
        <w:rPr>
          <w:rFonts w:hint="eastAsia" w:ascii="Times New Roman" w:hAnsi="Times New Roman" w:cs="Times New Roman"/>
          <w:b/>
          <w:bCs/>
          <w:sz w:val="24"/>
        </w:rPr>
        <w:t>）公司第一大股东持股比例（Top1）：</w:t>
      </w:r>
      <w:r>
        <w:rPr>
          <w:rFonts w:hint="eastAsia" w:ascii="Times New Roman" w:hAnsi="Times New Roman" w:cs="Times New Roman"/>
          <w:sz w:val="24"/>
        </w:rPr>
        <w:t>第一大股东的持股比例体现出公司股权结构的集中程度，股权高度集中的企业更容易受大股东的牵制，大股东可能会为自身利益对企业经营决策和财务报告加以干预，提升盈余管理</w:t>
      </w:r>
      <w:r>
        <w:rPr>
          <w:rFonts w:hint="eastAsia" w:ascii="Times New Roman" w:hAnsi="Times New Roman" w:cs="Times New Roman"/>
          <w:sz w:val="24"/>
          <w:lang w:val="en-US" w:eastAsia="zh-CN"/>
        </w:rPr>
        <w:t>行为</w:t>
      </w:r>
      <w:r>
        <w:rPr>
          <w:rFonts w:hint="eastAsia" w:ascii="Times New Roman" w:hAnsi="Times New Roman" w:cs="Times New Roman"/>
          <w:sz w:val="24"/>
        </w:rPr>
        <w:t>的</w:t>
      </w:r>
      <w:r>
        <w:rPr>
          <w:rFonts w:hint="eastAsia" w:ascii="Times New Roman" w:hAnsi="Times New Roman" w:cs="Times New Roman"/>
          <w:sz w:val="24"/>
          <w:lang w:val="en-US" w:eastAsia="zh-CN"/>
        </w:rPr>
        <w:t>概</w:t>
      </w:r>
      <w:r>
        <w:rPr>
          <w:rFonts w:hint="eastAsia" w:ascii="Times New Roman" w:hAnsi="Times New Roman" w:cs="Times New Roman"/>
          <w:sz w:val="24"/>
        </w:rPr>
        <w:t>率。</w:t>
      </w:r>
    </w:p>
    <w:p w14:paraId="593B166D">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sz w:val="24"/>
          <w:lang w:val="en-US" w:eastAsia="zh-CN"/>
        </w:rPr>
        <w:t>控制</w:t>
      </w:r>
      <w:r>
        <w:rPr>
          <w:rFonts w:hint="eastAsia" w:ascii="Times New Roman" w:hAnsi="Times New Roman" w:cs="Times New Roman"/>
          <w:sz w:val="24"/>
        </w:rPr>
        <w:t>变量的具体定义见表1。</w:t>
      </w:r>
    </w:p>
    <w:p w14:paraId="30C118A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 w:val="24"/>
        </w:rPr>
      </w:pPr>
      <w:r>
        <w:rPr>
          <w:rFonts w:hint="eastAsia" w:ascii="Times New Roman" w:hAnsi="Times New Roman" w:cs="Times New Roman"/>
          <w:b/>
          <w:bCs/>
          <w:szCs w:val="21"/>
        </w:rPr>
        <w:t>表1 模型变量及表征</w:t>
      </w:r>
    </w:p>
    <w:tbl>
      <w:tblPr>
        <w:tblStyle w:val="10"/>
        <w:tblW w:w="85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1374"/>
        <w:gridCol w:w="2370"/>
        <w:gridCol w:w="3403"/>
      </w:tblGrid>
      <w:tr w14:paraId="62582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73" w:type="dxa"/>
            <w:tcBorders>
              <w:left w:val="nil"/>
              <w:right w:val="nil"/>
            </w:tcBorders>
          </w:tcPr>
          <w:p w14:paraId="4527A92F">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变量</w:t>
            </w:r>
            <w:r>
              <w:rPr>
                <w:rFonts w:hint="eastAsia" w:ascii="Times New Roman" w:hAnsi="Times New Roman" w:cs="Times New Roman"/>
                <w:b/>
                <w:bCs/>
                <w:szCs w:val="21"/>
              </w:rPr>
              <w:t>类型</w:t>
            </w:r>
          </w:p>
        </w:tc>
        <w:tc>
          <w:tcPr>
            <w:tcW w:w="1374" w:type="dxa"/>
            <w:tcBorders>
              <w:left w:val="nil"/>
              <w:right w:val="nil"/>
            </w:tcBorders>
          </w:tcPr>
          <w:p w14:paraId="3B5E33DB">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变量代码</w:t>
            </w:r>
          </w:p>
        </w:tc>
        <w:tc>
          <w:tcPr>
            <w:tcW w:w="2370" w:type="dxa"/>
            <w:tcBorders>
              <w:left w:val="nil"/>
              <w:right w:val="nil"/>
            </w:tcBorders>
          </w:tcPr>
          <w:p w14:paraId="23295A3D">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w:t>
            </w:r>
            <w:r>
              <w:rPr>
                <w:rFonts w:ascii="Times New Roman" w:hAnsi="Times New Roman" w:cs="Times New Roman"/>
                <w:b/>
                <w:bCs/>
                <w:szCs w:val="21"/>
              </w:rPr>
              <w:t>名称</w:t>
            </w:r>
          </w:p>
        </w:tc>
        <w:tc>
          <w:tcPr>
            <w:tcW w:w="3403" w:type="dxa"/>
            <w:tcBorders>
              <w:left w:val="nil"/>
              <w:right w:val="nil"/>
            </w:tcBorders>
          </w:tcPr>
          <w:p w14:paraId="36733BFD">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变量</w:t>
            </w:r>
            <w:r>
              <w:rPr>
                <w:rFonts w:hint="eastAsia" w:ascii="Times New Roman" w:hAnsi="Times New Roman" w:cs="Times New Roman"/>
                <w:b/>
                <w:bCs/>
                <w:szCs w:val="21"/>
              </w:rPr>
              <w:t>表征</w:t>
            </w:r>
          </w:p>
        </w:tc>
      </w:tr>
      <w:tr w14:paraId="4120E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tcBorders>
              <w:left w:val="nil"/>
              <w:bottom w:val="single" w:color="auto" w:sz="4" w:space="0"/>
              <w:right w:val="nil"/>
            </w:tcBorders>
            <w:vAlign w:val="center"/>
          </w:tcPr>
          <w:p w14:paraId="7889850E">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解释变量</w:t>
            </w:r>
          </w:p>
        </w:tc>
        <w:tc>
          <w:tcPr>
            <w:tcW w:w="1374" w:type="dxa"/>
            <w:tcBorders>
              <w:left w:val="nil"/>
              <w:bottom w:val="single" w:color="auto" w:sz="4" w:space="0"/>
              <w:right w:val="nil"/>
            </w:tcBorders>
            <w:vAlign w:val="center"/>
          </w:tcPr>
          <w:p w14:paraId="3C47D539">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ln_AudFee</w:t>
            </w:r>
          </w:p>
        </w:tc>
        <w:tc>
          <w:tcPr>
            <w:tcW w:w="2370" w:type="dxa"/>
            <w:tcBorders>
              <w:left w:val="nil"/>
              <w:bottom w:val="single" w:color="auto" w:sz="4" w:space="0"/>
              <w:right w:val="nil"/>
            </w:tcBorders>
            <w:vAlign w:val="center"/>
          </w:tcPr>
          <w:p w14:paraId="4E1B4967">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审计费用</w:t>
            </w:r>
          </w:p>
        </w:tc>
        <w:tc>
          <w:tcPr>
            <w:tcW w:w="3403" w:type="dxa"/>
            <w:tcBorders>
              <w:left w:val="nil"/>
              <w:bottom w:val="single" w:color="auto" w:sz="4" w:space="0"/>
              <w:right w:val="nil"/>
            </w:tcBorders>
            <w:vAlign w:val="center"/>
          </w:tcPr>
          <w:p w14:paraId="464FB645">
            <w:pPr>
              <w:pStyle w:val="5"/>
              <w:keepNext w:val="0"/>
              <w:keepLines w:val="0"/>
              <w:pageBreakBefore w:val="0"/>
              <w:kinsoku/>
              <w:wordWrap/>
              <w:overflowPunct/>
              <w:topLinePunct w:val="0"/>
              <w:autoSpaceDE/>
              <w:autoSpaceDN/>
              <w:bidi w:val="0"/>
              <w:adjustRightInd/>
              <w:snapToGrid w:val="0"/>
              <w:spacing w:line="300" w:lineRule="auto"/>
              <w:textAlignment w:val="auto"/>
              <w:rPr>
                <w:rFonts w:ascii="Times New Roman" w:hAnsi="Times New Roman" w:cs="Times New Roman"/>
                <w:szCs w:val="21"/>
              </w:rPr>
            </w:pPr>
            <w:r>
              <w:rPr>
                <w:rFonts w:ascii="Times New Roman" w:hAnsi="Times New Roman" w:cs="Times New Roman"/>
                <w:szCs w:val="21"/>
              </w:rPr>
              <w:t>公司支付给审计机构费用取对数</w:t>
            </w:r>
          </w:p>
        </w:tc>
      </w:tr>
      <w:tr w14:paraId="3115B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1373" w:type="dxa"/>
            <w:tcBorders>
              <w:top w:val="single" w:color="auto" w:sz="4" w:space="0"/>
              <w:left w:val="nil"/>
              <w:bottom w:val="single" w:color="auto" w:sz="4" w:space="0"/>
              <w:right w:val="nil"/>
            </w:tcBorders>
            <w:vAlign w:val="center"/>
          </w:tcPr>
          <w:p w14:paraId="06FF29AF">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被解释变量</w:t>
            </w:r>
          </w:p>
        </w:tc>
        <w:tc>
          <w:tcPr>
            <w:tcW w:w="1374" w:type="dxa"/>
            <w:tcBorders>
              <w:top w:val="single" w:color="auto" w:sz="4" w:space="0"/>
              <w:left w:val="nil"/>
              <w:bottom w:val="single" w:color="auto" w:sz="4" w:space="0"/>
              <w:right w:val="nil"/>
            </w:tcBorders>
            <w:vAlign w:val="center"/>
          </w:tcPr>
          <w:p w14:paraId="48CD57EC">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REM_abs</w:t>
            </w:r>
          </w:p>
        </w:tc>
        <w:tc>
          <w:tcPr>
            <w:tcW w:w="2370" w:type="dxa"/>
            <w:tcBorders>
              <w:top w:val="single" w:color="auto" w:sz="4" w:space="0"/>
              <w:left w:val="nil"/>
              <w:bottom w:val="single" w:color="auto" w:sz="4" w:space="0"/>
              <w:right w:val="nil"/>
            </w:tcBorders>
            <w:vAlign w:val="center"/>
          </w:tcPr>
          <w:p w14:paraId="6316C96D">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盈余管理绝对值</w:t>
            </w:r>
          </w:p>
        </w:tc>
        <w:tc>
          <w:tcPr>
            <w:tcW w:w="3403" w:type="dxa"/>
            <w:tcBorders>
              <w:top w:val="single" w:color="auto" w:sz="4" w:space="0"/>
              <w:left w:val="nil"/>
              <w:bottom w:val="single" w:color="auto" w:sz="4" w:space="0"/>
              <w:right w:val="nil"/>
            </w:tcBorders>
          </w:tcPr>
          <w:p w14:paraId="0542D882">
            <w:pPr>
              <w:pStyle w:val="5"/>
              <w:keepNext w:val="0"/>
              <w:keepLines w:val="0"/>
              <w:pageBreakBefore w:val="0"/>
              <w:kinsoku/>
              <w:wordWrap/>
              <w:overflowPunct/>
              <w:topLinePunct w:val="0"/>
              <w:autoSpaceDE/>
              <w:autoSpaceDN/>
              <w:bidi w:val="0"/>
              <w:adjustRightInd/>
              <w:snapToGrid w:val="0"/>
              <w:spacing w:line="300" w:lineRule="auto"/>
              <w:textAlignment w:val="auto"/>
              <w:rPr>
                <w:rFonts w:ascii="Times New Roman" w:hAnsi="Times New Roman" w:cs="Times New Roman"/>
                <w:szCs w:val="21"/>
              </w:rPr>
            </w:pPr>
            <w:r>
              <w:rPr>
                <w:rFonts w:ascii="Times New Roman" w:hAnsi="Times New Roman" w:cs="Times New Roman"/>
                <w:szCs w:val="21"/>
              </w:rPr>
              <w:t>包括异常经营活动现金流、异常生产成本和异常可操控费用，通过绝对值衡量总体真实盈余管理的程度</w:t>
            </w:r>
          </w:p>
        </w:tc>
      </w:tr>
      <w:tr w14:paraId="2A7D1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73" w:type="dxa"/>
            <w:tcBorders>
              <w:top w:val="single" w:color="auto" w:sz="4" w:space="0"/>
              <w:left w:val="nil"/>
              <w:bottom w:val="single" w:color="auto" w:sz="4" w:space="0"/>
              <w:right w:val="nil"/>
            </w:tcBorders>
            <w:vAlign w:val="center"/>
          </w:tcPr>
          <w:p w14:paraId="2499C766">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中介变量</w:t>
            </w:r>
          </w:p>
        </w:tc>
        <w:tc>
          <w:tcPr>
            <w:tcW w:w="1374" w:type="dxa"/>
            <w:tcBorders>
              <w:top w:val="single" w:color="auto" w:sz="4" w:space="0"/>
              <w:left w:val="nil"/>
              <w:bottom w:val="single" w:color="auto" w:sz="4" w:space="0"/>
              <w:right w:val="nil"/>
            </w:tcBorders>
            <w:vAlign w:val="center"/>
          </w:tcPr>
          <w:p w14:paraId="008FD624">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ICQ</w:t>
            </w:r>
          </w:p>
        </w:tc>
        <w:tc>
          <w:tcPr>
            <w:tcW w:w="2370" w:type="dxa"/>
            <w:tcBorders>
              <w:top w:val="single" w:color="auto" w:sz="4" w:space="0"/>
              <w:left w:val="nil"/>
              <w:bottom w:val="single" w:color="auto" w:sz="4" w:space="0"/>
              <w:right w:val="nil"/>
            </w:tcBorders>
            <w:vAlign w:val="center"/>
          </w:tcPr>
          <w:p w14:paraId="15FD329E">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内部控制质量</w:t>
            </w:r>
          </w:p>
        </w:tc>
        <w:tc>
          <w:tcPr>
            <w:tcW w:w="3403" w:type="dxa"/>
            <w:tcBorders>
              <w:top w:val="single" w:color="auto" w:sz="4" w:space="0"/>
              <w:left w:val="nil"/>
              <w:bottom w:val="single" w:color="auto" w:sz="4" w:space="0"/>
              <w:right w:val="nil"/>
            </w:tcBorders>
            <w:vAlign w:val="center"/>
          </w:tcPr>
          <w:p w14:paraId="104AFBE8">
            <w:pPr>
              <w:pStyle w:val="5"/>
              <w:keepNext w:val="0"/>
              <w:keepLines w:val="0"/>
              <w:pageBreakBefore w:val="0"/>
              <w:kinsoku/>
              <w:wordWrap/>
              <w:overflowPunct/>
              <w:topLinePunct w:val="0"/>
              <w:autoSpaceDE/>
              <w:autoSpaceDN/>
              <w:bidi w:val="0"/>
              <w:adjustRightInd/>
              <w:snapToGrid w:val="0"/>
              <w:spacing w:line="300" w:lineRule="auto"/>
              <w:textAlignment w:val="auto"/>
              <w:rPr>
                <w:rFonts w:ascii="Times New Roman" w:hAnsi="Times New Roman" w:cs="Times New Roman"/>
                <w:szCs w:val="21"/>
              </w:rPr>
            </w:pPr>
            <w:r>
              <w:rPr>
                <w:rFonts w:ascii="Times New Roman" w:hAnsi="Times New Roman" w:cs="Times New Roman"/>
                <w:szCs w:val="21"/>
              </w:rPr>
              <w:t>内控评价报告的内控有效取0，否则取1</w:t>
            </w:r>
          </w:p>
        </w:tc>
      </w:tr>
      <w:tr w14:paraId="183F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restart"/>
            <w:tcBorders>
              <w:left w:val="nil"/>
              <w:right w:val="nil"/>
            </w:tcBorders>
            <w:vAlign w:val="center"/>
          </w:tcPr>
          <w:p w14:paraId="54181209">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控制变量</w:t>
            </w:r>
          </w:p>
        </w:tc>
        <w:tc>
          <w:tcPr>
            <w:tcW w:w="1374" w:type="dxa"/>
            <w:tcBorders>
              <w:top w:val="nil"/>
              <w:left w:val="nil"/>
              <w:bottom w:val="nil"/>
              <w:right w:val="nil"/>
            </w:tcBorders>
            <w:vAlign w:val="center"/>
          </w:tcPr>
          <w:p w14:paraId="71A9D014">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Debt</w:t>
            </w:r>
          </w:p>
        </w:tc>
        <w:tc>
          <w:tcPr>
            <w:tcW w:w="2370" w:type="dxa"/>
            <w:tcBorders>
              <w:top w:val="nil"/>
              <w:left w:val="nil"/>
              <w:bottom w:val="nil"/>
              <w:right w:val="nil"/>
            </w:tcBorders>
            <w:vAlign w:val="center"/>
          </w:tcPr>
          <w:p w14:paraId="7066AB2D">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资产负债率</w:t>
            </w:r>
          </w:p>
        </w:tc>
        <w:tc>
          <w:tcPr>
            <w:tcW w:w="3403" w:type="dxa"/>
            <w:tcBorders>
              <w:top w:val="nil"/>
              <w:left w:val="nil"/>
              <w:bottom w:val="nil"/>
              <w:right w:val="nil"/>
            </w:tcBorders>
            <w:vAlign w:val="center"/>
          </w:tcPr>
          <w:p w14:paraId="3E2FC0A2">
            <w:pPr>
              <w:pStyle w:val="5"/>
              <w:keepNext w:val="0"/>
              <w:keepLines w:val="0"/>
              <w:pageBreakBefore w:val="0"/>
              <w:kinsoku/>
              <w:wordWrap/>
              <w:overflowPunct/>
              <w:topLinePunct w:val="0"/>
              <w:autoSpaceDE/>
              <w:autoSpaceDN/>
              <w:bidi w:val="0"/>
              <w:adjustRightInd/>
              <w:snapToGrid w:val="0"/>
              <w:spacing w:line="300" w:lineRule="auto"/>
              <w:textAlignment w:val="auto"/>
              <w:rPr>
                <w:rFonts w:ascii="Times New Roman" w:hAnsi="Times New Roman" w:cs="Times New Roman"/>
                <w:szCs w:val="21"/>
              </w:rPr>
            </w:pPr>
            <w:r>
              <w:rPr>
                <w:rFonts w:ascii="Times New Roman" w:hAnsi="Times New Roman" w:cs="Times New Roman"/>
                <w:szCs w:val="21"/>
              </w:rPr>
              <w:t>公司总负债与总资产的比率</w:t>
            </w:r>
          </w:p>
        </w:tc>
      </w:tr>
      <w:tr w14:paraId="358D7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continue"/>
            <w:tcBorders>
              <w:left w:val="nil"/>
              <w:right w:val="nil"/>
            </w:tcBorders>
          </w:tcPr>
          <w:p w14:paraId="5E5540B5">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p>
        </w:tc>
        <w:tc>
          <w:tcPr>
            <w:tcW w:w="1374" w:type="dxa"/>
            <w:tcBorders>
              <w:top w:val="nil"/>
              <w:left w:val="nil"/>
              <w:bottom w:val="nil"/>
              <w:right w:val="nil"/>
            </w:tcBorders>
            <w:vAlign w:val="center"/>
          </w:tcPr>
          <w:p w14:paraId="5F50B526">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Roa</w:t>
            </w:r>
          </w:p>
        </w:tc>
        <w:tc>
          <w:tcPr>
            <w:tcW w:w="2370" w:type="dxa"/>
            <w:tcBorders>
              <w:top w:val="nil"/>
              <w:left w:val="nil"/>
              <w:bottom w:val="nil"/>
              <w:right w:val="nil"/>
            </w:tcBorders>
            <w:vAlign w:val="center"/>
          </w:tcPr>
          <w:p w14:paraId="55189BD2">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资产净利率</w:t>
            </w:r>
          </w:p>
        </w:tc>
        <w:tc>
          <w:tcPr>
            <w:tcW w:w="3403" w:type="dxa"/>
            <w:tcBorders>
              <w:top w:val="nil"/>
              <w:left w:val="nil"/>
              <w:bottom w:val="nil"/>
              <w:right w:val="nil"/>
            </w:tcBorders>
            <w:vAlign w:val="center"/>
          </w:tcPr>
          <w:p w14:paraId="64BA88D3">
            <w:pPr>
              <w:pStyle w:val="5"/>
              <w:keepNext w:val="0"/>
              <w:keepLines w:val="0"/>
              <w:pageBreakBefore w:val="0"/>
              <w:kinsoku/>
              <w:wordWrap/>
              <w:overflowPunct/>
              <w:topLinePunct w:val="0"/>
              <w:autoSpaceDE/>
              <w:autoSpaceDN/>
              <w:bidi w:val="0"/>
              <w:adjustRightInd/>
              <w:snapToGrid w:val="0"/>
              <w:spacing w:line="300" w:lineRule="auto"/>
              <w:textAlignment w:val="auto"/>
              <w:rPr>
                <w:rFonts w:ascii="Times New Roman" w:hAnsi="Times New Roman" w:cs="Times New Roman"/>
                <w:szCs w:val="21"/>
              </w:rPr>
            </w:pPr>
            <w:r>
              <w:rPr>
                <w:rFonts w:ascii="Times New Roman" w:hAnsi="Times New Roman" w:cs="Times New Roman"/>
                <w:szCs w:val="21"/>
              </w:rPr>
              <w:t>公司净利润与总资产的比率</w:t>
            </w:r>
          </w:p>
        </w:tc>
      </w:tr>
      <w:tr w14:paraId="38D8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continue"/>
            <w:tcBorders>
              <w:left w:val="nil"/>
              <w:right w:val="nil"/>
            </w:tcBorders>
          </w:tcPr>
          <w:p w14:paraId="7B160EF9">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p>
        </w:tc>
        <w:tc>
          <w:tcPr>
            <w:tcW w:w="1374" w:type="dxa"/>
            <w:tcBorders>
              <w:top w:val="nil"/>
              <w:left w:val="nil"/>
              <w:bottom w:val="nil"/>
              <w:right w:val="nil"/>
            </w:tcBorders>
            <w:vAlign w:val="center"/>
          </w:tcPr>
          <w:p w14:paraId="674A461B">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Growth</w:t>
            </w:r>
          </w:p>
        </w:tc>
        <w:tc>
          <w:tcPr>
            <w:tcW w:w="2370" w:type="dxa"/>
            <w:tcBorders>
              <w:top w:val="nil"/>
              <w:left w:val="nil"/>
              <w:bottom w:val="nil"/>
              <w:right w:val="nil"/>
            </w:tcBorders>
            <w:vAlign w:val="center"/>
          </w:tcPr>
          <w:p w14:paraId="564B57A7">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主营业务收入增长率</w:t>
            </w:r>
          </w:p>
        </w:tc>
        <w:tc>
          <w:tcPr>
            <w:tcW w:w="3403" w:type="dxa"/>
            <w:tcBorders>
              <w:top w:val="nil"/>
              <w:left w:val="nil"/>
              <w:bottom w:val="nil"/>
              <w:right w:val="nil"/>
            </w:tcBorders>
            <w:vAlign w:val="center"/>
          </w:tcPr>
          <w:p w14:paraId="7CA5C18F">
            <w:pPr>
              <w:pStyle w:val="5"/>
              <w:keepNext w:val="0"/>
              <w:keepLines w:val="0"/>
              <w:pageBreakBefore w:val="0"/>
              <w:kinsoku/>
              <w:wordWrap/>
              <w:overflowPunct/>
              <w:topLinePunct w:val="0"/>
              <w:autoSpaceDE/>
              <w:autoSpaceDN/>
              <w:bidi w:val="0"/>
              <w:adjustRightInd/>
              <w:snapToGrid w:val="0"/>
              <w:spacing w:line="300" w:lineRule="auto"/>
              <w:textAlignment w:val="auto"/>
              <w:rPr>
                <w:rFonts w:ascii="Times New Roman" w:hAnsi="Times New Roman" w:cs="Times New Roman"/>
                <w:szCs w:val="21"/>
              </w:rPr>
            </w:pPr>
            <w:r>
              <w:rPr>
                <w:rFonts w:ascii="Times New Roman" w:hAnsi="Times New Roman" w:cs="Times New Roman"/>
                <w:szCs w:val="21"/>
              </w:rPr>
              <w:t>公司主营业务收入在一定期间内的增长幅度</w:t>
            </w:r>
          </w:p>
        </w:tc>
      </w:tr>
      <w:tr w14:paraId="7D3E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continue"/>
            <w:tcBorders>
              <w:left w:val="nil"/>
              <w:right w:val="nil"/>
            </w:tcBorders>
          </w:tcPr>
          <w:p w14:paraId="322E3090">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p>
        </w:tc>
        <w:tc>
          <w:tcPr>
            <w:tcW w:w="1374" w:type="dxa"/>
            <w:tcBorders>
              <w:top w:val="nil"/>
              <w:left w:val="nil"/>
              <w:bottom w:val="nil"/>
              <w:right w:val="nil"/>
            </w:tcBorders>
            <w:vAlign w:val="center"/>
          </w:tcPr>
          <w:p w14:paraId="2FC2D55C">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Rank</w:t>
            </w:r>
          </w:p>
        </w:tc>
        <w:tc>
          <w:tcPr>
            <w:tcW w:w="2370" w:type="dxa"/>
            <w:tcBorders>
              <w:top w:val="nil"/>
              <w:left w:val="nil"/>
              <w:bottom w:val="nil"/>
              <w:right w:val="nil"/>
            </w:tcBorders>
            <w:vAlign w:val="center"/>
          </w:tcPr>
          <w:p w14:paraId="74FA679D">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事务所排名</w:t>
            </w:r>
          </w:p>
        </w:tc>
        <w:tc>
          <w:tcPr>
            <w:tcW w:w="3403" w:type="dxa"/>
            <w:tcBorders>
              <w:top w:val="nil"/>
              <w:left w:val="nil"/>
              <w:bottom w:val="nil"/>
              <w:right w:val="nil"/>
            </w:tcBorders>
            <w:vAlign w:val="center"/>
          </w:tcPr>
          <w:p w14:paraId="61B7EFA0">
            <w:pPr>
              <w:pStyle w:val="5"/>
              <w:keepNext w:val="0"/>
              <w:keepLines w:val="0"/>
              <w:pageBreakBefore w:val="0"/>
              <w:kinsoku/>
              <w:wordWrap/>
              <w:overflowPunct/>
              <w:topLinePunct w:val="0"/>
              <w:autoSpaceDE/>
              <w:autoSpaceDN/>
              <w:bidi w:val="0"/>
              <w:adjustRightInd/>
              <w:snapToGrid w:val="0"/>
              <w:spacing w:line="300" w:lineRule="auto"/>
              <w:textAlignment w:val="auto"/>
              <w:rPr>
                <w:rFonts w:ascii="Times New Roman" w:hAnsi="Times New Roman" w:cs="Times New Roman"/>
                <w:szCs w:val="21"/>
              </w:rPr>
            </w:pPr>
            <w:r>
              <w:rPr>
                <w:rFonts w:ascii="Times New Roman" w:hAnsi="Times New Roman" w:cs="Times New Roman"/>
                <w:szCs w:val="21"/>
              </w:rPr>
              <w:t>中国注会协会综合评价前十名的会计师事务所审计取0，否则取1</w:t>
            </w:r>
          </w:p>
        </w:tc>
      </w:tr>
      <w:tr w14:paraId="31B7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Merge w:val="continue"/>
            <w:tcBorders>
              <w:left w:val="nil"/>
              <w:right w:val="nil"/>
            </w:tcBorders>
          </w:tcPr>
          <w:p w14:paraId="5E012DF6">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p>
        </w:tc>
        <w:tc>
          <w:tcPr>
            <w:tcW w:w="1374" w:type="dxa"/>
            <w:tcBorders>
              <w:top w:val="nil"/>
              <w:left w:val="nil"/>
              <w:bottom w:val="single" w:color="auto" w:sz="4" w:space="0"/>
              <w:right w:val="nil"/>
            </w:tcBorders>
            <w:vAlign w:val="center"/>
          </w:tcPr>
          <w:p w14:paraId="60292BB0">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Top1</w:t>
            </w:r>
          </w:p>
        </w:tc>
        <w:tc>
          <w:tcPr>
            <w:tcW w:w="2370" w:type="dxa"/>
            <w:tcBorders>
              <w:top w:val="nil"/>
              <w:left w:val="nil"/>
              <w:bottom w:val="single" w:color="auto" w:sz="4" w:space="0"/>
              <w:right w:val="nil"/>
            </w:tcBorders>
            <w:vAlign w:val="center"/>
          </w:tcPr>
          <w:p w14:paraId="137A689E">
            <w:pPr>
              <w:pStyle w:val="5"/>
              <w:keepNext w:val="0"/>
              <w:keepLines w:val="0"/>
              <w:pageBreakBefore w:val="0"/>
              <w:kinsoku/>
              <w:wordWrap/>
              <w:overflowPunct/>
              <w:topLinePunct w:val="0"/>
              <w:autoSpaceDE/>
              <w:autoSpaceDN/>
              <w:bidi w:val="0"/>
              <w:adjustRightInd/>
              <w:snapToGrid w:val="0"/>
              <w:spacing w:line="300" w:lineRule="auto"/>
              <w:jc w:val="center"/>
              <w:textAlignment w:val="auto"/>
              <w:rPr>
                <w:rFonts w:ascii="Times New Roman" w:hAnsi="Times New Roman" w:cs="Times New Roman"/>
                <w:szCs w:val="21"/>
              </w:rPr>
            </w:pPr>
            <w:r>
              <w:rPr>
                <w:rFonts w:ascii="Times New Roman" w:hAnsi="Times New Roman" w:cs="Times New Roman"/>
                <w:szCs w:val="21"/>
              </w:rPr>
              <w:t>持股比例</w:t>
            </w:r>
          </w:p>
        </w:tc>
        <w:tc>
          <w:tcPr>
            <w:tcW w:w="3403" w:type="dxa"/>
            <w:tcBorders>
              <w:top w:val="nil"/>
              <w:left w:val="nil"/>
              <w:bottom w:val="single" w:color="auto" w:sz="4" w:space="0"/>
              <w:right w:val="nil"/>
            </w:tcBorders>
            <w:vAlign w:val="center"/>
          </w:tcPr>
          <w:p w14:paraId="711E1DBF">
            <w:pPr>
              <w:pStyle w:val="5"/>
              <w:keepNext w:val="0"/>
              <w:keepLines w:val="0"/>
              <w:pageBreakBefore w:val="0"/>
              <w:kinsoku/>
              <w:wordWrap/>
              <w:overflowPunct/>
              <w:topLinePunct w:val="0"/>
              <w:autoSpaceDE/>
              <w:autoSpaceDN/>
              <w:bidi w:val="0"/>
              <w:adjustRightInd/>
              <w:snapToGrid w:val="0"/>
              <w:spacing w:line="300" w:lineRule="auto"/>
              <w:textAlignment w:val="auto"/>
              <w:rPr>
                <w:rFonts w:ascii="Times New Roman" w:hAnsi="Times New Roman" w:cs="Times New Roman"/>
                <w:szCs w:val="21"/>
              </w:rPr>
            </w:pPr>
            <w:r>
              <w:rPr>
                <w:rFonts w:ascii="Times New Roman" w:hAnsi="Times New Roman" w:cs="Times New Roman"/>
                <w:szCs w:val="21"/>
              </w:rPr>
              <w:t>公司第一大股东持股比例</w:t>
            </w:r>
          </w:p>
        </w:tc>
      </w:tr>
    </w:tbl>
    <w:p w14:paraId="469A0DC8">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r>
        <w:rPr>
          <w:rFonts w:ascii="Times New Roman" w:hAnsi="Times New Roman" w:cs="Times New Roman"/>
          <w:b/>
          <w:bCs/>
          <w:sz w:val="24"/>
        </w:rPr>
        <w:t>（三）模型构建</w:t>
      </w:r>
    </w:p>
    <w:p w14:paraId="2B2E45FA">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本文</w:t>
      </w:r>
      <w:r>
        <w:rPr>
          <w:rFonts w:ascii="Times New Roman" w:hAnsi="Times New Roman" w:cs="Times New Roman"/>
          <w:sz w:val="24"/>
        </w:rPr>
        <w:t>通过</w:t>
      </w:r>
      <w:r>
        <w:rPr>
          <w:rFonts w:hint="eastAsia" w:ascii="Times New Roman" w:hAnsi="Times New Roman" w:cs="Times New Roman"/>
          <w:sz w:val="24"/>
        </w:rPr>
        <w:t>构建</w:t>
      </w:r>
      <w:r>
        <w:rPr>
          <w:rFonts w:ascii="Times New Roman" w:hAnsi="Times New Roman" w:cs="Times New Roman"/>
          <w:sz w:val="24"/>
        </w:rPr>
        <w:t>审计行为与真实盈余管理之间的关系模型，以对假设1进行验证</w:t>
      </w:r>
      <w:r>
        <w:rPr>
          <w:rFonts w:hint="eastAsia" w:ascii="Times New Roman" w:hAnsi="Times New Roman" w:cs="Times New Roman"/>
          <w:sz w:val="24"/>
        </w:rPr>
        <w:t>，如式（4）所示：</w:t>
      </w:r>
    </w:p>
    <w:p w14:paraId="57586197">
      <w:pPr>
        <w:keepNext w:val="0"/>
        <w:keepLines w:val="0"/>
        <w:pageBreakBefore w:val="0"/>
        <w:kinsoku/>
        <w:wordWrap/>
        <w:overflowPunct/>
        <w:topLinePunct w:val="0"/>
        <w:autoSpaceDE/>
        <w:autoSpaceDN/>
        <w:bidi w:val="0"/>
        <w:adjustRightInd/>
        <w:spacing w:line="300" w:lineRule="auto"/>
        <w:ind w:firstLine="480" w:firstLineChars="200"/>
        <w:jc w:val="left"/>
        <w:textAlignment w:val="auto"/>
        <w:rPr>
          <w:rFonts w:hint="eastAsia" w:ascii="Times New Roman" w:hAnsi="Times New Roman" w:cs="Times New Roman"/>
          <w:sz w:val="24"/>
        </w:rPr>
      </w:pPr>
      <m:oMath>
        <m:sSub>
          <m:sSubPr>
            <m:ctrlPr>
              <w:rPr>
                <w:rFonts w:ascii="Cambria Math" w:hAnsi="Cambria Math" w:cs="Times New Roman"/>
                <w:sz w:val="24"/>
              </w:rPr>
            </m:ctrlPr>
          </m:sSubPr>
          <m:e>
            <m:r>
              <m:rPr>
                <m:sty m:val="p"/>
              </m:rPr>
              <w:rPr>
                <w:rFonts w:ascii="Cambria Math" w:hAnsi="Cambria Math" w:cs="Times New Roman"/>
                <w:sz w:val="24"/>
              </w:rPr>
              <m:t>REM_abs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sSub>
          <m:sSubPr>
            <m:ctrlPr>
              <w:rPr>
                <w:rFonts w:ascii="Cambria Math" w:hAnsi="Cambria Math" w:cs="Times New Roman"/>
                <w:sz w:val="24"/>
              </w:rPr>
            </m:ctrlPr>
          </m:sSubPr>
          <m:e>
            <m:r>
              <m:rPr>
                <m:sty m:val="p"/>
              </m:rPr>
              <w:rPr>
                <w:rFonts w:ascii="Cambria Math" w:hAnsi="Cambria Math" w:cs="Times New Roman"/>
                <w:sz w:val="24"/>
              </w:rPr>
              <m:t>∗ln_AudFee</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nary>
          <m:naryPr>
            <m:chr m:val="∑"/>
            <m:limLoc m:val="undOvr"/>
            <m:subHide m:val="1"/>
            <m:supHide m:val="1"/>
            <m:ctrlPr>
              <w:rPr>
                <w:rFonts w:ascii="Cambria Math" w:hAnsi="Cambria Math" w:cs="Times New Roman"/>
                <w:sz w:val="24"/>
              </w:rPr>
            </m:ctrlPr>
          </m:naryPr>
          <m:sub>
            <m:ctrlPr>
              <w:rPr>
                <w:rFonts w:ascii="Cambria Math" w:hAnsi="Cambria Math" w:cs="Times New Roman"/>
                <w:sz w:val="24"/>
              </w:rPr>
            </m:ctrlPr>
          </m:sub>
          <m:sup>
            <m:ctrlPr>
              <w:rPr>
                <w:rFonts w:ascii="Cambria Math" w:hAnsi="Cambria Math" w:cs="Times New Roman"/>
                <w:sz w:val="24"/>
              </w:rPr>
            </m:ctrlPr>
          </m:sup>
          <m:e>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j</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Controls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ε</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e>
        </m:nary>
      </m:oMath>
      <w:r>
        <w:rPr>
          <w:rFonts w:ascii="Times New Roman" w:hAnsi="Times New Roman" w:cs="Times New Roman"/>
          <w:sz w:val="24"/>
        </w:rPr>
        <w:t xml:space="preserve">       </w:t>
      </w:r>
      <w:r>
        <w:rPr>
          <w:rFonts w:hint="eastAsia" w:ascii="Times New Roman" w:hAnsi="Times New Roman" w:cs="Times New Roman"/>
          <w:sz w:val="24"/>
          <w:lang w:eastAsia="zh-CN"/>
        </w:rPr>
        <w:t>(</w:t>
      </w:r>
      <w:r>
        <w:rPr>
          <w:rFonts w:hint="eastAsia" w:ascii="Times New Roman" w:hAnsi="Times New Roman" w:cs="Times New Roman"/>
          <w:sz w:val="24"/>
        </w:rPr>
        <w:t>4</w:t>
      </w:r>
      <w:r>
        <w:rPr>
          <w:rFonts w:hint="eastAsia" w:ascii="Times New Roman" w:hAnsi="Times New Roman" w:cs="Times New Roman"/>
          <w:sz w:val="24"/>
          <w:lang w:eastAsia="zh-CN"/>
        </w:rPr>
        <w:t>)</w:t>
      </w:r>
    </w:p>
    <w:p w14:paraId="34EECB9A">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式4中，</w:t>
      </w:r>
      <m:oMath>
        <m:sSub>
          <m:sSubPr>
            <m:ctrlPr>
              <w:rPr>
                <w:rFonts w:ascii="Cambria Math" w:hAnsi="Cambria Math" w:cs="Times New Roman"/>
                <w:sz w:val="24"/>
              </w:rPr>
            </m:ctrlPr>
          </m:sSubPr>
          <m:e>
            <m:r>
              <m:rPr>
                <m:sty m:val="p"/>
              </m:rPr>
              <w:rPr>
                <w:rFonts w:ascii="Cambria Math" w:hAnsi="Cambria Math" w:cs="Times New Roman"/>
                <w:sz w:val="24"/>
              </w:rPr>
              <m:t>REM_abs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表示第i家公司在第t年的真实盈余管理绝对值。</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oMath>
      <w:r>
        <w:rPr>
          <w:rFonts w:hint="eastAsia" w:ascii="Times New Roman" w:hAnsi="Times New Roman" w:cs="Times New Roman"/>
          <w:sz w:val="24"/>
        </w:rPr>
        <w:t>表示截距项，代表在所有解释变量和控制变量都为零时，真实盈余管理绝对值的基准水平。</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oMath>
      <w:r>
        <w:rPr>
          <w:rFonts w:hint="eastAsia" w:ascii="Times New Roman" w:hAnsi="Times New Roman" w:cs="Times New Roman"/>
          <w:sz w:val="24"/>
        </w:rPr>
        <w:t>表示审计收费对数的回归系数，衡量审计行为对真实盈余管理绝对值的直接影响。若</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oMath>
      <w:r>
        <w:rPr>
          <w:rFonts w:hint="eastAsia" w:ascii="Times New Roman" w:hAnsi="Times New Roman" w:cs="Times New Roman"/>
          <w:sz w:val="24"/>
        </w:rPr>
        <w:t>显著为负，则支持假设 1，即审计行为强度与真实盈余管理程度显著负相关。</w:t>
      </w:r>
      <m:oMath>
        <m:sSub>
          <m:sSubPr>
            <m:ctrlPr>
              <w:rPr>
                <w:rFonts w:ascii="Cambria Math" w:hAnsi="Cambria Math" w:cs="Times New Roman"/>
                <w:sz w:val="24"/>
              </w:rPr>
            </m:ctrlPr>
          </m:sSubPr>
          <m:e>
            <m:r>
              <m:rPr>
                <m:sty m:val="p"/>
              </m:rPr>
              <w:rPr>
                <w:rFonts w:ascii="Cambria Math" w:hAnsi="Cambria Math" w:cs="Times New Roman"/>
                <w:sz w:val="24"/>
              </w:rPr>
              <m:t>ln_AudFee</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表示第i家公司在第t年的审计收费对数，作为自变量，用于衡量审计行为。审计收费越高，通常意味着审计机构所需投入的审计资源越多，审计质量可能越高。</w:t>
      </w:r>
    </w:p>
    <w:p w14:paraId="24D7339B">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m:oMath>
        <m:nary>
          <m:naryPr>
            <m:chr m:val="∑"/>
            <m:limLoc m:val="undOvr"/>
            <m:subHide m:val="1"/>
            <m:supHide m:val="1"/>
            <m:ctrlPr>
              <w:rPr>
                <w:rFonts w:ascii="Cambria Math" w:hAnsi="Cambria Math" w:cs="Times New Roman"/>
                <w:sz w:val="24"/>
              </w:rPr>
            </m:ctrlPr>
          </m:naryPr>
          <m:sub>
            <m:ctrlPr>
              <w:rPr>
                <w:rFonts w:ascii="Cambria Math" w:hAnsi="Cambria Math" w:cs="Times New Roman"/>
                <w:sz w:val="24"/>
              </w:rPr>
            </m:ctrlPr>
          </m:sub>
          <m:sup>
            <m:ctrlPr>
              <w:rPr>
                <w:rFonts w:ascii="Cambria Math" w:hAnsi="Cambria Math" w:cs="Times New Roman"/>
                <w:sz w:val="24"/>
              </w:rPr>
            </m:ctrlPr>
          </m:sup>
          <m:e>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j</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Controls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e>
        </m:nary>
      </m:oMath>
      <w:r>
        <w:rPr>
          <w:rFonts w:hint="eastAsia" w:ascii="Times New Roman" w:hAnsi="Times New Roman" w:cs="Times New Roman"/>
          <w:sz w:val="24"/>
        </w:rPr>
        <w:t>表示一系列控制变量对真实盈余管理绝对值的影响。</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j</m:t>
            </m:r>
            <m:ctrlPr>
              <w:rPr>
                <w:rFonts w:ascii="Cambria Math" w:hAnsi="Cambria Math" w:cs="Times New Roman"/>
                <w:sz w:val="24"/>
              </w:rPr>
            </m:ctrlPr>
          </m:sub>
        </m:sSub>
      </m:oMath>
      <w:r>
        <w:rPr>
          <w:rFonts w:hint="eastAsia" w:ascii="Times New Roman" w:hAnsi="Times New Roman" w:cs="Times New Roman"/>
          <w:sz w:val="24"/>
        </w:rPr>
        <w:t>是各控制变量的回归系数，</w:t>
      </w:r>
      <m:oMath>
        <m:sSub>
          <m:sSubPr>
            <m:ctrlPr>
              <w:rPr>
                <w:rFonts w:ascii="Cambria Math" w:hAnsi="Cambria Math" w:cs="Times New Roman"/>
                <w:sz w:val="24"/>
              </w:rPr>
            </m:ctrlPr>
          </m:sSubPr>
          <m:e>
            <m:r>
              <m:rPr>
                <m:sty m:val="p"/>
              </m:rPr>
              <w:rPr>
                <w:rFonts w:ascii="Cambria Math" w:hAnsi="Cambria Math" w:cs="Times New Roman"/>
                <w:sz w:val="24"/>
              </w:rPr>
              <m:t>Controls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是第i家公司在第t年的控制变量，包括资产负债率（Debt）、资产净利率（Roa）、主营业务收入增长率（Growth）、事务所排名（Rank）和公司第一大股东持股比例（Top1）等。</w:t>
      </w:r>
      <m:oMath>
        <m:sSub>
          <m:sSubPr>
            <m:ctrlPr>
              <w:rPr>
                <w:rFonts w:ascii="Cambria Math" w:hAnsi="Cambria Math" w:cs="Times New Roman"/>
                <w:sz w:val="24"/>
              </w:rPr>
            </m:ctrlPr>
          </m:sSubPr>
          <m:e>
            <m:r>
              <m:rPr>
                <m:sty m:val="p"/>
              </m:rPr>
              <w:rPr>
                <w:rFonts w:hint="eastAsia" w:ascii="Cambria Math" w:hAnsi="Cambria Math" w:cs="Times New Roman"/>
                <w:sz w:val="24"/>
              </w:rPr>
              <m:t>ε</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表示随机误差项，包含了模型中未考虑到的其他影响真实盈余管理绝对值的因素。</w:t>
      </w:r>
    </w:p>
    <w:p w14:paraId="1D3CC94B">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通过构建审计行为与企业内控质量之间的关系模型，以对假设2进行验证，如式（5）所示：</w:t>
      </w:r>
    </w:p>
    <w:p w14:paraId="22B81FB5">
      <w:pPr>
        <w:keepNext w:val="0"/>
        <w:keepLines w:val="0"/>
        <w:pageBreakBefore w:val="0"/>
        <w:kinsoku/>
        <w:wordWrap/>
        <w:overflowPunct/>
        <w:topLinePunct w:val="0"/>
        <w:autoSpaceDE/>
        <w:autoSpaceDN/>
        <w:bidi w:val="0"/>
        <w:adjustRightInd/>
        <w:spacing w:line="300" w:lineRule="auto"/>
        <w:ind w:firstLine="480" w:firstLineChars="200"/>
        <w:jc w:val="right"/>
        <w:textAlignment w:val="auto"/>
        <w:rPr>
          <w:rFonts w:hint="eastAsia" w:ascii="Times New Roman" w:hAnsi="Times New Roman" w:cs="Times New Roman"/>
          <w:sz w:val="24"/>
        </w:rPr>
      </w:pPr>
      <m:oMath>
        <m:sSub>
          <m:sSubPr>
            <m:ctrlPr>
              <w:rPr>
                <w:rFonts w:ascii="Cambria Math" w:hAnsi="Cambria Math" w:cs="Times New Roman"/>
                <w:sz w:val="24"/>
              </w:rPr>
            </m:ctrlPr>
          </m:sSubPr>
          <m:e>
            <m:r>
              <m:rPr>
                <m:sty m:val="p"/>
              </m:rPr>
              <w:rPr>
                <w:rFonts w:ascii="Cambria Math" w:hAnsi="Cambria Math" w:cs="Times New Roman"/>
                <w:sz w:val="24"/>
              </w:rPr>
              <m:t>ICQ</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ln_AudFee</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nary>
          <m:naryPr>
            <m:chr m:val="∑"/>
            <m:limLoc m:val="undOvr"/>
            <m:subHide m:val="1"/>
            <m:supHide m:val="1"/>
            <m:ctrlPr>
              <w:rPr>
                <w:rFonts w:ascii="Cambria Math" w:hAnsi="Cambria Math" w:cs="Times New Roman"/>
                <w:sz w:val="24"/>
              </w:rPr>
            </m:ctrlPr>
          </m:naryPr>
          <m:sub>
            <m:ctrlPr>
              <w:rPr>
                <w:rFonts w:ascii="Cambria Math" w:hAnsi="Cambria Math" w:cs="Times New Roman"/>
                <w:sz w:val="24"/>
              </w:rPr>
            </m:ctrlPr>
          </m:sub>
          <m:sup>
            <m:ctrlPr>
              <w:rPr>
                <w:rFonts w:ascii="Cambria Math" w:hAnsi="Cambria Math" w:cs="Times New Roman"/>
                <w:sz w:val="24"/>
              </w:rPr>
            </m:ctrlPr>
          </m:sup>
          <m:e>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j</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Controls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ε</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e>
        </m:nary>
      </m:oMath>
      <w:r>
        <w:rPr>
          <w:rFonts w:ascii="Times New Roman" w:hAnsi="Times New Roman" w:cs="Times New Roman"/>
          <w:sz w:val="24"/>
        </w:rPr>
        <w:t xml:space="preserve">        </w:t>
      </w:r>
      <w:r>
        <w:rPr>
          <w:rFonts w:hint="eastAsia" w:ascii="Times New Roman" w:hAnsi="Times New Roman" w:cs="Times New Roman"/>
          <w:sz w:val="24"/>
          <w:lang w:eastAsia="zh-CN"/>
        </w:rPr>
        <w:t>(</w:t>
      </w:r>
      <w:r>
        <w:rPr>
          <w:rFonts w:hint="eastAsia" w:ascii="Times New Roman" w:hAnsi="Times New Roman" w:cs="Times New Roman"/>
          <w:sz w:val="24"/>
        </w:rPr>
        <w:t>5</w:t>
      </w:r>
      <w:r>
        <w:rPr>
          <w:rFonts w:hint="eastAsia" w:ascii="Times New Roman" w:hAnsi="Times New Roman" w:cs="Times New Roman"/>
          <w:sz w:val="24"/>
          <w:lang w:eastAsia="zh-CN"/>
        </w:rPr>
        <w:t>)</w:t>
      </w:r>
    </w:p>
    <w:p w14:paraId="43B3FB31">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式（5）中，</w:t>
      </w:r>
      <m:oMath>
        <m:sSub>
          <m:sSubPr>
            <m:ctrlPr>
              <w:rPr>
                <w:rFonts w:ascii="Cambria Math" w:hAnsi="Cambria Math" w:cs="Times New Roman"/>
                <w:sz w:val="24"/>
              </w:rPr>
            </m:ctrlPr>
          </m:sSubPr>
          <m:e>
            <m:r>
              <m:rPr>
                <m:sty m:val="p"/>
              </m:rPr>
              <w:rPr>
                <w:rFonts w:ascii="Cambria Math" w:hAnsi="Cambria Math" w:cs="Times New Roman"/>
                <w:sz w:val="24"/>
              </w:rPr>
              <m:t>ICQ</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表示第i家公司在第t年的企业内控质量。</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oMath>
      <w:r>
        <w:rPr>
          <w:rFonts w:hint="eastAsia" w:ascii="Times New Roman" w:hAnsi="Times New Roman" w:cs="Times New Roman"/>
          <w:sz w:val="24"/>
        </w:rPr>
        <w:t>表示截距项，代表在审计收费对数和控制变量都为零时，企业内控质量的基准水平。</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oMath>
      <w:r>
        <w:rPr>
          <w:rFonts w:hint="eastAsia" w:ascii="Times New Roman" w:hAnsi="Times New Roman" w:cs="Times New Roman"/>
          <w:sz w:val="24"/>
        </w:rPr>
        <w:t>表示审计收费对数的回归系数，衡量审计行为对企业内控质量的直接影响。若</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oMath>
      <w:r>
        <w:rPr>
          <w:rFonts w:hint="eastAsia" w:ascii="Times New Roman" w:hAnsi="Times New Roman" w:cs="Times New Roman"/>
          <w:sz w:val="24"/>
        </w:rPr>
        <w:t>显著为正，则支持假设 2，即审计行为越有效，企业内控质量越好。</w:t>
      </w:r>
      <m:oMath>
        <m:nary>
          <m:naryPr>
            <m:chr m:val="∑"/>
            <m:limLoc m:val="undOvr"/>
            <m:subHide m:val="1"/>
            <m:supHide m:val="1"/>
            <m:ctrlPr>
              <w:rPr>
                <w:rFonts w:ascii="Cambria Math" w:hAnsi="Cambria Math" w:cs="Times New Roman"/>
                <w:sz w:val="24"/>
              </w:rPr>
            </m:ctrlPr>
          </m:naryPr>
          <m:sub>
            <m:ctrlPr>
              <w:rPr>
                <w:rFonts w:ascii="Cambria Math" w:hAnsi="Cambria Math" w:cs="Times New Roman"/>
                <w:sz w:val="24"/>
              </w:rPr>
            </m:ctrlPr>
          </m:sub>
          <m:sup>
            <m:ctrlPr>
              <w:rPr>
                <w:rFonts w:ascii="Cambria Math" w:hAnsi="Cambria Math" w:cs="Times New Roman"/>
                <w:sz w:val="24"/>
              </w:rPr>
            </m:ctrlPr>
          </m:sup>
          <m:e>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j</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Controls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e>
        </m:nary>
      </m:oMath>
      <w:r>
        <w:rPr>
          <w:rFonts w:hint="eastAsia" w:ascii="Times New Roman" w:hAnsi="Times New Roman" w:cs="Times New Roman"/>
          <w:sz w:val="24"/>
        </w:rPr>
        <w:t>表示一系列控制变量对企业内控质量的影响。</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j</m:t>
            </m:r>
            <m:ctrlPr>
              <w:rPr>
                <w:rFonts w:ascii="Cambria Math" w:hAnsi="Cambria Math" w:cs="Times New Roman"/>
                <w:sz w:val="24"/>
              </w:rPr>
            </m:ctrlPr>
          </m:sub>
        </m:sSub>
      </m:oMath>
      <w:r>
        <w:rPr>
          <w:rFonts w:hint="eastAsia" w:ascii="Times New Roman" w:hAnsi="Times New Roman" w:cs="Times New Roman"/>
          <w:sz w:val="24"/>
        </w:rPr>
        <w:t>是各控制变量的回归系数，</w:t>
      </w:r>
      <m:oMath>
        <m:sSub>
          <m:sSubPr>
            <m:ctrlPr>
              <w:rPr>
                <w:rFonts w:ascii="Cambria Math" w:hAnsi="Cambria Math" w:cs="Times New Roman"/>
                <w:sz w:val="24"/>
              </w:rPr>
            </m:ctrlPr>
          </m:sSubPr>
          <m:e>
            <m:r>
              <m:rPr>
                <m:sty m:val="p"/>
              </m:rPr>
              <w:rPr>
                <w:rFonts w:ascii="Cambria Math" w:hAnsi="Cambria Math" w:cs="Times New Roman"/>
                <w:sz w:val="24"/>
              </w:rPr>
              <m:t>Controls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oMath>
      <w:r>
        <w:rPr>
          <w:rFonts w:hint="eastAsia" w:ascii="Times New Roman" w:hAnsi="Times New Roman" w:cs="Times New Roman"/>
          <w:sz w:val="24"/>
        </w:rPr>
        <w:t>是第i家公司在第t年的控制变量，与式4中的控制变量相同。</w:t>
      </w:r>
    </w:p>
    <w:p w14:paraId="19318BB5">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通过构建审计行为、企业内控质量与真实盈余管理之间的关系模型，以验证假设3，如式（6）所示：</w:t>
      </w:r>
    </w:p>
    <w:p w14:paraId="4813F871">
      <w:pPr>
        <w:keepNext w:val="0"/>
        <w:keepLines w:val="0"/>
        <w:pageBreakBefore w:val="0"/>
        <w:kinsoku/>
        <w:wordWrap/>
        <w:overflowPunct/>
        <w:topLinePunct w:val="0"/>
        <w:autoSpaceDE/>
        <w:autoSpaceDN/>
        <w:bidi w:val="0"/>
        <w:adjustRightInd/>
        <w:spacing w:line="300" w:lineRule="auto"/>
        <w:ind w:firstLine="480" w:firstLineChars="200"/>
        <w:jc w:val="right"/>
        <w:textAlignment w:val="auto"/>
        <w:rPr>
          <w:rFonts w:hint="eastAsia" w:ascii="Times New Roman" w:hAnsi="Times New Roman" w:cs="Times New Roman"/>
          <w:sz w:val="24"/>
        </w:rPr>
      </w:pPr>
      <m:oMath>
        <m:sSub>
          <m:sSubPr>
            <m:ctrlPr>
              <w:rPr>
                <w:rFonts w:ascii="Cambria Math" w:hAnsi="Cambria Math" w:cs="Times New Roman"/>
                <w:sz w:val="24"/>
              </w:rPr>
            </m:ctrlPr>
          </m:sSubPr>
          <m:e>
            <m:r>
              <m:rPr>
                <m:sty m:val="p"/>
              </m:rPr>
              <w:rPr>
                <w:rFonts w:ascii="Cambria Math" w:hAnsi="Cambria Math" w:cs="Times New Roman"/>
                <w:sz w:val="24"/>
              </w:rPr>
              <m:t>REM_abs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ln_AudFee</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2</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ICQ</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nary>
          <m:naryPr>
            <m:chr m:val="∑"/>
            <m:limLoc m:val="undOvr"/>
            <m:subHide m:val="1"/>
            <m:supHide m:val="1"/>
            <m:ctrlPr>
              <w:rPr>
                <w:rFonts w:ascii="Cambria Math" w:hAnsi="Cambria Math" w:cs="Times New Roman"/>
                <w:sz w:val="24"/>
              </w:rPr>
            </m:ctrlPr>
          </m:naryPr>
          <m:sub>
            <m:ctrlPr>
              <w:rPr>
                <w:rFonts w:ascii="Cambria Math" w:hAnsi="Cambria Math" w:cs="Times New Roman"/>
                <w:sz w:val="24"/>
              </w:rPr>
            </m:ctrlPr>
          </m:sub>
          <m:sup>
            <m:ctrlPr>
              <w:rPr>
                <w:rFonts w:ascii="Cambria Math" w:hAnsi="Cambria Math" w:cs="Times New Roman"/>
                <w:sz w:val="24"/>
              </w:rPr>
            </m:ctrlPr>
          </m:sup>
          <m:e>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j</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ascii="Cambria Math" w:hAnsi="Cambria Math" w:cs="Times New Roman"/>
                    <w:sz w:val="24"/>
                  </w:rPr>
                  <m:t>Controls</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r>
              <m:rPr>
                <m:sty m:val="p"/>
              </m:rPr>
              <w:rPr>
                <w:rFonts w:ascii="Cambria Math" w:hAnsi="Cambria Math" w:cs="Times New Roman"/>
                <w:sz w:val="24"/>
              </w:rPr>
              <m:t>+</m:t>
            </m:r>
            <m:sSub>
              <m:sSubPr>
                <m:ctrlPr>
                  <w:rPr>
                    <w:rFonts w:ascii="Cambria Math" w:hAnsi="Cambria Math" w:cs="Times New Roman"/>
                    <w:sz w:val="24"/>
                  </w:rPr>
                </m:ctrlPr>
              </m:sSubPr>
              <m:e>
                <m:r>
                  <m:rPr>
                    <m:sty m:val="p"/>
                  </m:rPr>
                  <w:rPr>
                    <w:rFonts w:hint="eastAsia" w:ascii="Cambria Math" w:hAnsi="Cambria Math" w:cs="Times New Roman"/>
                    <w:sz w:val="24"/>
                  </w:rPr>
                  <m:t>ε</m:t>
                </m:r>
                <m:ctrlPr>
                  <w:rPr>
                    <w:rFonts w:ascii="Cambria Math" w:hAnsi="Cambria Math" w:cs="Times New Roman"/>
                    <w:sz w:val="24"/>
                  </w:rPr>
                </m:ctrlPr>
              </m:e>
              <m:sub>
                <m:r>
                  <m:rPr>
                    <m:sty m:val="p"/>
                  </m:rPr>
                  <w:rPr>
                    <w:rFonts w:ascii="Cambria Math" w:hAnsi="Cambria Math" w:cs="Times New Roman"/>
                    <w:sz w:val="24"/>
                  </w:rPr>
                  <m:t>i,t</m:t>
                </m:r>
                <m:ctrlPr>
                  <w:rPr>
                    <w:rFonts w:ascii="Cambria Math" w:hAnsi="Cambria Math" w:cs="Times New Roman"/>
                    <w:sz w:val="24"/>
                  </w:rPr>
                </m:ctrlPr>
              </m:sub>
            </m:sSub>
            <m:ctrlPr>
              <w:rPr>
                <w:rFonts w:ascii="Cambria Math" w:hAnsi="Cambria Math" w:cs="Times New Roman"/>
                <w:sz w:val="24"/>
              </w:rPr>
            </m:ctrlPr>
          </m:e>
        </m:nary>
      </m:oMath>
      <w:r>
        <w:rPr>
          <w:rFonts w:hint="eastAsia" w:ascii="Times New Roman" w:hAnsi="Times New Roman" w:cs="Times New Roman"/>
          <w:sz w:val="24"/>
        </w:rPr>
        <w:t xml:space="preserve">   </w:t>
      </w:r>
      <w:r>
        <w:rPr>
          <w:rFonts w:hint="eastAsia" w:ascii="Times New Roman" w:hAnsi="Times New Roman" w:cs="Times New Roman"/>
          <w:sz w:val="24"/>
          <w:lang w:eastAsia="zh-CN"/>
        </w:rPr>
        <w:t>(</w:t>
      </w:r>
      <w:r>
        <w:rPr>
          <w:rFonts w:hint="eastAsia" w:ascii="Times New Roman" w:hAnsi="Times New Roman" w:cs="Times New Roman"/>
          <w:sz w:val="24"/>
        </w:rPr>
        <w:t>6</w:t>
      </w:r>
      <w:r>
        <w:rPr>
          <w:rFonts w:hint="eastAsia" w:ascii="Times New Roman" w:hAnsi="Times New Roman" w:cs="Times New Roman"/>
          <w:sz w:val="24"/>
          <w:lang w:eastAsia="zh-CN"/>
        </w:rPr>
        <w:t>)</w:t>
      </w:r>
    </w:p>
    <w:p w14:paraId="2E4BD8AF">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式6中，</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0</m:t>
            </m:r>
            <m:ctrlPr>
              <w:rPr>
                <w:rFonts w:ascii="Cambria Math" w:hAnsi="Cambria Math" w:cs="Times New Roman"/>
                <w:sz w:val="24"/>
              </w:rPr>
            </m:ctrlPr>
          </m:sub>
        </m:sSub>
      </m:oMath>
      <w:r>
        <w:rPr>
          <w:rFonts w:hint="eastAsia" w:ascii="Times New Roman" w:hAnsi="Times New Roman" w:cs="Times New Roman"/>
          <w:sz w:val="24"/>
        </w:rPr>
        <w:t>表示截距项，代表在审计收费对数、企业内控质量和控制变量都为零时，真实盈余管理绝对值的基准水平。</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oMath>
      <w:r>
        <w:rPr>
          <w:rFonts w:hint="eastAsia" w:ascii="Times New Roman" w:hAnsi="Times New Roman" w:cs="Times New Roman"/>
          <w:sz w:val="24"/>
        </w:rPr>
        <w:t>表示审计收费对数的回归系数，衡量在控制了企业内控质量后，审计行为对真实盈余管理绝对值的直接影响。</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2</m:t>
            </m:r>
            <m:ctrlPr>
              <w:rPr>
                <w:rFonts w:ascii="Cambria Math" w:hAnsi="Cambria Math" w:cs="Times New Roman"/>
                <w:sz w:val="24"/>
              </w:rPr>
            </m:ctrlPr>
          </m:sub>
        </m:sSub>
      </m:oMath>
      <w:r>
        <w:rPr>
          <w:rFonts w:hint="eastAsia" w:ascii="Times New Roman" w:hAnsi="Times New Roman" w:cs="Times New Roman"/>
          <w:sz w:val="24"/>
        </w:rPr>
        <w:t>表示企业内控质量的回归系数，衡量企业内控质量对真实盈余管理绝对值的影响。若</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2</m:t>
            </m:r>
            <m:ctrlPr>
              <w:rPr>
                <w:rFonts w:ascii="Cambria Math" w:hAnsi="Cambria Math" w:cs="Times New Roman"/>
                <w:sz w:val="24"/>
              </w:rPr>
            </m:ctrlPr>
          </m:sub>
        </m:sSub>
      </m:oMath>
      <w:r>
        <w:rPr>
          <w:rFonts w:hint="eastAsia" w:ascii="Times New Roman" w:hAnsi="Times New Roman" w:cs="Times New Roman"/>
          <w:sz w:val="24"/>
        </w:rPr>
        <w:t>显著为负，且在加入企业内控质量后，</w:t>
      </w:r>
      <m:oMath>
        <m:sSub>
          <m:sSubPr>
            <m:ctrlPr>
              <w:rPr>
                <w:rFonts w:ascii="Cambria Math" w:hAnsi="Cambria Math" w:cs="Times New Roman"/>
                <w:sz w:val="24"/>
              </w:rPr>
            </m:ctrlPr>
          </m:sSubPr>
          <m:e>
            <m:r>
              <m:rPr>
                <m:sty m:val="p"/>
              </m:rPr>
              <w:rPr>
                <w:rFonts w:hint="eastAsia" w:ascii="Cambria Math" w:hAnsi="Cambria Math" w:cs="Times New Roman"/>
                <w:sz w:val="24"/>
              </w:rPr>
              <m:t>β</m:t>
            </m:r>
            <m:ctrlPr>
              <w:rPr>
                <w:rFonts w:ascii="Cambria Math" w:hAnsi="Cambria Math" w:cs="Times New Roman"/>
                <w:sz w:val="24"/>
              </w:rPr>
            </m:ctrlPr>
          </m:e>
          <m:sub>
            <m:r>
              <m:rPr>
                <m:sty m:val="p"/>
              </m:rPr>
              <w:rPr>
                <w:rFonts w:ascii="Cambria Math" w:hAnsi="Cambria Math" w:cs="Times New Roman"/>
                <w:sz w:val="24"/>
              </w:rPr>
              <m:t>1</m:t>
            </m:r>
            <m:ctrlPr>
              <w:rPr>
                <w:rFonts w:ascii="Cambria Math" w:hAnsi="Cambria Math" w:cs="Times New Roman"/>
                <w:sz w:val="24"/>
              </w:rPr>
            </m:ctrlPr>
          </m:sub>
        </m:sSub>
      </m:oMath>
      <w:r>
        <w:rPr>
          <w:rFonts w:hint="eastAsia" w:ascii="Times New Roman" w:hAnsi="Times New Roman" w:cs="Times New Roman"/>
          <w:sz w:val="24"/>
        </w:rPr>
        <w:t>的绝对值减小或不再显著，则支持假设 3，即审计行为通过增强企业内控质量来抑制真实盈余管理行为。</w:t>
      </w:r>
    </w:p>
    <w:p w14:paraId="2FFC6186">
      <w:pPr>
        <w:keepNext w:val="0"/>
        <w:keepLines w:val="0"/>
        <w:pageBreakBefore w:val="0"/>
        <w:kinsoku/>
        <w:wordWrap/>
        <w:overflowPunct/>
        <w:topLinePunct w:val="0"/>
        <w:autoSpaceDE/>
        <w:autoSpaceDN/>
        <w:bidi w:val="0"/>
        <w:adjustRightInd/>
        <w:spacing w:line="300" w:lineRule="auto"/>
        <w:textAlignment w:val="auto"/>
        <w:outlineLvl w:val="0"/>
        <w:rPr>
          <w:rFonts w:hint="eastAsia" w:ascii="Times New Roman" w:hAnsi="Times New Roman" w:cs="Times New Roman"/>
          <w:sz w:val="24"/>
        </w:rPr>
      </w:pPr>
      <w:r>
        <w:rPr>
          <w:rFonts w:hint="eastAsia" w:ascii="Times New Roman" w:hAnsi="Times New Roman" w:cs="Times New Roman"/>
          <w:b/>
          <w:bCs/>
          <w:sz w:val="24"/>
        </w:rPr>
        <w:t>四、模型实证与检验</w:t>
      </w:r>
    </w:p>
    <w:p w14:paraId="35980DE8">
      <w:pPr>
        <w:keepNext w:val="0"/>
        <w:keepLines w:val="0"/>
        <w:pageBreakBefore w:val="0"/>
        <w:kinsoku/>
        <w:wordWrap/>
        <w:overflowPunct/>
        <w:topLinePunct w:val="0"/>
        <w:autoSpaceDE/>
        <w:autoSpaceDN/>
        <w:bidi w:val="0"/>
        <w:adjustRightInd/>
        <w:spacing w:line="300" w:lineRule="auto"/>
        <w:ind w:firstLine="420"/>
        <w:textAlignment w:val="auto"/>
        <w:outlineLvl w:val="1"/>
        <w:rPr>
          <w:rFonts w:hint="eastAsia" w:ascii="Times New Roman" w:hAnsi="Times New Roman" w:cs="Times New Roman"/>
          <w:b/>
          <w:bCs/>
          <w:sz w:val="24"/>
        </w:rPr>
      </w:pPr>
      <w:r>
        <w:rPr>
          <w:rFonts w:hint="eastAsia" w:ascii="Times New Roman" w:hAnsi="Times New Roman" w:cs="Times New Roman"/>
          <w:b/>
          <w:bCs/>
          <w:sz w:val="24"/>
        </w:rPr>
        <w:t>（一）数据来源</w:t>
      </w:r>
    </w:p>
    <w:p w14:paraId="647F62E9">
      <w:pPr>
        <w:keepNext w:val="0"/>
        <w:keepLines w:val="0"/>
        <w:pageBreakBefore w:val="0"/>
        <w:kinsoku/>
        <w:wordWrap/>
        <w:overflowPunct/>
        <w:topLinePunct w:val="0"/>
        <w:autoSpaceDE/>
        <w:autoSpaceDN/>
        <w:bidi w:val="0"/>
        <w:adjustRightInd/>
        <w:spacing w:line="300" w:lineRule="auto"/>
        <w:ind w:firstLine="420"/>
        <w:textAlignment w:val="auto"/>
        <w:rPr>
          <w:rFonts w:hint="default" w:ascii="Times New Roman" w:hAnsi="Times New Roman" w:cs="Times New Roman" w:eastAsiaTheme="minorEastAsia"/>
          <w:sz w:val="24"/>
          <w:lang w:val="en-US" w:eastAsia="zh-CN"/>
        </w:rPr>
      </w:pPr>
      <w:r>
        <w:rPr>
          <w:rFonts w:hint="eastAsia" w:ascii="Times New Roman" w:hAnsi="Times New Roman" w:cs="Times New Roman"/>
          <w:sz w:val="24"/>
        </w:rPr>
        <w:t>本文选择2014至2023年期间中国A股房地产上市企业作</w:t>
      </w:r>
      <w:r>
        <w:rPr>
          <w:rFonts w:hint="eastAsia" w:ascii="Times New Roman" w:hAnsi="Times New Roman" w:cs="Times New Roman"/>
          <w:sz w:val="24"/>
          <w:lang w:val="en-US" w:eastAsia="zh-CN"/>
        </w:rPr>
        <w:t>为</w:t>
      </w:r>
      <w:r>
        <w:rPr>
          <w:rFonts w:hint="eastAsia" w:ascii="Times New Roman" w:hAnsi="Times New Roman" w:cs="Times New Roman"/>
          <w:sz w:val="24"/>
        </w:rPr>
        <w:t>研究样本（国泰安（CSMAR）数据库采集），</w:t>
      </w:r>
      <w:r>
        <w:rPr>
          <w:rFonts w:hint="eastAsia" w:ascii="Times New Roman" w:hAnsi="Times New Roman" w:cs="Times New Roman"/>
          <w:sz w:val="24"/>
          <w:lang w:eastAsia="zh-CN"/>
        </w:rPr>
        <w:t>主要原因是</w:t>
      </w:r>
      <w:r>
        <w:rPr>
          <w:rFonts w:hint="eastAsia" w:ascii="Times New Roman" w:hAnsi="Times New Roman" w:cs="Times New Roman"/>
          <w:sz w:val="24"/>
        </w:rPr>
        <w:t>房地产行业</w:t>
      </w:r>
      <w:r>
        <w:rPr>
          <w:rFonts w:hint="eastAsia" w:ascii="Times New Roman" w:hAnsi="Times New Roman" w:cs="Times New Roman"/>
          <w:sz w:val="24"/>
          <w:lang w:eastAsia="zh-CN"/>
        </w:rPr>
        <w:t>属于</w:t>
      </w:r>
      <w:r>
        <w:rPr>
          <w:rFonts w:hint="eastAsia" w:ascii="Times New Roman" w:hAnsi="Times New Roman" w:cs="Times New Roman"/>
          <w:sz w:val="24"/>
        </w:rPr>
        <w:t>典型的资本密集型行业，有着开发周期久、融资依赖程度高以及政策敏感度强的明显特点。</w:t>
      </w:r>
      <w:r>
        <w:rPr>
          <w:rFonts w:hint="eastAsia" w:ascii="Times New Roman" w:hAnsi="Times New Roman" w:cs="Times New Roman"/>
          <w:sz w:val="24"/>
          <w:lang w:val="en-US" w:eastAsia="zh-CN"/>
        </w:rPr>
        <w:t>故研究针对房地产行业的审计行为及真实盈余管理行为则更具有现实意义和研究价值。</w:t>
      </w:r>
    </w:p>
    <w:p w14:paraId="62DA87EA">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sz w:val="24"/>
        </w:rPr>
        <w:t>为保证数据质量并精准揭示审计行为和盈余管理关系的普遍规律，本文对样本数据进行了统计处理：将15家ST及*ST类企业剔除，剔除关键变量缺失以及连续3年以上数据不连贯的观测值，行业分类依照国泰安数据库中的申银万国行业分类标准开展，最终获得涵盖行业龙头、区域房企等103家企业的非平衡面板数据，累计有947行有效观测的数值，样本分布既有代表性又有多样性。数据初步预处理阶段，用Excel软件进行数据的基础清洗与规整，完成缺失值填补、异常值处理等内容，依靠Stata17.0进行实证分析，提升数据和研究结论的可靠性。</w:t>
      </w:r>
    </w:p>
    <w:p w14:paraId="626C7957">
      <w:pPr>
        <w:keepNext w:val="0"/>
        <w:keepLines w:val="0"/>
        <w:pageBreakBefore w:val="0"/>
        <w:kinsoku/>
        <w:wordWrap/>
        <w:overflowPunct/>
        <w:topLinePunct w:val="0"/>
        <w:autoSpaceDE/>
        <w:autoSpaceDN/>
        <w:bidi w:val="0"/>
        <w:adjustRightInd/>
        <w:spacing w:line="300" w:lineRule="auto"/>
        <w:ind w:firstLine="420"/>
        <w:textAlignment w:val="auto"/>
        <w:outlineLvl w:val="1"/>
        <w:rPr>
          <w:rFonts w:hint="eastAsia" w:ascii="Times New Roman" w:hAnsi="Times New Roman" w:cs="Times New Roman"/>
          <w:b/>
          <w:bCs/>
          <w:sz w:val="24"/>
        </w:rPr>
      </w:pPr>
      <w:r>
        <w:rPr>
          <w:rFonts w:hint="eastAsia" w:ascii="Times New Roman" w:hAnsi="Times New Roman" w:cs="Times New Roman"/>
          <w:b/>
          <w:bCs/>
          <w:sz w:val="24"/>
        </w:rPr>
        <w:t>（二）描述性统计</w:t>
      </w:r>
    </w:p>
    <w:p w14:paraId="345B5833">
      <w:pPr>
        <w:keepNext w:val="0"/>
        <w:keepLines w:val="0"/>
        <w:pageBreakBefore w:val="0"/>
        <w:kinsoku/>
        <w:wordWrap/>
        <w:overflowPunct/>
        <w:topLinePunct w:val="0"/>
        <w:autoSpaceDE/>
        <w:autoSpaceDN/>
        <w:bidi w:val="0"/>
        <w:adjustRightInd/>
        <w:spacing w:line="300" w:lineRule="auto"/>
        <w:ind w:firstLine="420"/>
        <w:textAlignment w:val="auto"/>
        <w:outlineLvl w:val="2"/>
        <w:rPr>
          <w:rFonts w:hint="eastAsia" w:ascii="Times New Roman" w:hAnsi="Times New Roman" w:cs="Times New Roman"/>
          <w:b/>
          <w:bCs/>
          <w:sz w:val="24"/>
        </w:rPr>
      </w:pPr>
      <w:r>
        <w:rPr>
          <w:rFonts w:hint="eastAsia" w:ascii="Times New Roman" w:hAnsi="Times New Roman" w:cs="Times New Roman"/>
          <w:b/>
          <w:bCs/>
          <w:sz w:val="24"/>
        </w:rPr>
        <w:t>1.描述性统计分析</w:t>
      </w:r>
    </w:p>
    <w:p w14:paraId="7D05887C">
      <w:pPr>
        <w:pStyle w:val="3"/>
        <w:keepNext w:val="0"/>
        <w:keepLines w:val="0"/>
        <w:pageBreakBefore w:val="0"/>
        <w:kinsoku/>
        <w:wordWrap/>
        <w:overflowPunct/>
        <w:topLinePunct w:val="0"/>
        <w:autoSpaceDE/>
        <w:autoSpaceDN/>
        <w:bidi w:val="0"/>
        <w:adjustRightInd/>
        <w:spacing w:line="300" w:lineRule="auto"/>
        <w:ind w:firstLine="480" w:firstLineChars="200"/>
        <w:jc w:val="left"/>
        <w:textAlignment w:val="auto"/>
        <w:rPr>
          <w:rFonts w:hint="eastAsia" w:ascii="Times New Roman" w:hAnsi="Times New Roman" w:cs="Times New Roman" w:eastAsiaTheme="minorEastAsia"/>
          <w:sz w:val="24"/>
        </w:rPr>
      </w:pPr>
      <w:r>
        <w:rPr>
          <w:rFonts w:hint="eastAsia" w:ascii="Times New Roman" w:hAnsi="Times New Roman" w:cs="Times New Roman" w:eastAsiaTheme="minorEastAsia"/>
          <w:sz w:val="24"/>
        </w:rPr>
        <w:t>本文运用Stata17.0软件进行描述性统计，结果如表2所示。</w:t>
      </w:r>
    </w:p>
    <w:p w14:paraId="07AB1CE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表</w:t>
      </w:r>
      <w:r>
        <w:rPr>
          <w:rFonts w:ascii="Times New Roman" w:hAnsi="Times New Roman" w:cs="Times New Roman"/>
          <w:b/>
          <w:bCs/>
          <w:szCs w:val="21"/>
        </w:rPr>
        <w:t>2 变量描述性统计</w:t>
      </w:r>
    </w:p>
    <w:tbl>
      <w:tblPr>
        <w:tblStyle w:val="9"/>
        <w:tblW w:w="0" w:type="auto"/>
        <w:jc w:val="center"/>
        <w:tblLayout w:type="autofit"/>
        <w:tblCellMar>
          <w:top w:w="0" w:type="dxa"/>
          <w:left w:w="108" w:type="dxa"/>
          <w:bottom w:w="0" w:type="dxa"/>
          <w:right w:w="108" w:type="dxa"/>
        </w:tblCellMar>
      </w:tblPr>
      <w:tblGrid>
        <w:gridCol w:w="3168"/>
        <w:gridCol w:w="849"/>
        <w:gridCol w:w="954"/>
        <w:gridCol w:w="954"/>
        <w:gridCol w:w="1109"/>
        <w:gridCol w:w="954"/>
      </w:tblGrid>
      <w:tr w14:paraId="49A944B9">
        <w:tblPrEx>
          <w:tblCellMar>
            <w:top w:w="0" w:type="dxa"/>
            <w:left w:w="108" w:type="dxa"/>
            <w:bottom w:w="0" w:type="dxa"/>
            <w:right w:w="108" w:type="dxa"/>
          </w:tblCellMar>
        </w:tblPrEx>
        <w:trPr>
          <w:jc w:val="center"/>
        </w:trPr>
        <w:tc>
          <w:tcPr>
            <w:tcW w:w="0" w:type="auto"/>
            <w:tcBorders>
              <w:top w:val="single" w:color="auto" w:sz="4" w:space="0"/>
              <w:left w:val="nil"/>
              <w:bottom w:val="single" w:color="auto" w:sz="10" w:space="0"/>
              <w:right w:val="nil"/>
              <w:tl2br w:val="nil"/>
              <w:tr2bl w:val="nil"/>
            </w:tcBorders>
          </w:tcPr>
          <w:p w14:paraId="16AC2B8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变量名称</w:t>
            </w:r>
          </w:p>
        </w:tc>
        <w:tc>
          <w:tcPr>
            <w:tcW w:w="0" w:type="auto"/>
            <w:tcBorders>
              <w:top w:val="single" w:color="auto" w:sz="4" w:space="0"/>
              <w:left w:val="nil"/>
              <w:bottom w:val="single" w:color="auto" w:sz="10" w:space="0"/>
              <w:right w:val="nil"/>
              <w:tl2br w:val="nil"/>
              <w:tr2bl w:val="nil"/>
            </w:tcBorders>
          </w:tcPr>
          <w:p w14:paraId="382F175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观测值</w:t>
            </w:r>
          </w:p>
        </w:tc>
        <w:tc>
          <w:tcPr>
            <w:tcW w:w="0" w:type="auto"/>
            <w:tcBorders>
              <w:top w:val="single" w:color="auto" w:sz="4" w:space="0"/>
              <w:left w:val="nil"/>
              <w:bottom w:val="single" w:color="auto" w:sz="10" w:space="0"/>
              <w:right w:val="nil"/>
              <w:tl2br w:val="nil"/>
              <w:tr2bl w:val="nil"/>
            </w:tcBorders>
          </w:tcPr>
          <w:p w14:paraId="2EBE209F">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b/>
                <w:bCs/>
                <w:szCs w:val="21"/>
              </w:rPr>
            </w:pPr>
            <w:r>
              <w:rPr>
                <w:rFonts w:ascii="Times New Roman" w:hAnsi="Times New Roman" w:cs="Times New Roman"/>
                <w:b/>
                <w:bCs/>
                <w:szCs w:val="21"/>
              </w:rPr>
              <w:t xml:space="preserve"> 平均值</w:t>
            </w:r>
          </w:p>
        </w:tc>
        <w:tc>
          <w:tcPr>
            <w:tcW w:w="0" w:type="auto"/>
            <w:tcBorders>
              <w:top w:val="single" w:color="auto" w:sz="4" w:space="0"/>
              <w:left w:val="nil"/>
              <w:bottom w:val="single" w:color="auto" w:sz="10" w:space="0"/>
              <w:right w:val="nil"/>
              <w:tl2br w:val="nil"/>
              <w:tr2bl w:val="nil"/>
            </w:tcBorders>
          </w:tcPr>
          <w:p w14:paraId="46B55EFC">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b/>
                <w:bCs/>
                <w:szCs w:val="21"/>
              </w:rPr>
            </w:pPr>
            <w:r>
              <w:rPr>
                <w:rFonts w:ascii="Times New Roman" w:hAnsi="Times New Roman" w:cs="Times New Roman"/>
                <w:b/>
                <w:bCs/>
                <w:szCs w:val="21"/>
              </w:rPr>
              <w:t xml:space="preserve"> 标准差</w:t>
            </w:r>
          </w:p>
        </w:tc>
        <w:tc>
          <w:tcPr>
            <w:tcW w:w="0" w:type="auto"/>
            <w:tcBorders>
              <w:top w:val="single" w:color="auto" w:sz="4" w:space="0"/>
              <w:left w:val="nil"/>
              <w:bottom w:val="single" w:color="auto" w:sz="10" w:space="0"/>
              <w:right w:val="nil"/>
              <w:tl2br w:val="nil"/>
              <w:tr2bl w:val="nil"/>
            </w:tcBorders>
          </w:tcPr>
          <w:p w14:paraId="76441C7E">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b/>
                <w:bCs/>
                <w:szCs w:val="21"/>
              </w:rPr>
            </w:pPr>
            <w:r>
              <w:rPr>
                <w:rFonts w:ascii="Times New Roman" w:hAnsi="Times New Roman" w:cs="Times New Roman"/>
                <w:b/>
                <w:bCs/>
                <w:szCs w:val="21"/>
              </w:rPr>
              <w:t xml:space="preserve"> 最小值</w:t>
            </w:r>
          </w:p>
        </w:tc>
        <w:tc>
          <w:tcPr>
            <w:tcW w:w="0" w:type="auto"/>
            <w:tcBorders>
              <w:top w:val="single" w:color="auto" w:sz="4" w:space="0"/>
              <w:left w:val="nil"/>
              <w:bottom w:val="single" w:color="auto" w:sz="10" w:space="0"/>
              <w:right w:val="nil"/>
              <w:tl2br w:val="nil"/>
              <w:tr2bl w:val="nil"/>
            </w:tcBorders>
          </w:tcPr>
          <w:p w14:paraId="4849FBDB">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b/>
                <w:bCs/>
                <w:szCs w:val="21"/>
              </w:rPr>
            </w:pPr>
            <w:r>
              <w:rPr>
                <w:rFonts w:ascii="Times New Roman" w:hAnsi="Times New Roman" w:cs="Times New Roman"/>
                <w:b/>
                <w:bCs/>
                <w:szCs w:val="21"/>
              </w:rPr>
              <w:t xml:space="preserve"> 最大值</w:t>
            </w:r>
          </w:p>
        </w:tc>
      </w:tr>
      <w:tr w14:paraId="0411A506">
        <w:tblPrEx>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tcPr>
          <w:p w14:paraId="0BBDE48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持股比例（Top1）</w:t>
            </w:r>
          </w:p>
        </w:tc>
        <w:tc>
          <w:tcPr>
            <w:tcW w:w="0" w:type="auto"/>
            <w:tcBorders>
              <w:top w:val="nil"/>
              <w:left w:val="nil"/>
              <w:bottom w:val="nil"/>
              <w:right w:val="nil"/>
              <w:tl2br w:val="nil"/>
              <w:tr2bl w:val="nil"/>
            </w:tcBorders>
          </w:tcPr>
          <w:p w14:paraId="1B61EF55">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nil"/>
              <w:left w:val="nil"/>
              <w:bottom w:val="nil"/>
              <w:right w:val="nil"/>
              <w:tl2br w:val="nil"/>
              <w:tr2bl w:val="nil"/>
            </w:tcBorders>
          </w:tcPr>
          <w:p w14:paraId="12293E74">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39.993</w:t>
            </w:r>
          </w:p>
        </w:tc>
        <w:tc>
          <w:tcPr>
            <w:tcW w:w="0" w:type="auto"/>
            <w:tcBorders>
              <w:top w:val="nil"/>
              <w:left w:val="nil"/>
              <w:bottom w:val="nil"/>
              <w:right w:val="nil"/>
              <w:tl2br w:val="nil"/>
              <w:tr2bl w:val="nil"/>
            </w:tcBorders>
          </w:tcPr>
          <w:p w14:paraId="2F96F579">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15.485</w:t>
            </w:r>
          </w:p>
        </w:tc>
        <w:tc>
          <w:tcPr>
            <w:tcW w:w="0" w:type="auto"/>
            <w:tcBorders>
              <w:top w:val="nil"/>
              <w:left w:val="nil"/>
              <w:bottom w:val="nil"/>
              <w:right w:val="nil"/>
              <w:tl2br w:val="nil"/>
              <w:tr2bl w:val="nil"/>
            </w:tcBorders>
          </w:tcPr>
          <w:p w14:paraId="2E0202FA">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7.116</w:t>
            </w:r>
          </w:p>
        </w:tc>
        <w:tc>
          <w:tcPr>
            <w:tcW w:w="0" w:type="auto"/>
            <w:tcBorders>
              <w:top w:val="nil"/>
              <w:left w:val="nil"/>
              <w:bottom w:val="nil"/>
              <w:right w:val="nil"/>
              <w:tl2br w:val="nil"/>
              <w:tr2bl w:val="nil"/>
            </w:tcBorders>
          </w:tcPr>
          <w:p w14:paraId="2A84C231">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80.649</w:t>
            </w:r>
          </w:p>
        </w:tc>
      </w:tr>
      <w:tr w14:paraId="64E04612">
        <w:tblPrEx>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tcPr>
          <w:p w14:paraId="4644512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盈余管理绝对值（REM_abs）</w:t>
            </w:r>
          </w:p>
        </w:tc>
        <w:tc>
          <w:tcPr>
            <w:tcW w:w="0" w:type="auto"/>
            <w:tcBorders>
              <w:top w:val="nil"/>
              <w:left w:val="nil"/>
              <w:bottom w:val="nil"/>
              <w:right w:val="nil"/>
              <w:tl2br w:val="nil"/>
              <w:tr2bl w:val="nil"/>
            </w:tcBorders>
          </w:tcPr>
          <w:p w14:paraId="7F50F12A">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nil"/>
              <w:left w:val="nil"/>
              <w:bottom w:val="nil"/>
              <w:right w:val="nil"/>
              <w:tl2br w:val="nil"/>
              <w:tr2bl w:val="nil"/>
            </w:tcBorders>
          </w:tcPr>
          <w:p w14:paraId="6667CD5A">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0.186</w:t>
            </w:r>
          </w:p>
        </w:tc>
        <w:tc>
          <w:tcPr>
            <w:tcW w:w="0" w:type="auto"/>
            <w:tcBorders>
              <w:top w:val="nil"/>
              <w:left w:val="nil"/>
              <w:bottom w:val="nil"/>
              <w:right w:val="nil"/>
              <w:tl2br w:val="nil"/>
              <w:tr2bl w:val="nil"/>
            </w:tcBorders>
          </w:tcPr>
          <w:p w14:paraId="480692BF">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0.260</w:t>
            </w:r>
          </w:p>
        </w:tc>
        <w:tc>
          <w:tcPr>
            <w:tcW w:w="0" w:type="auto"/>
            <w:tcBorders>
              <w:top w:val="nil"/>
              <w:left w:val="nil"/>
              <w:bottom w:val="nil"/>
              <w:right w:val="nil"/>
              <w:tl2br w:val="nil"/>
              <w:tr2bl w:val="nil"/>
            </w:tcBorders>
          </w:tcPr>
          <w:p w14:paraId="76A86286">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0.0000193</w:t>
            </w:r>
          </w:p>
        </w:tc>
        <w:tc>
          <w:tcPr>
            <w:tcW w:w="0" w:type="auto"/>
            <w:tcBorders>
              <w:top w:val="nil"/>
              <w:left w:val="nil"/>
              <w:bottom w:val="nil"/>
              <w:right w:val="nil"/>
              <w:tl2br w:val="nil"/>
              <w:tr2bl w:val="nil"/>
            </w:tcBorders>
          </w:tcPr>
          <w:p w14:paraId="751452D3">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3.945</w:t>
            </w:r>
          </w:p>
        </w:tc>
      </w:tr>
      <w:tr w14:paraId="0389E000">
        <w:tblPrEx>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tcPr>
          <w:p w14:paraId="21B397B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审计费用（ln_AudFee）</w:t>
            </w:r>
          </w:p>
        </w:tc>
        <w:tc>
          <w:tcPr>
            <w:tcW w:w="0" w:type="auto"/>
            <w:tcBorders>
              <w:top w:val="nil"/>
              <w:left w:val="nil"/>
              <w:bottom w:val="nil"/>
              <w:right w:val="nil"/>
              <w:tl2br w:val="nil"/>
              <w:tr2bl w:val="nil"/>
            </w:tcBorders>
          </w:tcPr>
          <w:p w14:paraId="15565975">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nil"/>
              <w:left w:val="nil"/>
              <w:bottom w:val="nil"/>
              <w:right w:val="nil"/>
              <w:tl2br w:val="nil"/>
              <w:tr2bl w:val="nil"/>
            </w:tcBorders>
          </w:tcPr>
          <w:p w14:paraId="16136D4D">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14.358</w:t>
            </w:r>
          </w:p>
        </w:tc>
        <w:tc>
          <w:tcPr>
            <w:tcW w:w="0" w:type="auto"/>
            <w:tcBorders>
              <w:top w:val="nil"/>
              <w:left w:val="nil"/>
              <w:bottom w:val="nil"/>
              <w:right w:val="nil"/>
              <w:tl2br w:val="nil"/>
              <w:tr2bl w:val="nil"/>
            </w:tcBorders>
          </w:tcPr>
          <w:p w14:paraId="0E43DF17">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0.752</w:t>
            </w:r>
          </w:p>
        </w:tc>
        <w:tc>
          <w:tcPr>
            <w:tcW w:w="0" w:type="auto"/>
            <w:tcBorders>
              <w:top w:val="nil"/>
              <w:left w:val="nil"/>
              <w:bottom w:val="nil"/>
              <w:right w:val="nil"/>
              <w:tl2br w:val="nil"/>
              <w:tr2bl w:val="nil"/>
            </w:tcBorders>
          </w:tcPr>
          <w:p w14:paraId="1E5241F8">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11.849</w:t>
            </w:r>
          </w:p>
        </w:tc>
        <w:tc>
          <w:tcPr>
            <w:tcW w:w="0" w:type="auto"/>
            <w:tcBorders>
              <w:top w:val="nil"/>
              <w:left w:val="nil"/>
              <w:bottom w:val="nil"/>
              <w:right w:val="nil"/>
              <w:tl2br w:val="nil"/>
              <w:tr2bl w:val="nil"/>
            </w:tcBorders>
          </w:tcPr>
          <w:p w14:paraId="1CEEEC68">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16.685</w:t>
            </w:r>
          </w:p>
        </w:tc>
      </w:tr>
      <w:tr w14:paraId="61D689BF">
        <w:tblPrEx>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tcPr>
          <w:p w14:paraId="30426F7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内部控制质量（ICQ）</w:t>
            </w:r>
          </w:p>
        </w:tc>
        <w:tc>
          <w:tcPr>
            <w:tcW w:w="0" w:type="auto"/>
            <w:tcBorders>
              <w:top w:val="nil"/>
              <w:left w:val="nil"/>
              <w:bottom w:val="nil"/>
              <w:right w:val="nil"/>
              <w:tl2br w:val="nil"/>
              <w:tr2bl w:val="nil"/>
            </w:tcBorders>
          </w:tcPr>
          <w:p w14:paraId="6B657B64">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nil"/>
              <w:left w:val="nil"/>
              <w:bottom w:val="nil"/>
              <w:right w:val="nil"/>
              <w:tl2br w:val="nil"/>
              <w:tr2bl w:val="nil"/>
            </w:tcBorders>
          </w:tcPr>
          <w:p w14:paraId="2914715A">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0.015</w:t>
            </w:r>
          </w:p>
        </w:tc>
        <w:tc>
          <w:tcPr>
            <w:tcW w:w="0" w:type="auto"/>
            <w:tcBorders>
              <w:top w:val="nil"/>
              <w:left w:val="nil"/>
              <w:bottom w:val="nil"/>
              <w:right w:val="nil"/>
              <w:tl2br w:val="nil"/>
              <w:tr2bl w:val="nil"/>
            </w:tcBorders>
          </w:tcPr>
          <w:p w14:paraId="198179D9">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0.121</w:t>
            </w:r>
          </w:p>
        </w:tc>
        <w:tc>
          <w:tcPr>
            <w:tcW w:w="0" w:type="auto"/>
            <w:tcBorders>
              <w:top w:val="nil"/>
              <w:left w:val="nil"/>
              <w:bottom w:val="nil"/>
              <w:right w:val="nil"/>
              <w:tl2br w:val="nil"/>
              <w:tr2bl w:val="nil"/>
            </w:tcBorders>
          </w:tcPr>
          <w:p w14:paraId="294E13AF">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w:t>
            </w:r>
          </w:p>
        </w:tc>
        <w:tc>
          <w:tcPr>
            <w:tcW w:w="0" w:type="auto"/>
            <w:tcBorders>
              <w:top w:val="nil"/>
              <w:left w:val="nil"/>
              <w:bottom w:val="nil"/>
              <w:right w:val="nil"/>
              <w:tl2br w:val="nil"/>
              <w:tr2bl w:val="nil"/>
            </w:tcBorders>
          </w:tcPr>
          <w:p w14:paraId="64D0333E">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1</w:t>
            </w:r>
          </w:p>
        </w:tc>
      </w:tr>
      <w:tr w14:paraId="4E5BB99E">
        <w:tblPrEx>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tcPr>
          <w:p w14:paraId="265DE87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资产负债率（Debt）</w:t>
            </w:r>
          </w:p>
        </w:tc>
        <w:tc>
          <w:tcPr>
            <w:tcW w:w="0" w:type="auto"/>
            <w:tcBorders>
              <w:top w:val="nil"/>
              <w:left w:val="nil"/>
              <w:bottom w:val="nil"/>
              <w:right w:val="nil"/>
              <w:tl2br w:val="nil"/>
              <w:tr2bl w:val="nil"/>
            </w:tcBorders>
          </w:tcPr>
          <w:p w14:paraId="21B21604">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nil"/>
              <w:left w:val="nil"/>
              <w:bottom w:val="nil"/>
              <w:right w:val="nil"/>
              <w:tl2br w:val="nil"/>
              <w:tr2bl w:val="nil"/>
            </w:tcBorders>
          </w:tcPr>
          <w:p w14:paraId="688AB38F">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0.670</w:t>
            </w:r>
          </w:p>
        </w:tc>
        <w:tc>
          <w:tcPr>
            <w:tcW w:w="0" w:type="auto"/>
            <w:tcBorders>
              <w:top w:val="nil"/>
              <w:left w:val="nil"/>
              <w:bottom w:val="nil"/>
              <w:right w:val="nil"/>
              <w:tl2br w:val="nil"/>
              <w:tr2bl w:val="nil"/>
            </w:tcBorders>
          </w:tcPr>
          <w:p w14:paraId="00464C1F">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0.178</w:t>
            </w:r>
          </w:p>
        </w:tc>
        <w:tc>
          <w:tcPr>
            <w:tcW w:w="0" w:type="auto"/>
            <w:tcBorders>
              <w:top w:val="nil"/>
              <w:left w:val="nil"/>
              <w:bottom w:val="nil"/>
              <w:right w:val="nil"/>
              <w:tl2br w:val="nil"/>
              <w:tr2bl w:val="nil"/>
            </w:tcBorders>
          </w:tcPr>
          <w:p w14:paraId="07C8B837">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0.051</w:t>
            </w:r>
          </w:p>
        </w:tc>
        <w:tc>
          <w:tcPr>
            <w:tcW w:w="0" w:type="auto"/>
            <w:tcBorders>
              <w:top w:val="nil"/>
              <w:left w:val="nil"/>
              <w:bottom w:val="nil"/>
              <w:right w:val="nil"/>
              <w:tl2br w:val="nil"/>
              <w:tr2bl w:val="nil"/>
            </w:tcBorders>
          </w:tcPr>
          <w:p w14:paraId="240DA624">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1.154</w:t>
            </w:r>
          </w:p>
        </w:tc>
      </w:tr>
      <w:tr w14:paraId="09E72241">
        <w:tblPrEx>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tcPr>
          <w:p w14:paraId="72F1A00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资产净利率（Roa）</w:t>
            </w:r>
          </w:p>
        </w:tc>
        <w:tc>
          <w:tcPr>
            <w:tcW w:w="0" w:type="auto"/>
            <w:tcBorders>
              <w:top w:val="nil"/>
              <w:left w:val="nil"/>
              <w:bottom w:val="nil"/>
              <w:right w:val="nil"/>
              <w:tl2br w:val="nil"/>
              <w:tr2bl w:val="nil"/>
            </w:tcBorders>
          </w:tcPr>
          <w:p w14:paraId="6CA90983">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nil"/>
              <w:left w:val="nil"/>
              <w:bottom w:val="nil"/>
              <w:right w:val="nil"/>
              <w:tl2br w:val="nil"/>
              <w:tr2bl w:val="nil"/>
            </w:tcBorders>
          </w:tcPr>
          <w:p w14:paraId="60ACA0F0">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0.019</w:t>
            </w:r>
          </w:p>
        </w:tc>
        <w:tc>
          <w:tcPr>
            <w:tcW w:w="0" w:type="auto"/>
            <w:tcBorders>
              <w:top w:val="nil"/>
              <w:left w:val="nil"/>
              <w:bottom w:val="nil"/>
              <w:right w:val="nil"/>
              <w:tl2br w:val="nil"/>
              <w:tr2bl w:val="nil"/>
            </w:tcBorders>
          </w:tcPr>
          <w:p w14:paraId="3C3832FE">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0.038</w:t>
            </w:r>
          </w:p>
        </w:tc>
        <w:tc>
          <w:tcPr>
            <w:tcW w:w="0" w:type="auto"/>
            <w:tcBorders>
              <w:top w:val="nil"/>
              <w:left w:val="nil"/>
              <w:bottom w:val="nil"/>
              <w:right w:val="nil"/>
              <w:tl2br w:val="nil"/>
              <w:tr2bl w:val="nil"/>
            </w:tcBorders>
          </w:tcPr>
          <w:p w14:paraId="5DD6267F">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-0.17</w:t>
            </w:r>
          </w:p>
        </w:tc>
        <w:tc>
          <w:tcPr>
            <w:tcW w:w="0" w:type="auto"/>
            <w:tcBorders>
              <w:top w:val="nil"/>
              <w:left w:val="nil"/>
              <w:bottom w:val="nil"/>
              <w:right w:val="nil"/>
              <w:tl2br w:val="nil"/>
              <w:tr2bl w:val="nil"/>
            </w:tcBorders>
          </w:tcPr>
          <w:p w14:paraId="41B70130">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0.205</w:t>
            </w:r>
          </w:p>
        </w:tc>
      </w:tr>
      <w:tr w14:paraId="3827EEF7">
        <w:tblPrEx>
          <w:tblCellMar>
            <w:top w:w="0" w:type="dxa"/>
            <w:left w:w="108" w:type="dxa"/>
            <w:bottom w:w="0" w:type="dxa"/>
            <w:right w:w="108" w:type="dxa"/>
          </w:tblCellMar>
        </w:tblPrEx>
        <w:trPr>
          <w:jc w:val="center"/>
        </w:trPr>
        <w:tc>
          <w:tcPr>
            <w:tcW w:w="0" w:type="auto"/>
            <w:tcBorders>
              <w:top w:val="nil"/>
              <w:left w:val="nil"/>
              <w:bottom w:val="nil"/>
              <w:right w:val="nil"/>
              <w:tl2br w:val="nil"/>
              <w:tr2bl w:val="nil"/>
            </w:tcBorders>
          </w:tcPr>
          <w:p w14:paraId="488D9FE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主营业务收入增长率（Growth）</w:t>
            </w:r>
          </w:p>
        </w:tc>
        <w:tc>
          <w:tcPr>
            <w:tcW w:w="0" w:type="auto"/>
            <w:tcBorders>
              <w:top w:val="nil"/>
              <w:left w:val="nil"/>
              <w:bottom w:val="nil"/>
              <w:right w:val="nil"/>
              <w:tl2br w:val="nil"/>
              <w:tr2bl w:val="nil"/>
            </w:tcBorders>
          </w:tcPr>
          <w:p w14:paraId="1D0CD253">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nil"/>
              <w:left w:val="nil"/>
              <w:bottom w:val="nil"/>
              <w:right w:val="nil"/>
              <w:tl2br w:val="nil"/>
              <w:tr2bl w:val="nil"/>
            </w:tcBorders>
          </w:tcPr>
          <w:p w14:paraId="25F5650E">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0.323</w:t>
            </w:r>
          </w:p>
        </w:tc>
        <w:tc>
          <w:tcPr>
            <w:tcW w:w="0" w:type="auto"/>
            <w:tcBorders>
              <w:top w:val="nil"/>
              <w:left w:val="nil"/>
              <w:bottom w:val="nil"/>
              <w:right w:val="nil"/>
              <w:tl2br w:val="nil"/>
              <w:tr2bl w:val="nil"/>
            </w:tcBorders>
          </w:tcPr>
          <w:p w14:paraId="21C7E87A">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1.964</w:t>
            </w:r>
          </w:p>
        </w:tc>
        <w:tc>
          <w:tcPr>
            <w:tcW w:w="0" w:type="auto"/>
            <w:tcBorders>
              <w:top w:val="nil"/>
              <w:left w:val="nil"/>
              <w:bottom w:val="nil"/>
              <w:right w:val="nil"/>
              <w:tl2br w:val="nil"/>
              <w:tr2bl w:val="nil"/>
            </w:tcBorders>
          </w:tcPr>
          <w:p w14:paraId="7A2DB423">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-0.926</w:t>
            </w:r>
          </w:p>
        </w:tc>
        <w:tc>
          <w:tcPr>
            <w:tcW w:w="0" w:type="auto"/>
            <w:tcBorders>
              <w:top w:val="nil"/>
              <w:left w:val="nil"/>
              <w:bottom w:val="nil"/>
              <w:right w:val="nil"/>
              <w:tl2br w:val="nil"/>
              <w:tr2bl w:val="nil"/>
            </w:tcBorders>
          </w:tcPr>
          <w:p w14:paraId="2E56DCA6">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43.094</w:t>
            </w:r>
          </w:p>
        </w:tc>
      </w:tr>
      <w:tr w14:paraId="63A5B4A9">
        <w:tblPrEx>
          <w:tblCellMar>
            <w:top w:w="0" w:type="dxa"/>
            <w:left w:w="108" w:type="dxa"/>
            <w:bottom w:w="0" w:type="dxa"/>
            <w:right w:w="108" w:type="dxa"/>
          </w:tblCellMar>
        </w:tblPrEx>
        <w:trPr>
          <w:jc w:val="center"/>
        </w:trPr>
        <w:tc>
          <w:tcPr>
            <w:tcW w:w="0" w:type="auto"/>
            <w:tcBorders>
              <w:top w:val="nil"/>
              <w:left w:val="nil"/>
              <w:bottom w:val="single" w:color="auto" w:sz="4" w:space="0"/>
              <w:right w:val="nil"/>
            </w:tcBorders>
          </w:tcPr>
          <w:p w14:paraId="54DF41D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事务所排名（Rank）</w:t>
            </w:r>
          </w:p>
        </w:tc>
        <w:tc>
          <w:tcPr>
            <w:tcW w:w="0" w:type="auto"/>
            <w:tcBorders>
              <w:top w:val="nil"/>
              <w:left w:val="nil"/>
              <w:bottom w:val="single" w:color="auto" w:sz="4" w:space="0"/>
              <w:right w:val="nil"/>
            </w:tcBorders>
          </w:tcPr>
          <w:p w14:paraId="336582D2">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nil"/>
              <w:left w:val="nil"/>
              <w:bottom w:val="single" w:color="auto" w:sz="4" w:space="0"/>
              <w:right w:val="nil"/>
            </w:tcBorders>
          </w:tcPr>
          <w:p w14:paraId="16243766">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0.378</w:t>
            </w:r>
          </w:p>
        </w:tc>
        <w:tc>
          <w:tcPr>
            <w:tcW w:w="0" w:type="auto"/>
            <w:tcBorders>
              <w:top w:val="nil"/>
              <w:left w:val="nil"/>
              <w:bottom w:val="single" w:color="auto" w:sz="4" w:space="0"/>
              <w:right w:val="nil"/>
            </w:tcBorders>
          </w:tcPr>
          <w:p w14:paraId="3F93D9CE">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0.485</w:t>
            </w:r>
          </w:p>
        </w:tc>
        <w:tc>
          <w:tcPr>
            <w:tcW w:w="0" w:type="auto"/>
            <w:tcBorders>
              <w:top w:val="nil"/>
              <w:left w:val="nil"/>
              <w:bottom w:val="single" w:color="auto" w:sz="4" w:space="0"/>
              <w:right w:val="nil"/>
            </w:tcBorders>
          </w:tcPr>
          <w:p w14:paraId="2DECEBB2">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0</w:t>
            </w:r>
          </w:p>
        </w:tc>
        <w:tc>
          <w:tcPr>
            <w:tcW w:w="0" w:type="auto"/>
            <w:tcBorders>
              <w:top w:val="nil"/>
              <w:left w:val="nil"/>
              <w:bottom w:val="single" w:color="auto" w:sz="4" w:space="0"/>
              <w:right w:val="nil"/>
            </w:tcBorders>
          </w:tcPr>
          <w:p w14:paraId="4F6AF184">
            <w:pPr>
              <w:keepNext w:val="0"/>
              <w:keepLines w:val="0"/>
              <w:pageBreakBefore w:val="0"/>
              <w:kinsoku/>
              <w:wordWrap/>
              <w:overflowPunct/>
              <w:topLinePunct w:val="0"/>
              <w:autoSpaceDE/>
              <w:autoSpaceDN/>
              <w:bidi w:val="0"/>
              <w:adjustRightInd/>
              <w:spacing w:line="300" w:lineRule="auto"/>
              <w:jc w:val="right"/>
              <w:textAlignment w:val="auto"/>
              <w:rPr>
                <w:rFonts w:ascii="Times New Roman" w:hAnsi="Times New Roman" w:cs="Times New Roman"/>
                <w:szCs w:val="21"/>
              </w:rPr>
            </w:pPr>
            <w:r>
              <w:rPr>
                <w:rFonts w:ascii="Times New Roman" w:hAnsi="Times New Roman" w:cs="Times New Roman"/>
                <w:szCs w:val="21"/>
              </w:rPr>
              <w:t>1</w:t>
            </w:r>
          </w:p>
        </w:tc>
      </w:tr>
    </w:tbl>
    <w:p w14:paraId="5C249F04">
      <w:pPr>
        <w:keepNext w:val="0"/>
        <w:keepLines w:val="0"/>
        <w:pageBreakBefore w:val="0"/>
        <w:kinsoku/>
        <w:wordWrap/>
        <w:overflowPunct/>
        <w:topLinePunct w:val="0"/>
        <w:autoSpaceDE/>
        <w:autoSpaceDN/>
        <w:bidi w:val="0"/>
        <w:adjustRightInd/>
        <w:spacing w:line="300" w:lineRule="auto"/>
        <w:ind w:firstLine="420"/>
        <w:textAlignment w:val="auto"/>
        <w:rPr>
          <w:rFonts w:ascii="Times New Roman" w:hAnsi="Times New Roman" w:cs="Times New Roman"/>
          <w:sz w:val="24"/>
        </w:rPr>
      </w:pPr>
      <w:r>
        <w:rPr>
          <w:rFonts w:ascii="Times New Roman" w:hAnsi="Times New Roman" w:cs="Times New Roman"/>
          <w:sz w:val="24"/>
        </w:rPr>
        <w:t>表</w:t>
      </w:r>
      <w:r>
        <w:rPr>
          <w:rFonts w:hint="eastAsia" w:ascii="Times New Roman" w:hAnsi="Times New Roman" w:cs="Times New Roman"/>
          <w:sz w:val="24"/>
        </w:rPr>
        <w:t>2</w:t>
      </w:r>
      <w:r>
        <w:rPr>
          <w:rFonts w:ascii="Times New Roman" w:hAnsi="Times New Roman" w:cs="Times New Roman"/>
          <w:sz w:val="24"/>
        </w:rPr>
        <w:t>中，</w:t>
      </w:r>
      <w:r>
        <w:rPr>
          <w:rFonts w:hint="eastAsia" w:ascii="Times New Roman" w:hAnsi="Times New Roman" w:cs="Times New Roman"/>
          <w:sz w:val="24"/>
        </w:rPr>
        <w:t>持股比例（</w:t>
      </w:r>
      <w:r>
        <w:rPr>
          <w:rFonts w:ascii="Times New Roman" w:hAnsi="Times New Roman" w:cs="Times New Roman"/>
          <w:sz w:val="24"/>
        </w:rPr>
        <w:t>Top1</w:t>
      </w:r>
      <w:r>
        <w:rPr>
          <w:rFonts w:hint="eastAsia" w:ascii="Times New Roman" w:hAnsi="Times New Roman" w:cs="Times New Roman"/>
          <w:sz w:val="24"/>
        </w:rPr>
        <w:t>）</w:t>
      </w:r>
      <w:r>
        <w:rPr>
          <w:rFonts w:ascii="Times New Roman" w:hAnsi="Times New Roman" w:cs="Times New Roman"/>
          <w:sz w:val="24"/>
        </w:rPr>
        <w:t>的平均测算值为39.993，标准差为15.485，</w:t>
      </w:r>
      <w:r>
        <w:rPr>
          <w:rFonts w:hint="eastAsia" w:ascii="Times New Roman" w:hAnsi="Times New Roman" w:cs="Times New Roman"/>
          <w:sz w:val="24"/>
        </w:rPr>
        <w:t>这</w:t>
      </w:r>
      <w:r>
        <w:rPr>
          <w:rFonts w:ascii="Times New Roman" w:hAnsi="Times New Roman" w:cs="Times New Roman"/>
          <w:sz w:val="24"/>
        </w:rPr>
        <w:t>说明样本</w:t>
      </w:r>
      <w:r>
        <w:rPr>
          <w:rFonts w:hint="eastAsia" w:ascii="Times New Roman" w:hAnsi="Times New Roman" w:cs="Times New Roman"/>
          <w:sz w:val="24"/>
        </w:rPr>
        <w:t>中</w:t>
      </w:r>
      <w:r>
        <w:rPr>
          <w:rFonts w:ascii="Times New Roman" w:hAnsi="Times New Roman" w:cs="Times New Roman"/>
          <w:sz w:val="24"/>
        </w:rPr>
        <w:t>公司第一大股东的持股比例比较高，而且各公司之间的持股比例差别明显。</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计算得出的平均值为0.186，所得标准差为0.260，说明不同上市公司的真实盈余管理水平有一定差别。</w:t>
      </w:r>
      <w:r>
        <w:rPr>
          <w:rFonts w:hint="eastAsia" w:ascii="Times New Roman" w:hAnsi="Times New Roman" w:cs="Times New Roman"/>
          <w:sz w:val="24"/>
        </w:rPr>
        <w:t>审计费用（</w:t>
      </w:r>
      <w:r>
        <w:rPr>
          <w:rFonts w:ascii="Times New Roman" w:hAnsi="Times New Roman" w:cs="Times New Roman"/>
          <w:sz w:val="24"/>
        </w:rPr>
        <w:t>ln_AudFee</w:t>
      </w:r>
      <w:r>
        <w:rPr>
          <w:rFonts w:hint="eastAsia" w:ascii="Times New Roman" w:hAnsi="Times New Roman" w:cs="Times New Roman"/>
          <w:sz w:val="24"/>
        </w:rPr>
        <w:t>）</w:t>
      </w:r>
      <w:r>
        <w:rPr>
          <w:rFonts w:ascii="Times New Roman" w:hAnsi="Times New Roman" w:cs="Times New Roman"/>
          <w:sz w:val="24"/>
        </w:rPr>
        <w:t>平均值为14.358，分析得出标准差为0.752，说明审计费用分布集中性较好，多数费用都跟平均值接近。</w:t>
      </w:r>
      <w:r>
        <w:rPr>
          <w:rFonts w:hint="eastAsia" w:ascii="Times New Roman" w:hAnsi="Times New Roman" w:cs="Times New Roman"/>
          <w:sz w:val="24"/>
        </w:rPr>
        <w:t>内部控制质量（</w:t>
      </w:r>
      <w:r>
        <w:rPr>
          <w:rFonts w:ascii="Times New Roman" w:hAnsi="Times New Roman" w:cs="Times New Roman"/>
          <w:sz w:val="24"/>
        </w:rPr>
        <w:t>ICQ</w:t>
      </w:r>
      <w:r>
        <w:rPr>
          <w:rFonts w:hint="eastAsia" w:ascii="Times New Roman" w:hAnsi="Times New Roman" w:cs="Times New Roman"/>
          <w:sz w:val="24"/>
        </w:rPr>
        <w:t>）</w:t>
      </w:r>
      <w:r>
        <w:rPr>
          <w:rFonts w:ascii="Times New Roman" w:hAnsi="Times New Roman" w:cs="Times New Roman"/>
          <w:sz w:val="24"/>
        </w:rPr>
        <w:t>所呈现的平均值为0.015，其标准差为0.121，说明样本里多数公司的内控质量良好，内控不达标的公司占比偏小。</w:t>
      </w:r>
      <w:r>
        <w:rPr>
          <w:rFonts w:ascii="Times New Roman" w:hAnsi="Times New Roman" w:cs="Times New Roman"/>
          <w:szCs w:val="21"/>
        </w:rPr>
        <w:t>资产负债率</w:t>
      </w:r>
      <w:r>
        <w:rPr>
          <w:rFonts w:hint="eastAsia" w:ascii="Times New Roman" w:hAnsi="Times New Roman" w:cs="Times New Roman"/>
          <w:szCs w:val="21"/>
        </w:rPr>
        <w:t>（</w:t>
      </w:r>
      <w:r>
        <w:rPr>
          <w:rFonts w:ascii="Times New Roman" w:hAnsi="Times New Roman" w:cs="Times New Roman"/>
          <w:sz w:val="24"/>
        </w:rPr>
        <w:t>Debt</w:t>
      </w:r>
      <w:r>
        <w:rPr>
          <w:rFonts w:hint="eastAsia" w:ascii="Times New Roman" w:hAnsi="Times New Roman" w:cs="Times New Roman"/>
          <w:sz w:val="24"/>
        </w:rPr>
        <w:t>）</w:t>
      </w:r>
      <w:r>
        <w:rPr>
          <w:rFonts w:ascii="Times New Roman" w:hAnsi="Times New Roman" w:cs="Times New Roman"/>
          <w:sz w:val="24"/>
        </w:rPr>
        <w:t>平均得出的值为0.670，标准差为0.178，说明样本公司的资产负债率总体普遍偏高，而且不同公司资产负债率的差异相对较小。</w:t>
      </w:r>
      <w:r>
        <w:rPr>
          <w:rFonts w:hint="eastAsia" w:ascii="Times New Roman" w:hAnsi="Times New Roman" w:cs="Times New Roman"/>
          <w:sz w:val="24"/>
        </w:rPr>
        <w:t>资产净利率（</w:t>
      </w:r>
      <w:r>
        <w:rPr>
          <w:rFonts w:ascii="Times New Roman" w:hAnsi="Times New Roman" w:cs="Times New Roman"/>
          <w:sz w:val="24"/>
        </w:rPr>
        <w:t>Roa</w:t>
      </w:r>
      <w:r>
        <w:rPr>
          <w:rFonts w:hint="eastAsia" w:ascii="Times New Roman" w:hAnsi="Times New Roman" w:cs="Times New Roman"/>
          <w:sz w:val="24"/>
        </w:rPr>
        <w:t>0</w:t>
      </w:r>
      <w:r>
        <w:rPr>
          <w:rFonts w:ascii="Times New Roman" w:hAnsi="Times New Roman" w:cs="Times New Roman"/>
          <w:sz w:val="24"/>
        </w:rPr>
        <w:t>的平均所得值为0.019，得出标准差为0.038，说明样本公司的盈利普遍呈现低水平，而且不同企业的盈利能力差距明显。</w:t>
      </w:r>
      <w:r>
        <w:rPr>
          <w:rFonts w:hint="eastAsia" w:ascii="Times New Roman" w:hAnsi="Times New Roman" w:cs="Times New Roman"/>
          <w:sz w:val="24"/>
        </w:rPr>
        <w:t>主营业务收入增长率（</w:t>
      </w:r>
      <w:r>
        <w:rPr>
          <w:rFonts w:ascii="Times New Roman" w:hAnsi="Times New Roman" w:cs="Times New Roman"/>
          <w:sz w:val="24"/>
        </w:rPr>
        <w:t>Growth</w:t>
      </w:r>
      <w:r>
        <w:rPr>
          <w:rFonts w:hint="eastAsia" w:ascii="Times New Roman" w:hAnsi="Times New Roman" w:cs="Times New Roman"/>
          <w:sz w:val="24"/>
        </w:rPr>
        <w:t>）</w:t>
      </w:r>
      <w:r>
        <w:rPr>
          <w:rFonts w:ascii="Times New Roman" w:hAnsi="Times New Roman" w:cs="Times New Roman"/>
          <w:sz w:val="24"/>
        </w:rPr>
        <w:t>平均得到的数值为0.323，其标准差为1.964，说明各公司主营业务收入增长率差异较大。</w:t>
      </w:r>
      <w:r>
        <w:rPr>
          <w:rFonts w:hint="eastAsia" w:ascii="Times New Roman" w:hAnsi="Times New Roman" w:cs="Times New Roman"/>
          <w:sz w:val="24"/>
          <w:lang w:eastAsia="zh-CN"/>
        </w:rPr>
        <w:t>会计师事务所</w:t>
      </w:r>
      <w:r>
        <w:rPr>
          <w:rFonts w:hint="eastAsia" w:ascii="Times New Roman" w:hAnsi="Times New Roman" w:cs="Times New Roman"/>
          <w:sz w:val="24"/>
        </w:rPr>
        <w:t>排名（</w:t>
      </w:r>
      <w:r>
        <w:rPr>
          <w:rFonts w:ascii="Times New Roman" w:hAnsi="Times New Roman" w:cs="Times New Roman"/>
          <w:sz w:val="24"/>
        </w:rPr>
        <w:t>Rank</w:t>
      </w:r>
      <w:r>
        <w:rPr>
          <w:rFonts w:hint="eastAsia" w:ascii="Times New Roman" w:hAnsi="Times New Roman" w:cs="Times New Roman"/>
          <w:sz w:val="24"/>
        </w:rPr>
        <w:t>）</w:t>
      </w:r>
      <w:r>
        <w:rPr>
          <w:rFonts w:ascii="Times New Roman" w:hAnsi="Times New Roman" w:cs="Times New Roman"/>
          <w:sz w:val="24"/>
        </w:rPr>
        <w:t>算出的平均值为0.378，标准差为0.485，反映样本里上市公司聘请的</w:t>
      </w:r>
      <w:r>
        <w:rPr>
          <w:rFonts w:hint="eastAsia" w:ascii="Times New Roman" w:hAnsi="Times New Roman" w:cs="Times New Roman"/>
          <w:sz w:val="24"/>
          <w:lang w:eastAsia="zh-CN"/>
        </w:rPr>
        <w:t>会计师事务所</w:t>
      </w:r>
      <w:r>
        <w:rPr>
          <w:rFonts w:ascii="Times New Roman" w:hAnsi="Times New Roman" w:cs="Times New Roman"/>
          <w:sz w:val="24"/>
        </w:rPr>
        <w:t>排名分布相对齐整，前十</w:t>
      </w:r>
      <w:r>
        <w:rPr>
          <w:rFonts w:hint="eastAsia" w:ascii="Times New Roman" w:hAnsi="Times New Roman" w:cs="Times New Roman"/>
          <w:sz w:val="24"/>
          <w:lang w:eastAsia="zh-CN"/>
        </w:rPr>
        <w:t>会计师事务所</w:t>
      </w:r>
      <w:r>
        <w:rPr>
          <w:rFonts w:hint="eastAsia" w:ascii="Times New Roman" w:hAnsi="Times New Roman" w:cs="Times New Roman"/>
          <w:sz w:val="24"/>
        </w:rPr>
        <w:t>所</w:t>
      </w:r>
      <w:r>
        <w:rPr>
          <w:rFonts w:ascii="Times New Roman" w:hAnsi="Times New Roman" w:cs="Times New Roman"/>
          <w:sz w:val="24"/>
        </w:rPr>
        <w:t>审计的公司在样本中的占比适中。</w:t>
      </w:r>
      <w:bookmarkStart w:id="20" w:name="_Toc28466"/>
    </w:p>
    <w:p w14:paraId="4435F1A9">
      <w:pPr>
        <w:keepNext w:val="0"/>
        <w:keepLines w:val="0"/>
        <w:pageBreakBefore w:val="0"/>
        <w:kinsoku/>
        <w:wordWrap/>
        <w:overflowPunct/>
        <w:topLinePunct w:val="0"/>
        <w:autoSpaceDE/>
        <w:autoSpaceDN/>
        <w:bidi w:val="0"/>
        <w:adjustRightInd/>
        <w:spacing w:line="300" w:lineRule="auto"/>
        <w:ind w:firstLine="420"/>
        <w:textAlignment w:val="auto"/>
        <w:outlineLvl w:val="2"/>
        <w:rPr>
          <w:rFonts w:ascii="Times New Roman" w:hAnsi="Times New Roman" w:cs="Times New Roman"/>
          <w:b/>
          <w:bCs/>
          <w:sz w:val="24"/>
        </w:rPr>
      </w:pPr>
      <w:bookmarkStart w:id="21" w:name="_Toc24153"/>
      <w:r>
        <w:rPr>
          <w:rFonts w:ascii="Times New Roman" w:hAnsi="Times New Roman" w:cs="Times New Roman"/>
          <w:b/>
          <w:bCs/>
          <w:sz w:val="24"/>
        </w:rPr>
        <w:t>2.真实盈余管理程度统计分析</w:t>
      </w:r>
      <w:bookmarkEnd w:id="20"/>
      <w:bookmarkEnd w:id="21"/>
    </w:p>
    <w:p w14:paraId="5AECF7CD">
      <w:pPr>
        <w:pStyle w:val="3"/>
        <w:keepNext w:val="0"/>
        <w:keepLines w:val="0"/>
        <w:pageBreakBefore w:val="0"/>
        <w:kinsoku/>
        <w:wordWrap/>
        <w:overflowPunct/>
        <w:topLinePunct w:val="0"/>
        <w:autoSpaceDE/>
        <w:autoSpaceDN/>
        <w:bidi w:val="0"/>
        <w:adjustRightInd/>
        <w:spacing w:line="300" w:lineRule="auto"/>
        <w:ind w:firstLine="480" w:firstLineChars="200"/>
        <w:jc w:val="left"/>
        <w:textAlignment w:val="auto"/>
        <w:rPr>
          <w:rFonts w:ascii="Times New Roman" w:hAnsi="Times New Roman" w:cs="Times New Roman" w:eastAsiaTheme="minorEastAsia"/>
          <w:sz w:val="24"/>
        </w:rPr>
      </w:pPr>
      <w:r>
        <w:rPr>
          <w:rFonts w:ascii="Times New Roman" w:hAnsi="Times New Roman" w:cs="Times New Roman" w:eastAsiaTheme="minorEastAsia"/>
          <w:sz w:val="24"/>
        </w:rPr>
        <w:t>为给研究提供坚实的数据基础，本</w:t>
      </w:r>
      <w:r>
        <w:rPr>
          <w:rFonts w:hint="eastAsia" w:ascii="Times New Roman" w:hAnsi="Times New Roman" w:cs="Times New Roman" w:eastAsiaTheme="minorEastAsia"/>
          <w:sz w:val="24"/>
        </w:rPr>
        <w:t>文</w:t>
      </w:r>
      <w:r>
        <w:rPr>
          <w:rFonts w:ascii="Times New Roman" w:hAnsi="Times New Roman" w:cs="Times New Roman" w:eastAsiaTheme="minorEastAsia"/>
          <w:sz w:val="24"/>
        </w:rPr>
        <w:t>统计了</w:t>
      </w:r>
      <w:r>
        <w:rPr>
          <w:rFonts w:hint="eastAsia" w:ascii="Times New Roman" w:hAnsi="Times New Roman" w:cs="Times New Roman" w:eastAsiaTheme="minorEastAsia"/>
          <w:sz w:val="24"/>
        </w:rPr>
        <w:t>2014</w:t>
      </w:r>
      <w:r>
        <w:rPr>
          <w:rFonts w:hint="eastAsia" w:ascii="Times New Roman" w:hAnsi="Times New Roman" w:cs="Times New Roman" w:eastAsiaTheme="minorEastAsia"/>
          <w:sz w:val="24"/>
          <w:lang w:eastAsia="zh-CN"/>
        </w:rPr>
        <w:t>—</w:t>
      </w:r>
      <w:r>
        <w:rPr>
          <w:rFonts w:hint="eastAsia" w:ascii="Times New Roman" w:hAnsi="Times New Roman" w:cs="Times New Roman" w:eastAsiaTheme="minorEastAsia"/>
          <w:sz w:val="24"/>
        </w:rPr>
        <w:t>2023年我国房地产企业</w:t>
      </w:r>
      <w:r>
        <w:rPr>
          <w:rFonts w:ascii="Times New Roman" w:hAnsi="Times New Roman" w:cs="Times New Roman" w:eastAsiaTheme="minorEastAsia"/>
          <w:sz w:val="24"/>
        </w:rPr>
        <w:t>的真实盈余管理程度</w:t>
      </w:r>
      <w:r>
        <w:rPr>
          <w:rFonts w:hint="eastAsia" w:ascii="Times New Roman" w:hAnsi="Times New Roman" w:cs="Times New Roman" w:eastAsiaTheme="minorEastAsia"/>
          <w:sz w:val="24"/>
        </w:rPr>
        <w:t>变化情况</w:t>
      </w:r>
      <w:r>
        <w:rPr>
          <w:rFonts w:ascii="Times New Roman" w:hAnsi="Times New Roman" w:cs="Times New Roman" w:eastAsiaTheme="minorEastAsia"/>
          <w:sz w:val="24"/>
        </w:rPr>
        <w:t>，如表</w:t>
      </w:r>
      <w:r>
        <w:rPr>
          <w:rFonts w:hint="eastAsia" w:ascii="Times New Roman" w:hAnsi="Times New Roman" w:cs="Times New Roman" w:eastAsiaTheme="minorEastAsia"/>
          <w:sz w:val="24"/>
        </w:rPr>
        <w:t>3</w:t>
      </w:r>
      <w:r>
        <w:rPr>
          <w:rFonts w:ascii="Times New Roman" w:hAnsi="Times New Roman" w:cs="Times New Roman" w:eastAsiaTheme="minorEastAsia"/>
          <w:sz w:val="24"/>
        </w:rPr>
        <w:t>所示。</w:t>
      </w:r>
    </w:p>
    <w:p w14:paraId="0D35FCC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表3</w:t>
      </w:r>
      <w:r>
        <w:rPr>
          <w:rFonts w:ascii="Times New Roman" w:hAnsi="Times New Roman" w:cs="Times New Roman"/>
          <w:b/>
          <w:bCs/>
          <w:szCs w:val="21"/>
        </w:rPr>
        <w:t xml:space="preserve"> </w:t>
      </w:r>
      <w:r>
        <w:rPr>
          <w:rFonts w:hint="eastAsia" w:ascii="Times New Roman" w:hAnsi="Times New Roman" w:cs="Times New Roman"/>
          <w:b/>
          <w:bCs/>
          <w:szCs w:val="21"/>
        </w:rPr>
        <w:t>真实盈余管理程度统计</w:t>
      </w:r>
    </w:p>
    <w:tbl>
      <w:tblPr>
        <w:tblStyle w:val="9"/>
        <w:tblW w:w="8012" w:type="dxa"/>
        <w:jc w:val="center"/>
        <w:tblLayout w:type="autofit"/>
        <w:tblCellMar>
          <w:top w:w="0" w:type="dxa"/>
          <w:left w:w="108" w:type="dxa"/>
          <w:bottom w:w="0" w:type="dxa"/>
          <w:right w:w="108" w:type="dxa"/>
        </w:tblCellMar>
      </w:tblPr>
      <w:tblGrid>
        <w:gridCol w:w="1733"/>
        <w:gridCol w:w="1020"/>
        <w:gridCol w:w="1314"/>
        <w:gridCol w:w="1315"/>
        <w:gridCol w:w="1315"/>
        <w:gridCol w:w="1315"/>
      </w:tblGrid>
      <w:tr w14:paraId="0D3608A5">
        <w:tblPrEx>
          <w:tblCellMar>
            <w:top w:w="0" w:type="dxa"/>
            <w:left w:w="108" w:type="dxa"/>
            <w:bottom w:w="0" w:type="dxa"/>
            <w:right w:w="108" w:type="dxa"/>
          </w:tblCellMar>
        </w:tblPrEx>
        <w:trPr>
          <w:trHeight w:val="249" w:hRule="atLeast"/>
          <w:jc w:val="center"/>
        </w:trPr>
        <w:tc>
          <w:tcPr>
            <w:tcW w:w="1733" w:type="dxa"/>
            <w:tcBorders>
              <w:top w:val="single" w:color="auto" w:sz="4" w:space="0"/>
              <w:left w:val="nil"/>
              <w:bottom w:val="single" w:color="auto" w:sz="10" w:space="0"/>
              <w:right w:val="nil"/>
              <w:tl2br w:val="nil"/>
              <w:tr2bl w:val="nil"/>
            </w:tcBorders>
            <w:vAlign w:val="center"/>
          </w:tcPr>
          <w:p w14:paraId="4ED8EA7A">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变量名称</w:t>
            </w:r>
          </w:p>
        </w:tc>
        <w:tc>
          <w:tcPr>
            <w:tcW w:w="1020" w:type="dxa"/>
            <w:tcBorders>
              <w:top w:val="single" w:color="auto" w:sz="4" w:space="0"/>
              <w:left w:val="nil"/>
              <w:bottom w:val="single" w:color="auto" w:sz="10" w:space="0"/>
              <w:right w:val="nil"/>
              <w:tl2br w:val="nil"/>
              <w:tr2bl w:val="nil"/>
            </w:tcBorders>
            <w:vAlign w:val="center"/>
          </w:tcPr>
          <w:p w14:paraId="12980815">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2014</w:t>
            </w:r>
            <w:r>
              <w:rPr>
                <w:rFonts w:hint="eastAsia" w:ascii="Times New Roman" w:hAnsi="Times New Roman" w:cs="Times New Roman"/>
                <w:b/>
                <w:bCs/>
                <w:szCs w:val="21"/>
              </w:rPr>
              <w:t>年</w:t>
            </w:r>
          </w:p>
        </w:tc>
        <w:tc>
          <w:tcPr>
            <w:tcW w:w="1314" w:type="dxa"/>
            <w:tcBorders>
              <w:top w:val="single" w:color="auto" w:sz="4" w:space="0"/>
              <w:left w:val="nil"/>
              <w:bottom w:val="single" w:color="auto" w:sz="10" w:space="0"/>
              <w:right w:val="nil"/>
              <w:tl2br w:val="nil"/>
              <w:tr2bl w:val="nil"/>
            </w:tcBorders>
            <w:vAlign w:val="center"/>
          </w:tcPr>
          <w:p w14:paraId="1BFEB04C">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2015</w:t>
            </w:r>
            <w:r>
              <w:rPr>
                <w:rFonts w:hint="eastAsia" w:ascii="Times New Roman" w:hAnsi="Times New Roman" w:cs="Times New Roman"/>
                <w:b/>
                <w:bCs/>
                <w:szCs w:val="21"/>
              </w:rPr>
              <w:t>年</w:t>
            </w:r>
          </w:p>
        </w:tc>
        <w:tc>
          <w:tcPr>
            <w:tcW w:w="1315" w:type="dxa"/>
            <w:tcBorders>
              <w:top w:val="single" w:color="auto" w:sz="4" w:space="0"/>
              <w:left w:val="nil"/>
              <w:bottom w:val="single" w:color="auto" w:sz="10" w:space="0"/>
              <w:right w:val="nil"/>
              <w:tl2br w:val="nil"/>
              <w:tr2bl w:val="nil"/>
            </w:tcBorders>
            <w:vAlign w:val="center"/>
          </w:tcPr>
          <w:p w14:paraId="7DED7366">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2016</w:t>
            </w:r>
            <w:r>
              <w:rPr>
                <w:rFonts w:hint="eastAsia" w:ascii="Times New Roman" w:hAnsi="Times New Roman" w:cs="Times New Roman"/>
                <w:b/>
                <w:bCs/>
                <w:szCs w:val="21"/>
              </w:rPr>
              <w:t>年</w:t>
            </w:r>
          </w:p>
        </w:tc>
        <w:tc>
          <w:tcPr>
            <w:tcW w:w="1315" w:type="dxa"/>
            <w:tcBorders>
              <w:top w:val="single" w:color="auto" w:sz="4" w:space="0"/>
              <w:left w:val="nil"/>
              <w:bottom w:val="single" w:color="auto" w:sz="10" w:space="0"/>
              <w:right w:val="nil"/>
              <w:tl2br w:val="nil"/>
              <w:tr2bl w:val="nil"/>
            </w:tcBorders>
            <w:vAlign w:val="center"/>
          </w:tcPr>
          <w:p w14:paraId="1EC16EAF">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2017</w:t>
            </w:r>
            <w:r>
              <w:rPr>
                <w:rFonts w:hint="eastAsia" w:ascii="Times New Roman" w:hAnsi="Times New Roman" w:cs="Times New Roman"/>
                <w:b/>
                <w:bCs/>
                <w:szCs w:val="21"/>
              </w:rPr>
              <w:t>年</w:t>
            </w:r>
          </w:p>
        </w:tc>
        <w:tc>
          <w:tcPr>
            <w:tcW w:w="1315" w:type="dxa"/>
            <w:tcBorders>
              <w:top w:val="single" w:color="auto" w:sz="4" w:space="0"/>
              <w:left w:val="nil"/>
              <w:bottom w:val="single" w:color="auto" w:sz="10" w:space="0"/>
              <w:right w:val="nil"/>
              <w:tl2br w:val="nil"/>
              <w:tr2bl w:val="nil"/>
            </w:tcBorders>
            <w:vAlign w:val="center"/>
          </w:tcPr>
          <w:p w14:paraId="10BCE40A">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2018</w:t>
            </w:r>
            <w:r>
              <w:rPr>
                <w:rFonts w:hint="eastAsia" w:ascii="Times New Roman" w:hAnsi="Times New Roman" w:cs="Times New Roman"/>
                <w:b/>
                <w:bCs/>
                <w:szCs w:val="21"/>
              </w:rPr>
              <w:t>年</w:t>
            </w:r>
          </w:p>
        </w:tc>
      </w:tr>
      <w:tr w14:paraId="00E578AC">
        <w:tblPrEx>
          <w:tblCellMar>
            <w:top w:w="0" w:type="dxa"/>
            <w:left w:w="108" w:type="dxa"/>
            <w:bottom w:w="0" w:type="dxa"/>
            <w:right w:w="108" w:type="dxa"/>
          </w:tblCellMar>
        </w:tblPrEx>
        <w:trPr>
          <w:trHeight w:val="473" w:hRule="atLeast"/>
          <w:jc w:val="center"/>
        </w:trPr>
        <w:tc>
          <w:tcPr>
            <w:tcW w:w="1733" w:type="dxa"/>
            <w:tcBorders>
              <w:top w:val="nil"/>
              <w:left w:val="nil"/>
              <w:bottom w:val="nil"/>
              <w:right w:val="nil"/>
              <w:tl2br w:val="nil"/>
              <w:tr2bl w:val="nil"/>
            </w:tcBorders>
            <w:vAlign w:val="center"/>
          </w:tcPr>
          <w:p w14:paraId="2685E330">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盈余管理绝对值（</w:t>
            </w:r>
            <w:r>
              <w:rPr>
                <w:rFonts w:ascii="Times New Roman" w:hAnsi="Times New Roman" w:cs="Times New Roman"/>
                <w:szCs w:val="21"/>
              </w:rPr>
              <w:t>REM_abs</w:t>
            </w:r>
            <w:r>
              <w:rPr>
                <w:rFonts w:hint="eastAsia" w:ascii="Times New Roman" w:hAnsi="Times New Roman" w:cs="Times New Roman"/>
                <w:szCs w:val="21"/>
              </w:rPr>
              <w:t>）</w:t>
            </w:r>
          </w:p>
        </w:tc>
        <w:tc>
          <w:tcPr>
            <w:tcW w:w="1020" w:type="dxa"/>
            <w:tcBorders>
              <w:top w:val="nil"/>
              <w:left w:val="nil"/>
              <w:bottom w:val="nil"/>
              <w:right w:val="nil"/>
              <w:tl2br w:val="nil"/>
              <w:tr2bl w:val="nil"/>
            </w:tcBorders>
            <w:vAlign w:val="center"/>
          </w:tcPr>
          <w:p w14:paraId="061C2882">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0.222</w:t>
            </w:r>
          </w:p>
        </w:tc>
        <w:tc>
          <w:tcPr>
            <w:tcW w:w="1314" w:type="dxa"/>
            <w:tcBorders>
              <w:top w:val="nil"/>
              <w:left w:val="nil"/>
              <w:bottom w:val="nil"/>
              <w:right w:val="nil"/>
              <w:tl2br w:val="nil"/>
              <w:tr2bl w:val="nil"/>
            </w:tcBorders>
            <w:vAlign w:val="center"/>
          </w:tcPr>
          <w:p w14:paraId="050A67C2">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0.313</w:t>
            </w:r>
          </w:p>
        </w:tc>
        <w:tc>
          <w:tcPr>
            <w:tcW w:w="1315" w:type="dxa"/>
            <w:tcBorders>
              <w:top w:val="nil"/>
              <w:left w:val="nil"/>
              <w:bottom w:val="nil"/>
              <w:right w:val="nil"/>
              <w:tl2br w:val="nil"/>
              <w:tr2bl w:val="nil"/>
            </w:tcBorders>
            <w:vAlign w:val="center"/>
          </w:tcPr>
          <w:p w14:paraId="4068385B">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0.325</w:t>
            </w:r>
          </w:p>
        </w:tc>
        <w:tc>
          <w:tcPr>
            <w:tcW w:w="1315" w:type="dxa"/>
            <w:tcBorders>
              <w:top w:val="nil"/>
              <w:left w:val="nil"/>
              <w:bottom w:val="nil"/>
              <w:right w:val="nil"/>
              <w:tl2br w:val="nil"/>
              <w:tr2bl w:val="nil"/>
            </w:tcBorders>
            <w:vAlign w:val="center"/>
          </w:tcPr>
          <w:p w14:paraId="6CE562A5">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0.184</w:t>
            </w:r>
          </w:p>
        </w:tc>
        <w:tc>
          <w:tcPr>
            <w:tcW w:w="1315" w:type="dxa"/>
            <w:tcBorders>
              <w:top w:val="nil"/>
              <w:left w:val="nil"/>
              <w:bottom w:val="nil"/>
              <w:right w:val="nil"/>
              <w:tl2br w:val="nil"/>
              <w:tr2bl w:val="nil"/>
            </w:tcBorders>
            <w:vAlign w:val="center"/>
          </w:tcPr>
          <w:p w14:paraId="6FA9D2E2">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0.192</w:t>
            </w:r>
          </w:p>
        </w:tc>
      </w:tr>
      <w:tr w14:paraId="25C4310D">
        <w:tblPrEx>
          <w:tblCellMar>
            <w:top w:w="0" w:type="dxa"/>
            <w:left w:w="108" w:type="dxa"/>
            <w:bottom w:w="0" w:type="dxa"/>
            <w:right w:w="108" w:type="dxa"/>
          </w:tblCellMar>
        </w:tblPrEx>
        <w:trPr>
          <w:trHeight w:val="90" w:hRule="atLeast"/>
          <w:jc w:val="center"/>
        </w:trPr>
        <w:tc>
          <w:tcPr>
            <w:tcW w:w="1733" w:type="dxa"/>
            <w:tcBorders>
              <w:top w:val="nil"/>
              <w:left w:val="nil"/>
              <w:bottom w:val="nil"/>
              <w:right w:val="nil"/>
              <w:tl2br w:val="nil"/>
              <w:tr2bl w:val="nil"/>
            </w:tcBorders>
            <w:vAlign w:val="center"/>
          </w:tcPr>
          <w:p w14:paraId="1EF0F1A5">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变量名称</w:t>
            </w:r>
          </w:p>
        </w:tc>
        <w:tc>
          <w:tcPr>
            <w:tcW w:w="1020" w:type="dxa"/>
            <w:tcBorders>
              <w:top w:val="nil"/>
              <w:left w:val="nil"/>
              <w:bottom w:val="nil"/>
              <w:right w:val="nil"/>
              <w:tl2br w:val="nil"/>
              <w:tr2bl w:val="nil"/>
            </w:tcBorders>
            <w:vAlign w:val="center"/>
          </w:tcPr>
          <w:p w14:paraId="34025C28">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2019</w:t>
            </w:r>
            <w:r>
              <w:rPr>
                <w:rFonts w:hint="eastAsia" w:ascii="Times New Roman" w:hAnsi="Times New Roman" w:cs="Times New Roman"/>
                <w:b/>
                <w:bCs/>
                <w:szCs w:val="21"/>
              </w:rPr>
              <w:t>年</w:t>
            </w:r>
          </w:p>
        </w:tc>
        <w:tc>
          <w:tcPr>
            <w:tcW w:w="1314" w:type="dxa"/>
            <w:tcBorders>
              <w:top w:val="nil"/>
              <w:left w:val="nil"/>
              <w:bottom w:val="nil"/>
              <w:right w:val="nil"/>
              <w:tl2br w:val="nil"/>
              <w:tr2bl w:val="nil"/>
            </w:tcBorders>
            <w:vAlign w:val="center"/>
          </w:tcPr>
          <w:p w14:paraId="199F3797">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2020</w:t>
            </w:r>
            <w:r>
              <w:rPr>
                <w:rFonts w:hint="eastAsia" w:ascii="Times New Roman" w:hAnsi="Times New Roman" w:cs="Times New Roman"/>
                <w:b/>
                <w:bCs/>
                <w:szCs w:val="21"/>
              </w:rPr>
              <w:t>年</w:t>
            </w:r>
          </w:p>
        </w:tc>
        <w:tc>
          <w:tcPr>
            <w:tcW w:w="1315" w:type="dxa"/>
            <w:tcBorders>
              <w:top w:val="nil"/>
              <w:left w:val="nil"/>
              <w:bottom w:val="nil"/>
              <w:right w:val="nil"/>
              <w:tl2br w:val="nil"/>
              <w:tr2bl w:val="nil"/>
            </w:tcBorders>
            <w:vAlign w:val="center"/>
          </w:tcPr>
          <w:p w14:paraId="0922E6E8">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2021</w:t>
            </w:r>
            <w:r>
              <w:rPr>
                <w:rFonts w:hint="eastAsia" w:ascii="Times New Roman" w:hAnsi="Times New Roman" w:cs="Times New Roman"/>
                <w:b/>
                <w:bCs/>
                <w:szCs w:val="21"/>
              </w:rPr>
              <w:t>年</w:t>
            </w:r>
          </w:p>
        </w:tc>
        <w:tc>
          <w:tcPr>
            <w:tcW w:w="1315" w:type="dxa"/>
            <w:tcBorders>
              <w:top w:val="nil"/>
              <w:left w:val="nil"/>
              <w:bottom w:val="nil"/>
              <w:right w:val="nil"/>
              <w:tl2br w:val="nil"/>
              <w:tr2bl w:val="nil"/>
            </w:tcBorders>
            <w:vAlign w:val="center"/>
          </w:tcPr>
          <w:p w14:paraId="3C9419C4">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2022</w:t>
            </w:r>
            <w:r>
              <w:rPr>
                <w:rFonts w:hint="eastAsia" w:ascii="Times New Roman" w:hAnsi="Times New Roman" w:cs="Times New Roman"/>
                <w:b/>
                <w:bCs/>
                <w:szCs w:val="21"/>
              </w:rPr>
              <w:t>年</w:t>
            </w:r>
          </w:p>
        </w:tc>
        <w:tc>
          <w:tcPr>
            <w:tcW w:w="1315" w:type="dxa"/>
            <w:tcBorders>
              <w:top w:val="nil"/>
              <w:left w:val="nil"/>
              <w:bottom w:val="nil"/>
              <w:right w:val="nil"/>
              <w:tl2br w:val="nil"/>
              <w:tr2bl w:val="nil"/>
            </w:tcBorders>
            <w:vAlign w:val="center"/>
          </w:tcPr>
          <w:p w14:paraId="4086042F">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2023</w:t>
            </w:r>
            <w:r>
              <w:rPr>
                <w:rFonts w:hint="eastAsia" w:ascii="Times New Roman" w:hAnsi="Times New Roman" w:cs="Times New Roman"/>
                <w:b/>
                <w:bCs/>
                <w:szCs w:val="21"/>
              </w:rPr>
              <w:t>年</w:t>
            </w:r>
          </w:p>
        </w:tc>
      </w:tr>
      <w:tr w14:paraId="3AD203BB">
        <w:tblPrEx>
          <w:tblCellMar>
            <w:top w:w="0" w:type="dxa"/>
            <w:left w:w="108" w:type="dxa"/>
            <w:bottom w:w="0" w:type="dxa"/>
            <w:right w:w="108" w:type="dxa"/>
          </w:tblCellMar>
        </w:tblPrEx>
        <w:trPr>
          <w:trHeight w:val="195" w:hRule="atLeast"/>
          <w:jc w:val="center"/>
        </w:trPr>
        <w:tc>
          <w:tcPr>
            <w:tcW w:w="1733" w:type="dxa"/>
            <w:tcBorders>
              <w:top w:val="nil"/>
              <w:left w:val="nil"/>
              <w:bottom w:val="single" w:color="auto" w:sz="4" w:space="0"/>
              <w:right w:val="nil"/>
            </w:tcBorders>
            <w:vAlign w:val="center"/>
          </w:tcPr>
          <w:p w14:paraId="0CD7DEBA">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盈余管理绝对值（</w:t>
            </w:r>
            <w:r>
              <w:rPr>
                <w:rFonts w:ascii="Times New Roman" w:hAnsi="Times New Roman" w:cs="Times New Roman"/>
                <w:szCs w:val="21"/>
              </w:rPr>
              <w:t>REM_abs</w:t>
            </w:r>
            <w:r>
              <w:rPr>
                <w:rFonts w:hint="eastAsia" w:ascii="Times New Roman" w:hAnsi="Times New Roman" w:cs="Times New Roman"/>
                <w:szCs w:val="21"/>
              </w:rPr>
              <w:t>）</w:t>
            </w:r>
          </w:p>
        </w:tc>
        <w:tc>
          <w:tcPr>
            <w:tcW w:w="1020" w:type="dxa"/>
            <w:tcBorders>
              <w:top w:val="nil"/>
              <w:left w:val="nil"/>
              <w:bottom w:val="single" w:color="auto" w:sz="4" w:space="0"/>
              <w:right w:val="nil"/>
            </w:tcBorders>
            <w:vAlign w:val="center"/>
          </w:tcPr>
          <w:p w14:paraId="602B992C">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0.169</w:t>
            </w:r>
          </w:p>
        </w:tc>
        <w:tc>
          <w:tcPr>
            <w:tcW w:w="1314" w:type="dxa"/>
            <w:tcBorders>
              <w:top w:val="nil"/>
              <w:left w:val="nil"/>
              <w:bottom w:val="single" w:color="auto" w:sz="4" w:space="0"/>
              <w:right w:val="nil"/>
            </w:tcBorders>
            <w:vAlign w:val="center"/>
          </w:tcPr>
          <w:p w14:paraId="4B02BD0D">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0.125</w:t>
            </w:r>
          </w:p>
        </w:tc>
        <w:tc>
          <w:tcPr>
            <w:tcW w:w="1315" w:type="dxa"/>
            <w:tcBorders>
              <w:top w:val="nil"/>
              <w:left w:val="nil"/>
              <w:bottom w:val="single" w:color="auto" w:sz="4" w:space="0"/>
              <w:right w:val="nil"/>
            </w:tcBorders>
            <w:vAlign w:val="center"/>
          </w:tcPr>
          <w:p w14:paraId="79DCDADA">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0.114</w:t>
            </w:r>
          </w:p>
        </w:tc>
        <w:tc>
          <w:tcPr>
            <w:tcW w:w="1315" w:type="dxa"/>
            <w:tcBorders>
              <w:top w:val="nil"/>
              <w:left w:val="nil"/>
              <w:bottom w:val="single" w:color="auto" w:sz="4" w:space="0"/>
              <w:right w:val="nil"/>
            </w:tcBorders>
            <w:vAlign w:val="center"/>
          </w:tcPr>
          <w:p w14:paraId="2A442968">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0.095</w:t>
            </w:r>
          </w:p>
        </w:tc>
        <w:tc>
          <w:tcPr>
            <w:tcW w:w="1315" w:type="dxa"/>
            <w:tcBorders>
              <w:top w:val="nil"/>
              <w:left w:val="nil"/>
              <w:bottom w:val="single" w:color="auto" w:sz="4" w:space="0"/>
              <w:right w:val="nil"/>
            </w:tcBorders>
            <w:vAlign w:val="center"/>
          </w:tcPr>
          <w:p w14:paraId="7C7AC910">
            <w:pPr>
              <w:keepNext w:val="0"/>
              <w:keepLines w:val="0"/>
              <w:pageBreakBefore w:val="0"/>
              <w:widowControl/>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0.109</w:t>
            </w:r>
          </w:p>
        </w:tc>
      </w:tr>
    </w:tbl>
    <w:p w14:paraId="4F82A4B7">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表</w:t>
      </w:r>
      <w:r>
        <w:rPr>
          <w:rFonts w:hint="eastAsia" w:ascii="Times New Roman" w:hAnsi="Times New Roman" w:cs="Times New Roman"/>
          <w:sz w:val="24"/>
        </w:rPr>
        <w:t>3</w:t>
      </w:r>
      <w:r>
        <w:rPr>
          <w:rFonts w:ascii="Times New Roman" w:hAnsi="Times New Roman" w:cs="Times New Roman"/>
          <w:sz w:val="24"/>
        </w:rPr>
        <w:t>中，从2014年起至2023年止，</w:t>
      </w:r>
      <w:r>
        <w:rPr>
          <w:rFonts w:hint="eastAsia" w:ascii="Times New Roman" w:hAnsi="Times New Roman" w:cs="Times New Roman"/>
          <w:sz w:val="24"/>
        </w:rPr>
        <w:t>盈余管理</w:t>
      </w:r>
      <w:r>
        <w:rPr>
          <w:rFonts w:ascii="Times New Roman" w:hAnsi="Times New Roman" w:cs="Times New Roman"/>
          <w:sz w:val="24"/>
        </w:rPr>
        <w:t>数据显示波动，先增后减，最后趋于稳定。2014年，</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值达到0.222，在2015年与2016年渐渐上扬，各自达到了0.313和0.325。这一阶段</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值的上升可能反映了公司面临较大的压力，于是采取了更多真实盈余管理途径来调整利润。</w:t>
      </w:r>
    </w:p>
    <w:p w14:paraId="1D772EEE">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2017年时，</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值显著降低至0.184，在2018年和2019年出现小幅波动，分别为数值0.192和0.169。该阶段的下降可能归因于监管政策的加强、市场环境的改善等，导致真实盈余管理的动机或能力变弱。</w:t>
      </w:r>
    </w:p>
    <w:p w14:paraId="3E50818D">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自2020年起，</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持续有小幅的下降，在2022年降至0.095，至2023年略微向上攀升至0.109。这一阶段，公司或许更看重长期可持续发展，降低了采用真实盈余管理手段实施利润调整的行为。</w:t>
      </w:r>
    </w:p>
    <w:p w14:paraId="5A0927A8">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bookmarkStart w:id="22" w:name="_Toc8171"/>
      <w:bookmarkStart w:id="23" w:name="_Toc30019"/>
      <w:bookmarkStart w:id="24" w:name="_Toc30983"/>
      <w:r>
        <w:rPr>
          <w:rFonts w:ascii="Times New Roman" w:hAnsi="Times New Roman" w:cs="Times New Roman"/>
          <w:b/>
          <w:bCs/>
          <w:sz w:val="24"/>
        </w:rPr>
        <w:t>（三）相关性分析</w:t>
      </w:r>
      <w:bookmarkEnd w:id="22"/>
      <w:bookmarkEnd w:id="23"/>
      <w:bookmarkEnd w:id="24"/>
    </w:p>
    <w:p w14:paraId="3D851F0B">
      <w:pPr>
        <w:pStyle w:val="3"/>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eastAsiaTheme="minorEastAsia"/>
          <w:sz w:val="24"/>
        </w:rPr>
      </w:pPr>
      <w:r>
        <w:rPr>
          <w:rFonts w:ascii="Times New Roman" w:hAnsi="Times New Roman" w:cs="Times New Roman" w:eastAsiaTheme="minorEastAsia"/>
          <w:sz w:val="24"/>
        </w:rPr>
        <w:t>为直观展现变量间关系，本文运用Stata软件将各</w:t>
      </w:r>
      <w:r>
        <w:rPr>
          <w:rFonts w:hint="eastAsia" w:ascii="Times New Roman" w:hAnsi="Times New Roman" w:cs="Times New Roman" w:eastAsiaTheme="minorEastAsia"/>
          <w:sz w:val="24"/>
        </w:rPr>
        <w:t>类</w:t>
      </w:r>
      <w:r>
        <w:rPr>
          <w:rFonts w:ascii="Times New Roman" w:hAnsi="Times New Roman" w:cs="Times New Roman" w:eastAsiaTheme="minorEastAsia"/>
          <w:sz w:val="24"/>
        </w:rPr>
        <w:t>变量</w:t>
      </w:r>
      <w:r>
        <w:rPr>
          <w:rFonts w:hint="eastAsia" w:ascii="Times New Roman" w:hAnsi="Times New Roman" w:cs="Times New Roman" w:eastAsiaTheme="minorEastAsia"/>
          <w:sz w:val="24"/>
        </w:rPr>
        <w:t>之间</w:t>
      </w:r>
      <w:r>
        <w:rPr>
          <w:rFonts w:ascii="Times New Roman" w:hAnsi="Times New Roman" w:cs="Times New Roman" w:eastAsiaTheme="minorEastAsia"/>
          <w:sz w:val="24"/>
        </w:rPr>
        <w:t>的相关性进行了统计，如表</w:t>
      </w:r>
      <w:r>
        <w:rPr>
          <w:rFonts w:hint="eastAsia" w:ascii="Times New Roman" w:hAnsi="Times New Roman" w:cs="Times New Roman" w:eastAsiaTheme="minorEastAsia"/>
          <w:sz w:val="24"/>
        </w:rPr>
        <w:t>4</w:t>
      </w:r>
      <w:r>
        <w:rPr>
          <w:rFonts w:ascii="Times New Roman" w:hAnsi="Times New Roman" w:cs="Times New Roman" w:eastAsiaTheme="minorEastAsia"/>
          <w:sz w:val="24"/>
        </w:rPr>
        <w:t>所示。</w:t>
      </w:r>
    </w:p>
    <w:p w14:paraId="0100B1C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表</w:t>
      </w:r>
      <w:r>
        <w:rPr>
          <w:rFonts w:ascii="Times New Roman" w:hAnsi="Times New Roman" w:cs="Times New Roman"/>
          <w:b/>
          <w:bCs/>
          <w:szCs w:val="21"/>
        </w:rPr>
        <w:t xml:space="preserve">4 </w:t>
      </w:r>
      <w:r>
        <w:rPr>
          <w:rFonts w:hint="eastAsia" w:ascii="Times New Roman" w:hAnsi="Times New Roman" w:cs="Times New Roman"/>
          <w:b/>
          <w:bCs/>
          <w:szCs w:val="21"/>
        </w:rPr>
        <w:t>模型变量相关系数表</w:t>
      </w:r>
    </w:p>
    <w:tbl>
      <w:tblPr>
        <w:tblStyle w:val="9"/>
        <w:tblW w:w="0" w:type="auto"/>
        <w:jc w:val="center"/>
        <w:tblLayout w:type="autofit"/>
        <w:tblCellMar>
          <w:top w:w="0" w:type="dxa"/>
          <w:left w:w="108" w:type="dxa"/>
          <w:bottom w:w="0" w:type="dxa"/>
          <w:right w:w="108" w:type="dxa"/>
        </w:tblCellMar>
      </w:tblPr>
      <w:tblGrid>
        <w:gridCol w:w="2277"/>
        <w:gridCol w:w="1537"/>
        <w:gridCol w:w="1919"/>
        <w:gridCol w:w="1421"/>
        <w:gridCol w:w="1368"/>
      </w:tblGrid>
      <w:tr w14:paraId="0FCDC0A5">
        <w:tblPrEx>
          <w:tblCellMar>
            <w:top w:w="0" w:type="dxa"/>
            <w:left w:w="108" w:type="dxa"/>
            <w:bottom w:w="0" w:type="dxa"/>
            <w:right w:w="108" w:type="dxa"/>
          </w:tblCellMar>
        </w:tblPrEx>
        <w:trPr>
          <w:jc w:val="center"/>
        </w:trPr>
        <w:tc>
          <w:tcPr>
            <w:tcW w:w="2573" w:type="dxa"/>
            <w:tcBorders>
              <w:top w:val="single" w:color="auto" w:sz="6" w:space="0"/>
              <w:left w:val="nil"/>
              <w:bottom w:val="single" w:color="auto" w:sz="4" w:space="0"/>
              <w:right w:val="nil"/>
              <w:tl2br w:val="nil"/>
              <w:tr2bl w:val="nil"/>
            </w:tcBorders>
            <w:shd w:val="clear" w:color="auto" w:fill="auto"/>
            <w:vAlign w:val="center"/>
          </w:tcPr>
          <w:p w14:paraId="2514765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变量名称</w:t>
            </w:r>
          </w:p>
        </w:tc>
        <w:tc>
          <w:tcPr>
            <w:tcW w:w="1518" w:type="dxa"/>
            <w:tcBorders>
              <w:top w:val="single" w:color="auto" w:sz="6" w:space="0"/>
              <w:left w:val="nil"/>
              <w:bottom w:val="single" w:color="auto" w:sz="4" w:space="0"/>
              <w:right w:val="nil"/>
              <w:tl2br w:val="nil"/>
              <w:tr2bl w:val="nil"/>
            </w:tcBorders>
            <w:vAlign w:val="center"/>
          </w:tcPr>
          <w:p w14:paraId="46717A6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盈余管理绝对值（</w:t>
            </w:r>
            <w:r>
              <w:rPr>
                <w:rFonts w:ascii="Times New Roman" w:hAnsi="Times New Roman" w:cs="Times New Roman"/>
                <w:b/>
                <w:bCs/>
                <w:szCs w:val="21"/>
              </w:rPr>
              <w:t>REM_abs</w:t>
            </w:r>
            <w:r>
              <w:rPr>
                <w:rFonts w:hint="eastAsia" w:ascii="Times New Roman" w:hAnsi="Times New Roman" w:cs="Times New Roman"/>
                <w:b/>
                <w:bCs/>
                <w:szCs w:val="21"/>
              </w:rPr>
              <w:t>）</w:t>
            </w:r>
          </w:p>
        </w:tc>
        <w:tc>
          <w:tcPr>
            <w:tcW w:w="2162" w:type="dxa"/>
            <w:tcBorders>
              <w:top w:val="single" w:color="auto" w:sz="6" w:space="0"/>
              <w:left w:val="nil"/>
              <w:bottom w:val="single" w:color="auto" w:sz="4" w:space="0"/>
              <w:right w:val="nil"/>
              <w:tl2br w:val="nil"/>
              <w:tr2bl w:val="nil"/>
            </w:tcBorders>
            <w:vAlign w:val="center"/>
          </w:tcPr>
          <w:p w14:paraId="57ABDEF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审计费用</w:t>
            </w:r>
          </w:p>
          <w:p w14:paraId="02B6737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w:t>
            </w:r>
            <w:r>
              <w:rPr>
                <w:rFonts w:ascii="Times New Roman" w:hAnsi="Times New Roman" w:cs="Times New Roman"/>
                <w:b/>
                <w:bCs/>
                <w:szCs w:val="21"/>
              </w:rPr>
              <w:t>ln_AudFee</w:t>
            </w:r>
            <w:r>
              <w:rPr>
                <w:rFonts w:hint="eastAsia" w:ascii="Times New Roman" w:hAnsi="Times New Roman" w:cs="Times New Roman"/>
                <w:b/>
                <w:bCs/>
                <w:szCs w:val="21"/>
                <w:lang w:eastAsia="zh-CN"/>
              </w:rPr>
              <w:t>)</w:t>
            </w:r>
          </w:p>
        </w:tc>
        <w:tc>
          <w:tcPr>
            <w:tcW w:w="1543" w:type="dxa"/>
            <w:tcBorders>
              <w:top w:val="single" w:color="auto" w:sz="6" w:space="0"/>
              <w:left w:val="nil"/>
              <w:bottom w:val="single" w:color="auto" w:sz="4" w:space="0"/>
              <w:right w:val="nil"/>
              <w:tl2br w:val="nil"/>
              <w:tr2bl w:val="nil"/>
            </w:tcBorders>
            <w:vAlign w:val="center"/>
          </w:tcPr>
          <w:p w14:paraId="5F74CC3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内部控制质量（</w:t>
            </w:r>
            <w:r>
              <w:rPr>
                <w:rFonts w:ascii="Times New Roman" w:hAnsi="Times New Roman" w:cs="Times New Roman"/>
                <w:b/>
                <w:bCs/>
                <w:szCs w:val="21"/>
              </w:rPr>
              <w:t>ICQ</w:t>
            </w:r>
            <w:r>
              <w:rPr>
                <w:rFonts w:hint="eastAsia" w:ascii="Times New Roman" w:hAnsi="Times New Roman" w:cs="Times New Roman"/>
                <w:b/>
                <w:bCs/>
                <w:szCs w:val="21"/>
              </w:rPr>
              <w:t>）</w:t>
            </w:r>
          </w:p>
        </w:tc>
        <w:tc>
          <w:tcPr>
            <w:tcW w:w="1491" w:type="dxa"/>
            <w:tcBorders>
              <w:top w:val="single" w:color="auto" w:sz="6" w:space="0"/>
              <w:left w:val="nil"/>
              <w:bottom w:val="single" w:color="auto" w:sz="4" w:space="0"/>
              <w:right w:val="nil"/>
              <w:tl2br w:val="nil"/>
              <w:tr2bl w:val="nil"/>
            </w:tcBorders>
            <w:vAlign w:val="center"/>
          </w:tcPr>
          <w:p w14:paraId="49787BB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资产负债率（</w:t>
            </w:r>
            <w:r>
              <w:rPr>
                <w:rFonts w:ascii="Times New Roman" w:hAnsi="Times New Roman" w:cs="Times New Roman"/>
                <w:b/>
                <w:bCs/>
                <w:szCs w:val="21"/>
              </w:rPr>
              <w:t>Debt</w:t>
            </w:r>
            <w:r>
              <w:rPr>
                <w:rFonts w:hint="eastAsia" w:ascii="Times New Roman" w:hAnsi="Times New Roman" w:cs="Times New Roman"/>
                <w:b/>
                <w:bCs/>
                <w:szCs w:val="21"/>
              </w:rPr>
              <w:t>）</w:t>
            </w:r>
          </w:p>
        </w:tc>
      </w:tr>
      <w:tr w14:paraId="4DA3F9C3">
        <w:tblPrEx>
          <w:tblCellMar>
            <w:top w:w="0" w:type="dxa"/>
            <w:left w:w="108" w:type="dxa"/>
            <w:bottom w:w="0" w:type="dxa"/>
            <w:right w:w="108" w:type="dxa"/>
          </w:tblCellMar>
        </w:tblPrEx>
        <w:trPr>
          <w:jc w:val="center"/>
        </w:trPr>
        <w:tc>
          <w:tcPr>
            <w:tcW w:w="2573" w:type="dxa"/>
            <w:tcBorders>
              <w:top w:val="single" w:color="auto" w:sz="4" w:space="0"/>
              <w:left w:val="nil"/>
              <w:bottom w:val="nil"/>
              <w:right w:val="nil"/>
            </w:tcBorders>
            <w:vAlign w:val="center"/>
          </w:tcPr>
          <w:p w14:paraId="7474ECE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盈余管理绝对值（</w:t>
            </w:r>
            <w:r>
              <w:rPr>
                <w:rFonts w:ascii="Times New Roman" w:hAnsi="Times New Roman" w:cs="Times New Roman"/>
                <w:szCs w:val="21"/>
              </w:rPr>
              <w:t>REM_abs</w:t>
            </w:r>
            <w:r>
              <w:rPr>
                <w:rFonts w:hint="eastAsia" w:ascii="Times New Roman" w:hAnsi="Times New Roman" w:cs="Times New Roman"/>
                <w:szCs w:val="21"/>
              </w:rPr>
              <w:t>）</w:t>
            </w:r>
          </w:p>
        </w:tc>
        <w:tc>
          <w:tcPr>
            <w:tcW w:w="1518" w:type="dxa"/>
            <w:tcBorders>
              <w:top w:val="single" w:color="auto" w:sz="4" w:space="0"/>
              <w:left w:val="nil"/>
              <w:bottom w:val="nil"/>
              <w:right w:val="nil"/>
            </w:tcBorders>
            <w:vAlign w:val="center"/>
          </w:tcPr>
          <w:p w14:paraId="2D7A450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p>
        </w:tc>
        <w:tc>
          <w:tcPr>
            <w:tcW w:w="2162" w:type="dxa"/>
            <w:tcBorders>
              <w:top w:val="single" w:color="auto" w:sz="4" w:space="0"/>
              <w:left w:val="nil"/>
              <w:bottom w:val="nil"/>
              <w:right w:val="nil"/>
            </w:tcBorders>
            <w:vAlign w:val="center"/>
          </w:tcPr>
          <w:p w14:paraId="4698E3E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1543" w:type="dxa"/>
            <w:tcBorders>
              <w:top w:val="single" w:color="auto" w:sz="4" w:space="0"/>
              <w:left w:val="nil"/>
              <w:bottom w:val="nil"/>
              <w:right w:val="nil"/>
            </w:tcBorders>
            <w:vAlign w:val="center"/>
          </w:tcPr>
          <w:p w14:paraId="09BBAF4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1491" w:type="dxa"/>
            <w:tcBorders>
              <w:top w:val="single" w:color="auto" w:sz="4" w:space="0"/>
              <w:left w:val="nil"/>
              <w:bottom w:val="nil"/>
              <w:right w:val="nil"/>
            </w:tcBorders>
            <w:vAlign w:val="center"/>
          </w:tcPr>
          <w:p w14:paraId="70C1069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r>
      <w:tr w14:paraId="4172A368">
        <w:tblPrEx>
          <w:tblCellMar>
            <w:top w:w="0" w:type="dxa"/>
            <w:left w:w="108" w:type="dxa"/>
            <w:bottom w:w="0" w:type="dxa"/>
            <w:right w:w="108" w:type="dxa"/>
          </w:tblCellMar>
        </w:tblPrEx>
        <w:trPr>
          <w:jc w:val="center"/>
        </w:trPr>
        <w:tc>
          <w:tcPr>
            <w:tcW w:w="2573" w:type="dxa"/>
            <w:tcBorders>
              <w:top w:val="nil"/>
              <w:left w:val="nil"/>
              <w:bottom w:val="nil"/>
              <w:right w:val="nil"/>
              <w:tl2br w:val="nil"/>
              <w:tr2bl w:val="nil"/>
            </w:tcBorders>
            <w:vAlign w:val="center"/>
          </w:tcPr>
          <w:p w14:paraId="34297AB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审计费用（</w:t>
            </w:r>
            <w:r>
              <w:rPr>
                <w:rFonts w:ascii="Times New Roman" w:hAnsi="Times New Roman" w:cs="Times New Roman"/>
                <w:szCs w:val="21"/>
              </w:rPr>
              <w:t>ln_AudFee</w:t>
            </w:r>
            <w:r>
              <w:rPr>
                <w:rFonts w:hint="eastAsia" w:ascii="Times New Roman" w:hAnsi="Times New Roman" w:cs="Times New Roman"/>
                <w:szCs w:val="21"/>
              </w:rPr>
              <w:t>）</w:t>
            </w:r>
          </w:p>
        </w:tc>
        <w:tc>
          <w:tcPr>
            <w:tcW w:w="1518" w:type="dxa"/>
            <w:tcBorders>
              <w:top w:val="nil"/>
              <w:left w:val="nil"/>
              <w:bottom w:val="nil"/>
              <w:right w:val="nil"/>
              <w:tl2br w:val="nil"/>
              <w:tr2bl w:val="nil"/>
            </w:tcBorders>
            <w:vAlign w:val="center"/>
          </w:tcPr>
          <w:p w14:paraId="7B6C770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-0.157***</w:t>
            </w:r>
          </w:p>
        </w:tc>
        <w:tc>
          <w:tcPr>
            <w:tcW w:w="2162" w:type="dxa"/>
            <w:tcBorders>
              <w:top w:val="nil"/>
              <w:left w:val="nil"/>
              <w:bottom w:val="nil"/>
              <w:right w:val="nil"/>
              <w:tl2br w:val="nil"/>
              <w:tr2bl w:val="nil"/>
            </w:tcBorders>
            <w:vAlign w:val="center"/>
          </w:tcPr>
          <w:p w14:paraId="0BC7CBA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p>
        </w:tc>
        <w:tc>
          <w:tcPr>
            <w:tcW w:w="1543" w:type="dxa"/>
            <w:tcBorders>
              <w:top w:val="nil"/>
              <w:left w:val="nil"/>
              <w:bottom w:val="nil"/>
              <w:right w:val="nil"/>
              <w:tl2br w:val="nil"/>
              <w:tr2bl w:val="nil"/>
            </w:tcBorders>
            <w:vAlign w:val="center"/>
          </w:tcPr>
          <w:p w14:paraId="25198A6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1491" w:type="dxa"/>
            <w:tcBorders>
              <w:top w:val="nil"/>
              <w:left w:val="nil"/>
              <w:bottom w:val="nil"/>
              <w:right w:val="nil"/>
              <w:tl2br w:val="nil"/>
              <w:tr2bl w:val="nil"/>
            </w:tcBorders>
            <w:vAlign w:val="center"/>
          </w:tcPr>
          <w:p w14:paraId="15FFAB7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r>
      <w:tr w14:paraId="6B9F3248">
        <w:tblPrEx>
          <w:tblCellMar>
            <w:top w:w="0" w:type="dxa"/>
            <w:left w:w="108" w:type="dxa"/>
            <w:bottom w:w="0" w:type="dxa"/>
            <w:right w:w="108" w:type="dxa"/>
          </w:tblCellMar>
        </w:tblPrEx>
        <w:trPr>
          <w:jc w:val="center"/>
        </w:trPr>
        <w:tc>
          <w:tcPr>
            <w:tcW w:w="2573" w:type="dxa"/>
            <w:tcBorders>
              <w:top w:val="nil"/>
              <w:left w:val="nil"/>
              <w:bottom w:val="nil"/>
              <w:right w:val="nil"/>
              <w:tl2br w:val="nil"/>
              <w:tr2bl w:val="nil"/>
            </w:tcBorders>
            <w:vAlign w:val="center"/>
          </w:tcPr>
          <w:p w14:paraId="7A9340E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内部控制质量（</w:t>
            </w:r>
            <w:r>
              <w:rPr>
                <w:rFonts w:ascii="Times New Roman" w:hAnsi="Times New Roman" w:cs="Times New Roman"/>
                <w:szCs w:val="21"/>
              </w:rPr>
              <w:t>ICQ</w:t>
            </w:r>
            <w:r>
              <w:rPr>
                <w:rFonts w:hint="eastAsia" w:ascii="Times New Roman" w:hAnsi="Times New Roman" w:cs="Times New Roman"/>
                <w:szCs w:val="21"/>
              </w:rPr>
              <w:t>）</w:t>
            </w:r>
          </w:p>
        </w:tc>
        <w:tc>
          <w:tcPr>
            <w:tcW w:w="1518" w:type="dxa"/>
            <w:tcBorders>
              <w:top w:val="nil"/>
              <w:left w:val="nil"/>
              <w:bottom w:val="nil"/>
              <w:right w:val="nil"/>
              <w:tl2br w:val="nil"/>
              <w:tr2bl w:val="nil"/>
            </w:tcBorders>
            <w:vAlign w:val="center"/>
          </w:tcPr>
          <w:p w14:paraId="591C83D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-0.047</w:t>
            </w:r>
          </w:p>
        </w:tc>
        <w:tc>
          <w:tcPr>
            <w:tcW w:w="2162" w:type="dxa"/>
            <w:tcBorders>
              <w:top w:val="nil"/>
              <w:left w:val="nil"/>
              <w:bottom w:val="nil"/>
              <w:right w:val="nil"/>
              <w:tl2br w:val="nil"/>
              <w:tr2bl w:val="nil"/>
            </w:tcBorders>
            <w:vAlign w:val="center"/>
          </w:tcPr>
          <w:p w14:paraId="774B6DA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0.063*</w:t>
            </w:r>
          </w:p>
        </w:tc>
        <w:tc>
          <w:tcPr>
            <w:tcW w:w="1543" w:type="dxa"/>
            <w:tcBorders>
              <w:top w:val="nil"/>
              <w:left w:val="nil"/>
              <w:bottom w:val="nil"/>
              <w:right w:val="nil"/>
              <w:tl2br w:val="nil"/>
              <w:tr2bl w:val="nil"/>
            </w:tcBorders>
            <w:vAlign w:val="center"/>
          </w:tcPr>
          <w:p w14:paraId="7FF1C54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p>
        </w:tc>
        <w:tc>
          <w:tcPr>
            <w:tcW w:w="1491" w:type="dxa"/>
            <w:tcBorders>
              <w:top w:val="nil"/>
              <w:left w:val="nil"/>
              <w:bottom w:val="nil"/>
              <w:right w:val="nil"/>
              <w:tl2br w:val="nil"/>
              <w:tr2bl w:val="nil"/>
            </w:tcBorders>
            <w:vAlign w:val="center"/>
          </w:tcPr>
          <w:p w14:paraId="483AF66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r>
      <w:tr w14:paraId="78F2097E">
        <w:tblPrEx>
          <w:tblCellMar>
            <w:top w:w="0" w:type="dxa"/>
            <w:left w:w="108" w:type="dxa"/>
            <w:bottom w:w="0" w:type="dxa"/>
            <w:right w:w="108" w:type="dxa"/>
          </w:tblCellMar>
        </w:tblPrEx>
        <w:trPr>
          <w:jc w:val="center"/>
        </w:trPr>
        <w:tc>
          <w:tcPr>
            <w:tcW w:w="2573" w:type="dxa"/>
            <w:tcBorders>
              <w:top w:val="nil"/>
              <w:left w:val="nil"/>
              <w:bottom w:val="nil"/>
              <w:right w:val="nil"/>
              <w:tl2br w:val="nil"/>
              <w:tr2bl w:val="nil"/>
            </w:tcBorders>
            <w:vAlign w:val="center"/>
          </w:tcPr>
          <w:p w14:paraId="75EA756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资产负债率（</w:t>
            </w:r>
            <w:r>
              <w:rPr>
                <w:rFonts w:ascii="Times New Roman" w:hAnsi="Times New Roman" w:cs="Times New Roman"/>
                <w:szCs w:val="21"/>
              </w:rPr>
              <w:t>Debt</w:t>
            </w:r>
            <w:r>
              <w:rPr>
                <w:rFonts w:hint="eastAsia" w:ascii="Times New Roman" w:hAnsi="Times New Roman" w:cs="Times New Roman"/>
                <w:szCs w:val="21"/>
              </w:rPr>
              <w:t>）</w:t>
            </w:r>
          </w:p>
        </w:tc>
        <w:tc>
          <w:tcPr>
            <w:tcW w:w="1518" w:type="dxa"/>
            <w:tcBorders>
              <w:top w:val="nil"/>
              <w:left w:val="nil"/>
              <w:bottom w:val="nil"/>
              <w:right w:val="nil"/>
              <w:tl2br w:val="nil"/>
              <w:tr2bl w:val="nil"/>
            </w:tcBorders>
            <w:vAlign w:val="center"/>
          </w:tcPr>
          <w:p w14:paraId="6EF95BD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-0.061*</w:t>
            </w:r>
          </w:p>
        </w:tc>
        <w:tc>
          <w:tcPr>
            <w:tcW w:w="2162" w:type="dxa"/>
            <w:tcBorders>
              <w:top w:val="nil"/>
              <w:left w:val="nil"/>
              <w:bottom w:val="nil"/>
              <w:right w:val="nil"/>
              <w:tl2br w:val="nil"/>
              <w:tr2bl w:val="nil"/>
            </w:tcBorders>
            <w:vAlign w:val="center"/>
          </w:tcPr>
          <w:p w14:paraId="5A8AFA4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0.478***</w:t>
            </w:r>
          </w:p>
        </w:tc>
        <w:tc>
          <w:tcPr>
            <w:tcW w:w="1543" w:type="dxa"/>
            <w:tcBorders>
              <w:top w:val="nil"/>
              <w:left w:val="nil"/>
              <w:bottom w:val="nil"/>
              <w:right w:val="nil"/>
              <w:tl2br w:val="nil"/>
              <w:tr2bl w:val="nil"/>
            </w:tcBorders>
            <w:vAlign w:val="center"/>
          </w:tcPr>
          <w:p w14:paraId="685FF6B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0.084***</w:t>
            </w:r>
          </w:p>
        </w:tc>
        <w:tc>
          <w:tcPr>
            <w:tcW w:w="1491" w:type="dxa"/>
            <w:tcBorders>
              <w:top w:val="nil"/>
              <w:left w:val="nil"/>
              <w:bottom w:val="nil"/>
              <w:right w:val="nil"/>
              <w:tl2br w:val="nil"/>
              <w:tr2bl w:val="nil"/>
            </w:tcBorders>
            <w:vAlign w:val="center"/>
          </w:tcPr>
          <w:p w14:paraId="4FBAD43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p>
        </w:tc>
      </w:tr>
      <w:tr w14:paraId="56204C15">
        <w:tblPrEx>
          <w:tblCellMar>
            <w:top w:w="0" w:type="dxa"/>
            <w:left w:w="108" w:type="dxa"/>
            <w:bottom w:w="0" w:type="dxa"/>
            <w:right w:w="108" w:type="dxa"/>
          </w:tblCellMar>
        </w:tblPrEx>
        <w:trPr>
          <w:jc w:val="center"/>
        </w:trPr>
        <w:tc>
          <w:tcPr>
            <w:tcW w:w="2573" w:type="dxa"/>
            <w:tcBorders>
              <w:top w:val="nil"/>
              <w:left w:val="nil"/>
              <w:bottom w:val="nil"/>
              <w:right w:val="nil"/>
              <w:tl2br w:val="nil"/>
              <w:tr2bl w:val="nil"/>
            </w:tcBorders>
            <w:vAlign w:val="center"/>
          </w:tcPr>
          <w:p w14:paraId="27F9E30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资产净利率（</w:t>
            </w:r>
            <w:r>
              <w:rPr>
                <w:rFonts w:ascii="Times New Roman" w:hAnsi="Times New Roman" w:cs="Times New Roman"/>
                <w:szCs w:val="21"/>
              </w:rPr>
              <w:t>Roa</w:t>
            </w:r>
            <w:r>
              <w:rPr>
                <w:rFonts w:hint="eastAsia" w:ascii="Times New Roman" w:hAnsi="Times New Roman" w:cs="Times New Roman"/>
                <w:szCs w:val="21"/>
              </w:rPr>
              <w:t>）</w:t>
            </w:r>
          </w:p>
        </w:tc>
        <w:tc>
          <w:tcPr>
            <w:tcW w:w="1518" w:type="dxa"/>
            <w:tcBorders>
              <w:top w:val="nil"/>
              <w:left w:val="nil"/>
              <w:bottom w:val="nil"/>
              <w:right w:val="nil"/>
              <w:tl2br w:val="nil"/>
              <w:tr2bl w:val="nil"/>
            </w:tcBorders>
            <w:vAlign w:val="center"/>
          </w:tcPr>
          <w:p w14:paraId="20807D6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0.127***</w:t>
            </w:r>
          </w:p>
        </w:tc>
        <w:tc>
          <w:tcPr>
            <w:tcW w:w="2162" w:type="dxa"/>
            <w:tcBorders>
              <w:top w:val="nil"/>
              <w:left w:val="nil"/>
              <w:bottom w:val="nil"/>
              <w:right w:val="nil"/>
              <w:tl2br w:val="nil"/>
              <w:tr2bl w:val="nil"/>
            </w:tcBorders>
            <w:vAlign w:val="center"/>
          </w:tcPr>
          <w:p w14:paraId="1DC3D41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-0.119***</w:t>
            </w:r>
          </w:p>
        </w:tc>
        <w:tc>
          <w:tcPr>
            <w:tcW w:w="1543" w:type="dxa"/>
            <w:tcBorders>
              <w:top w:val="nil"/>
              <w:left w:val="nil"/>
              <w:bottom w:val="nil"/>
              <w:right w:val="nil"/>
              <w:tl2br w:val="nil"/>
              <w:tr2bl w:val="nil"/>
            </w:tcBorders>
            <w:vAlign w:val="center"/>
          </w:tcPr>
          <w:p w14:paraId="7C29074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-0.216***</w:t>
            </w:r>
          </w:p>
        </w:tc>
        <w:tc>
          <w:tcPr>
            <w:tcW w:w="1491" w:type="dxa"/>
            <w:tcBorders>
              <w:top w:val="nil"/>
              <w:left w:val="nil"/>
              <w:bottom w:val="nil"/>
              <w:right w:val="nil"/>
              <w:tl2br w:val="nil"/>
              <w:tr2bl w:val="nil"/>
            </w:tcBorders>
            <w:vAlign w:val="center"/>
          </w:tcPr>
          <w:p w14:paraId="722522F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-0.369***</w:t>
            </w:r>
          </w:p>
        </w:tc>
      </w:tr>
      <w:tr w14:paraId="105D791F">
        <w:tblPrEx>
          <w:tblCellMar>
            <w:top w:w="0" w:type="dxa"/>
            <w:left w:w="108" w:type="dxa"/>
            <w:bottom w:w="0" w:type="dxa"/>
            <w:right w:w="108" w:type="dxa"/>
          </w:tblCellMar>
        </w:tblPrEx>
        <w:trPr>
          <w:jc w:val="center"/>
        </w:trPr>
        <w:tc>
          <w:tcPr>
            <w:tcW w:w="2573" w:type="dxa"/>
            <w:tcBorders>
              <w:top w:val="nil"/>
              <w:left w:val="nil"/>
              <w:bottom w:val="nil"/>
              <w:right w:val="nil"/>
              <w:tl2br w:val="nil"/>
              <w:tr2bl w:val="nil"/>
            </w:tcBorders>
            <w:vAlign w:val="center"/>
          </w:tcPr>
          <w:p w14:paraId="482FA30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主营业务收入增长率（</w:t>
            </w:r>
            <w:r>
              <w:rPr>
                <w:rFonts w:ascii="Times New Roman" w:hAnsi="Times New Roman" w:cs="Times New Roman"/>
                <w:szCs w:val="21"/>
              </w:rPr>
              <w:t>Growth</w:t>
            </w:r>
            <w:r>
              <w:rPr>
                <w:rFonts w:hint="eastAsia" w:ascii="Times New Roman" w:hAnsi="Times New Roman" w:cs="Times New Roman"/>
                <w:szCs w:val="21"/>
              </w:rPr>
              <w:t>）</w:t>
            </w:r>
          </w:p>
        </w:tc>
        <w:tc>
          <w:tcPr>
            <w:tcW w:w="1518" w:type="dxa"/>
            <w:tcBorders>
              <w:top w:val="nil"/>
              <w:left w:val="nil"/>
              <w:bottom w:val="nil"/>
              <w:right w:val="nil"/>
              <w:tl2br w:val="nil"/>
              <w:tr2bl w:val="nil"/>
            </w:tcBorders>
            <w:vAlign w:val="center"/>
          </w:tcPr>
          <w:p w14:paraId="18044FB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0.170***</w:t>
            </w:r>
          </w:p>
        </w:tc>
        <w:tc>
          <w:tcPr>
            <w:tcW w:w="2162" w:type="dxa"/>
            <w:tcBorders>
              <w:top w:val="nil"/>
              <w:left w:val="nil"/>
              <w:bottom w:val="nil"/>
              <w:right w:val="nil"/>
              <w:tl2br w:val="nil"/>
              <w:tr2bl w:val="nil"/>
            </w:tcBorders>
            <w:vAlign w:val="center"/>
          </w:tcPr>
          <w:p w14:paraId="35CB0CB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-0.012</w:t>
            </w:r>
          </w:p>
        </w:tc>
        <w:tc>
          <w:tcPr>
            <w:tcW w:w="1543" w:type="dxa"/>
            <w:tcBorders>
              <w:top w:val="nil"/>
              <w:left w:val="nil"/>
              <w:bottom w:val="nil"/>
              <w:right w:val="nil"/>
              <w:tl2br w:val="nil"/>
              <w:tr2bl w:val="nil"/>
            </w:tcBorders>
            <w:vAlign w:val="center"/>
          </w:tcPr>
          <w:p w14:paraId="4E24EA4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-0.036</w:t>
            </w:r>
          </w:p>
        </w:tc>
        <w:tc>
          <w:tcPr>
            <w:tcW w:w="1491" w:type="dxa"/>
            <w:tcBorders>
              <w:top w:val="nil"/>
              <w:left w:val="nil"/>
              <w:bottom w:val="nil"/>
              <w:right w:val="nil"/>
              <w:tl2br w:val="nil"/>
              <w:tr2bl w:val="nil"/>
            </w:tcBorders>
            <w:vAlign w:val="center"/>
          </w:tcPr>
          <w:p w14:paraId="31A94D4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-0.006</w:t>
            </w:r>
          </w:p>
        </w:tc>
      </w:tr>
      <w:tr w14:paraId="5892251A">
        <w:tblPrEx>
          <w:tblCellMar>
            <w:top w:w="0" w:type="dxa"/>
            <w:left w:w="108" w:type="dxa"/>
            <w:bottom w:w="0" w:type="dxa"/>
            <w:right w:w="108" w:type="dxa"/>
          </w:tblCellMar>
        </w:tblPrEx>
        <w:trPr>
          <w:jc w:val="center"/>
        </w:trPr>
        <w:tc>
          <w:tcPr>
            <w:tcW w:w="2573" w:type="dxa"/>
            <w:tcBorders>
              <w:top w:val="nil"/>
              <w:left w:val="nil"/>
              <w:bottom w:val="nil"/>
              <w:right w:val="nil"/>
              <w:tl2br w:val="nil"/>
              <w:tr2bl w:val="nil"/>
            </w:tcBorders>
            <w:vAlign w:val="center"/>
          </w:tcPr>
          <w:p w14:paraId="7A5ECAD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事务所排名（</w:t>
            </w:r>
            <w:r>
              <w:rPr>
                <w:rFonts w:ascii="Times New Roman" w:hAnsi="Times New Roman" w:cs="Times New Roman"/>
                <w:szCs w:val="21"/>
              </w:rPr>
              <w:t>Rank</w:t>
            </w:r>
            <w:r>
              <w:rPr>
                <w:rFonts w:hint="eastAsia" w:ascii="Times New Roman" w:hAnsi="Times New Roman" w:cs="Times New Roman"/>
                <w:szCs w:val="21"/>
              </w:rPr>
              <w:t>）</w:t>
            </w:r>
          </w:p>
        </w:tc>
        <w:tc>
          <w:tcPr>
            <w:tcW w:w="1518" w:type="dxa"/>
            <w:tcBorders>
              <w:top w:val="nil"/>
              <w:left w:val="nil"/>
              <w:bottom w:val="nil"/>
              <w:right w:val="nil"/>
              <w:tl2br w:val="nil"/>
              <w:tr2bl w:val="nil"/>
            </w:tcBorders>
            <w:vAlign w:val="center"/>
          </w:tcPr>
          <w:p w14:paraId="50C0A40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-0.025</w:t>
            </w:r>
          </w:p>
        </w:tc>
        <w:tc>
          <w:tcPr>
            <w:tcW w:w="2162" w:type="dxa"/>
            <w:tcBorders>
              <w:top w:val="nil"/>
              <w:left w:val="nil"/>
              <w:bottom w:val="nil"/>
              <w:right w:val="nil"/>
              <w:tl2br w:val="nil"/>
              <w:tr2bl w:val="nil"/>
            </w:tcBorders>
            <w:vAlign w:val="center"/>
          </w:tcPr>
          <w:p w14:paraId="45FCFCB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-0.215***</w:t>
            </w:r>
          </w:p>
        </w:tc>
        <w:tc>
          <w:tcPr>
            <w:tcW w:w="1543" w:type="dxa"/>
            <w:tcBorders>
              <w:top w:val="nil"/>
              <w:left w:val="nil"/>
              <w:bottom w:val="nil"/>
              <w:right w:val="nil"/>
              <w:tl2br w:val="nil"/>
              <w:tr2bl w:val="nil"/>
            </w:tcBorders>
            <w:vAlign w:val="center"/>
          </w:tcPr>
          <w:p w14:paraId="03290B5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0.067**</w:t>
            </w:r>
          </w:p>
        </w:tc>
        <w:tc>
          <w:tcPr>
            <w:tcW w:w="1491" w:type="dxa"/>
            <w:tcBorders>
              <w:top w:val="nil"/>
              <w:left w:val="nil"/>
              <w:bottom w:val="nil"/>
              <w:right w:val="nil"/>
              <w:tl2br w:val="nil"/>
              <w:tr2bl w:val="nil"/>
            </w:tcBorders>
            <w:vAlign w:val="center"/>
          </w:tcPr>
          <w:p w14:paraId="3364D23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-0.142***</w:t>
            </w:r>
          </w:p>
        </w:tc>
      </w:tr>
      <w:tr w14:paraId="1739A366">
        <w:tblPrEx>
          <w:tblCellMar>
            <w:top w:w="0" w:type="dxa"/>
            <w:left w:w="108" w:type="dxa"/>
            <w:bottom w:w="0" w:type="dxa"/>
            <w:right w:w="108" w:type="dxa"/>
          </w:tblCellMar>
        </w:tblPrEx>
        <w:trPr>
          <w:jc w:val="center"/>
        </w:trPr>
        <w:tc>
          <w:tcPr>
            <w:tcW w:w="2573" w:type="dxa"/>
            <w:tcBorders>
              <w:top w:val="nil"/>
              <w:left w:val="nil"/>
              <w:bottom w:val="single" w:color="auto" w:sz="4" w:space="0"/>
              <w:right w:val="nil"/>
            </w:tcBorders>
            <w:vAlign w:val="center"/>
          </w:tcPr>
          <w:p w14:paraId="308B188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持股比例（</w:t>
            </w:r>
            <w:r>
              <w:rPr>
                <w:rFonts w:ascii="Times New Roman" w:hAnsi="Times New Roman" w:cs="Times New Roman"/>
                <w:szCs w:val="21"/>
              </w:rPr>
              <w:t>Top1</w:t>
            </w:r>
            <w:r>
              <w:rPr>
                <w:rFonts w:hint="eastAsia" w:ascii="Times New Roman" w:hAnsi="Times New Roman" w:cs="Times New Roman"/>
                <w:szCs w:val="21"/>
              </w:rPr>
              <w:t>）</w:t>
            </w:r>
          </w:p>
        </w:tc>
        <w:tc>
          <w:tcPr>
            <w:tcW w:w="1518" w:type="dxa"/>
            <w:tcBorders>
              <w:top w:val="nil"/>
              <w:left w:val="nil"/>
              <w:bottom w:val="single" w:color="auto" w:sz="4" w:space="0"/>
              <w:right w:val="nil"/>
            </w:tcBorders>
            <w:vAlign w:val="center"/>
          </w:tcPr>
          <w:p w14:paraId="0C401A4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0.055*</w:t>
            </w:r>
          </w:p>
        </w:tc>
        <w:tc>
          <w:tcPr>
            <w:tcW w:w="2162" w:type="dxa"/>
            <w:tcBorders>
              <w:top w:val="nil"/>
              <w:left w:val="nil"/>
              <w:bottom w:val="single" w:color="auto" w:sz="4" w:space="0"/>
              <w:right w:val="nil"/>
            </w:tcBorders>
            <w:vAlign w:val="center"/>
          </w:tcPr>
          <w:p w14:paraId="0E6475F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-0.026</w:t>
            </w:r>
          </w:p>
        </w:tc>
        <w:tc>
          <w:tcPr>
            <w:tcW w:w="1543" w:type="dxa"/>
            <w:tcBorders>
              <w:top w:val="nil"/>
              <w:left w:val="nil"/>
              <w:bottom w:val="single" w:color="auto" w:sz="4" w:space="0"/>
              <w:right w:val="nil"/>
            </w:tcBorders>
            <w:vAlign w:val="center"/>
          </w:tcPr>
          <w:p w14:paraId="34FE43B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-0.032</w:t>
            </w:r>
          </w:p>
        </w:tc>
        <w:tc>
          <w:tcPr>
            <w:tcW w:w="1491" w:type="dxa"/>
            <w:tcBorders>
              <w:top w:val="nil"/>
              <w:left w:val="nil"/>
              <w:bottom w:val="single" w:color="auto" w:sz="4" w:space="0"/>
              <w:right w:val="nil"/>
            </w:tcBorders>
            <w:vAlign w:val="center"/>
          </w:tcPr>
          <w:p w14:paraId="1FD34D0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-0.032</w:t>
            </w:r>
          </w:p>
        </w:tc>
      </w:tr>
      <w:tr w14:paraId="141BD731">
        <w:tblPrEx>
          <w:tblCellMar>
            <w:top w:w="0" w:type="dxa"/>
            <w:left w:w="108" w:type="dxa"/>
            <w:bottom w:w="0" w:type="dxa"/>
            <w:right w:w="108" w:type="dxa"/>
          </w:tblCellMar>
        </w:tblPrEx>
        <w:trPr>
          <w:jc w:val="center"/>
        </w:trPr>
        <w:tc>
          <w:tcPr>
            <w:tcW w:w="2573" w:type="dxa"/>
            <w:tcBorders>
              <w:top w:val="single" w:color="auto" w:sz="4" w:space="0"/>
              <w:left w:val="nil"/>
              <w:bottom w:val="single" w:color="auto" w:sz="4" w:space="0"/>
              <w:right w:val="nil"/>
            </w:tcBorders>
            <w:vAlign w:val="center"/>
          </w:tcPr>
          <w:p w14:paraId="0726AB6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变量名称</w:t>
            </w:r>
          </w:p>
        </w:tc>
        <w:tc>
          <w:tcPr>
            <w:tcW w:w="1518" w:type="dxa"/>
            <w:tcBorders>
              <w:top w:val="single" w:color="auto" w:sz="4" w:space="0"/>
              <w:left w:val="nil"/>
              <w:bottom w:val="single" w:color="auto" w:sz="4" w:space="0"/>
              <w:right w:val="nil"/>
            </w:tcBorders>
            <w:shd w:val="clear" w:color="auto" w:fill="auto"/>
            <w:vAlign w:val="center"/>
          </w:tcPr>
          <w:p w14:paraId="4A579B6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资产净利率</w:t>
            </w:r>
          </w:p>
          <w:p w14:paraId="755EA76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w:t>
            </w:r>
            <w:r>
              <w:rPr>
                <w:rFonts w:ascii="Times New Roman" w:hAnsi="Times New Roman" w:cs="Times New Roman"/>
                <w:b/>
                <w:bCs/>
                <w:szCs w:val="21"/>
              </w:rPr>
              <w:t>Roa</w:t>
            </w:r>
            <w:r>
              <w:rPr>
                <w:rFonts w:hint="eastAsia" w:ascii="Times New Roman" w:hAnsi="Times New Roman" w:cs="Times New Roman"/>
                <w:b/>
                <w:bCs/>
                <w:szCs w:val="21"/>
                <w:lang w:eastAsia="zh-CN"/>
              </w:rPr>
              <w:t>)</w:t>
            </w:r>
          </w:p>
        </w:tc>
        <w:tc>
          <w:tcPr>
            <w:tcW w:w="2162" w:type="dxa"/>
            <w:tcBorders>
              <w:top w:val="single" w:color="auto" w:sz="4" w:space="0"/>
              <w:left w:val="nil"/>
              <w:bottom w:val="single" w:color="auto" w:sz="4" w:space="0"/>
              <w:right w:val="nil"/>
            </w:tcBorders>
            <w:shd w:val="clear" w:color="auto" w:fill="auto"/>
            <w:vAlign w:val="center"/>
          </w:tcPr>
          <w:p w14:paraId="1011230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主营业务收入增长率（</w:t>
            </w:r>
            <w:r>
              <w:rPr>
                <w:rFonts w:ascii="Times New Roman" w:hAnsi="Times New Roman" w:cs="Times New Roman"/>
                <w:b/>
                <w:bCs/>
                <w:szCs w:val="21"/>
              </w:rPr>
              <w:t>Growth</w:t>
            </w:r>
            <w:r>
              <w:rPr>
                <w:rFonts w:hint="eastAsia" w:ascii="Times New Roman" w:hAnsi="Times New Roman" w:cs="Times New Roman"/>
                <w:b/>
                <w:bCs/>
                <w:szCs w:val="21"/>
              </w:rPr>
              <w:t>）</w:t>
            </w:r>
          </w:p>
        </w:tc>
        <w:tc>
          <w:tcPr>
            <w:tcW w:w="1543" w:type="dxa"/>
            <w:tcBorders>
              <w:top w:val="single" w:color="auto" w:sz="4" w:space="0"/>
              <w:left w:val="nil"/>
              <w:bottom w:val="single" w:color="auto" w:sz="4" w:space="0"/>
              <w:right w:val="nil"/>
            </w:tcBorders>
            <w:shd w:val="clear" w:color="auto" w:fill="auto"/>
            <w:vAlign w:val="center"/>
          </w:tcPr>
          <w:p w14:paraId="3078D96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事务所排名（</w:t>
            </w:r>
            <w:r>
              <w:rPr>
                <w:rFonts w:ascii="Times New Roman" w:hAnsi="Times New Roman" w:cs="Times New Roman"/>
                <w:b/>
                <w:bCs/>
                <w:szCs w:val="21"/>
              </w:rPr>
              <w:t>Rank</w:t>
            </w:r>
            <w:r>
              <w:rPr>
                <w:rFonts w:hint="eastAsia" w:ascii="Times New Roman" w:hAnsi="Times New Roman" w:cs="Times New Roman"/>
                <w:b/>
                <w:bCs/>
                <w:szCs w:val="21"/>
              </w:rPr>
              <w:t>）</w:t>
            </w:r>
          </w:p>
        </w:tc>
        <w:tc>
          <w:tcPr>
            <w:tcW w:w="1491" w:type="dxa"/>
            <w:tcBorders>
              <w:top w:val="single" w:color="auto" w:sz="4" w:space="0"/>
              <w:left w:val="nil"/>
              <w:bottom w:val="single" w:color="auto" w:sz="4" w:space="0"/>
              <w:right w:val="nil"/>
            </w:tcBorders>
            <w:shd w:val="clear" w:color="auto" w:fill="auto"/>
            <w:vAlign w:val="center"/>
          </w:tcPr>
          <w:p w14:paraId="77ED55A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持股比例</w:t>
            </w:r>
          </w:p>
          <w:p w14:paraId="10CD839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w:t>
            </w:r>
            <w:r>
              <w:rPr>
                <w:rFonts w:ascii="Times New Roman" w:hAnsi="Times New Roman" w:cs="Times New Roman"/>
                <w:b/>
                <w:bCs/>
                <w:szCs w:val="21"/>
              </w:rPr>
              <w:t>To</w:t>
            </w:r>
            <w:r>
              <w:rPr>
                <w:rFonts w:hint="eastAsia" w:ascii="Times New Roman" w:hAnsi="Times New Roman" w:cs="Times New Roman"/>
                <w:b/>
                <w:bCs/>
                <w:szCs w:val="21"/>
                <w:lang w:eastAsia="zh-CN"/>
              </w:rPr>
              <w:t>(1)</w:t>
            </w:r>
          </w:p>
        </w:tc>
      </w:tr>
      <w:tr w14:paraId="4B84325E">
        <w:tblPrEx>
          <w:tblCellMar>
            <w:top w:w="0" w:type="dxa"/>
            <w:left w:w="108" w:type="dxa"/>
            <w:bottom w:w="0" w:type="dxa"/>
            <w:right w:w="108" w:type="dxa"/>
          </w:tblCellMar>
        </w:tblPrEx>
        <w:trPr>
          <w:jc w:val="center"/>
        </w:trPr>
        <w:tc>
          <w:tcPr>
            <w:tcW w:w="2573" w:type="dxa"/>
            <w:tcBorders>
              <w:top w:val="single" w:color="auto" w:sz="4" w:space="0"/>
              <w:left w:val="nil"/>
              <w:bottom w:val="nil"/>
              <w:right w:val="nil"/>
            </w:tcBorders>
            <w:shd w:val="clear" w:color="auto" w:fill="auto"/>
            <w:vAlign w:val="center"/>
          </w:tcPr>
          <w:p w14:paraId="0362F9A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资产净利率（</w:t>
            </w:r>
            <w:r>
              <w:rPr>
                <w:rFonts w:ascii="Times New Roman" w:hAnsi="Times New Roman" w:cs="Times New Roman"/>
                <w:szCs w:val="21"/>
              </w:rPr>
              <w:t>Roa</w:t>
            </w:r>
            <w:r>
              <w:rPr>
                <w:rFonts w:hint="eastAsia" w:ascii="Times New Roman" w:hAnsi="Times New Roman" w:cs="Times New Roman"/>
                <w:szCs w:val="21"/>
              </w:rPr>
              <w:t>）</w:t>
            </w:r>
          </w:p>
        </w:tc>
        <w:tc>
          <w:tcPr>
            <w:tcW w:w="1518" w:type="dxa"/>
            <w:tcBorders>
              <w:top w:val="single" w:color="auto" w:sz="4" w:space="0"/>
              <w:left w:val="nil"/>
              <w:bottom w:val="nil"/>
              <w:right w:val="nil"/>
            </w:tcBorders>
            <w:shd w:val="clear" w:color="auto" w:fill="auto"/>
            <w:vAlign w:val="center"/>
          </w:tcPr>
          <w:p w14:paraId="4B986E9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p>
        </w:tc>
        <w:tc>
          <w:tcPr>
            <w:tcW w:w="2162" w:type="dxa"/>
            <w:tcBorders>
              <w:top w:val="single" w:color="auto" w:sz="4" w:space="0"/>
              <w:left w:val="nil"/>
              <w:bottom w:val="nil"/>
              <w:right w:val="nil"/>
            </w:tcBorders>
            <w:shd w:val="clear" w:color="auto" w:fill="auto"/>
            <w:vAlign w:val="center"/>
          </w:tcPr>
          <w:p w14:paraId="46B7C9D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1543" w:type="dxa"/>
            <w:tcBorders>
              <w:top w:val="single" w:color="auto" w:sz="4" w:space="0"/>
              <w:left w:val="nil"/>
              <w:bottom w:val="nil"/>
              <w:right w:val="nil"/>
            </w:tcBorders>
            <w:shd w:val="clear" w:color="auto" w:fill="auto"/>
            <w:vAlign w:val="center"/>
          </w:tcPr>
          <w:p w14:paraId="0D1619F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1491" w:type="dxa"/>
            <w:tcBorders>
              <w:top w:val="single" w:color="auto" w:sz="4" w:space="0"/>
              <w:left w:val="nil"/>
              <w:bottom w:val="nil"/>
              <w:right w:val="nil"/>
            </w:tcBorders>
            <w:shd w:val="clear" w:color="auto" w:fill="auto"/>
            <w:vAlign w:val="center"/>
          </w:tcPr>
          <w:p w14:paraId="20DE87E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r>
      <w:tr w14:paraId="7F392816">
        <w:tblPrEx>
          <w:tblCellMar>
            <w:top w:w="0" w:type="dxa"/>
            <w:left w:w="108" w:type="dxa"/>
            <w:bottom w:w="0" w:type="dxa"/>
            <w:right w:w="108" w:type="dxa"/>
          </w:tblCellMar>
        </w:tblPrEx>
        <w:trPr>
          <w:jc w:val="center"/>
        </w:trPr>
        <w:tc>
          <w:tcPr>
            <w:tcW w:w="2573" w:type="dxa"/>
            <w:tcBorders>
              <w:top w:val="nil"/>
              <w:left w:val="nil"/>
              <w:bottom w:val="nil"/>
              <w:right w:val="nil"/>
            </w:tcBorders>
            <w:shd w:val="clear" w:color="auto" w:fill="auto"/>
            <w:vAlign w:val="center"/>
          </w:tcPr>
          <w:p w14:paraId="2F943AD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主营业务收入增长率（</w:t>
            </w:r>
            <w:r>
              <w:rPr>
                <w:rFonts w:ascii="Times New Roman" w:hAnsi="Times New Roman" w:cs="Times New Roman"/>
                <w:szCs w:val="21"/>
              </w:rPr>
              <w:t>Growth</w:t>
            </w:r>
            <w:r>
              <w:rPr>
                <w:rFonts w:hint="eastAsia" w:ascii="Times New Roman" w:hAnsi="Times New Roman" w:cs="Times New Roman"/>
                <w:szCs w:val="21"/>
              </w:rPr>
              <w:t>）</w:t>
            </w:r>
          </w:p>
        </w:tc>
        <w:tc>
          <w:tcPr>
            <w:tcW w:w="1518" w:type="dxa"/>
            <w:tcBorders>
              <w:top w:val="nil"/>
              <w:left w:val="nil"/>
              <w:bottom w:val="nil"/>
              <w:right w:val="nil"/>
            </w:tcBorders>
            <w:shd w:val="clear" w:color="auto" w:fill="auto"/>
            <w:vAlign w:val="center"/>
          </w:tcPr>
          <w:p w14:paraId="4FDEAB3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0.068**</w:t>
            </w:r>
          </w:p>
        </w:tc>
        <w:tc>
          <w:tcPr>
            <w:tcW w:w="2162" w:type="dxa"/>
            <w:tcBorders>
              <w:top w:val="nil"/>
              <w:left w:val="nil"/>
              <w:bottom w:val="nil"/>
              <w:right w:val="nil"/>
            </w:tcBorders>
            <w:shd w:val="clear" w:color="auto" w:fill="auto"/>
            <w:vAlign w:val="center"/>
          </w:tcPr>
          <w:p w14:paraId="4B0E865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p>
        </w:tc>
        <w:tc>
          <w:tcPr>
            <w:tcW w:w="1543" w:type="dxa"/>
            <w:tcBorders>
              <w:top w:val="nil"/>
              <w:left w:val="nil"/>
              <w:bottom w:val="nil"/>
              <w:right w:val="nil"/>
            </w:tcBorders>
            <w:shd w:val="clear" w:color="auto" w:fill="auto"/>
            <w:vAlign w:val="center"/>
          </w:tcPr>
          <w:p w14:paraId="600D68E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1491" w:type="dxa"/>
            <w:tcBorders>
              <w:top w:val="nil"/>
              <w:left w:val="nil"/>
              <w:bottom w:val="nil"/>
              <w:right w:val="nil"/>
            </w:tcBorders>
            <w:shd w:val="clear" w:color="auto" w:fill="auto"/>
            <w:vAlign w:val="center"/>
          </w:tcPr>
          <w:p w14:paraId="00F3122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r>
      <w:tr w14:paraId="6E9888A4">
        <w:tblPrEx>
          <w:tblCellMar>
            <w:top w:w="0" w:type="dxa"/>
            <w:left w:w="108" w:type="dxa"/>
            <w:bottom w:w="0" w:type="dxa"/>
            <w:right w:w="108" w:type="dxa"/>
          </w:tblCellMar>
        </w:tblPrEx>
        <w:trPr>
          <w:jc w:val="center"/>
        </w:trPr>
        <w:tc>
          <w:tcPr>
            <w:tcW w:w="2573" w:type="dxa"/>
            <w:tcBorders>
              <w:top w:val="nil"/>
              <w:left w:val="nil"/>
              <w:bottom w:val="nil"/>
              <w:right w:val="nil"/>
            </w:tcBorders>
            <w:shd w:val="clear" w:color="auto" w:fill="auto"/>
            <w:vAlign w:val="center"/>
          </w:tcPr>
          <w:p w14:paraId="1CA7DC7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事务所排名（</w:t>
            </w:r>
            <w:r>
              <w:rPr>
                <w:rFonts w:ascii="Times New Roman" w:hAnsi="Times New Roman" w:cs="Times New Roman"/>
                <w:szCs w:val="21"/>
              </w:rPr>
              <w:t>Rank</w:t>
            </w:r>
            <w:r>
              <w:rPr>
                <w:rFonts w:hint="eastAsia" w:ascii="Times New Roman" w:hAnsi="Times New Roman" w:cs="Times New Roman"/>
                <w:szCs w:val="21"/>
              </w:rPr>
              <w:t>）</w:t>
            </w:r>
          </w:p>
        </w:tc>
        <w:tc>
          <w:tcPr>
            <w:tcW w:w="1518" w:type="dxa"/>
            <w:tcBorders>
              <w:top w:val="nil"/>
              <w:left w:val="nil"/>
              <w:bottom w:val="nil"/>
              <w:right w:val="nil"/>
            </w:tcBorders>
            <w:shd w:val="clear" w:color="auto" w:fill="auto"/>
            <w:vAlign w:val="center"/>
          </w:tcPr>
          <w:p w14:paraId="13BDBC8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-0.106***</w:t>
            </w:r>
          </w:p>
        </w:tc>
        <w:tc>
          <w:tcPr>
            <w:tcW w:w="2162" w:type="dxa"/>
            <w:tcBorders>
              <w:top w:val="nil"/>
              <w:left w:val="nil"/>
              <w:bottom w:val="nil"/>
              <w:right w:val="nil"/>
            </w:tcBorders>
            <w:shd w:val="clear" w:color="auto" w:fill="auto"/>
            <w:vAlign w:val="center"/>
          </w:tcPr>
          <w:p w14:paraId="5FEDD72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0.009</w:t>
            </w:r>
          </w:p>
        </w:tc>
        <w:tc>
          <w:tcPr>
            <w:tcW w:w="1543" w:type="dxa"/>
            <w:tcBorders>
              <w:top w:val="nil"/>
              <w:left w:val="nil"/>
              <w:bottom w:val="nil"/>
              <w:right w:val="nil"/>
            </w:tcBorders>
            <w:shd w:val="clear" w:color="auto" w:fill="auto"/>
            <w:vAlign w:val="center"/>
          </w:tcPr>
          <w:p w14:paraId="5537E3C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p>
        </w:tc>
        <w:tc>
          <w:tcPr>
            <w:tcW w:w="1491" w:type="dxa"/>
            <w:tcBorders>
              <w:top w:val="nil"/>
              <w:left w:val="nil"/>
              <w:bottom w:val="nil"/>
              <w:right w:val="nil"/>
            </w:tcBorders>
            <w:shd w:val="clear" w:color="auto" w:fill="auto"/>
            <w:vAlign w:val="center"/>
          </w:tcPr>
          <w:p w14:paraId="77511BF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r>
      <w:tr w14:paraId="74D19629">
        <w:tblPrEx>
          <w:tblCellMar>
            <w:top w:w="0" w:type="dxa"/>
            <w:left w:w="108" w:type="dxa"/>
            <w:bottom w:w="0" w:type="dxa"/>
            <w:right w:w="108" w:type="dxa"/>
          </w:tblCellMar>
        </w:tblPrEx>
        <w:trPr>
          <w:jc w:val="center"/>
        </w:trPr>
        <w:tc>
          <w:tcPr>
            <w:tcW w:w="2573" w:type="dxa"/>
            <w:tcBorders>
              <w:top w:val="nil"/>
              <w:left w:val="nil"/>
              <w:bottom w:val="single" w:color="auto" w:sz="4" w:space="0"/>
              <w:right w:val="nil"/>
            </w:tcBorders>
            <w:shd w:val="clear" w:color="auto" w:fill="auto"/>
            <w:vAlign w:val="center"/>
          </w:tcPr>
          <w:p w14:paraId="22A78A8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持股比例（</w:t>
            </w:r>
            <w:r>
              <w:rPr>
                <w:rFonts w:ascii="Times New Roman" w:hAnsi="Times New Roman" w:cs="Times New Roman"/>
                <w:szCs w:val="21"/>
              </w:rPr>
              <w:t>Top1</w:t>
            </w:r>
            <w:r>
              <w:rPr>
                <w:rFonts w:hint="eastAsia" w:ascii="Times New Roman" w:hAnsi="Times New Roman" w:cs="Times New Roman"/>
                <w:szCs w:val="21"/>
              </w:rPr>
              <w:t>）</w:t>
            </w:r>
          </w:p>
        </w:tc>
        <w:tc>
          <w:tcPr>
            <w:tcW w:w="1518" w:type="dxa"/>
            <w:tcBorders>
              <w:top w:val="nil"/>
              <w:left w:val="nil"/>
              <w:bottom w:val="single" w:color="auto" w:sz="4" w:space="0"/>
              <w:right w:val="nil"/>
            </w:tcBorders>
            <w:shd w:val="clear" w:color="auto" w:fill="auto"/>
            <w:vAlign w:val="center"/>
          </w:tcPr>
          <w:p w14:paraId="472129E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0.144***</w:t>
            </w:r>
          </w:p>
        </w:tc>
        <w:tc>
          <w:tcPr>
            <w:tcW w:w="2162" w:type="dxa"/>
            <w:tcBorders>
              <w:top w:val="nil"/>
              <w:left w:val="nil"/>
              <w:bottom w:val="single" w:color="auto" w:sz="4" w:space="0"/>
              <w:right w:val="nil"/>
            </w:tcBorders>
            <w:shd w:val="clear" w:color="auto" w:fill="auto"/>
            <w:vAlign w:val="center"/>
          </w:tcPr>
          <w:p w14:paraId="0555BE6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0.012</w:t>
            </w:r>
          </w:p>
        </w:tc>
        <w:tc>
          <w:tcPr>
            <w:tcW w:w="1543" w:type="dxa"/>
            <w:tcBorders>
              <w:top w:val="nil"/>
              <w:left w:val="nil"/>
              <w:bottom w:val="single" w:color="auto" w:sz="4" w:space="0"/>
              <w:right w:val="nil"/>
            </w:tcBorders>
            <w:shd w:val="clear" w:color="auto" w:fill="auto"/>
            <w:vAlign w:val="center"/>
          </w:tcPr>
          <w:p w14:paraId="6C87F32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-0.051</w:t>
            </w:r>
          </w:p>
        </w:tc>
        <w:tc>
          <w:tcPr>
            <w:tcW w:w="1491" w:type="dxa"/>
            <w:tcBorders>
              <w:top w:val="nil"/>
              <w:left w:val="nil"/>
              <w:bottom w:val="single" w:color="auto" w:sz="4" w:space="0"/>
              <w:right w:val="nil"/>
            </w:tcBorders>
            <w:shd w:val="clear" w:color="auto" w:fill="auto"/>
            <w:vAlign w:val="center"/>
          </w:tcPr>
          <w:p w14:paraId="456D4E2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p>
        </w:tc>
      </w:tr>
    </w:tbl>
    <w:tbl>
      <w:tblPr>
        <w:tblStyle w:val="10"/>
        <w:tblW w:w="0" w:type="auto"/>
        <w:jc w:val="center"/>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584"/>
        <w:gridCol w:w="1900"/>
        <w:gridCol w:w="2038"/>
      </w:tblGrid>
      <w:tr w14:paraId="66F4E8FD">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PrEx>
        <w:trPr>
          <w:jc w:val="center"/>
        </w:trPr>
        <w:tc>
          <w:tcPr>
            <w:tcW w:w="4850" w:type="dxa"/>
            <w:tcBorders>
              <w:top w:val="single" w:color="000000" w:sz="0" w:space="0"/>
              <w:left w:val="nil"/>
              <w:bottom w:val="nil"/>
              <w:right w:val="nil"/>
            </w:tcBorders>
          </w:tcPr>
          <w:p w14:paraId="2BCE601F">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r>
              <w:rPr>
                <w:rFonts w:ascii="Times New Roman" w:hAnsi="Times New Roman" w:cs="Times New Roman"/>
                <w:szCs w:val="21"/>
              </w:rPr>
              <w:t>***p&lt;0.01,**p&lt;0.05,*p&lt;0.10</w:t>
            </w:r>
          </w:p>
        </w:tc>
        <w:tc>
          <w:tcPr>
            <w:tcW w:w="2140" w:type="dxa"/>
            <w:tcBorders>
              <w:top w:val="single" w:color="000000" w:sz="0" w:space="0"/>
              <w:left w:val="nil"/>
              <w:bottom w:val="nil"/>
              <w:right w:val="nil"/>
            </w:tcBorders>
          </w:tcPr>
          <w:p w14:paraId="144F02B2">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2297" w:type="dxa"/>
            <w:tcBorders>
              <w:top w:val="single" w:color="000000" w:sz="0" w:space="0"/>
              <w:left w:val="nil"/>
              <w:bottom w:val="nil"/>
              <w:right w:val="nil"/>
            </w:tcBorders>
          </w:tcPr>
          <w:p w14:paraId="2BE06304">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r>
    </w:tbl>
    <w:p w14:paraId="39B00F9F">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表</w:t>
      </w:r>
      <w:r>
        <w:rPr>
          <w:rFonts w:hint="eastAsia" w:ascii="Times New Roman" w:hAnsi="Times New Roman" w:cs="Times New Roman"/>
          <w:sz w:val="24"/>
        </w:rPr>
        <w:t>4</w:t>
      </w:r>
      <w:r>
        <w:rPr>
          <w:rFonts w:ascii="Times New Roman" w:hAnsi="Times New Roman" w:cs="Times New Roman"/>
          <w:sz w:val="24"/>
        </w:rPr>
        <w:t>中，</w:t>
      </w:r>
      <w:r>
        <w:rPr>
          <w:rFonts w:hint="eastAsia" w:ascii="Times New Roman" w:hAnsi="Times New Roman" w:cs="Times New Roman"/>
          <w:sz w:val="24"/>
        </w:rPr>
        <w:t>审计费用（</w:t>
      </w:r>
      <w:r>
        <w:rPr>
          <w:rFonts w:ascii="Times New Roman" w:hAnsi="Times New Roman" w:cs="Times New Roman"/>
          <w:sz w:val="24"/>
        </w:rPr>
        <w:t>ln_AudFee</w:t>
      </w:r>
      <w:r>
        <w:rPr>
          <w:rFonts w:hint="eastAsia" w:ascii="Times New Roman" w:hAnsi="Times New Roman" w:cs="Times New Roman"/>
          <w:sz w:val="24"/>
        </w:rPr>
        <w:t>）</w:t>
      </w:r>
      <w:r>
        <w:rPr>
          <w:rFonts w:ascii="Times New Roman" w:hAnsi="Times New Roman" w:cs="Times New Roman"/>
          <w:sz w:val="24"/>
        </w:rPr>
        <w:t>与</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经计算的相关系数是-0.157***，两者呈现出负相关的关联，而这种关系在统计范畴是显著的。</w:t>
      </w:r>
      <w:r>
        <w:rPr>
          <w:rFonts w:hint="eastAsia" w:ascii="Times New Roman" w:hAnsi="Times New Roman" w:cs="Times New Roman"/>
          <w:sz w:val="24"/>
        </w:rPr>
        <w:t>内部控制质量（</w:t>
      </w:r>
      <w:r>
        <w:rPr>
          <w:rFonts w:ascii="Times New Roman" w:hAnsi="Times New Roman" w:cs="Times New Roman"/>
          <w:sz w:val="24"/>
        </w:rPr>
        <w:t>ICQ</w:t>
      </w:r>
      <w:r>
        <w:rPr>
          <w:rFonts w:hint="eastAsia" w:ascii="Times New Roman" w:hAnsi="Times New Roman" w:cs="Times New Roman"/>
          <w:sz w:val="24"/>
        </w:rPr>
        <w:t>）</w:t>
      </w:r>
      <w:r>
        <w:rPr>
          <w:rFonts w:ascii="Times New Roman" w:hAnsi="Times New Roman" w:cs="Times New Roman"/>
          <w:sz w:val="24"/>
        </w:rPr>
        <w:t>与</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对应的相关系数为-0.047，说明</w:t>
      </w:r>
      <w:r>
        <w:rPr>
          <w:rFonts w:hint="eastAsia" w:ascii="Times New Roman" w:hAnsi="Times New Roman" w:cs="Times New Roman"/>
          <w:sz w:val="24"/>
        </w:rPr>
        <w:t>企业内控</w:t>
      </w:r>
      <w:r>
        <w:rPr>
          <w:rFonts w:ascii="Times New Roman" w:hAnsi="Times New Roman" w:cs="Times New Roman"/>
          <w:sz w:val="24"/>
        </w:rPr>
        <w:t>质量与真实盈余管理的相关性不强。</w:t>
      </w:r>
      <w:r>
        <w:rPr>
          <w:rFonts w:hint="eastAsia" w:ascii="Times New Roman" w:hAnsi="Times New Roman" w:cs="Times New Roman"/>
          <w:sz w:val="24"/>
        </w:rPr>
        <w:t>资产负债率（</w:t>
      </w:r>
      <w:r>
        <w:rPr>
          <w:rFonts w:ascii="Times New Roman" w:hAnsi="Times New Roman" w:cs="Times New Roman"/>
          <w:sz w:val="24"/>
        </w:rPr>
        <w:t>Debt</w:t>
      </w:r>
      <w:r>
        <w:rPr>
          <w:rFonts w:hint="eastAsia" w:ascii="Times New Roman" w:hAnsi="Times New Roman" w:cs="Times New Roman"/>
          <w:sz w:val="24"/>
        </w:rPr>
        <w:t>）</w:t>
      </w:r>
      <w:r>
        <w:rPr>
          <w:rFonts w:ascii="Times New Roman" w:hAnsi="Times New Roman" w:cs="Times New Roman"/>
          <w:sz w:val="24"/>
        </w:rPr>
        <w:t>和</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经计算的相关系数是-0.061*，表示资产负债率跟真实盈余管理之间存在微弱的负相关关系。</w:t>
      </w:r>
      <w:r>
        <w:rPr>
          <w:rFonts w:hint="eastAsia" w:ascii="Times New Roman" w:hAnsi="Times New Roman" w:cs="Times New Roman"/>
          <w:sz w:val="24"/>
        </w:rPr>
        <w:t>资产净利率（</w:t>
      </w:r>
      <w:r>
        <w:rPr>
          <w:rFonts w:ascii="Times New Roman" w:hAnsi="Times New Roman" w:cs="Times New Roman"/>
          <w:sz w:val="24"/>
        </w:rPr>
        <w:t>Roa</w:t>
      </w:r>
      <w:r>
        <w:rPr>
          <w:rFonts w:hint="eastAsia" w:ascii="Times New Roman" w:hAnsi="Times New Roman" w:cs="Times New Roman"/>
          <w:sz w:val="24"/>
        </w:rPr>
        <w:t>）</w:t>
      </w:r>
      <w:r>
        <w:rPr>
          <w:rFonts w:ascii="Times New Roman" w:hAnsi="Times New Roman" w:cs="Times New Roman"/>
          <w:sz w:val="24"/>
        </w:rPr>
        <w:t>与</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之间的相关系数是0.127***，反映了资产净利率与真实盈余管理之间为正相关关系，而且该关系在统计学上是显著的。</w:t>
      </w:r>
      <w:r>
        <w:rPr>
          <w:rFonts w:hint="eastAsia" w:ascii="Times New Roman" w:hAnsi="Times New Roman" w:cs="Times New Roman"/>
          <w:sz w:val="24"/>
        </w:rPr>
        <w:t>主营业务收入增长率（</w:t>
      </w:r>
      <w:r>
        <w:rPr>
          <w:rFonts w:ascii="Times New Roman" w:hAnsi="Times New Roman" w:cs="Times New Roman"/>
          <w:sz w:val="24"/>
        </w:rPr>
        <w:t>Growth</w:t>
      </w:r>
      <w:r>
        <w:rPr>
          <w:rFonts w:hint="eastAsia" w:ascii="Times New Roman" w:hAnsi="Times New Roman" w:cs="Times New Roman"/>
          <w:sz w:val="24"/>
        </w:rPr>
        <w:t>）</w:t>
      </w:r>
      <w:r>
        <w:rPr>
          <w:rFonts w:ascii="Times New Roman" w:hAnsi="Times New Roman" w:cs="Times New Roman"/>
          <w:sz w:val="24"/>
        </w:rPr>
        <w:t>和</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对应的相关系数是0.170***，显示出主营业务收入增长率与真实盈余管理呈正相关态势，而且这种关系在统计意义上是显著的。</w:t>
      </w:r>
      <w:r>
        <w:rPr>
          <w:rFonts w:hint="eastAsia" w:ascii="Times New Roman" w:hAnsi="Times New Roman" w:cs="Times New Roman"/>
          <w:sz w:val="24"/>
        </w:rPr>
        <w:t>事务所排名（</w:t>
      </w:r>
      <w:r>
        <w:rPr>
          <w:rFonts w:ascii="Times New Roman" w:hAnsi="Times New Roman" w:cs="Times New Roman"/>
          <w:sz w:val="24"/>
        </w:rPr>
        <w:t>Rank</w:t>
      </w:r>
      <w:r>
        <w:rPr>
          <w:rFonts w:hint="eastAsia" w:ascii="Times New Roman" w:hAnsi="Times New Roman" w:cs="Times New Roman"/>
          <w:sz w:val="24"/>
        </w:rPr>
        <w:t>）</w:t>
      </w:r>
      <w:r>
        <w:rPr>
          <w:rFonts w:ascii="Times New Roman" w:hAnsi="Times New Roman" w:cs="Times New Roman"/>
          <w:sz w:val="24"/>
        </w:rPr>
        <w:t>与</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的相关系数为-0.025，揭示事务所排名与真实盈余管理之间的关联极其微弱。</w:t>
      </w:r>
      <w:r>
        <w:rPr>
          <w:rFonts w:hint="eastAsia" w:ascii="Times New Roman" w:hAnsi="Times New Roman" w:cs="Times New Roman"/>
          <w:sz w:val="24"/>
        </w:rPr>
        <w:t>持股比例（</w:t>
      </w:r>
      <w:r>
        <w:rPr>
          <w:rFonts w:ascii="Times New Roman" w:hAnsi="Times New Roman" w:cs="Times New Roman"/>
          <w:sz w:val="24"/>
        </w:rPr>
        <w:t>Top1</w:t>
      </w:r>
      <w:r>
        <w:rPr>
          <w:rFonts w:hint="eastAsia" w:ascii="Times New Roman" w:hAnsi="Times New Roman" w:cs="Times New Roman"/>
          <w:sz w:val="24"/>
        </w:rPr>
        <w:t>）</w:t>
      </w:r>
      <w:r>
        <w:rPr>
          <w:rFonts w:ascii="Times New Roman" w:hAnsi="Times New Roman" w:cs="Times New Roman"/>
          <w:sz w:val="24"/>
        </w:rPr>
        <w:t>与</w:t>
      </w:r>
      <w:r>
        <w:rPr>
          <w:rFonts w:hint="eastAsia" w:ascii="Times New Roman" w:hAnsi="Times New Roman" w:cs="Times New Roman"/>
          <w:sz w:val="24"/>
        </w:rPr>
        <w:t>盈余管理绝对值（</w:t>
      </w:r>
      <w:r>
        <w:rPr>
          <w:rFonts w:ascii="Times New Roman" w:hAnsi="Times New Roman" w:cs="Times New Roman"/>
          <w:sz w:val="24"/>
        </w:rPr>
        <w:t>REM_abs</w:t>
      </w:r>
      <w:r>
        <w:rPr>
          <w:rFonts w:hint="eastAsia" w:ascii="Times New Roman" w:hAnsi="Times New Roman" w:cs="Times New Roman"/>
          <w:sz w:val="24"/>
        </w:rPr>
        <w:t>）</w:t>
      </w:r>
      <w:r>
        <w:rPr>
          <w:rFonts w:ascii="Times New Roman" w:hAnsi="Times New Roman" w:cs="Times New Roman"/>
          <w:sz w:val="24"/>
        </w:rPr>
        <w:t>所呈现的相关系数是0.055*，表明公司第一大股东持股比例跟真实盈余管理之间存在较弱的正相关关系，但这种关系的统计显著性相对较低。</w:t>
      </w:r>
      <w:r>
        <w:rPr>
          <w:rFonts w:hint="eastAsia" w:ascii="Times New Roman" w:hAnsi="Times New Roman" w:cs="Times New Roman"/>
          <w:sz w:val="24"/>
        </w:rPr>
        <w:t>审计费用（</w:t>
      </w:r>
      <w:r>
        <w:rPr>
          <w:rFonts w:ascii="Times New Roman" w:hAnsi="Times New Roman" w:cs="Times New Roman"/>
          <w:sz w:val="24"/>
        </w:rPr>
        <w:t>ln_AudFee</w:t>
      </w:r>
      <w:r>
        <w:rPr>
          <w:rFonts w:hint="eastAsia" w:ascii="Times New Roman" w:hAnsi="Times New Roman" w:cs="Times New Roman"/>
          <w:sz w:val="24"/>
        </w:rPr>
        <w:t>）</w:t>
      </w:r>
      <w:r>
        <w:rPr>
          <w:rFonts w:ascii="Times New Roman" w:hAnsi="Times New Roman" w:cs="Times New Roman"/>
          <w:sz w:val="24"/>
        </w:rPr>
        <w:t>与</w:t>
      </w:r>
      <w:r>
        <w:rPr>
          <w:rFonts w:hint="eastAsia" w:ascii="Times New Roman" w:hAnsi="Times New Roman" w:cs="Times New Roman"/>
          <w:sz w:val="24"/>
        </w:rPr>
        <w:t>内部控制质量（</w:t>
      </w:r>
      <w:r>
        <w:rPr>
          <w:rFonts w:ascii="Times New Roman" w:hAnsi="Times New Roman" w:cs="Times New Roman"/>
          <w:sz w:val="24"/>
        </w:rPr>
        <w:t>ICQ</w:t>
      </w:r>
      <w:r>
        <w:rPr>
          <w:rFonts w:hint="eastAsia" w:ascii="Times New Roman" w:hAnsi="Times New Roman" w:cs="Times New Roman"/>
          <w:sz w:val="24"/>
        </w:rPr>
        <w:t>）</w:t>
      </w:r>
      <w:r>
        <w:rPr>
          <w:rFonts w:ascii="Times New Roman" w:hAnsi="Times New Roman" w:cs="Times New Roman"/>
          <w:sz w:val="24"/>
        </w:rPr>
        <w:t>的相关性系数达到0.063*，体现审计行为与内控质量之间存在弱正相关关联，而这种关系在统计意义上有一定的显著性。</w:t>
      </w:r>
    </w:p>
    <w:p w14:paraId="524DD550">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r>
        <w:rPr>
          <w:rFonts w:ascii="Times New Roman" w:hAnsi="Times New Roman" w:cs="Times New Roman"/>
          <w:b/>
          <w:bCs/>
          <w:sz w:val="24"/>
        </w:rPr>
        <w:t>（四）回归结果分析</w:t>
      </w:r>
    </w:p>
    <w:p w14:paraId="166A6C6A">
      <w:pPr>
        <w:pStyle w:val="3"/>
        <w:keepNext w:val="0"/>
        <w:keepLines w:val="0"/>
        <w:pageBreakBefore w:val="0"/>
        <w:kinsoku/>
        <w:wordWrap/>
        <w:overflowPunct/>
        <w:topLinePunct w:val="0"/>
        <w:autoSpaceDE/>
        <w:autoSpaceDN/>
        <w:bidi w:val="0"/>
        <w:adjustRightInd/>
        <w:spacing w:line="300" w:lineRule="auto"/>
        <w:ind w:firstLine="480" w:firstLineChars="200"/>
        <w:jc w:val="left"/>
        <w:textAlignment w:val="auto"/>
        <w:rPr>
          <w:rFonts w:ascii="Times New Roman" w:hAnsi="Times New Roman" w:cs="Times New Roman" w:eastAsiaTheme="minorEastAsia"/>
          <w:sz w:val="24"/>
        </w:rPr>
      </w:pPr>
      <w:r>
        <w:rPr>
          <w:rFonts w:ascii="Times New Roman" w:hAnsi="Times New Roman" w:cs="Times New Roman" w:eastAsiaTheme="minorEastAsia"/>
          <w:sz w:val="24"/>
        </w:rPr>
        <w:t>基于前文假设</w:t>
      </w:r>
      <w:r>
        <w:rPr>
          <w:rFonts w:hint="eastAsia" w:ascii="Times New Roman" w:hAnsi="Times New Roman" w:cs="Times New Roman" w:eastAsiaTheme="minorEastAsia"/>
          <w:sz w:val="24"/>
        </w:rPr>
        <w:t>和</w:t>
      </w:r>
      <w:r>
        <w:rPr>
          <w:rFonts w:hint="eastAsia" w:ascii="Times New Roman" w:hAnsi="Times New Roman" w:cs="Times New Roman" w:eastAsiaTheme="minorEastAsia"/>
          <w:sz w:val="24"/>
          <w:lang w:val="en-US" w:eastAsia="zh-CN"/>
        </w:rPr>
        <w:t>研究</w:t>
      </w:r>
      <w:r>
        <w:rPr>
          <w:rFonts w:hint="eastAsia" w:ascii="Times New Roman" w:hAnsi="Times New Roman" w:cs="Times New Roman" w:eastAsiaTheme="minorEastAsia"/>
          <w:sz w:val="24"/>
        </w:rPr>
        <w:t>数据</w:t>
      </w:r>
      <w:r>
        <w:rPr>
          <w:rFonts w:ascii="Times New Roman" w:hAnsi="Times New Roman" w:cs="Times New Roman" w:eastAsiaTheme="minorEastAsia"/>
          <w:sz w:val="24"/>
        </w:rPr>
        <w:t>，本文利用stata</w:t>
      </w:r>
      <w:r>
        <w:rPr>
          <w:rFonts w:hint="eastAsia" w:ascii="Times New Roman" w:hAnsi="Times New Roman" w:cs="Times New Roman" w:eastAsiaTheme="minorEastAsia"/>
          <w:sz w:val="24"/>
        </w:rPr>
        <w:t xml:space="preserve"> 17.0</w:t>
      </w:r>
      <w:r>
        <w:rPr>
          <w:rFonts w:ascii="Times New Roman" w:hAnsi="Times New Roman" w:cs="Times New Roman" w:eastAsiaTheme="minorEastAsia"/>
          <w:sz w:val="24"/>
        </w:rPr>
        <w:t>软件</w:t>
      </w:r>
      <w:r>
        <w:rPr>
          <w:rFonts w:hint="eastAsia" w:ascii="Times New Roman" w:hAnsi="Times New Roman" w:cs="Times New Roman" w:eastAsiaTheme="minorEastAsia"/>
          <w:sz w:val="24"/>
        </w:rPr>
        <w:t>对变量</w:t>
      </w:r>
      <w:r>
        <w:rPr>
          <w:rFonts w:ascii="Times New Roman" w:hAnsi="Times New Roman" w:cs="Times New Roman" w:eastAsiaTheme="minorEastAsia"/>
          <w:sz w:val="24"/>
        </w:rPr>
        <w:t>进行</w:t>
      </w:r>
      <w:r>
        <w:rPr>
          <w:rFonts w:hint="eastAsia" w:ascii="Times New Roman" w:hAnsi="Times New Roman" w:cs="Times New Roman" w:eastAsiaTheme="minorEastAsia"/>
          <w:sz w:val="24"/>
        </w:rPr>
        <w:t>了</w:t>
      </w:r>
      <w:r>
        <w:rPr>
          <w:rFonts w:ascii="Times New Roman" w:hAnsi="Times New Roman" w:cs="Times New Roman" w:eastAsiaTheme="minorEastAsia"/>
          <w:sz w:val="24"/>
        </w:rPr>
        <w:t>回归分析，</w:t>
      </w:r>
      <w:r>
        <w:rPr>
          <w:rFonts w:hint="eastAsia" w:ascii="Times New Roman" w:hAnsi="Times New Roman" w:cs="Times New Roman" w:eastAsiaTheme="minorEastAsia"/>
          <w:sz w:val="24"/>
        </w:rPr>
        <w:t>验证</w:t>
      </w:r>
      <w:r>
        <w:rPr>
          <w:rFonts w:ascii="Times New Roman" w:hAnsi="Times New Roman" w:cs="Times New Roman" w:eastAsiaTheme="minorEastAsia"/>
          <w:sz w:val="24"/>
        </w:rPr>
        <w:t>结果如表</w:t>
      </w:r>
      <w:r>
        <w:rPr>
          <w:rFonts w:hint="eastAsia" w:ascii="Times New Roman" w:hAnsi="Times New Roman" w:cs="Times New Roman" w:eastAsiaTheme="minorEastAsia"/>
          <w:sz w:val="24"/>
        </w:rPr>
        <w:t>5</w:t>
      </w:r>
      <w:r>
        <w:rPr>
          <w:rFonts w:ascii="Times New Roman" w:hAnsi="Times New Roman" w:cs="Times New Roman" w:eastAsiaTheme="minorEastAsia"/>
          <w:sz w:val="24"/>
        </w:rPr>
        <w:t>所示。</w:t>
      </w:r>
    </w:p>
    <w:p w14:paraId="0A13BB3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表</w:t>
      </w:r>
      <w:r>
        <w:rPr>
          <w:rFonts w:ascii="Times New Roman" w:hAnsi="Times New Roman" w:cs="Times New Roman"/>
          <w:b/>
          <w:bCs/>
          <w:szCs w:val="21"/>
        </w:rPr>
        <w:t xml:space="preserve">5 </w:t>
      </w:r>
      <w:r>
        <w:rPr>
          <w:rFonts w:hint="eastAsia" w:ascii="Times New Roman" w:hAnsi="Times New Roman" w:cs="Times New Roman"/>
          <w:b/>
          <w:bCs/>
          <w:szCs w:val="21"/>
        </w:rPr>
        <w:t>主回归结果</w:t>
      </w:r>
    </w:p>
    <w:tbl>
      <w:tblPr>
        <w:tblStyle w:val="10"/>
        <w:tblW w:w="0" w:type="auto"/>
        <w:jc w:val="center"/>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346"/>
        <w:gridCol w:w="2253"/>
        <w:gridCol w:w="1669"/>
        <w:gridCol w:w="2254"/>
      </w:tblGrid>
      <w:tr w14:paraId="0C574E48">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19FF386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变量名称</w:t>
            </w:r>
          </w:p>
        </w:tc>
        <w:tc>
          <w:tcPr>
            <w:tcW w:w="0" w:type="auto"/>
          </w:tcPr>
          <w:p w14:paraId="4087055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(1)</w:t>
            </w:r>
          </w:p>
        </w:tc>
        <w:tc>
          <w:tcPr>
            <w:tcW w:w="0" w:type="auto"/>
          </w:tcPr>
          <w:p w14:paraId="3B26DD4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(2)</w:t>
            </w:r>
          </w:p>
        </w:tc>
        <w:tc>
          <w:tcPr>
            <w:tcW w:w="0" w:type="auto"/>
          </w:tcPr>
          <w:p w14:paraId="5483A8F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(3)</w:t>
            </w:r>
          </w:p>
        </w:tc>
      </w:tr>
      <w:tr w14:paraId="7216581E">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Borders>
              <w:bottom w:val="single" w:color="000000" w:sz="0" w:space="0"/>
            </w:tcBorders>
          </w:tcPr>
          <w:p w14:paraId="377D34D0">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b/>
                <w:bCs/>
                <w:szCs w:val="21"/>
              </w:rPr>
            </w:pPr>
          </w:p>
        </w:tc>
        <w:tc>
          <w:tcPr>
            <w:tcW w:w="0" w:type="auto"/>
            <w:tcBorders>
              <w:bottom w:val="single" w:color="000000" w:sz="0" w:space="0"/>
            </w:tcBorders>
          </w:tcPr>
          <w:p w14:paraId="79B02C4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盈余管理绝对值（</w:t>
            </w:r>
            <w:r>
              <w:rPr>
                <w:rFonts w:ascii="Times New Roman" w:hAnsi="Times New Roman" w:cs="Times New Roman"/>
                <w:b/>
                <w:bCs/>
                <w:szCs w:val="21"/>
              </w:rPr>
              <w:t>REM_abs</w:t>
            </w:r>
            <w:r>
              <w:rPr>
                <w:rFonts w:hint="eastAsia" w:ascii="Times New Roman" w:hAnsi="Times New Roman" w:cs="Times New Roman"/>
                <w:b/>
                <w:bCs/>
                <w:szCs w:val="21"/>
              </w:rPr>
              <w:t>）</w:t>
            </w:r>
          </w:p>
        </w:tc>
        <w:tc>
          <w:tcPr>
            <w:tcW w:w="0" w:type="auto"/>
            <w:tcBorders>
              <w:bottom w:val="single" w:color="000000" w:sz="0" w:space="0"/>
            </w:tcBorders>
          </w:tcPr>
          <w:p w14:paraId="1038F85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内部控制质量（</w:t>
            </w:r>
            <w:r>
              <w:rPr>
                <w:rFonts w:ascii="Times New Roman" w:hAnsi="Times New Roman" w:cs="Times New Roman"/>
                <w:b/>
                <w:bCs/>
                <w:szCs w:val="21"/>
              </w:rPr>
              <w:t>ICQ</w:t>
            </w:r>
            <w:r>
              <w:rPr>
                <w:rFonts w:hint="eastAsia" w:ascii="Times New Roman" w:hAnsi="Times New Roman" w:cs="Times New Roman"/>
                <w:b/>
                <w:bCs/>
                <w:szCs w:val="21"/>
              </w:rPr>
              <w:t>）</w:t>
            </w:r>
          </w:p>
        </w:tc>
        <w:tc>
          <w:tcPr>
            <w:tcW w:w="0" w:type="auto"/>
            <w:tcBorders>
              <w:bottom w:val="single" w:color="000000" w:sz="0" w:space="0"/>
            </w:tcBorders>
          </w:tcPr>
          <w:p w14:paraId="0925123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盈余管理绝对值（</w:t>
            </w:r>
            <w:r>
              <w:rPr>
                <w:rFonts w:ascii="Times New Roman" w:hAnsi="Times New Roman" w:cs="Times New Roman"/>
                <w:b/>
                <w:bCs/>
                <w:szCs w:val="21"/>
              </w:rPr>
              <w:t>REM_abs</w:t>
            </w:r>
            <w:r>
              <w:rPr>
                <w:rFonts w:hint="eastAsia" w:ascii="Times New Roman" w:hAnsi="Times New Roman" w:cs="Times New Roman"/>
                <w:b/>
                <w:bCs/>
                <w:szCs w:val="21"/>
              </w:rPr>
              <w:t>）</w:t>
            </w:r>
          </w:p>
        </w:tc>
      </w:tr>
      <w:tr w14:paraId="0FCF8684">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tcBorders>
              <w:top w:val="single" w:color="000000" w:sz="0" w:space="0"/>
            </w:tcBorders>
            <w:vAlign w:val="center"/>
          </w:tcPr>
          <w:p w14:paraId="566425A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审计费用（</w:t>
            </w:r>
            <w:r>
              <w:rPr>
                <w:rFonts w:ascii="Times New Roman" w:hAnsi="Times New Roman" w:cs="Times New Roman"/>
                <w:szCs w:val="21"/>
              </w:rPr>
              <w:t>ln_AudFee</w:t>
            </w:r>
            <w:r>
              <w:rPr>
                <w:rFonts w:hint="eastAsia" w:ascii="Times New Roman" w:hAnsi="Times New Roman" w:cs="Times New Roman"/>
                <w:szCs w:val="21"/>
              </w:rPr>
              <w:t>）</w:t>
            </w:r>
          </w:p>
        </w:tc>
        <w:tc>
          <w:tcPr>
            <w:tcW w:w="0" w:type="auto"/>
            <w:tcBorders>
              <w:top w:val="single" w:color="000000" w:sz="0" w:space="0"/>
            </w:tcBorders>
          </w:tcPr>
          <w:p w14:paraId="117E7F1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-0.134***</w:t>
            </w:r>
          </w:p>
        </w:tc>
        <w:tc>
          <w:tcPr>
            <w:tcW w:w="0" w:type="auto"/>
            <w:tcBorders>
              <w:top w:val="single" w:color="000000" w:sz="0" w:space="0"/>
            </w:tcBorders>
          </w:tcPr>
          <w:p w14:paraId="62CB494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0.024*</w:t>
            </w:r>
          </w:p>
        </w:tc>
        <w:tc>
          <w:tcPr>
            <w:tcW w:w="0" w:type="auto"/>
            <w:tcBorders>
              <w:top w:val="single" w:color="000000" w:sz="0" w:space="0"/>
            </w:tcBorders>
          </w:tcPr>
          <w:p w14:paraId="2A57C1D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-0.130***</w:t>
            </w:r>
          </w:p>
        </w:tc>
      </w:tr>
      <w:tr w14:paraId="4B06A04A">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7C0F558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55118D7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(-4.437)</w:t>
            </w:r>
          </w:p>
        </w:tc>
        <w:tc>
          <w:tcPr>
            <w:tcW w:w="0" w:type="auto"/>
          </w:tcPr>
          <w:p w14:paraId="63EE23C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(1.744)</w:t>
            </w:r>
          </w:p>
        </w:tc>
        <w:tc>
          <w:tcPr>
            <w:tcW w:w="0" w:type="auto"/>
          </w:tcPr>
          <w:p w14:paraId="25C13F2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(-4.317)</w:t>
            </w:r>
          </w:p>
        </w:tc>
      </w:tr>
      <w:tr w14:paraId="6EAA0265">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05C0A18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资产负债率（</w:t>
            </w:r>
            <w:r>
              <w:rPr>
                <w:rFonts w:ascii="Times New Roman" w:hAnsi="Times New Roman" w:cs="Times New Roman"/>
                <w:szCs w:val="21"/>
              </w:rPr>
              <w:t>Debt</w:t>
            </w:r>
            <w:r>
              <w:rPr>
                <w:rFonts w:hint="eastAsia" w:ascii="Times New Roman" w:hAnsi="Times New Roman" w:cs="Times New Roman"/>
                <w:szCs w:val="21"/>
              </w:rPr>
              <w:t>）</w:t>
            </w:r>
          </w:p>
        </w:tc>
        <w:tc>
          <w:tcPr>
            <w:tcW w:w="0" w:type="auto"/>
          </w:tcPr>
          <w:p w14:paraId="090E24C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0.136</w:t>
            </w:r>
          </w:p>
        </w:tc>
        <w:tc>
          <w:tcPr>
            <w:tcW w:w="0" w:type="auto"/>
          </w:tcPr>
          <w:p w14:paraId="0BD7485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0.023</w:t>
            </w:r>
          </w:p>
        </w:tc>
        <w:tc>
          <w:tcPr>
            <w:tcW w:w="0" w:type="auto"/>
          </w:tcPr>
          <w:p w14:paraId="6D86645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0.140</w:t>
            </w:r>
          </w:p>
        </w:tc>
      </w:tr>
      <w:tr w14:paraId="39C8BA3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76E20BE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464BDD2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w:t>
            </w:r>
            <w:r>
              <w:rPr>
                <w:rFonts w:hint="eastAsia" w:ascii="Times New Roman" w:hAnsi="Times New Roman" w:cs="Times New Roman"/>
                <w:szCs w:val="21"/>
                <w:lang w:eastAsia="zh-CN"/>
              </w:rPr>
              <w:t>(86)</w:t>
            </w:r>
          </w:p>
        </w:tc>
        <w:tc>
          <w:tcPr>
            <w:tcW w:w="0" w:type="auto"/>
          </w:tcPr>
          <w:p w14:paraId="3AC2CCA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(0.514)</w:t>
            </w:r>
          </w:p>
        </w:tc>
        <w:tc>
          <w:tcPr>
            <w:tcW w:w="0" w:type="auto"/>
          </w:tcPr>
          <w:p w14:paraId="676D426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(1.423)</w:t>
            </w:r>
          </w:p>
        </w:tc>
      </w:tr>
      <w:tr w14:paraId="16FED7C4">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2B1A748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资产净利率（</w:t>
            </w:r>
            <w:r>
              <w:rPr>
                <w:rFonts w:ascii="Times New Roman" w:hAnsi="Times New Roman" w:cs="Times New Roman"/>
                <w:szCs w:val="21"/>
              </w:rPr>
              <w:t>Roa</w:t>
            </w:r>
            <w:r>
              <w:rPr>
                <w:rFonts w:hint="eastAsia" w:ascii="Times New Roman" w:hAnsi="Times New Roman" w:cs="Times New Roman"/>
                <w:szCs w:val="21"/>
              </w:rPr>
              <w:t>）</w:t>
            </w:r>
          </w:p>
        </w:tc>
        <w:tc>
          <w:tcPr>
            <w:tcW w:w="0" w:type="auto"/>
          </w:tcPr>
          <w:p w14:paraId="3934D99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0.616**</w:t>
            </w:r>
          </w:p>
        </w:tc>
        <w:tc>
          <w:tcPr>
            <w:tcW w:w="0" w:type="auto"/>
          </w:tcPr>
          <w:p w14:paraId="64510A4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-0.751***</w:t>
            </w:r>
          </w:p>
        </w:tc>
        <w:tc>
          <w:tcPr>
            <w:tcW w:w="0" w:type="auto"/>
          </w:tcPr>
          <w:p w14:paraId="66330CC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0.502*</w:t>
            </w:r>
          </w:p>
        </w:tc>
      </w:tr>
      <w:tr w14:paraId="57E6F989">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Pr>
          <w:p w14:paraId="2ACBAA3E">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Pr>
          <w:p w14:paraId="4EDCD18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w:t>
            </w:r>
            <w:r>
              <w:rPr>
                <w:rFonts w:hint="eastAsia" w:ascii="Times New Roman" w:hAnsi="Times New Roman" w:cs="Times New Roman"/>
                <w:szCs w:val="21"/>
                <w:lang w:eastAsia="zh-CN"/>
              </w:rPr>
              <w:t>(88)</w:t>
            </w:r>
          </w:p>
        </w:tc>
        <w:tc>
          <w:tcPr>
            <w:tcW w:w="0" w:type="auto"/>
          </w:tcPr>
          <w:p w14:paraId="0E67851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(-5.844)</w:t>
            </w:r>
          </w:p>
        </w:tc>
        <w:tc>
          <w:tcPr>
            <w:tcW w:w="0" w:type="auto"/>
          </w:tcPr>
          <w:p w14:paraId="29488C1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(1.753)</w:t>
            </w:r>
          </w:p>
        </w:tc>
      </w:tr>
      <w:tr w14:paraId="7FB8FF7F">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tcPr>
          <w:p w14:paraId="0C00E3C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主营业务收入增长率（</w:t>
            </w:r>
            <w:r>
              <w:rPr>
                <w:rFonts w:ascii="Times New Roman" w:hAnsi="Times New Roman" w:cs="Times New Roman"/>
                <w:szCs w:val="21"/>
              </w:rPr>
              <w:t>Growth</w:t>
            </w:r>
            <w:r>
              <w:rPr>
                <w:rFonts w:hint="eastAsia" w:ascii="Times New Roman" w:hAnsi="Times New Roman" w:cs="Times New Roman"/>
                <w:szCs w:val="21"/>
              </w:rPr>
              <w:t>）</w:t>
            </w:r>
          </w:p>
        </w:tc>
        <w:tc>
          <w:tcPr>
            <w:tcW w:w="0" w:type="auto"/>
          </w:tcPr>
          <w:p w14:paraId="149D609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0.019***</w:t>
            </w:r>
          </w:p>
        </w:tc>
        <w:tc>
          <w:tcPr>
            <w:tcW w:w="0" w:type="auto"/>
          </w:tcPr>
          <w:p w14:paraId="6EA6C34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-0.005**</w:t>
            </w:r>
          </w:p>
        </w:tc>
        <w:tc>
          <w:tcPr>
            <w:tcW w:w="0" w:type="auto"/>
          </w:tcPr>
          <w:p w14:paraId="7C66E8A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0.018***</w:t>
            </w:r>
          </w:p>
        </w:tc>
      </w:tr>
      <w:tr w14:paraId="2784D99C">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Pr>
          <w:p w14:paraId="04C398EE">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Pr>
          <w:p w14:paraId="5715A52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(4.331)</w:t>
            </w:r>
          </w:p>
        </w:tc>
        <w:tc>
          <w:tcPr>
            <w:tcW w:w="0" w:type="auto"/>
          </w:tcPr>
          <w:p w14:paraId="3E7F80F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(-2.466)</w:t>
            </w:r>
          </w:p>
        </w:tc>
        <w:tc>
          <w:tcPr>
            <w:tcW w:w="0" w:type="auto"/>
          </w:tcPr>
          <w:p w14:paraId="110163E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w:t>
            </w:r>
            <w:r>
              <w:rPr>
                <w:rFonts w:hint="eastAsia" w:ascii="Times New Roman" w:hAnsi="Times New Roman" w:cs="Times New Roman"/>
                <w:szCs w:val="21"/>
                <w:lang w:eastAsia="zh-CN"/>
              </w:rPr>
              <w:t>(54)</w:t>
            </w:r>
          </w:p>
        </w:tc>
      </w:tr>
      <w:tr w14:paraId="421DCF2E">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315497D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事务所排名（</w:t>
            </w:r>
            <w:r>
              <w:rPr>
                <w:rFonts w:ascii="Times New Roman" w:hAnsi="Times New Roman" w:cs="Times New Roman"/>
                <w:szCs w:val="21"/>
              </w:rPr>
              <w:t>Rank</w:t>
            </w:r>
            <w:r>
              <w:rPr>
                <w:rFonts w:hint="eastAsia" w:ascii="Times New Roman" w:hAnsi="Times New Roman" w:cs="Times New Roman"/>
                <w:szCs w:val="21"/>
              </w:rPr>
              <w:t>）</w:t>
            </w:r>
          </w:p>
        </w:tc>
        <w:tc>
          <w:tcPr>
            <w:tcW w:w="0" w:type="auto"/>
          </w:tcPr>
          <w:p w14:paraId="6810CBD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-0.023</w:t>
            </w:r>
          </w:p>
        </w:tc>
        <w:tc>
          <w:tcPr>
            <w:tcW w:w="0" w:type="auto"/>
          </w:tcPr>
          <w:p w14:paraId="2049B83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-0.004</w:t>
            </w:r>
          </w:p>
        </w:tc>
        <w:tc>
          <w:tcPr>
            <w:tcW w:w="0" w:type="auto"/>
          </w:tcPr>
          <w:p w14:paraId="5901785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-0.023</w:t>
            </w:r>
          </w:p>
        </w:tc>
      </w:tr>
      <w:tr w14:paraId="661DBCD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35BDCC0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4757604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(-0.812)</w:t>
            </w:r>
          </w:p>
        </w:tc>
        <w:tc>
          <w:tcPr>
            <w:tcW w:w="0" w:type="auto"/>
          </w:tcPr>
          <w:p w14:paraId="67B1FA0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(-0.335)</w:t>
            </w:r>
          </w:p>
        </w:tc>
        <w:tc>
          <w:tcPr>
            <w:tcW w:w="0" w:type="auto"/>
          </w:tcPr>
          <w:p w14:paraId="3950006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(-0.837)</w:t>
            </w:r>
          </w:p>
        </w:tc>
      </w:tr>
      <w:tr w14:paraId="754B201C">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63A9407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持股比例（</w:t>
            </w:r>
            <w:r>
              <w:rPr>
                <w:rFonts w:ascii="Times New Roman" w:hAnsi="Times New Roman" w:cs="Times New Roman"/>
                <w:szCs w:val="21"/>
              </w:rPr>
              <w:t>Top1</w:t>
            </w:r>
            <w:r>
              <w:rPr>
                <w:rFonts w:hint="eastAsia" w:ascii="Times New Roman" w:hAnsi="Times New Roman" w:cs="Times New Roman"/>
                <w:szCs w:val="21"/>
              </w:rPr>
              <w:t>）</w:t>
            </w:r>
          </w:p>
        </w:tc>
        <w:tc>
          <w:tcPr>
            <w:tcW w:w="0" w:type="auto"/>
          </w:tcPr>
          <w:p w14:paraId="3A11C35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0.003**</w:t>
            </w:r>
          </w:p>
        </w:tc>
        <w:tc>
          <w:tcPr>
            <w:tcW w:w="0" w:type="auto"/>
          </w:tcPr>
          <w:p w14:paraId="5CFA647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-0.000</w:t>
            </w:r>
          </w:p>
        </w:tc>
        <w:tc>
          <w:tcPr>
            <w:tcW w:w="0" w:type="auto"/>
          </w:tcPr>
          <w:p w14:paraId="10F3A51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0.003**</w:t>
            </w:r>
          </w:p>
        </w:tc>
      </w:tr>
      <w:tr w14:paraId="7A42ADF1">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297DB1F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22A10C1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w:t>
            </w:r>
            <w:r>
              <w:rPr>
                <w:rFonts w:hint="eastAsia" w:ascii="Times New Roman" w:hAnsi="Times New Roman" w:cs="Times New Roman"/>
                <w:szCs w:val="21"/>
                <w:lang w:eastAsia="zh-CN"/>
              </w:rPr>
              <w:t>(13)</w:t>
            </w:r>
          </w:p>
        </w:tc>
        <w:tc>
          <w:tcPr>
            <w:tcW w:w="0" w:type="auto"/>
          </w:tcPr>
          <w:p w14:paraId="646DC30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(-0.018)</w:t>
            </w:r>
          </w:p>
        </w:tc>
        <w:tc>
          <w:tcPr>
            <w:tcW w:w="0" w:type="auto"/>
          </w:tcPr>
          <w:p w14:paraId="2CAEF94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w:t>
            </w:r>
            <w:r>
              <w:rPr>
                <w:rFonts w:hint="eastAsia" w:ascii="Times New Roman" w:hAnsi="Times New Roman" w:cs="Times New Roman"/>
                <w:szCs w:val="21"/>
                <w:lang w:eastAsia="zh-CN"/>
              </w:rPr>
              <w:t>(15)</w:t>
            </w:r>
          </w:p>
        </w:tc>
      </w:tr>
      <w:tr w14:paraId="2EB8F6A4">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115AFEA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内部控制质量（</w:t>
            </w:r>
            <w:r>
              <w:rPr>
                <w:rFonts w:ascii="Times New Roman" w:hAnsi="Times New Roman" w:cs="Times New Roman"/>
                <w:szCs w:val="21"/>
              </w:rPr>
              <w:t>ICQ</w:t>
            </w:r>
            <w:r>
              <w:rPr>
                <w:rFonts w:hint="eastAsia" w:ascii="Times New Roman" w:hAnsi="Times New Roman" w:cs="Times New Roman"/>
                <w:szCs w:val="21"/>
              </w:rPr>
              <w:t>）</w:t>
            </w:r>
          </w:p>
        </w:tc>
        <w:tc>
          <w:tcPr>
            <w:tcW w:w="0" w:type="auto"/>
          </w:tcPr>
          <w:p w14:paraId="0EE53ADA">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Pr>
          <w:p w14:paraId="07B6F954">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Pr>
          <w:p w14:paraId="60CCFBE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-0.151**</w:t>
            </w:r>
          </w:p>
        </w:tc>
      </w:tr>
      <w:tr w14:paraId="00B0BFEE">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697D4B1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5A214140">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Pr>
          <w:p w14:paraId="480F5445">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Pr>
          <w:p w14:paraId="35A7FA5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(-2.002)</w:t>
            </w:r>
          </w:p>
        </w:tc>
      </w:tr>
      <w:tr w14:paraId="1F47DC0D">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1CB632C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cons</w:t>
            </w:r>
          </w:p>
        </w:tc>
        <w:tc>
          <w:tcPr>
            <w:tcW w:w="0" w:type="auto"/>
          </w:tcPr>
          <w:p w14:paraId="3FCF773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1.886***</w:t>
            </w:r>
          </w:p>
        </w:tc>
        <w:tc>
          <w:tcPr>
            <w:tcW w:w="0" w:type="auto"/>
          </w:tcPr>
          <w:p w14:paraId="2DF7898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-0.328*</w:t>
            </w:r>
          </w:p>
        </w:tc>
        <w:tc>
          <w:tcPr>
            <w:tcW w:w="0" w:type="auto"/>
          </w:tcPr>
          <w:p w14:paraId="260B962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1.837***</w:t>
            </w:r>
          </w:p>
        </w:tc>
      </w:tr>
      <w:tr w14:paraId="1A316B9D">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Borders>
              <w:bottom w:val="single" w:color="000000" w:sz="0" w:space="0"/>
            </w:tcBorders>
          </w:tcPr>
          <w:p w14:paraId="5C9BECC3">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Borders>
              <w:bottom w:val="single" w:color="000000" w:sz="0" w:space="0"/>
            </w:tcBorders>
          </w:tcPr>
          <w:p w14:paraId="68A6A90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w:t>
            </w:r>
            <w:r>
              <w:rPr>
                <w:rFonts w:hint="eastAsia" w:ascii="Times New Roman" w:hAnsi="Times New Roman" w:cs="Times New Roman"/>
                <w:szCs w:val="21"/>
                <w:lang w:eastAsia="zh-CN"/>
              </w:rPr>
              <w:t>(53)</w:t>
            </w:r>
          </w:p>
        </w:tc>
        <w:tc>
          <w:tcPr>
            <w:tcW w:w="0" w:type="auto"/>
            <w:tcBorders>
              <w:bottom w:val="single" w:color="000000" w:sz="0" w:space="0"/>
            </w:tcBorders>
          </w:tcPr>
          <w:p w14:paraId="5FD7E5A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(-1.658)</w:t>
            </w:r>
          </w:p>
        </w:tc>
        <w:tc>
          <w:tcPr>
            <w:tcW w:w="0" w:type="auto"/>
            <w:tcBorders>
              <w:bottom w:val="single" w:color="000000" w:sz="0" w:space="0"/>
            </w:tcBorders>
          </w:tcPr>
          <w:p w14:paraId="4FB1288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w:t>
            </w:r>
            <w:r>
              <w:rPr>
                <w:rFonts w:hint="eastAsia" w:ascii="Times New Roman" w:hAnsi="Times New Roman" w:cs="Times New Roman"/>
                <w:szCs w:val="21"/>
                <w:lang w:eastAsia="zh-CN"/>
              </w:rPr>
              <w:t>(39)</w:t>
            </w:r>
          </w:p>
        </w:tc>
      </w:tr>
      <w:tr w14:paraId="2F9C2605">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top w:val="single" w:color="000000" w:sz="0" w:space="0"/>
            </w:tcBorders>
          </w:tcPr>
          <w:p w14:paraId="67353D4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N</w:t>
            </w:r>
          </w:p>
        </w:tc>
        <w:tc>
          <w:tcPr>
            <w:tcW w:w="0" w:type="auto"/>
            <w:tcBorders>
              <w:top w:val="single" w:color="000000" w:sz="0" w:space="0"/>
            </w:tcBorders>
          </w:tcPr>
          <w:p w14:paraId="7C1FD24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single" w:color="000000" w:sz="0" w:space="0"/>
            </w:tcBorders>
          </w:tcPr>
          <w:p w14:paraId="5D773B0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947</w:t>
            </w:r>
          </w:p>
        </w:tc>
        <w:tc>
          <w:tcPr>
            <w:tcW w:w="0" w:type="auto"/>
            <w:tcBorders>
              <w:top w:val="single" w:color="000000" w:sz="0" w:space="0"/>
            </w:tcBorders>
          </w:tcPr>
          <w:p w14:paraId="19B8003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947</w:t>
            </w:r>
          </w:p>
        </w:tc>
      </w:tr>
      <w:tr w14:paraId="4D7490A3">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Pr>
          <w:p w14:paraId="55A3F3A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R</w:t>
            </w:r>
            <w:r>
              <w:rPr>
                <w:rFonts w:ascii="Times New Roman" w:hAnsi="Times New Roman" w:cs="Times New Roman"/>
                <w:szCs w:val="21"/>
                <w:vertAlign w:val="superscript"/>
              </w:rPr>
              <w:t>2</w:t>
            </w:r>
          </w:p>
        </w:tc>
        <w:tc>
          <w:tcPr>
            <w:tcW w:w="0" w:type="auto"/>
          </w:tcPr>
          <w:p w14:paraId="5907758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0.065</w:t>
            </w:r>
          </w:p>
        </w:tc>
        <w:tc>
          <w:tcPr>
            <w:tcW w:w="0" w:type="auto"/>
          </w:tcPr>
          <w:p w14:paraId="6040C42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0.067</w:t>
            </w:r>
          </w:p>
        </w:tc>
        <w:tc>
          <w:tcPr>
            <w:tcW w:w="0" w:type="auto"/>
          </w:tcPr>
          <w:p w14:paraId="4EE9D83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0.069</w:t>
            </w:r>
          </w:p>
        </w:tc>
      </w:tr>
      <w:tr w14:paraId="070255E6">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bottom w:val="single" w:color="000000" w:sz="0" w:space="0"/>
            </w:tcBorders>
          </w:tcPr>
          <w:p w14:paraId="37ED17A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F</w:t>
            </w:r>
          </w:p>
        </w:tc>
        <w:tc>
          <w:tcPr>
            <w:tcW w:w="0" w:type="auto"/>
            <w:tcBorders>
              <w:bottom w:val="single" w:color="000000" w:sz="0" w:space="0"/>
            </w:tcBorders>
          </w:tcPr>
          <w:p w14:paraId="188398E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9.658</w:t>
            </w:r>
          </w:p>
        </w:tc>
        <w:tc>
          <w:tcPr>
            <w:tcW w:w="0" w:type="auto"/>
            <w:tcBorders>
              <w:bottom w:val="single" w:color="000000" w:sz="0" w:space="0"/>
            </w:tcBorders>
          </w:tcPr>
          <w:p w14:paraId="1D4D26A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10.088</w:t>
            </w:r>
          </w:p>
        </w:tc>
        <w:tc>
          <w:tcPr>
            <w:tcW w:w="0" w:type="auto"/>
            <w:tcBorders>
              <w:bottom w:val="single" w:color="000000" w:sz="0" w:space="0"/>
            </w:tcBorders>
          </w:tcPr>
          <w:p w14:paraId="23C90D5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8.881</w:t>
            </w:r>
          </w:p>
        </w:tc>
      </w:tr>
      <w:tr w14:paraId="0574971D">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gridSpan w:val="4"/>
            <w:tcBorders>
              <w:top w:val="single" w:color="000000" w:sz="0" w:space="0"/>
              <w:left w:val="nil"/>
              <w:bottom w:val="nil"/>
              <w:right w:val="nil"/>
            </w:tcBorders>
          </w:tcPr>
          <w:p w14:paraId="1613998C">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r>
              <w:rPr>
                <w:rFonts w:ascii="Times New Roman" w:hAnsi="Times New Roman" w:cs="Times New Roman"/>
                <w:szCs w:val="21"/>
              </w:rPr>
              <w:t>***p&lt;0.01,**p&lt;0.05,*p&lt;0.10</w:t>
            </w:r>
          </w:p>
        </w:tc>
      </w:tr>
    </w:tbl>
    <w:p w14:paraId="20A5D687">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在表</w:t>
      </w:r>
      <w:r>
        <w:rPr>
          <w:rFonts w:hint="eastAsia" w:ascii="Times New Roman" w:hAnsi="Times New Roman" w:cs="Times New Roman"/>
          <w:sz w:val="24"/>
        </w:rPr>
        <w:t>5</w:t>
      </w:r>
      <w:r>
        <w:rPr>
          <w:rFonts w:ascii="Times New Roman" w:hAnsi="Times New Roman" w:cs="Times New Roman"/>
          <w:sz w:val="24"/>
        </w:rPr>
        <w:t>模型</w:t>
      </w:r>
      <w:r>
        <w:rPr>
          <w:rFonts w:hint="eastAsia" w:ascii="Times New Roman" w:hAnsi="Times New Roman" w:cs="Times New Roman"/>
          <w:sz w:val="24"/>
        </w:rPr>
        <w:t>列</w:t>
      </w:r>
      <w:r>
        <w:rPr>
          <w:rFonts w:ascii="Times New Roman" w:hAnsi="Times New Roman" w:cs="Times New Roman"/>
          <w:sz w:val="24"/>
        </w:rPr>
        <w:t>（1）中，自变量采用审计收费对数，因变量以真实盈余管理绝对值为准，回归分析后系数为-0.134，且显著性水平表明p&lt;1%，表明审计收费对数和真实盈余管理绝对值有显著负相关现象。假设1得到支持。</w:t>
      </w:r>
    </w:p>
    <w:p w14:paraId="2B0A80EE">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在表</w:t>
      </w:r>
      <w:r>
        <w:rPr>
          <w:rFonts w:hint="eastAsia" w:ascii="Times New Roman" w:hAnsi="Times New Roman" w:cs="Times New Roman"/>
          <w:sz w:val="24"/>
        </w:rPr>
        <w:t>5</w:t>
      </w:r>
      <w:r>
        <w:rPr>
          <w:rFonts w:ascii="Times New Roman" w:hAnsi="Times New Roman" w:cs="Times New Roman"/>
          <w:sz w:val="24"/>
        </w:rPr>
        <w:t>模型</w:t>
      </w:r>
      <w:r>
        <w:rPr>
          <w:rFonts w:hint="eastAsia" w:ascii="Times New Roman" w:hAnsi="Times New Roman" w:cs="Times New Roman"/>
          <w:sz w:val="24"/>
        </w:rPr>
        <w:t>列</w:t>
      </w:r>
      <w:r>
        <w:rPr>
          <w:rFonts w:ascii="Times New Roman" w:hAnsi="Times New Roman" w:cs="Times New Roman"/>
          <w:sz w:val="24"/>
        </w:rPr>
        <w:t>（2）中，自变量采用审计收费对数，因变量采用</w:t>
      </w:r>
      <w:r>
        <w:rPr>
          <w:rFonts w:hint="eastAsia" w:ascii="Times New Roman" w:hAnsi="Times New Roman" w:cs="Times New Roman"/>
          <w:sz w:val="24"/>
        </w:rPr>
        <w:t>企业内控</w:t>
      </w:r>
      <w:r>
        <w:rPr>
          <w:rFonts w:ascii="Times New Roman" w:hAnsi="Times New Roman" w:cs="Times New Roman"/>
          <w:sz w:val="24"/>
        </w:rPr>
        <w:t>质量，回归分析得出系数为0.024，且显著性水平呈现出p &lt; 10%，表明审计收费对数与内控质量之间存在显著正相关。假设2得到支持。</w:t>
      </w:r>
    </w:p>
    <w:p w14:paraId="0CE1B29C">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在表</w:t>
      </w:r>
      <w:r>
        <w:rPr>
          <w:rFonts w:hint="eastAsia" w:ascii="Times New Roman" w:hAnsi="Times New Roman" w:cs="Times New Roman"/>
          <w:sz w:val="24"/>
        </w:rPr>
        <w:t>5</w:t>
      </w:r>
      <w:r>
        <w:rPr>
          <w:rFonts w:ascii="Times New Roman" w:hAnsi="Times New Roman" w:cs="Times New Roman"/>
          <w:sz w:val="24"/>
        </w:rPr>
        <w:t>模型</w:t>
      </w:r>
      <w:r>
        <w:rPr>
          <w:rFonts w:hint="eastAsia" w:ascii="Times New Roman" w:hAnsi="Times New Roman" w:cs="Times New Roman"/>
          <w:sz w:val="24"/>
        </w:rPr>
        <w:t>列</w:t>
      </w:r>
      <w:r>
        <w:rPr>
          <w:rFonts w:ascii="Times New Roman" w:hAnsi="Times New Roman" w:cs="Times New Roman"/>
          <w:sz w:val="24"/>
        </w:rPr>
        <w:t>（3）中，自变量为审计收费对数与内控质量，因变量是真实盈余管理绝对值，ln_AudFee的回归系数为</w:t>
      </w:r>
      <w:r>
        <w:rPr>
          <w:rFonts w:hint="eastAsia" w:ascii="Times New Roman" w:hAnsi="Times New Roman" w:cs="Times New Roman"/>
          <w:sz w:val="24"/>
        </w:rPr>
        <w:t>-</w:t>
      </w:r>
      <w:r>
        <w:rPr>
          <w:rFonts w:ascii="Times New Roman" w:hAnsi="Times New Roman" w:cs="Times New Roman"/>
          <w:sz w:val="24"/>
        </w:rPr>
        <w:t>0.130，且显著性水平显示p&lt;1%，说明</w:t>
      </w:r>
      <w:r>
        <w:rPr>
          <w:rFonts w:hint="eastAsia" w:ascii="Times New Roman" w:hAnsi="Times New Roman" w:cs="Times New Roman"/>
          <w:sz w:val="24"/>
        </w:rPr>
        <w:t>提升</w:t>
      </w:r>
      <w:r>
        <w:rPr>
          <w:rFonts w:ascii="Times New Roman" w:hAnsi="Times New Roman" w:cs="Times New Roman"/>
          <w:sz w:val="24"/>
        </w:rPr>
        <w:t>内控质量后，审计收费的对数和真实盈余管理绝对值</w:t>
      </w:r>
      <w:r>
        <w:rPr>
          <w:rFonts w:hint="eastAsia" w:ascii="Times New Roman" w:hAnsi="Times New Roman" w:cs="Times New Roman"/>
          <w:sz w:val="24"/>
        </w:rPr>
        <w:t>呈</w:t>
      </w:r>
      <w:r>
        <w:rPr>
          <w:rFonts w:ascii="Times New Roman" w:hAnsi="Times New Roman" w:cs="Times New Roman"/>
          <w:sz w:val="24"/>
        </w:rPr>
        <w:t>显著负相关。</w:t>
      </w:r>
      <w:r>
        <w:rPr>
          <w:rFonts w:hint="eastAsia" w:ascii="Times New Roman" w:hAnsi="Times New Roman" w:cs="Times New Roman"/>
          <w:sz w:val="24"/>
        </w:rPr>
        <w:t>另外，</w:t>
      </w:r>
      <w:r>
        <w:rPr>
          <w:rFonts w:ascii="Times New Roman" w:hAnsi="Times New Roman" w:cs="Times New Roman"/>
          <w:sz w:val="24"/>
        </w:rPr>
        <w:t>ICQ的回归系数为-0.151，而且显著水平呈现p&lt;5%，体现出内控质量与真实盈余管理绝对值显著负相关。假设3得到支持。</w:t>
      </w:r>
    </w:p>
    <w:p w14:paraId="0B844B56">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r>
        <w:rPr>
          <w:rFonts w:ascii="Times New Roman" w:hAnsi="Times New Roman" w:cs="Times New Roman"/>
          <w:b/>
          <w:bCs/>
          <w:sz w:val="24"/>
        </w:rPr>
        <w:t>（五）稳健性检验</w:t>
      </w:r>
    </w:p>
    <w:p w14:paraId="272BD4DA">
      <w:pPr>
        <w:keepNext w:val="0"/>
        <w:keepLines w:val="0"/>
        <w:pageBreakBefore w:val="0"/>
        <w:kinsoku/>
        <w:wordWrap/>
        <w:overflowPunct/>
        <w:topLinePunct w:val="0"/>
        <w:autoSpaceDE/>
        <w:autoSpaceDN/>
        <w:bidi w:val="0"/>
        <w:adjustRightInd/>
        <w:spacing w:line="300" w:lineRule="auto"/>
        <w:ind w:firstLine="420"/>
        <w:textAlignment w:val="auto"/>
        <w:outlineLvl w:val="2"/>
        <w:rPr>
          <w:rFonts w:ascii="Times New Roman" w:hAnsi="Times New Roman" w:cs="Times New Roman"/>
          <w:b/>
          <w:bCs/>
          <w:sz w:val="24"/>
        </w:rPr>
      </w:pPr>
      <w:r>
        <w:rPr>
          <w:rFonts w:ascii="Times New Roman" w:hAnsi="Times New Roman" w:cs="Times New Roman"/>
          <w:b/>
          <w:bCs/>
          <w:sz w:val="24"/>
        </w:rPr>
        <w:t>1.滞后效应</w:t>
      </w:r>
    </w:p>
    <w:p w14:paraId="41F7B871">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运用滞后效应方法，对被解释变量审计质量进行滞后一期操作，从而分析各变量之间关系的动态变化及持久性（杨晓梅，2022）</w:t>
      </w:r>
      <w:r>
        <w:rPr>
          <w:rStyle w:val="12"/>
          <w:rFonts w:ascii="Times New Roman" w:hAnsi="Times New Roman" w:cs="Times New Roman"/>
          <w:sz w:val="24"/>
        </w:rPr>
        <w:t>[</w:t>
      </w:r>
      <w:r>
        <w:rPr>
          <w:rStyle w:val="12"/>
          <w:rFonts w:ascii="Times New Roman" w:hAnsi="Times New Roman" w:cs="Times New Roman"/>
          <w:sz w:val="24"/>
        </w:rPr>
        <w:endnoteReference w:id="30"/>
      </w:r>
      <w:r>
        <w:rPr>
          <w:rStyle w:val="12"/>
          <w:rFonts w:ascii="Times New Roman" w:hAnsi="Times New Roman" w:cs="Times New Roman"/>
          <w:sz w:val="24"/>
        </w:rPr>
        <w:t>]</w:t>
      </w:r>
      <w:r>
        <w:rPr>
          <w:rFonts w:ascii="Times New Roman" w:hAnsi="Times New Roman" w:cs="Times New Roman"/>
          <w:sz w:val="24"/>
        </w:rPr>
        <w:t>。在实施滞后效应检验期间，</w:t>
      </w:r>
      <w:r>
        <w:rPr>
          <w:rFonts w:hint="eastAsia" w:ascii="Times New Roman" w:hAnsi="Times New Roman" w:cs="Times New Roman"/>
          <w:sz w:val="24"/>
        </w:rPr>
        <w:t>本文将</w:t>
      </w:r>
      <w:r>
        <w:rPr>
          <w:rFonts w:ascii="Times New Roman" w:hAnsi="Times New Roman" w:cs="Times New Roman"/>
          <w:sz w:val="24"/>
        </w:rPr>
        <w:t>真实盈余管理绝对值滞后</w:t>
      </w:r>
      <w:r>
        <w:rPr>
          <w:rFonts w:hint="eastAsia" w:ascii="Times New Roman" w:hAnsi="Times New Roman" w:cs="Times New Roman"/>
          <w:sz w:val="24"/>
        </w:rPr>
        <w:t>两</w:t>
      </w:r>
      <w:r>
        <w:rPr>
          <w:rFonts w:ascii="Times New Roman" w:hAnsi="Times New Roman" w:cs="Times New Roman"/>
          <w:sz w:val="24"/>
        </w:rPr>
        <w:t>期来处理，分别称作L.REM_abs和L2.REM_abs，作为新采用的被解释变量，重新进行回归分析，结果如表</w:t>
      </w:r>
      <w:r>
        <w:rPr>
          <w:rFonts w:hint="eastAsia" w:ascii="Times New Roman" w:hAnsi="Times New Roman" w:cs="Times New Roman"/>
          <w:sz w:val="24"/>
        </w:rPr>
        <w:t>6</w:t>
      </w:r>
      <w:r>
        <w:rPr>
          <w:rFonts w:ascii="Times New Roman" w:hAnsi="Times New Roman" w:cs="Times New Roman"/>
          <w:sz w:val="24"/>
        </w:rPr>
        <w:t>所示。</w:t>
      </w:r>
    </w:p>
    <w:p w14:paraId="3611F5E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 w:val="24"/>
        </w:rPr>
      </w:pPr>
      <w:r>
        <w:rPr>
          <w:rFonts w:hint="eastAsia" w:ascii="Times New Roman" w:hAnsi="Times New Roman" w:cs="Times New Roman"/>
          <w:b/>
          <w:bCs/>
          <w:sz w:val="24"/>
        </w:rPr>
        <w:t>表6</w:t>
      </w:r>
      <w:r>
        <w:rPr>
          <w:rFonts w:ascii="Times New Roman" w:hAnsi="Times New Roman" w:cs="Times New Roman"/>
          <w:b/>
          <w:bCs/>
          <w:sz w:val="24"/>
        </w:rPr>
        <w:t xml:space="preserve"> </w:t>
      </w:r>
      <w:r>
        <w:rPr>
          <w:rFonts w:hint="eastAsia" w:ascii="Times New Roman" w:hAnsi="Times New Roman" w:cs="Times New Roman"/>
          <w:b/>
          <w:bCs/>
          <w:sz w:val="24"/>
        </w:rPr>
        <w:t>稳健性检验——滞后效应</w:t>
      </w:r>
    </w:p>
    <w:tbl>
      <w:tblPr>
        <w:tblStyle w:val="10"/>
        <w:tblW w:w="0" w:type="auto"/>
        <w:jc w:val="center"/>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42"/>
        <w:gridCol w:w="1972"/>
        <w:gridCol w:w="2280"/>
        <w:gridCol w:w="2228"/>
      </w:tblGrid>
      <w:tr w14:paraId="4A3861EB">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1F8E5CE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变量名称</w:t>
            </w:r>
          </w:p>
        </w:tc>
        <w:tc>
          <w:tcPr>
            <w:tcW w:w="0" w:type="auto"/>
          </w:tcPr>
          <w:p w14:paraId="35C33BA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(1)</w:t>
            </w:r>
          </w:p>
        </w:tc>
        <w:tc>
          <w:tcPr>
            <w:tcW w:w="2280" w:type="dxa"/>
          </w:tcPr>
          <w:p w14:paraId="4A06633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(2)</w:t>
            </w:r>
          </w:p>
        </w:tc>
        <w:tc>
          <w:tcPr>
            <w:tcW w:w="2228" w:type="dxa"/>
          </w:tcPr>
          <w:p w14:paraId="4906808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ascii="Times New Roman" w:hAnsi="Times New Roman" w:cs="Times New Roman"/>
                <w:b/>
                <w:bCs/>
                <w:szCs w:val="21"/>
              </w:rPr>
              <w:t>（3）</w:t>
            </w:r>
          </w:p>
        </w:tc>
      </w:tr>
      <w:tr w14:paraId="2DECA9BB">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Borders>
              <w:bottom w:val="single" w:color="000000" w:sz="0" w:space="0"/>
            </w:tcBorders>
          </w:tcPr>
          <w:p w14:paraId="01B2B24D">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b/>
                <w:bCs/>
                <w:szCs w:val="21"/>
              </w:rPr>
            </w:pPr>
          </w:p>
        </w:tc>
        <w:tc>
          <w:tcPr>
            <w:tcW w:w="0" w:type="auto"/>
            <w:tcBorders>
              <w:bottom w:val="single" w:color="000000" w:sz="0" w:space="0"/>
            </w:tcBorders>
          </w:tcPr>
          <w:p w14:paraId="41AEAFA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盈余管理绝对值（</w:t>
            </w:r>
            <w:r>
              <w:rPr>
                <w:rFonts w:ascii="Times New Roman" w:hAnsi="Times New Roman" w:cs="Times New Roman"/>
                <w:b/>
                <w:bCs/>
                <w:szCs w:val="21"/>
              </w:rPr>
              <w:t>REM_abs</w:t>
            </w:r>
            <w:r>
              <w:rPr>
                <w:rFonts w:hint="eastAsia" w:ascii="Times New Roman" w:hAnsi="Times New Roman" w:cs="Times New Roman"/>
                <w:b/>
                <w:bCs/>
                <w:szCs w:val="21"/>
              </w:rPr>
              <w:t>）</w:t>
            </w:r>
          </w:p>
        </w:tc>
        <w:tc>
          <w:tcPr>
            <w:tcW w:w="2280" w:type="dxa"/>
            <w:tcBorders>
              <w:bottom w:val="single" w:color="000000" w:sz="0" w:space="0"/>
            </w:tcBorders>
          </w:tcPr>
          <w:p w14:paraId="266CF8B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盈余管理绝对值滞后一期（</w:t>
            </w:r>
            <w:r>
              <w:rPr>
                <w:rFonts w:ascii="Times New Roman" w:hAnsi="Times New Roman" w:cs="Times New Roman"/>
                <w:b/>
                <w:bCs/>
                <w:szCs w:val="21"/>
              </w:rPr>
              <w:t>L.REM_abs</w:t>
            </w:r>
            <w:r>
              <w:rPr>
                <w:rFonts w:hint="eastAsia" w:ascii="Times New Roman" w:hAnsi="Times New Roman" w:cs="Times New Roman"/>
                <w:b/>
                <w:bCs/>
                <w:szCs w:val="21"/>
              </w:rPr>
              <w:t>）</w:t>
            </w:r>
          </w:p>
        </w:tc>
        <w:tc>
          <w:tcPr>
            <w:tcW w:w="2228" w:type="dxa"/>
            <w:tcBorders>
              <w:bottom w:val="single" w:color="000000" w:sz="0" w:space="0"/>
            </w:tcBorders>
          </w:tcPr>
          <w:p w14:paraId="64420A2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盈余管理绝对值滞后二期（</w:t>
            </w:r>
            <w:r>
              <w:rPr>
                <w:rFonts w:ascii="Times New Roman" w:hAnsi="Times New Roman" w:cs="Times New Roman"/>
                <w:b/>
                <w:bCs/>
                <w:szCs w:val="21"/>
              </w:rPr>
              <w:t>L2.REM_abs</w:t>
            </w:r>
            <w:r>
              <w:rPr>
                <w:rFonts w:hint="eastAsia" w:ascii="Times New Roman" w:hAnsi="Times New Roman" w:cs="Times New Roman"/>
                <w:b/>
                <w:bCs/>
                <w:szCs w:val="21"/>
              </w:rPr>
              <w:t>）</w:t>
            </w:r>
          </w:p>
        </w:tc>
      </w:tr>
      <w:tr w14:paraId="30B90FB0">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tcBorders>
              <w:top w:val="single" w:color="000000" w:sz="0" w:space="0"/>
            </w:tcBorders>
            <w:vAlign w:val="center"/>
          </w:tcPr>
          <w:p w14:paraId="3E9C8CD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审计费用（</w:t>
            </w:r>
            <w:r>
              <w:rPr>
                <w:rFonts w:ascii="Times New Roman" w:hAnsi="Times New Roman" w:cs="Times New Roman"/>
                <w:szCs w:val="21"/>
              </w:rPr>
              <w:t>ln_AudFee</w:t>
            </w:r>
            <w:r>
              <w:rPr>
                <w:rFonts w:hint="eastAsia" w:ascii="Times New Roman" w:hAnsi="Times New Roman" w:cs="Times New Roman"/>
                <w:szCs w:val="21"/>
              </w:rPr>
              <w:t>）</w:t>
            </w:r>
          </w:p>
        </w:tc>
        <w:tc>
          <w:tcPr>
            <w:tcW w:w="0" w:type="auto"/>
            <w:tcBorders>
              <w:top w:val="single" w:color="000000" w:sz="0" w:space="0"/>
            </w:tcBorders>
          </w:tcPr>
          <w:p w14:paraId="380B734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-0.134***</w:t>
            </w:r>
          </w:p>
        </w:tc>
        <w:tc>
          <w:tcPr>
            <w:tcW w:w="2280" w:type="dxa"/>
            <w:tcBorders>
              <w:top w:val="single" w:color="000000" w:sz="0" w:space="0"/>
            </w:tcBorders>
          </w:tcPr>
          <w:p w14:paraId="1A29BCD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-0.111***</w:t>
            </w:r>
          </w:p>
        </w:tc>
        <w:tc>
          <w:tcPr>
            <w:tcW w:w="2228" w:type="dxa"/>
            <w:tcBorders>
              <w:top w:val="single" w:color="000000" w:sz="0" w:space="0"/>
            </w:tcBorders>
          </w:tcPr>
          <w:p w14:paraId="2958ED4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-0.141***</w:t>
            </w:r>
          </w:p>
        </w:tc>
      </w:tr>
      <w:tr w14:paraId="617224BA">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671FD63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5BEA0E4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(-4.437)</w:t>
            </w:r>
          </w:p>
        </w:tc>
        <w:tc>
          <w:tcPr>
            <w:tcW w:w="2280" w:type="dxa"/>
          </w:tcPr>
          <w:p w14:paraId="604B075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(-2.641)</w:t>
            </w:r>
          </w:p>
        </w:tc>
        <w:tc>
          <w:tcPr>
            <w:tcW w:w="2228" w:type="dxa"/>
          </w:tcPr>
          <w:p w14:paraId="0A9F40E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(-2.595)</w:t>
            </w:r>
          </w:p>
        </w:tc>
      </w:tr>
      <w:tr w14:paraId="77AC889E">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6DF1A4F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资产负债率（</w:t>
            </w:r>
            <w:r>
              <w:rPr>
                <w:rFonts w:ascii="Times New Roman" w:hAnsi="Times New Roman" w:cs="Times New Roman"/>
                <w:szCs w:val="21"/>
              </w:rPr>
              <w:t>Debt</w:t>
            </w:r>
            <w:r>
              <w:rPr>
                <w:rFonts w:hint="eastAsia" w:ascii="Times New Roman" w:hAnsi="Times New Roman" w:cs="Times New Roman"/>
                <w:szCs w:val="21"/>
              </w:rPr>
              <w:t>）</w:t>
            </w:r>
          </w:p>
        </w:tc>
        <w:tc>
          <w:tcPr>
            <w:tcW w:w="0" w:type="auto"/>
          </w:tcPr>
          <w:p w14:paraId="2FEA29E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0.136</w:t>
            </w:r>
          </w:p>
        </w:tc>
        <w:tc>
          <w:tcPr>
            <w:tcW w:w="2280" w:type="dxa"/>
          </w:tcPr>
          <w:p w14:paraId="4AB2792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0.133</w:t>
            </w:r>
          </w:p>
        </w:tc>
        <w:tc>
          <w:tcPr>
            <w:tcW w:w="2228" w:type="dxa"/>
          </w:tcPr>
          <w:p w14:paraId="1D9F253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0.255*</w:t>
            </w:r>
          </w:p>
        </w:tc>
      </w:tr>
      <w:tr w14:paraId="550A3345">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69F63FA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713E49B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(1.386)</w:t>
            </w:r>
          </w:p>
        </w:tc>
        <w:tc>
          <w:tcPr>
            <w:tcW w:w="2280" w:type="dxa"/>
          </w:tcPr>
          <w:p w14:paraId="3BE9E76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(1.112)</w:t>
            </w:r>
          </w:p>
        </w:tc>
        <w:tc>
          <w:tcPr>
            <w:tcW w:w="2228" w:type="dxa"/>
          </w:tcPr>
          <w:p w14:paraId="2D4BFB3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(1.808)</w:t>
            </w:r>
          </w:p>
        </w:tc>
      </w:tr>
      <w:tr w14:paraId="36D5F43E">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7C7763D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资产净利率（</w:t>
            </w:r>
            <w:r>
              <w:rPr>
                <w:rFonts w:ascii="Times New Roman" w:hAnsi="Times New Roman" w:cs="Times New Roman"/>
                <w:szCs w:val="21"/>
              </w:rPr>
              <w:t>Roa</w:t>
            </w:r>
            <w:r>
              <w:rPr>
                <w:rFonts w:hint="eastAsia" w:ascii="Times New Roman" w:hAnsi="Times New Roman" w:cs="Times New Roman"/>
                <w:szCs w:val="21"/>
              </w:rPr>
              <w:t>）</w:t>
            </w:r>
          </w:p>
        </w:tc>
        <w:tc>
          <w:tcPr>
            <w:tcW w:w="0" w:type="auto"/>
          </w:tcPr>
          <w:p w14:paraId="714A3FE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0.616**</w:t>
            </w:r>
          </w:p>
        </w:tc>
        <w:tc>
          <w:tcPr>
            <w:tcW w:w="2280" w:type="dxa"/>
          </w:tcPr>
          <w:p w14:paraId="7B8EF4C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0.690**</w:t>
            </w:r>
          </w:p>
        </w:tc>
        <w:tc>
          <w:tcPr>
            <w:tcW w:w="2228" w:type="dxa"/>
          </w:tcPr>
          <w:p w14:paraId="2C9D8E5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1.121***</w:t>
            </w:r>
          </w:p>
        </w:tc>
      </w:tr>
      <w:tr w14:paraId="2990987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529B526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057F166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(2.188)</w:t>
            </w:r>
          </w:p>
        </w:tc>
        <w:tc>
          <w:tcPr>
            <w:tcW w:w="2280" w:type="dxa"/>
          </w:tcPr>
          <w:p w14:paraId="6ED539A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(2.150)</w:t>
            </w:r>
          </w:p>
        </w:tc>
        <w:tc>
          <w:tcPr>
            <w:tcW w:w="2228" w:type="dxa"/>
          </w:tcPr>
          <w:p w14:paraId="63C21CB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(3.</w:t>
            </w:r>
            <w:r>
              <w:rPr>
                <w:rFonts w:hint="eastAsia" w:ascii="Times New Roman" w:hAnsi="Times New Roman" w:cs="Times New Roman"/>
                <w:szCs w:val="21"/>
                <w:lang w:eastAsia="zh-CN"/>
              </w:rPr>
              <w:t>(70)</w:t>
            </w:r>
          </w:p>
        </w:tc>
      </w:tr>
      <w:tr w14:paraId="5A57AF2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671AFB2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主营业务收入增长率（</w:t>
            </w:r>
            <w:r>
              <w:rPr>
                <w:rFonts w:ascii="Times New Roman" w:hAnsi="Times New Roman" w:cs="Times New Roman"/>
                <w:szCs w:val="21"/>
              </w:rPr>
              <w:t>Growth</w:t>
            </w:r>
            <w:r>
              <w:rPr>
                <w:rFonts w:hint="eastAsia" w:ascii="Times New Roman" w:hAnsi="Times New Roman" w:cs="Times New Roman"/>
                <w:szCs w:val="21"/>
              </w:rPr>
              <w:t>）</w:t>
            </w:r>
          </w:p>
        </w:tc>
        <w:tc>
          <w:tcPr>
            <w:tcW w:w="0" w:type="auto"/>
          </w:tcPr>
          <w:p w14:paraId="79621EE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0.019***</w:t>
            </w:r>
          </w:p>
        </w:tc>
        <w:tc>
          <w:tcPr>
            <w:tcW w:w="2280" w:type="dxa"/>
          </w:tcPr>
          <w:p w14:paraId="1A796B6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0.009*</w:t>
            </w:r>
          </w:p>
        </w:tc>
        <w:tc>
          <w:tcPr>
            <w:tcW w:w="2228" w:type="dxa"/>
          </w:tcPr>
          <w:p w14:paraId="0AA7D56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-0.007</w:t>
            </w:r>
          </w:p>
        </w:tc>
      </w:tr>
      <w:tr w14:paraId="50BFDA60">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7737DD7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5F1E242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(4.331)</w:t>
            </w:r>
          </w:p>
        </w:tc>
        <w:tc>
          <w:tcPr>
            <w:tcW w:w="2280" w:type="dxa"/>
          </w:tcPr>
          <w:p w14:paraId="21D50B4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(1.792)</w:t>
            </w:r>
          </w:p>
        </w:tc>
        <w:tc>
          <w:tcPr>
            <w:tcW w:w="2228" w:type="dxa"/>
          </w:tcPr>
          <w:p w14:paraId="007C9E5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(-0.863)</w:t>
            </w:r>
          </w:p>
        </w:tc>
      </w:tr>
      <w:tr w14:paraId="458A5E11">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7B01BD9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事务所排名（</w:t>
            </w:r>
            <w:r>
              <w:rPr>
                <w:rFonts w:ascii="Times New Roman" w:hAnsi="Times New Roman" w:cs="Times New Roman"/>
                <w:szCs w:val="21"/>
              </w:rPr>
              <w:t>Rank</w:t>
            </w:r>
            <w:r>
              <w:rPr>
                <w:rFonts w:hint="eastAsia" w:ascii="Times New Roman" w:hAnsi="Times New Roman" w:cs="Times New Roman"/>
                <w:szCs w:val="21"/>
              </w:rPr>
              <w:t>）</w:t>
            </w:r>
          </w:p>
        </w:tc>
        <w:tc>
          <w:tcPr>
            <w:tcW w:w="0" w:type="auto"/>
          </w:tcPr>
          <w:p w14:paraId="50F6690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-0.023</w:t>
            </w:r>
          </w:p>
        </w:tc>
        <w:tc>
          <w:tcPr>
            <w:tcW w:w="2280" w:type="dxa"/>
          </w:tcPr>
          <w:p w14:paraId="03D3A5F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0.011</w:t>
            </w:r>
          </w:p>
        </w:tc>
        <w:tc>
          <w:tcPr>
            <w:tcW w:w="2228" w:type="dxa"/>
          </w:tcPr>
          <w:p w14:paraId="1BE05FB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-0.007</w:t>
            </w:r>
          </w:p>
        </w:tc>
      </w:tr>
      <w:tr w14:paraId="5B56EE91">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58848A2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0F567F7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(-0.812)</w:t>
            </w:r>
          </w:p>
        </w:tc>
        <w:tc>
          <w:tcPr>
            <w:tcW w:w="2280" w:type="dxa"/>
          </w:tcPr>
          <w:p w14:paraId="69DFAD5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(0.360)</w:t>
            </w:r>
          </w:p>
        </w:tc>
        <w:tc>
          <w:tcPr>
            <w:tcW w:w="2228" w:type="dxa"/>
          </w:tcPr>
          <w:p w14:paraId="1C0D3F7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(-0.194)</w:t>
            </w:r>
          </w:p>
        </w:tc>
      </w:tr>
      <w:tr w14:paraId="1F88B9DB">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0E248F0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持股比例（</w:t>
            </w:r>
            <w:r>
              <w:rPr>
                <w:rFonts w:ascii="Times New Roman" w:hAnsi="Times New Roman" w:cs="Times New Roman"/>
                <w:szCs w:val="21"/>
              </w:rPr>
              <w:t>Top1</w:t>
            </w:r>
            <w:r>
              <w:rPr>
                <w:rFonts w:hint="eastAsia" w:ascii="Times New Roman" w:hAnsi="Times New Roman" w:cs="Times New Roman"/>
                <w:szCs w:val="21"/>
              </w:rPr>
              <w:t>）</w:t>
            </w:r>
          </w:p>
        </w:tc>
        <w:tc>
          <w:tcPr>
            <w:tcW w:w="0" w:type="auto"/>
          </w:tcPr>
          <w:p w14:paraId="56ECF7F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0.003**</w:t>
            </w:r>
          </w:p>
        </w:tc>
        <w:tc>
          <w:tcPr>
            <w:tcW w:w="2280" w:type="dxa"/>
          </w:tcPr>
          <w:p w14:paraId="6982DF7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0.005**</w:t>
            </w:r>
          </w:p>
        </w:tc>
        <w:tc>
          <w:tcPr>
            <w:tcW w:w="2228" w:type="dxa"/>
          </w:tcPr>
          <w:p w14:paraId="4F1CF08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0.002</w:t>
            </w:r>
          </w:p>
        </w:tc>
      </w:tr>
      <w:tr w14:paraId="2A2FE95B">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7C3029B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Pr>
          <w:p w14:paraId="317C9BD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(2.013)</w:t>
            </w:r>
          </w:p>
        </w:tc>
        <w:tc>
          <w:tcPr>
            <w:tcW w:w="2280" w:type="dxa"/>
          </w:tcPr>
          <w:p w14:paraId="3139073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(2.230)</w:t>
            </w:r>
          </w:p>
        </w:tc>
        <w:tc>
          <w:tcPr>
            <w:tcW w:w="2228" w:type="dxa"/>
          </w:tcPr>
          <w:p w14:paraId="791CD3C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(0.656)</w:t>
            </w:r>
          </w:p>
        </w:tc>
      </w:tr>
      <w:tr w14:paraId="23D8B2A7">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269CA54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_cons</w:t>
            </w:r>
          </w:p>
        </w:tc>
        <w:tc>
          <w:tcPr>
            <w:tcW w:w="0" w:type="auto"/>
          </w:tcPr>
          <w:p w14:paraId="682930D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1.886***</w:t>
            </w:r>
          </w:p>
        </w:tc>
        <w:tc>
          <w:tcPr>
            <w:tcW w:w="2280" w:type="dxa"/>
          </w:tcPr>
          <w:p w14:paraId="55A1722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1.494**</w:t>
            </w:r>
          </w:p>
        </w:tc>
        <w:tc>
          <w:tcPr>
            <w:tcW w:w="2228" w:type="dxa"/>
          </w:tcPr>
          <w:p w14:paraId="2A31313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1.987**</w:t>
            </w:r>
          </w:p>
        </w:tc>
      </w:tr>
      <w:tr w14:paraId="6DB0BCAA">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Borders>
              <w:bottom w:val="single" w:color="000000" w:sz="0" w:space="0"/>
            </w:tcBorders>
            <w:vAlign w:val="center"/>
          </w:tcPr>
          <w:p w14:paraId="4F79A3E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tcBorders>
              <w:bottom w:val="single" w:color="000000" w:sz="0" w:space="0"/>
            </w:tcBorders>
          </w:tcPr>
          <w:p w14:paraId="5E36DAD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(4.353)</w:t>
            </w:r>
          </w:p>
        </w:tc>
        <w:tc>
          <w:tcPr>
            <w:tcW w:w="2280" w:type="dxa"/>
            <w:tcBorders>
              <w:bottom w:val="single" w:color="000000" w:sz="0" w:space="0"/>
            </w:tcBorders>
          </w:tcPr>
          <w:p w14:paraId="3A023D7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(2.419)</w:t>
            </w:r>
          </w:p>
        </w:tc>
        <w:tc>
          <w:tcPr>
            <w:tcW w:w="2228" w:type="dxa"/>
            <w:tcBorders>
              <w:bottom w:val="single" w:color="000000" w:sz="0" w:space="0"/>
            </w:tcBorders>
          </w:tcPr>
          <w:p w14:paraId="53BE61A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(2.486)</w:t>
            </w:r>
          </w:p>
        </w:tc>
      </w:tr>
      <w:tr w14:paraId="43694213">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Align w:val="center"/>
          </w:tcPr>
          <w:p w14:paraId="752C70A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R</w:t>
            </w:r>
            <w:r>
              <w:rPr>
                <w:rFonts w:ascii="Times New Roman" w:hAnsi="Times New Roman" w:cs="Times New Roman"/>
                <w:szCs w:val="21"/>
                <w:vertAlign w:val="superscript"/>
              </w:rPr>
              <w:t>2</w:t>
            </w:r>
          </w:p>
        </w:tc>
        <w:tc>
          <w:tcPr>
            <w:tcW w:w="0" w:type="auto"/>
          </w:tcPr>
          <w:p w14:paraId="2B83C41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0.065</w:t>
            </w:r>
          </w:p>
        </w:tc>
        <w:tc>
          <w:tcPr>
            <w:tcW w:w="2280" w:type="dxa"/>
          </w:tcPr>
          <w:p w14:paraId="2552831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0.036</w:t>
            </w:r>
          </w:p>
        </w:tc>
        <w:tc>
          <w:tcPr>
            <w:tcW w:w="2228" w:type="dxa"/>
          </w:tcPr>
          <w:p w14:paraId="4E1E176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0.035</w:t>
            </w:r>
          </w:p>
        </w:tc>
      </w:tr>
      <w:tr w14:paraId="493F4720">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bottom w:val="single" w:color="000000" w:sz="0" w:space="0"/>
            </w:tcBorders>
            <w:vAlign w:val="center"/>
          </w:tcPr>
          <w:p w14:paraId="7B4B88A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F</w:t>
            </w:r>
          </w:p>
        </w:tc>
        <w:tc>
          <w:tcPr>
            <w:tcW w:w="0" w:type="auto"/>
            <w:tcBorders>
              <w:bottom w:val="single" w:color="000000" w:sz="0" w:space="0"/>
            </w:tcBorders>
          </w:tcPr>
          <w:p w14:paraId="4AB3C15B">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9.658</w:t>
            </w:r>
          </w:p>
        </w:tc>
        <w:tc>
          <w:tcPr>
            <w:tcW w:w="2280" w:type="dxa"/>
            <w:tcBorders>
              <w:bottom w:val="single" w:color="000000" w:sz="0" w:space="0"/>
            </w:tcBorders>
          </w:tcPr>
          <w:p w14:paraId="047AA4F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4.559</w:t>
            </w:r>
          </w:p>
        </w:tc>
        <w:tc>
          <w:tcPr>
            <w:tcW w:w="2228" w:type="dxa"/>
            <w:tcBorders>
              <w:bottom w:val="single" w:color="000000" w:sz="0" w:space="0"/>
            </w:tcBorders>
          </w:tcPr>
          <w:p w14:paraId="5559814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3.857</w:t>
            </w:r>
          </w:p>
        </w:tc>
      </w:tr>
      <w:tr w14:paraId="3FCF8D29">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gridSpan w:val="2"/>
            <w:tcBorders>
              <w:top w:val="single" w:color="000000" w:sz="0" w:space="0"/>
              <w:left w:val="nil"/>
              <w:bottom w:val="nil"/>
              <w:right w:val="nil"/>
            </w:tcBorders>
          </w:tcPr>
          <w:p w14:paraId="4F92A1DF">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r>
              <w:rPr>
                <w:rFonts w:ascii="Times New Roman" w:hAnsi="Times New Roman" w:cs="Times New Roman"/>
                <w:szCs w:val="21"/>
              </w:rPr>
              <w:t>***p&lt;0.01,**p&lt;0.05,*p&lt;0.10</w:t>
            </w:r>
          </w:p>
        </w:tc>
        <w:tc>
          <w:tcPr>
            <w:tcW w:w="2280" w:type="dxa"/>
            <w:tcBorders>
              <w:top w:val="single" w:color="000000" w:sz="0" w:space="0"/>
              <w:left w:val="nil"/>
              <w:bottom w:val="nil"/>
              <w:right w:val="nil"/>
            </w:tcBorders>
          </w:tcPr>
          <w:p w14:paraId="65EB1CBC">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2228" w:type="dxa"/>
            <w:tcBorders>
              <w:top w:val="single" w:color="000000" w:sz="0" w:space="0"/>
              <w:left w:val="nil"/>
              <w:bottom w:val="nil"/>
              <w:right w:val="nil"/>
            </w:tcBorders>
          </w:tcPr>
          <w:p w14:paraId="7ACED01C">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r>
    </w:tbl>
    <w:p w14:paraId="5BCCAFE8">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表</w:t>
      </w:r>
      <w:r>
        <w:rPr>
          <w:rFonts w:hint="eastAsia" w:ascii="Times New Roman" w:hAnsi="Times New Roman" w:cs="Times New Roman"/>
          <w:sz w:val="24"/>
        </w:rPr>
        <w:t>6</w:t>
      </w:r>
      <w:r>
        <w:rPr>
          <w:rFonts w:ascii="Times New Roman" w:hAnsi="Times New Roman" w:cs="Times New Roman"/>
          <w:sz w:val="24"/>
        </w:rPr>
        <w:t>中</w:t>
      </w:r>
      <w:r>
        <w:rPr>
          <w:rFonts w:hint="eastAsia" w:ascii="Times New Roman" w:hAnsi="Times New Roman" w:cs="Times New Roman"/>
          <w:sz w:val="24"/>
        </w:rPr>
        <w:t>显示</w:t>
      </w:r>
      <w:r>
        <w:rPr>
          <w:rFonts w:ascii="Times New Roman" w:hAnsi="Times New Roman" w:cs="Times New Roman"/>
          <w:sz w:val="24"/>
        </w:rPr>
        <w:t>，在滞后</w:t>
      </w:r>
      <w:r>
        <w:rPr>
          <w:rFonts w:hint="eastAsia" w:ascii="Times New Roman" w:hAnsi="Times New Roman" w:cs="Times New Roman"/>
          <w:sz w:val="24"/>
        </w:rPr>
        <w:t>两</w:t>
      </w:r>
      <w:r>
        <w:rPr>
          <w:rFonts w:ascii="Times New Roman" w:hAnsi="Times New Roman" w:cs="Times New Roman"/>
          <w:sz w:val="24"/>
        </w:rPr>
        <w:t>期这个模型里，审计收费对数（ln_AudFee）的系数依然显著呈现负值，</w:t>
      </w:r>
      <w:r>
        <w:rPr>
          <w:rFonts w:hint="eastAsia" w:ascii="Times New Roman" w:hAnsi="Times New Roman" w:cs="Times New Roman"/>
          <w:sz w:val="24"/>
        </w:rPr>
        <w:t>即</w:t>
      </w:r>
      <w:r>
        <w:rPr>
          <w:rFonts w:ascii="Times New Roman" w:hAnsi="Times New Roman" w:cs="Times New Roman"/>
          <w:sz w:val="24"/>
        </w:rPr>
        <w:t>审计行为对</w:t>
      </w:r>
      <w:r>
        <w:rPr>
          <w:rFonts w:hint="eastAsia" w:ascii="Times New Roman" w:hAnsi="Times New Roman" w:cs="Times New Roman"/>
          <w:sz w:val="24"/>
        </w:rPr>
        <w:t>滞后二期后的</w:t>
      </w:r>
      <w:r>
        <w:rPr>
          <w:rFonts w:ascii="Times New Roman" w:hAnsi="Times New Roman" w:cs="Times New Roman"/>
          <w:sz w:val="24"/>
        </w:rPr>
        <w:t>真实盈余管理</w:t>
      </w:r>
      <w:r>
        <w:rPr>
          <w:rFonts w:hint="eastAsia" w:ascii="Times New Roman" w:hAnsi="Times New Roman" w:cs="Times New Roman"/>
          <w:sz w:val="24"/>
        </w:rPr>
        <w:t>依然</w:t>
      </w:r>
      <w:r>
        <w:rPr>
          <w:rFonts w:ascii="Times New Roman" w:hAnsi="Times New Roman" w:cs="Times New Roman"/>
          <w:sz w:val="24"/>
        </w:rPr>
        <w:t>产生</w:t>
      </w:r>
      <w:r>
        <w:rPr>
          <w:rFonts w:hint="eastAsia" w:ascii="Times New Roman" w:hAnsi="Times New Roman" w:cs="Times New Roman"/>
          <w:sz w:val="24"/>
        </w:rPr>
        <w:t>抑制</w:t>
      </w:r>
      <w:r>
        <w:rPr>
          <w:rFonts w:ascii="Times New Roman" w:hAnsi="Times New Roman" w:cs="Times New Roman"/>
          <w:sz w:val="24"/>
        </w:rPr>
        <w:t>影响</w:t>
      </w:r>
      <w:r>
        <w:rPr>
          <w:rFonts w:hint="eastAsia" w:ascii="Times New Roman" w:hAnsi="Times New Roman" w:cs="Times New Roman"/>
          <w:sz w:val="24"/>
        </w:rPr>
        <w:t>，模型</w:t>
      </w:r>
      <w:r>
        <w:rPr>
          <w:rFonts w:ascii="Times New Roman" w:hAnsi="Times New Roman" w:cs="Times New Roman"/>
          <w:sz w:val="24"/>
        </w:rPr>
        <w:t>稳健性经检验属实。</w:t>
      </w:r>
    </w:p>
    <w:p w14:paraId="0E8541D1">
      <w:pPr>
        <w:keepNext w:val="0"/>
        <w:keepLines w:val="0"/>
        <w:pageBreakBefore w:val="0"/>
        <w:kinsoku/>
        <w:wordWrap/>
        <w:overflowPunct/>
        <w:topLinePunct w:val="0"/>
        <w:autoSpaceDE/>
        <w:autoSpaceDN/>
        <w:bidi w:val="0"/>
        <w:adjustRightInd/>
        <w:spacing w:line="300" w:lineRule="auto"/>
        <w:ind w:firstLine="420"/>
        <w:textAlignment w:val="auto"/>
        <w:outlineLvl w:val="2"/>
        <w:rPr>
          <w:rFonts w:ascii="Times New Roman" w:hAnsi="Times New Roman" w:cs="Times New Roman"/>
          <w:b/>
          <w:bCs/>
          <w:sz w:val="24"/>
        </w:rPr>
      </w:pPr>
      <w:r>
        <w:rPr>
          <w:rFonts w:ascii="Times New Roman" w:hAnsi="Times New Roman" w:cs="Times New Roman"/>
          <w:b/>
          <w:bCs/>
          <w:sz w:val="24"/>
        </w:rPr>
        <w:t>2.增加控制变量</w:t>
      </w:r>
    </w:p>
    <w:p w14:paraId="440941DC">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ascii="Times New Roman" w:hAnsi="Times New Roman" w:cs="Times New Roman"/>
          <w:sz w:val="24"/>
        </w:rPr>
        <w:t>为保证研究结果可靠、稳定，本文采取增加控制变量“审计意见类型”的做法进行稳健性检验，以审视审计行为对真实盈余管理的影响是否依然明显，结果如</w:t>
      </w:r>
      <w:r>
        <w:rPr>
          <w:rFonts w:hint="eastAsia" w:ascii="Times New Roman" w:hAnsi="Times New Roman" w:cs="Times New Roman"/>
          <w:sz w:val="24"/>
        </w:rPr>
        <w:t>表7</w:t>
      </w:r>
      <w:r>
        <w:rPr>
          <w:rFonts w:ascii="Times New Roman" w:hAnsi="Times New Roman" w:cs="Times New Roman"/>
          <w:sz w:val="24"/>
        </w:rPr>
        <w:t>所</w:t>
      </w:r>
      <w:r>
        <w:rPr>
          <w:rFonts w:hint="eastAsia" w:ascii="Times New Roman" w:hAnsi="Times New Roman" w:cs="Times New Roman"/>
          <w:sz w:val="24"/>
        </w:rPr>
        <w:t>示。若审计意见为标准无保留意见则记为</w:t>
      </w:r>
      <w:r>
        <w:rPr>
          <w:rFonts w:ascii="Times New Roman" w:hAnsi="Times New Roman" w:cs="Times New Roman"/>
          <w:sz w:val="24"/>
        </w:rPr>
        <w:t>0</w:t>
      </w:r>
      <w:r>
        <w:rPr>
          <w:rFonts w:hint="eastAsia" w:ascii="Times New Roman" w:hAnsi="Times New Roman" w:cs="Times New Roman"/>
          <w:sz w:val="24"/>
        </w:rPr>
        <w:t>，否则记为</w:t>
      </w:r>
      <w:r>
        <w:rPr>
          <w:rFonts w:ascii="Times New Roman" w:hAnsi="Times New Roman" w:cs="Times New Roman"/>
          <w:sz w:val="24"/>
        </w:rPr>
        <w:t>1</w:t>
      </w:r>
      <w:r>
        <w:rPr>
          <w:rFonts w:hint="eastAsia" w:ascii="Times New Roman" w:hAnsi="Times New Roman" w:cs="Times New Roman"/>
          <w:sz w:val="24"/>
        </w:rPr>
        <w:t>。</w:t>
      </w:r>
    </w:p>
    <w:p w14:paraId="0114672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表7</w:t>
      </w:r>
      <w:r>
        <w:rPr>
          <w:rFonts w:ascii="Times New Roman" w:hAnsi="Times New Roman" w:cs="Times New Roman"/>
          <w:b/>
          <w:bCs/>
          <w:szCs w:val="21"/>
        </w:rPr>
        <w:t xml:space="preserve"> </w:t>
      </w:r>
      <w:r>
        <w:rPr>
          <w:rFonts w:hint="eastAsia" w:ascii="Times New Roman" w:hAnsi="Times New Roman" w:cs="Times New Roman"/>
          <w:b/>
          <w:bCs/>
          <w:szCs w:val="21"/>
        </w:rPr>
        <w:t>稳健性检验——增加控制变量</w:t>
      </w:r>
    </w:p>
    <w:tbl>
      <w:tblPr>
        <w:tblStyle w:val="10"/>
        <w:tblW w:w="0" w:type="auto"/>
        <w:jc w:val="center"/>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247"/>
        <w:gridCol w:w="2163"/>
        <w:gridCol w:w="1949"/>
        <w:gridCol w:w="2163"/>
      </w:tblGrid>
      <w:tr w14:paraId="6762321D">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PrEx>
        <w:trPr>
          <w:jc w:val="center"/>
        </w:trPr>
        <w:tc>
          <w:tcPr>
            <w:tcW w:w="0" w:type="auto"/>
            <w:vMerge w:val="restart"/>
            <w:vAlign w:val="center"/>
          </w:tcPr>
          <w:p w14:paraId="22C3D9C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变量名称</w:t>
            </w:r>
          </w:p>
        </w:tc>
        <w:tc>
          <w:tcPr>
            <w:tcW w:w="0" w:type="auto"/>
          </w:tcPr>
          <w:p w14:paraId="66B54B1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(1)</w:t>
            </w:r>
          </w:p>
        </w:tc>
        <w:tc>
          <w:tcPr>
            <w:tcW w:w="0" w:type="auto"/>
            <w:vMerge w:val="restart"/>
            <w:shd w:val="clear" w:color="auto" w:fill="auto"/>
            <w:vAlign w:val="center"/>
          </w:tcPr>
          <w:p w14:paraId="076A48E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变量名称</w:t>
            </w:r>
          </w:p>
        </w:tc>
        <w:tc>
          <w:tcPr>
            <w:tcW w:w="0" w:type="auto"/>
            <w:vMerge w:val="restart"/>
            <w:shd w:val="clear" w:color="auto" w:fill="auto"/>
          </w:tcPr>
          <w:p w14:paraId="17A5BB3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lang w:eastAsia="zh-CN"/>
              </w:rPr>
              <w:t>(1)</w:t>
            </w:r>
          </w:p>
          <w:p w14:paraId="29526DF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盈余管理绝对值（</w:t>
            </w:r>
            <w:r>
              <w:rPr>
                <w:rFonts w:ascii="Times New Roman" w:hAnsi="Times New Roman" w:cs="Times New Roman"/>
                <w:b/>
                <w:bCs/>
                <w:szCs w:val="21"/>
              </w:rPr>
              <w:t>REM_abs</w:t>
            </w:r>
            <w:r>
              <w:rPr>
                <w:rFonts w:hint="eastAsia" w:ascii="Times New Roman" w:hAnsi="Times New Roman" w:cs="Times New Roman"/>
                <w:b/>
                <w:bCs/>
                <w:szCs w:val="21"/>
              </w:rPr>
              <w:t>）</w:t>
            </w:r>
          </w:p>
        </w:tc>
      </w:tr>
      <w:tr w14:paraId="5624F053">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Borders>
              <w:bottom w:val="single" w:color="000000" w:sz="0" w:space="0"/>
            </w:tcBorders>
          </w:tcPr>
          <w:p w14:paraId="5D8B0B6B">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Borders>
              <w:bottom w:val="single" w:color="000000" w:sz="0" w:space="0"/>
            </w:tcBorders>
          </w:tcPr>
          <w:p w14:paraId="2718687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r>
              <w:rPr>
                <w:rFonts w:hint="eastAsia" w:ascii="Times New Roman" w:hAnsi="Times New Roman" w:cs="Times New Roman"/>
                <w:b/>
                <w:bCs/>
                <w:szCs w:val="21"/>
              </w:rPr>
              <w:t>盈余管理绝对值（</w:t>
            </w:r>
            <w:r>
              <w:rPr>
                <w:rFonts w:ascii="Times New Roman" w:hAnsi="Times New Roman" w:cs="Times New Roman"/>
                <w:b/>
                <w:bCs/>
                <w:szCs w:val="21"/>
              </w:rPr>
              <w:t>REM_abs</w:t>
            </w:r>
            <w:r>
              <w:rPr>
                <w:rFonts w:hint="eastAsia" w:ascii="Times New Roman" w:hAnsi="Times New Roman" w:cs="Times New Roman"/>
                <w:b/>
                <w:bCs/>
                <w:szCs w:val="21"/>
              </w:rPr>
              <w:t>）</w:t>
            </w:r>
          </w:p>
        </w:tc>
        <w:tc>
          <w:tcPr>
            <w:tcW w:w="0" w:type="auto"/>
            <w:vMerge w:val="continue"/>
            <w:tcBorders>
              <w:bottom w:val="single" w:color="000000" w:sz="0" w:space="0"/>
            </w:tcBorders>
          </w:tcPr>
          <w:p w14:paraId="2FF2B275">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p>
        </w:tc>
        <w:tc>
          <w:tcPr>
            <w:tcW w:w="0" w:type="auto"/>
            <w:vMerge w:val="continue"/>
            <w:tcBorders>
              <w:bottom w:val="single" w:color="000000" w:sz="0" w:space="0"/>
            </w:tcBorders>
            <w:shd w:val="clear" w:color="auto" w:fill="auto"/>
          </w:tcPr>
          <w:p w14:paraId="1FC6159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b/>
                <w:bCs/>
                <w:szCs w:val="21"/>
              </w:rPr>
            </w:pPr>
          </w:p>
        </w:tc>
      </w:tr>
      <w:tr w14:paraId="36B853EC">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tcBorders>
              <w:top w:val="single" w:color="000000" w:sz="0" w:space="0"/>
            </w:tcBorders>
            <w:vAlign w:val="center"/>
          </w:tcPr>
          <w:p w14:paraId="6291B61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审计费用（</w:t>
            </w:r>
            <w:r>
              <w:rPr>
                <w:rFonts w:ascii="Times New Roman" w:hAnsi="Times New Roman" w:cs="Times New Roman"/>
                <w:szCs w:val="21"/>
              </w:rPr>
              <w:t>ln_AudFee</w:t>
            </w:r>
            <w:r>
              <w:rPr>
                <w:rFonts w:hint="eastAsia" w:ascii="Times New Roman" w:hAnsi="Times New Roman" w:cs="Times New Roman"/>
                <w:szCs w:val="21"/>
              </w:rPr>
              <w:t>）</w:t>
            </w:r>
          </w:p>
        </w:tc>
        <w:tc>
          <w:tcPr>
            <w:tcW w:w="0" w:type="auto"/>
            <w:tcBorders>
              <w:top w:val="single" w:color="000000" w:sz="0" w:space="0"/>
            </w:tcBorders>
            <w:vAlign w:val="center"/>
          </w:tcPr>
          <w:p w14:paraId="4972D2F6">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-0.130***</w:t>
            </w:r>
          </w:p>
        </w:tc>
        <w:tc>
          <w:tcPr>
            <w:tcW w:w="0" w:type="auto"/>
            <w:vMerge w:val="restart"/>
            <w:tcBorders>
              <w:top w:val="single" w:color="000000" w:sz="0" w:space="0"/>
            </w:tcBorders>
            <w:shd w:val="clear" w:color="auto" w:fill="auto"/>
            <w:vAlign w:val="center"/>
          </w:tcPr>
          <w:p w14:paraId="63FEA51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事务所排名（</w:t>
            </w:r>
            <w:r>
              <w:rPr>
                <w:rFonts w:ascii="Times New Roman" w:hAnsi="Times New Roman" w:cs="Times New Roman"/>
                <w:szCs w:val="21"/>
              </w:rPr>
              <w:t>Rank</w:t>
            </w:r>
            <w:r>
              <w:rPr>
                <w:rFonts w:hint="eastAsia" w:ascii="Times New Roman" w:hAnsi="Times New Roman" w:cs="Times New Roman"/>
                <w:szCs w:val="21"/>
              </w:rPr>
              <w:t>）</w:t>
            </w:r>
          </w:p>
        </w:tc>
        <w:tc>
          <w:tcPr>
            <w:tcW w:w="0" w:type="auto"/>
            <w:tcBorders>
              <w:top w:val="single" w:color="000000" w:sz="0" w:space="0"/>
            </w:tcBorders>
            <w:shd w:val="clear" w:color="auto" w:fill="auto"/>
            <w:vAlign w:val="center"/>
          </w:tcPr>
          <w:p w14:paraId="6753191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-0.018</w:t>
            </w:r>
          </w:p>
        </w:tc>
      </w:tr>
      <w:tr w14:paraId="409BA4F5">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6E1E8C1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vAlign w:val="center"/>
          </w:tcPr>
          <w:p w14:paraId="0AF94E5A">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(-4.305)</w:t>
            </w:r>
          </w:p>
        </w:tc>
        <w:tc>
          <w:tcPr>
            <w:tcW w:w="0" w:type="auto"/>
            <w:vMerge w:val="continue"/>
            <w:shd w:val="clear" w:color="auto" w:fill="auto"/>
            <w:vAlign w:val="center"/>
          </w:tcPr>
          <w:p w14:paraId="7BD5427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shd w:val="clear" w:color="auto" w:fill="auto"/>
            <w:vAlign w:val="center"/>
          </w:tcPr>
          <w:p w14:paraId="69EF6A2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(-0.640)</w:t>
            </w:r>
          </w:p>
        </w:tc>
      </w:tr>
      <w:tr w14:paraId="330AF2E8">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61134AC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资产负债率（</w:t>
            </w:r>
            <w:r>
              <w:rPr>
                <w:rFonts w:ascii="Times New Roman" w:hAnsi="Times New Roman" w:cs="Times New Roman"/>
                <w:szCs w:val="21"/>
              </w:rPr>
              <w:t>Debt</w:t>
            </w:r>
            <w:r>
              <w:rPr>
                <w:rFonts w:hint="eastAsia" w:ascii="Times New Roman" w:hAnsi="Times New Roman" w:cs="Times New Roman"/>
                <w:szCs w:val="21"/>
              </w:rPr>
              <w:t>）</w:t>
            </w:r>
          </w:p>
        </w:tc>
        <w:tc>
          <w:tcPr>
            <w:tcW w:w="0" w:type="auto"/>
            <w:vAlign w:val="center"/>
          </w:tcPr>
          <w:p w14:paraId="0274F3D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0.142</w:t>
            </w:r>
          </w:p>
        </w:tc>
        <w:tc>
          <w:tcPr>
            <w:tcW w:w="0" w:type="auto"/>
            <w:vMerge w:val="restart"/>
            <w:shd w:val="clear" w:color="auto" w:fill="auto"/>
            <w:vAlign w:val="center"/>
          </w:tcPr>
          <w:p w14:paraId="0BA3A9D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持股比例（</w:t>
            </w:r>
            <w:r>
              <w:rPr>
                <w:rFonts w:ascii="Times New Roman" w:hAnsi="Times New Roman" w:cs="Times New Roman"/>
                <w:szCs w:val="21"/>
              </w:rPr>
              <w:t>Top1</w:t>
            </w:r>
            <w:r>
              <w:rPr>
                <w:rFonts w:hint="eastAsia" w:ascii="Times New Roman" w:hAnsi="Times New Roman" w:cs="Times New Roman"/>
                <w:szCs w:val="21"/>
              </w:rPr>
              <w:t>）</w:t>
            </w:r>
          </w:p>
        </w:tc>
        <w:tc>
          <w:tcPr>
            <w:tcW w:w="0" w:type="auto"/>
            <w:shd w:val="clear" w:color="auto" w:fill="auto"/>
            <w:vAlign w:val="center"/>
          </w:tcPr>
          <w:p w14:paraId="161733A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0.003*</w:t>
            </w:r>
          </w:p>
        </w:tc>
      </w:tr>
      <w:tr w14:paraId="6BAAAAF7">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23ADBF9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vAlign w:val="center"/>
          </w:tcPr>
          <w:p w14:paraId="1A65B78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(1.445)</w:t>
            </w:r>
          </w:p>
        </w:tc>
        <w:tc>
          <w:tcPr>
            <w:tcW w:w="0" w:type="auto"/>
            <w:vMerge w:val="continue"/>
            <w:shd w:val="clear" w:color="auto" w:fill="auto"/>
            <w:vAlign w:val="center"/>
          </w:tcPr>
          <w:p w14:paraId="74C1752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shd w:val="clear" w:color="auto" w:fill="auto"/>
            <w:vAlign w:val="center"/>
          </w:tcPr>
          <w:p w14:paraId="2F57288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(1.829)</w:t>
            </w:r>
          </w:p>
        </w:tc>
      </w:tr>
      <w:tr w14:paraId="4D3F9DB5">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3E03116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资产净利率（</w:t>
            </w:r>
            <w:r>
              <w:rPr>
                <w:rFonts w:ascii="Times New Roman" w:hAnsi="Times New Roman" w:cs="Times New Roman"/>
                <w:szCs w:val="21"/>
              </w:rPr>
              <w:t>Roa</w:t>
            </w:r>
            <w:r>
              <w:rPr>
                <w:rFonts w:hint="eastAsia" w:ascii="Times New Roman" w:hAnsi="Times New Roman" w:cs="Times New Roman"/>
                <w:szCs w:val="21"/>
              </w:rPr>
              <w:t>）</w:t>
            </w:r>
          </w:p>
        </w:tc>
        <w:tc>
          <w:tcPr>
            <w:tcW w:w="0" w:type="auto"/>
            <w:vAlign w:val="center"/>
          </w:tcPr>
          <w:p w14:paraId="19E920F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0.516*</w:t>
            </w:r>
          </w:p>
        </w:tc>
        <w:tc>
          <w:tcPr>
            <w:tcW w:w="0" w:type="auto"/>
            <w:vMerge w:val="restart"/>
            <w:shd w:val="clear" w:color="auto" w:fill="auto"/>
            <w:vAlign w:val="center"/>
          </w:tcPr>
          <w:p w14:paraId="75149BD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审计意见类型（</w:t>
            </w:r>
            <w:r>
              <w:rPr>
                <w:rFonts w:ascii="Times New Roman" w:hAnsi="Times New Roman" w:cs="Times New Roman"/>
                <w:szCs w:val="21"/>
              </w:rPr>
              <w:t>AudType</w:t>
            </w:r>
            <w:r>
              <w:rPr>
                <w:rFonts w:hint="eastAsia" w:ascii="Times New Roman" w:hAnsi="Times New Roman" w:cs="Times New Roman"/>
                <w:szCs w:val="21"/>
              </w:rPr>
              <w:t>）</w:t>
            </w:r>
          </w:p>
        </w:tc>
        <w:tc>
          <w:tcPr>
            <w:tcW w:w="0" w:type="auto"/>
            <w:shd w:val="clear" w:color="auto" w:fill="auto"/>
            <w:vAlign w:val="center"/>
          </w:tcPr>
          <w:p w14:paraId="4B8BCDC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-0.056</w:t>
            </w:r>
          </w:p>
        </w:tc>
      </w:tr>
      <w:tr w14:paraId="7C4CC80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0CFB01F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vAlign w:val="center"/>
          </w:tcPr>
          <w:p w14:paraId="76E341B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(1.763)</w:t>
            </w:r>
          </w:p>
        </w:tc>
        <w:tc>
          <w:tcPr>
            <w:tcW w:w="0" w:type="auto"/>
            <w:vMerge w:val="continue"/>
            <w:shd w:val="clear" w:color="auto" w:fill="auto"/>
            <w:vAlign w:val="center"/>
          </w:tcPr>
          <w:p w14:paraId="1930B28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p>
        </w:tc>
        <w:tc>
          <w:tcPr>
            <w:tcW w:w="0" w:type="auto"/>
            <w:shd w:val="clear" w:color="auto" w:fill="auto"/>
            <w:vAlign w:val="center"/>
          </w:tcPr>
          <w:p w14:paraId="5F68396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(-1.232)</w:t>
            </w:r>
          </w:p>
        </w:tc>
      </w:tr>
      <w:tr w14:paraId="4EDDA20E">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bottom w:val="single" w:color="auto" w:sz="4" w:space="0"/>
            </w:tcBorders>
            <w:vAlign w:val="center"/>
          </w:tcPr>
          <w:p w14:paraId="06E49651">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hint="eastAsia" w:ascii="Times New Roman" w:hAnsi="Times New Roman" w:cs="Times New Roman"/>
                <w:szCs w:val="21"/>
              </w:rPr>
              <w:t>主营业务收入增长率（</w:t>
            </w:r>
            <w:r>
              <w:rPr>
                <w:rFonts w:ascii="Times New Roman" w:hAnsi="Times New Roman" w:cs="Times New Roman"/>
                <w:szCs w:val="21"/>
              </w:rPr>
              <w:t>Growth</w:t>
            </w:r>
            <w:r>
              <w:rPr>
                <w:rFonts w:hint="eastAsia" w:ascii="Times New Roman" w:hAnsi="Times New Roman" w:cs="Times New Roman"/>
                <w:szCs w:val="21"/>
              </w:rPr>
              <w:t>）</w:t>
            </w:r>
          </w:p>
        </w:tc>
        <w:tc>
          <w:tcPr>
            <w:tcW w:w="0" w:type="auto"/>
            <w:tcBorders>
              <w:bottom w:val="single" w:color="auto" w:sz="4" w:space="0"/>
            </w:tcBorders>
            <w:vAlign w:val="center"/>
          </w:tcPr>
          <w:p w14:paraId="50595774">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0.019***</w:t>
            </w:r>
          </w:p>
          <w:p w14:paraId="02424D3E">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(4.240)</w:t>
            </w:r>
          </w:p>
        </w:tc>
        <w:tc>
          <w:tcPr>
            <w:tcW w:w="0" w:type="auto"/>
            <w:tcBorders>
              <w:bottom w:val="single" w:color="auto" w:sz="4" w:space="0"/>
            </w:tcBorders>
            <w:shd w:val="clear" w:color="auto" w:fill="auto"/>
            <w:vAlign w:val="center"/>
          </w:tcPr>
          <w:p w14:paraId="3D68BF82">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_cons</w:t>
            </w:r>
          </w:p>
        </w:tc>
        <w:tc>
          <w:tcPr>
            <w:tcW w:w="0" w:type="auto"/>
            <w:tcBorders>
              <w:bottom w:val="single" w:color="auto" w:sz="4" w:space="0"/>
            </w:tcBorders>
            <w:shd w:val="clear" w:color="auto" w:fill="auto"/>
            <w:vAlign w:val="center"/>
          </w:tcPr>
          <w:p w14:paraId="37BCDA4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1.846***</w:t>
            </w:r>
          </w:p>
          <w:p w14:paraId="08C2170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(4.248)</w:t>
            </w:r>
          </w:p>
        </w:tc>
      </w:tr>
      <w:tr w14:paraId="66D824C0">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top w:val="single" w:color="auto" w:sz="4" w:space="0"/>
            </w:tcBorders>
          </w:tcPr>
          <w:p w14:paraId="14ABA6E9">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R</w:t>
            </w:r>
            <w:r>
              <w:rPr>
                <w:rFonts w:ascii="Times New Roman" w:hAnsi="Times New Roman" w:cs="Times New Roman"/>
                <w:szCs w:val="21"/>
                <w:vertAlign w:val="superscript"/>
              </w:rPr>
              <w:t>2</w:t>
            </w:r>
          </w:p>
        </w:tc>
        <w:tc>
          <w:tcPr>
            <w:tcW w:w="0" w:type="auto"/>
            <w:tcBorders>
              <w:top w:val="single" w:color="auto" w:sz="4" w:space="0"/>
            </w:tcBorders>
          </w:tcPr>
          <w:p w14:paraId="18D2F617">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0.066</w:t>
            </w:r>
          </w:p>
        </w:tc>
        <w:tc>
          <w:tcPr>
            <w:tcW w:w="0" w:type="auto"/>
            <w:tcBorders>
              <w:top w:val="single" w:color="auto" w:sz="4" w:space="0"/>
            </w:tcBorders>
            <w:shd w:val="clear" w:color="auto" w:fill="auto"/>
          </w:tcPr>
          <w:p w14:paraId="68270DB3">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R</w:t>
            </w:r>
            <w:r>
              <w:rPr>
                <w:rFonts w:ascii="Times New Roman" w:hAnsi="Times New Roman" w:cs="Times New Roman"/>
                <w:szCs w:val="21"/>
                <w:vertAlign w:val="superscript"/>
              </w:rPr>
              <w:t>2</w:t>
            </w:r>
          </w:p>
        </w:tc>
        <w:tc>
          <w:tcPr>
            <w:tcW w:w="0" w:type="auto"/>
            <w:tcBorders>
              <w:top w:val="single" w:color="auto" w:sz="4" w:space="0"/>
            </w:tcBorders>
            <w:shd w:val="clear" w:color="auto" w:fill="auto"/>
          </w:tcPr>
          <w:p w14:paraId="0FCC19FF">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0.066</w:t>
            </w:r>
          </w:p>
        </w:tc>
      </w:tr>
      <w:tr w14:paraId="2DD04E41">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bottom w:val="single" w:color="000000" w:sz="0" w:space="0"/>
            </w:tcBorders>
          </w:tcPr>
          <w:p w14:paraId="58DCB0A8">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F</w:t>
            </w:r>
          </w:p>
        </w:tc>
        <w:tc>
          <w:tcPr>
            <w:tcW w:w="0" w:type="auto"/>
            <w:tcBorders>
              <w:bottom w:val="single" w:color="000000" w:sz="0" w:space="0"/>
            </w:tcBorders>
          </w:tcPr>
          <w:p w14:paraId="0A05382C">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8.500</w:t>
            </w:r>
          </w:p>
        </w:tc>
        <w:tc>
          <w:tcPr>
            <w:tcW w:w="0" w:type="auto"/>
            <w:tcBorders>
              <w:bottom w:val="single" w:color="000000" w:sz="0" w:space="0"/>
            </w:tcBorders>
            <w:shd w:val="clear" w:color="auto" w:fill="auto"/>
          </w:tcPr>
          <w:p w14:paraId="4D84F11D">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F</w:t>
            </w:r>
          </w:p>
        </w:tc>
        <w:tc>
          <w:tcPr>
            <w:tcW w:w="0" w:type="auto"/>
            <w:tcBorders>
              <w:bottom w:val="single" w:color="000000" w:sz="0" w:space="0"/>
            </w:tcBorders>
            <w:shd w:val="clear" w:color="auto" w:fill="auto"/>
          </w:tcPr>
          <w:p w14:paraId="32DC2530">
            <w:pPr>
              <w:keepNext w:val="0"/>
              <w:keepLines w:val="0"/>
              <w:pageBreakBefore w:val="0"/>
              <w:kinsoku/>
              <w:wordWrap/>
              <w:overflowPunct/>
              <w:topLinePunct w:val="0"/>
              <w:autoSpaceDE/>
              <w:autoSpaceDN/>
              <w:bidi w:val="0"/>
              <w:adjustRightInd/>
              <w:spacing w:line="300" w:lineRule="auto"/>
              <w:jc w:val="center"/>
              <w:textAlignment w:val="auto"/>
              <w:rPr>
                <w:rFonts w:ascii="Times New Roman" w:hAnsi="Times New Roman" w:cs="Times New Roman"/>
                <w:szCs w:val="21"/>
              </w:rPr>
            </w:pPr>
            <w:r>
              <w:rPr>
                <w:rFonts w:ascii="Times New Roman" w:hAnsi="Times New Roman" w:cs="Times New Roman"/>
                <w:szCs w:val="21"/>
              </w:rPr>
              <w:t>8.500</w:t>
            </w:r>
          </w:p>
        </w:tc>
      </w:tr>
      <w:tr w14:paraId="07791698">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gridSpan w:val="2"/>
            <w:tcBorders>
              <w:top w:val="single" w:color="000000" w:sz="0" w:space="0"/>
              <w:left w:val="nil"/>
              <w:bottom w:val="nil"/>
              <w:right w:val="nil"/>
            </w:tcBorders>
          </w:tcPr>
          <w:p w14:paraId="75DB0D7C">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r>
              <w:rPr>
                <w:rFonts w:ascii="Times New Roman" w:hAnsi="Times New Roman" w:cs="Times New Roman"/>
                <w:szCs w:val="21"/>
              </w:rPr>
              <w:t>***p&lt;0.01,**p&lt;0.05,*p&lt;0.10</w:t>
            </w:r>
          </w:p>
        </w:tc>
        <w:tc>
          <w:tcPr>
            <w:tcW w:w="0" w:type="auto"/>
            <w:tcBorders>
              <w:top w:val="single" w:color="000000" w:sz="0" w:space="0"/>
              <w:left w:val="nil"/>
              <w:bottom w:val="nil"/>
              <w:right w:val="nil"/>
            </w:tcBorders>
          </w:tcPr>
          <w:p w14:paraId="3BCCBC6A">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c>
          <w:tcPr>
            <w:tcW w:w="0" w:type="auto"/>
            <w:tcBorders>
              <w:top w:val="single" w:color="000000" w:sz="0" w:space="0"/>
              <w:left w:val="nil"/>
              <w:bottom w:val="nil"/>
              <w:right w:val="nil"/>
            </w:tcBorders>
          </w:tcPr>
          <w:p w14:paraId="7375F1DE">
            <w:pPr>
              <w:keepNext w:val="0"/>
              <w:keepLines w:val="0"/>
              <w:pageBreakBefore w:val="0"/>
              <w:kinsoku/>
              <w:wordWrap/>
              <w:overflowPunct/>
              <w:topLinePunct w:val="0"/>
              <w:autoSpaceDE/>
              <w:autoSpaceDN/>
              <w:bidi w:val="0"/>
              <w:adjustRightInd/>
              <w:spacing w:line="300" w:lineRule="auto"/>
              <w:textAlignment w:val="auto"/>
              <w:rPr>
                <w:rFonts w:ascii="Times New Roman" w:hAnsi="Times New Roman" w:cs="Times New Roman"/>
                <w:szCs w:val="21"/>
              </w:rPr>
            </w:pPr>
          </w:p>
        </w:tc>
      </w:tr>
    </w:tbl>
    <w:p w14:paraId="628D162F">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表7</w:t>
      </w:r>
      <w:r>
        <w:rPr>
          <w:rFonts w:ascii="Times New Roman" w:hAnsi="Times New Roman" w:cs="Times New Roman"/>
          <w:sz w:val="24"/>
        </w:rPr>
        <w:t>中，当</w:t>
      </w:r>
      <w:r>
        <w:rPr>
          <w:rFonts w:hint="eastAsia" w:ascii="Times New Roman" w:hAnsi="Times New Roman" w:cs="Times New Roman"/>
          <w:sz w:val="24"/>
        </w:rPr>
        <w:t>将</w:t>
      </w:r>
      <w:r>
        <w:rPr>
          <w:rFonts w:ascii="Times New Roman" w:hAnsi="Times New Roman" w:cs="Times New Roman"/>
          <w:sz w:val="24"/>
        </w:rPr>
        <w:t>审计意见类型增添为控制变量之后，审计收费对数对应的系数为</w:t>
      </w:r>
      <w:r>
        <w:rPr>
          <w:rFonts w:hint="eastAsia" w:ascii="Times New Roman" w:hAnsi="Times New Roman" w:cs="Times New Roman"/>
          <w:sz w:val="24"/>
        </w:rPr>
        <w:t>-</w:t>
      </w:r>
      <w:r>
        <w:rPr>
          <w:rFonts w:ascii="Times New Roman" w:hAnsi="Times New Roman" w:cs="Times New Roman"/>
          <w:sz w:val="24"/>
        </w:rPr>
        <w:t>0.130。这表明在</w:t>
      </w:r>
      <w:r>
        <w:rPr>
          <w:rFonts w:hint="eastAsia" w:ascii="Times New Roman" w:hAnsi="Times New Roman" w:cs="Times New Roman"/>
          <w:sz w:val="24"/>
        </w:rPr>
        <w:t>将</w:t>
      </w:r>
      <w:r>
        <w:rPr>
          <w:rFonts w:ascii="Times New Roman" w:hAnsi="Times New Roman" w:cs="Times New Roman"/>
          <w:sz w:val="24"/>
        </w:rPr>
        <w:t>更多因素控制住之后，审计行为与真实盈余管理程度依旧呈负相关。</w:t>
      </w:r>
    </w:p>
    <w:p w14:paraId="321ECB64">
      <w:pPr>
        <w:keepNext w:val="0"/>
        <w:keepLines w:val="0"/>
        <w:pageBreakBefore w:val="0"/>
        <w:kinsoku/>
        <w:wordWrap/>
        <w:overflowPunct/>
        <w:topLinePunct w:val="0"/>
        <w:autoSpaceDE/>
        <w:autoSpaceDN/>
        <w:bidi w:val="0"/>
        <w:adjustRightInd/>
        <w:spacing w:line="300" w:lineRule="auto"/>
        <w:ind w:firstLine="420"/>
        <w:textAlignment w:val="auto"/>
        <w:outlineLvl w:val="2"/>
        <w:rPr>
          <w:rFonts w:ascii="Times New Roman" w:hAnsi="Times New Roman" w:cs="Times New Roman"/>
          <w:b/>
          <w:bCs/>
          <w:sz w:val="24"/>
        </w:rPr>
      </w:pPr>
      <w:r>
        <w:rPr>
          <w:rFonts w:ascii="Times New Roman" w:hAnsi="Times New Roman" w:cs="Times New Roman"/>
          <w:b/>
          <w:bCs/>
          <w:sz w:val="24"/>
        </w:rPr>
        <w:t>3.缩尾处理</w:t>
      </w:r>
    </w:p>
    <w:p w14:paraId="5EDEAEA2">
      <w:pPr>
        <w:pStyle w:val="3"/>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eastAsiaTheme="minorEastAsia"/>
          <w:sz w:val="24"/>
        </w:rPr>
      </w:pPr>
      <w:r>
        <w:rPr>
          <w:rFonts w:ascii="Times New Roman" w:hAnsi="Times New Roman" w:cs="Times New Roman" w:eastAsiaTheme="minorEastAsia"/>
          <w:sz w:val="24"/>
        </w:rPr>
        <w:t>为应对数据可能存在的极端值方面的状况，让回归结果具备稳健性与可靠性，可采用缩尾</w:t>
      </w:r>
      <w:r>
        <w:rPr>
          <w:rFonts w:hint="eastAsia" w:ascii="Times New Roman" w:hAnsi="Times New Roman" w:cs="Times New Roman" w:eastAsiaTheme="minorEastAsia"/>
          <w:sz w:val="24"/>
        </w:rPr>
        <w:t>处理法对模型稳定性进行检验</w:t>
      </w:r>
      <w:r>
        <w:rPr>
          <w:rFonts w:ascii="Times New Roman" w:hAnsi="Times New Roman" w:cs="Times New Roman" w:eastAsiaTheme="minorEastAsia"/>
          <w:sz w:val="24"/>
        </w:rPr>
        <w:t>（李萍，2019）</w:t>
      </w:r>
      <w:r>
        <w:rPr>
          <w:rStyle w:val="12"/>
          <w:rFonts w:ascii="Times New Roman" w:hAnsi="Times New Roman" w:cs="Times New Roman" w:eastAsiaTheme="minorEastAsia"/>
          <w:sz w:val="24"/>
        </w:rPr>
        <w:t>[</w:t>
      </w:r>
      <w:r>
        <w:rPr>
          <w:rStyle w:val="12"/>
          <w:rFonts w:ascii="Times New Roman" w:hAnsi="Times New Roman" w:cs="Times New Roman" w:eastAsiaTheme="minorEastAsia"/>
          <w:sz w:val="24"/>
        </w:rPr>
        <w:endnoteReference w:id="31"/>
      </w:r>
      <w:r>
        <w:rPr>
          <w:rStyle w:val="12"/>
          <w:rFonts w:ascii="Times New Roman" w:hAnsi="Times New Roman" w:cs="Times New Roman" w:eastAsiaTheme="minorEastAsia"/>
          <w:sz w:val="24"/>
        </w:rPr>
        <w:t>]</w:t>
      </w:r>
      <w:r>
        <w:rPr>
          <w:rFonts w:ascii="Times New Roman" w:hAnsi="Times New Roman" w:cs="Times New Roman" w:eastAsiaTheme="minorEastAsia"/>
          <w:sz w:val="24"/>
        </w:rPr>
        <w:t>。</w:t>
      </w:r>
      <w:r>
        <w:rPr>
          <w:rFonts w:hint="eastAsia" w:ascii="Times New Roman" w:hAnsi="Times New Roman" w:cs="Times New Roman" w:eastAsiaTheme="minorEastAsia"/>
          <w:sz w:val="24"/>
        </w:rPr>
        <w:t>本文使用stata软件，对连续性变量盈余管理绝对值（REM_abs）、审计费用（ln_AudFee）、资产负债率（Debt）、资产净利率（Roa）、主营业务收入增长率（Growth）和持股比例（Top1）进行Winsorize上下1%的缩尾操作。</w:t>
      </w:r>
      <w:r>
        <w:rPr>
          <w:rFonts w:ascii="Times New Roman" w:hAnsi="Times New Roman" w:cs="Times New Roman" w:eastAsiaTheme="minorEastAsia"/>
          <w:sz w:val="24"/>
        </w:rPr>
        <w:t>结果如</w:t>
      </w:r>
      <w:r>
        <w:rPr>
          <w:rFonts w:hint="eastAsia" w:ascii="Times New Roman" w:hAnsi="Times New Roman" w:cs="Times New Roman" w:eastAsiaTheme="minorEastAsia"/>
          <w:sz w:val="24"/>
        </w:rPr>
        <w:t>表8</w:t>
      </w:r>
      <w:r>
        <w:rPr>
          <w:rFonts w:ascii="Times New Roman" w:hAnsi="Times New Roman" w:cs="Times New Roman" w:eastAsiaTheme="minorEastAsia"/>
          <w:sz w:val="24"/>
        </w:rPr>
        <w:t>所示。</w:t>
      </w:r>
    </w:p>
    <w:p w14:paraId="4F4EB4C1">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表8 稳健性检验——缩尾处理</w:t>
      </w:r>
    </w:p>
    <w:tbl>
      <w:tblPr>
        <w:tblStyle w:val="10"/>
        <w:tblW w:w="0" w:type="auto"/>
        <w:jc w:val="center"/>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369"/>
        <w:gridCol w:w="2274"/>
        <w:gridCol w:w="1605"/>
        <w:gridCol w:w="2274"/>
      </w:tblGrid>
      <w:tr w14:paraId="1196EB8D">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0DCF89E1">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变量名称</w:t>
            </w:r>
          </w:p>
        </w:tc>
        <w:tc>
          <w:tcPr>
            <w:tcW w:w="0" w:type="auto"/>
          </w:tcPr>
          <w:p w14:paraId="72582293">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lang w:eastAsia="zh-CN"/>
              </w:rPr>
              <w:t>(1)</w:t>
            </w:r>
          </w:p>
        </w:tc>
        <w:tc>
          <w:tcPr>
            <w:tcW w:w="0" w:type="auto"/>
            <w:vMerge w:val="restart"/>
            <w:shd w:val="clear" w:color="auto" w:fill="auto"/>
            <w:vAlign w:val="center"/>
          </w:tcPr>
          <w:p w14:paraId="60044260">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变量名称</w:t>
            </w:r>
          </w:p>
        </w:tc>
        <w:tc>
          <w:tcPr>
            <w:tcW w:w="0" w:type="auto"/>
            <w:vMerge w:val="restart"/>
            <w:shd w:val="clear" w:color="auto" w:fill="auto"/>
          </w:tcPr>
          <w:p w14:paraId="0386B2F6">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lang w:eastAsia="zh-CN"/>
              </w:rPr>
              <w:t>(1)</w:t>
            </w:r>
          </w:p>
          <w:p w14:paraId="4552323F">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盈余管理绝对值（REM_abs）</w:t>
            </w:r>
          </w:p>
        </w:tc>
      </w:tr>
      <w:tr w14:paraId="7EA8A9B3">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Borders>
              <w:bottom w:val="single" w:color="000000" w:sz="0" w:space="0"/>
            </w:tcBorders>
          </w:tcPr>
          <w:p w14:paraId="27B588DA">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b/>
                <w:bCs/>
                <w:szCs w:val="21"/>
              </w:rPr>
            </w:pPr>
          </w:p>
        </w:tc>
        <w:tc>
          <w:tcPr>
            <w:tcW w:w="0" w:type="auto"/>
            <w:tcBorders>
              <w:bottom w:val="single" w:color="000000" w:sz="0" w:space="0"/>
            </w:tcBorders>
          </w:tcPr>
          <w:p w14:paraId="35FC5C13">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盈余管理绝对值（REM_abs）</w:t>
            </w:r>
          </w:p>
        </w:tc>
        <w:tc>
          <w:tcPr>
            <w:tcW w:w="0" w:type="auto"/>
            <w:vMerge w:val="continue"/>
            <w:tcBorders>
              <w:bottom w:val="single" w:color="000000" w:sz="0" w:space="0"/>
            </w:tcBorders>
          </w:tcPr>
          <w:p w14:paraId="23A8F126">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Merge w:val="continue"/>
            <w:tcBorders>
              <w:bottom w:val="single" w:color="000000" w:sz="0" w:space="0"/>
            </w:tcBorders>
            <w:shd w:val="clear" w:color="auto" w:fill="auto"/>
          </w:tcPr>
          <w:p w14:paraId="282A371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r>
      <w:tr w14:paraId="053C3063">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tcBorders>
              <w:top w:val="single" w:color="000000" w:sz="0" w:space="0"/>
            </w:tcBorders>
            <w:vAlign w:val="center"/>
          </w:tcPr>
          <w:p w14:paraId="0FAD8380">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审计费用（ln_AudFee）</w:t>
            </w:r>
          </w:p>
        </w:tc>
        <w:tc>
          <w:tcPr>
            <w:tcW w:w="0" w:type="auto"/>
            <w:tcBorders>
              <w:top w:val="single" w:color="000000" w:sz="0" w:space="0"/>
            </w:tcBorders>
            <w:vAlign w:val="center"/>
          </w:tcPr>
          <w:p w14:paraId="4099BDF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-0.157***</w:t>
            </w:r>
          </w:p>
        </w:tc>
        <w:tc>
          <w:tcPr>
            <w:tcW w:w="0" w:type="auto"/>
            <w:vMerge w:val="restart"/>
            <w:tcBorders>
              <w:top w:val="single" w:color="000000" w:sz="0" w:space="0"/>
            </w:tcBorders>
            <w:shd w:val="clear" w:color="auto" w:fill="auto"/>
            <w:vAlign w:val="center"/>
          </w:tcPr>
          <w:p w14:paraId="2CC3183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事务所排名（Rank）</w:t>
            </w:r>
          </w:p>
        </w:tc>
        <w:tc>
          <w:tcPr>
            <w:tcW w:w="0" w:type="auto"/>
            <w:tcBorders>
              <w:top w:val="single" w:color="000000" w:sz="0" w:space="0"/>
            </w:tcBorders>
            <w:shd w:val="clear" w:color="auto" w:fill="auto"/>
            <w:vAlign w:val="center"/>
          </w:tcPr>
          <w:p w14:paraId="296C520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-0.021</w:t>
            </w:r>
          </w:p>
        </w:tc>
      </w:tr>
      <w:tr w14:paraId="5B29B38F">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3B7528F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Align w:val="center"/>
          </w:tcPr>
          <w:p w14:paraId="14A0CC43">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(-6.733)</w:t>
            </w:r>
          </w:p>
        </w:tc>
        <w:tc>
          <w:tcPr>
            <w:tcW w:w="0" w:type="auto"/>
            <w:vMerge w:val="continue"/>
            <w:shd w:val="clear" w:color="auto" w:fill="auto"/>
            <w:vAlign w:val="center"/>
          </w:tcPr>
          <w:p w14:paraId="50A07F1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shd w:val="clear" w:color="auto" w:fill="auto"/>
            <w:vAlign w:val="center"/>
          </w:tcPr>
          <w:p w14:paraId="2D44EB76">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(-1.003)</w:t>
            </w:r>
          </w:p>
        </w:tc>
      </w:tr>
      <w:tr w14:paraId="4C4073D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67D1284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资产负债率（Debt）</w:t>
            </w:r>
          </w:p>
        </w:tc>
        <w:tc>
          <w:tcPr>
            <w:tcW w:w="0" w:type="auto"/>
            <w:vAlign w:val="center"/>
          </w:tcPr>
          <w:p w14:paraId="2AC7196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0.181**</w:t>
            </w:r>
          </w:p>
        </w:tc>
        <w:tc>
          <w:tcPr>
            <w:tcW w:w="0" w:type="auto"/>
            <w:vMerge w:val="restart"/>
            <w:shd w:val="clear" w:color="auto" w:fill="auto"/>
            <w:vAlign w:val="center"/>
          </w:tcPr>
          <w:p w14:paraId="7B77A3A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持股比例（Top1）</w:t>
            </w:r>
          </w:p>
        </w:tc>
        <w:tc>
          <w:tcPr>
            <w:tcW w:w="0" w:type="auto"/>
            <w:shd w:val="clear" w:color="auto" w:fill="auto"/>
            <w:vAlign w:val="center"/>
          </w:tcPr>
          <w:p w14:paraId="21CEF8C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0.001</w:t>
            </w:r>
          </w:p>
        </w:tc>
      </w:tr>
      <w:tr w14:paraId="28E3B19B">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1CF0738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Align w:val="center"/>
          </w:tcPr>
          <w:p w14:paraId="18BCE850">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(2.449)</w:t>
            </w:r>
          </w:p>
        </w:tc>
        <w:tc>
          <w:tcPr>
            <w:tcW w:w="0" w:type="auto"/>
            <w:vMerge w:val="continue"/>
            <w:shd w:val="clear" w:color="auto" w:fill="auto"/>
            <w:vAlign w:val="center"/>
          </w:tcPr>
          <w:p w14:paraId="15B75C9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shd w:val="clear" w:color="auto" w:fill="auto"/>
            <w:vAlign w:val="center"/>
          </w:tcPr>
          <w:p w14:paraId="56BDA586">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(1.221)</w:t>
            </w:r>
          </w:p>
        </w:tc>
      </w:tr>
      <w:tr w14:paraId="4CFFDDBD">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1F1737E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资产净利率（Roa）</w:t>
            </w:r>
          </w:p>
        </w:tc>
        <w:tc>
          <w:tcPr>
            <w:tcW w:w="0" w:type="auto"/>
            <w:vAlign w:val="center"/>
          </w:tcPr>
          <w:p w14:paraId="6B5FE4E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0.674***</w:t>
            </w:r>
          </w:p>
        </w:tc>
        <w:tc>
          <w:tcPr>
            <w:tcW w:w="0" w:type="auto"/>
            <w:shd w:val="clear" w:color="auto" w:fill="auto"/>
            <w:vAlign w:val="center"/>
          </w:tcPr>
          <w:p w14:paraId="4868A96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_cons</w:t>
            </w:r>
          </w:p>
        </w:tc>
        <w:tc>
          <w:tcPr>
            <w:tcW w:w="0" w:type="auto"/>
            <w:shd w:val="clear" w:color="auto" w:fill="auto"/>
            <w:vAlign w:val="center"/>
          </w:tcPr>
          <w:p w14:paraId="1231F5D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2.251***</w:t>
            </w:r>
          </w:p>
        </w:tc>
      </w:tr>
      <w:tr w14:paraId="36844015">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62BA46E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Align w:val="center"/>
          </w:tcPr>
          <w:p w14:paraId="5A91D1D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(2.999)</w:t>
            </w:r>
          </w:p>
        </w:tc>
        <w:tc>
          <w:tcPr>
            <w:tcW w:w="0" w:type="auto"/>
            <w:shd w:val="clear" w:color="auto" w:fill="auto"/>
            <w:vAlign w:val="center"/>
          </w:tcPr>
          <w:p w14:paraId="3D33F62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shd w:val="clear" w:color="auto" w:fill="auto"/>
            <w:vAlign w:val="center"/>
          </w:tcPr>
          <w:p w14:paraId="11F52A9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(6.676)</w:t>
            </w:r>
          </w:p>
        </w:tc>
      </w:tr>
      <w:tr w14:paraId="18C1EFFE">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Align w:val="center"/>
          </w:tcPr>
          <w:p w14:paraId="4B975181">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主营业务收入增长率（Growth）</w:t>
            </w:r>
          </w:p>
        </w:tc>
        <w:tc>
          <w:tcPr>
            <w:tcW w:w="0" w:type="auto"/>
            <w:vAlign w:val="center"/>
          </w:tcPr>
          <w:p w14:paraId="22205A0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0.026***</w:t>
            </w:r>
          </w:p>
          <w:p w14:paraId="5EBE967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(3.656)</w:t>
            </w:r>
          </w:p>
        </w:tc>
        <w:tc>
          <w:tcPr>
            <w:tcW w:w="0" w:type="auto"/>
            <w:vAlign w:val="center"/>
          </w:tcPr>
          <w:p w14:paraId="6093C091">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Align w:val="center"/>
          </w:tcPr>
          <w:p w14:paraId="2608B74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r>
      <w:tr w14:paraId="288C2E51">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top w:val="single" w:color="auto" w:sz="4" w:space="0"/>
            </w:tcBorders>
            <w:vAlign w:val="center"/>
          </w:tcPr>
          <w:p w14:paraId="282F9B4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R</w:t>
            </w:r>
            <w:r>
              <w:rPr>
                <w:rFonts w:hint="eastAsia" w:ascii="Times New Roman" w:hAnsi="Times New Roman" w:cs="Times New Roman"/>
                <w:szCs w:val="21"/>
                <w:vertAlign w:val="superscript"/>
              </w:rPr>
              <w:t>2</w:t>
            </w:r>
          </w:p>
        </w:tc>
        <w:tc>
          <w:tcPr>
            <w:tcW w:w="0" w:type="auto"/>
            <w:tcBorders>
              <w:top w:val="single" w:color="auto" w:sz="4" w:space="0"/>
            </w:tcBorders>
            <w:vAlign w:val="center"/>
          </w:tcPr>
          <w:p w14:paraId="12B966E4">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0.095</w:t>
            </w:r>
          </w:p>
        </w:tc>
        <w:tc>
          <w:tcPr>
            <w:tcW w:w="0" w:type="auto"/>
            <w:tcBorders>
              <w:top w:val="single" w:color="auto" w:sz="4" w:space="0"/>
            </w:tcBorders>
            <w:shd w:val="clear" w:color="auto" w:fill="auto"/>
            <w:vAlign w:val="center"/>
          </w:tcPr>
          <w:p w14:paraId="403FB02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R</w:t>
            </w:r>
            <w:r>
              <w:rPr>
                <w:rFonts w:hint="eastAsia" w:ascii="Times New Roman" w:hAnsi="Times New Roman" w:cs="Times New Roman"/>
                <w:szCs w:val="21"/>
                <w:vertAlign w:val="superscript"/>
              </w:rPr>
              <w:t>2</w:t>
            </w:r>
          </w:p>
        </w:tc>
        <w:tc>
          <w:tcPr>
            <w:tcW w:w="0" w:type="auto"/>
            <w:tcBorders>
              <w:top w:val="single" w:color="auto" w:sz="4" w:space="0"/>
            </w:tcBorders>
            <w:shd w:val="clear" w:color="auto" w:fill="auto"/>
            <w:vAlign w:val="center"/>
          </w:tcPr>
          <w:p w14:paraId="4073117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0.095</w:t>
            </w:r>
          </w:p>
        </w:tc>
      </w:tr>
      <w:tr w14:paraId="323D69B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bottom w:val="single" w:color="000000" w:sz="0" w:space="0"/>
            </w:tcBorders>
            <w:vAlign w:val="center"/>
          </w:tcPr>
          <w:p w14:paraId="2D5AF0B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F</w:t>
            </w:r>
          </w:p>
        </w:tc>
        <w:tc>
          <w:tcPr>
            <w:tcW w:w="0" w:type="auto"/>
            <w:tcBorders>
              <w:bottom w:val="single" w:color="000000" w:sz="0" w:space="0"/>
            </w:tcBorders>
            <w:vAlign w:val="center"/>
          </w:tcPr>
          <w:p w14:paraId="43BCD23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14.772</w:t>
            </w:r>
          </w:p>
        </w:tc>
        <w:tc>
          <w:tcPr>
            <w:tcW w:w="0" w:type="auto"/>
            <w:tcBorders>
              <w:bottom w:val="single" w:color="000000" w:sz="0" w:space="0"/>
            </w:tcBorders>
            <w:shd w:val="clear" w:color="auto" w:fill="auto"/>
            <w:vAlign w:val="center"/>
          </w:tcPr>
          <w:p w14:paraId="2F1CE73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F</w:t>
            </w:r>
          </w:p>
        </w:tc>
        <w:tc>
          <w:tcPr>
            <w:tcW w:w="0" w:type="auto"/>
            <w:tcBorders>
              <w:bottom w:val="single" w:color="000000" w:sz="0" w:space="0"/>
            </w:tcBorders>
            <w:shd w:val="clear" w:color="auto" w:fill="auto"/>
            <w:vAlign w:val="center"/>
          </w:tcPr>
          <w:p w14:paraId="408C7054">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14.772</w:t>
            </w:r>
          </w:p>
        </w:tc>
      </w:tr>
      <w:tr w14:paraId="0D1037B9">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gridSpan w:val="2"/>
            <w:tcBorders>
              <w:top w:val="single" w:color="000000" w:sz="0" w:space="0"/>
              <w:left w:val="nil"/>
              <w:bottom w:val="nil"/>
              <w:right w:val="nil"/>
            </w:tcBorders>
          </w:tcPr>
          <w:p w14:paraId="4D546B45">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Cs w:val="21"/>
              </w:rPr>
            </w:pPr>
            <w:r>
              <w:rPr>
                <w:rFonts w:hint="eastAsia" w:ascii="Times New Roman" w:hAnsi="Times New Roman" w:cs="Times New Roman"/>
                <w:szCs w:val="21"/>
              </w:rPr>
              <w:t>***p&lt;0.01,**p&lt;0.05,*p&lt;0.10</w:t>
            </w:r>
          </w:p>
        </w:tc>
        <w:tc>
          <w:tcPr>
            <w:tcW w:w="0" w:type="auto"/>
            <w:tcBorders>
              <w:top w:val="single" w:color="000000" w:sz="0" w:space="0"/>
              <w:left w:val="nil"/>
              <w:bottom w:val="nil"/>
              <w:right w:val="nil"/>
            </w:tcBorders>
          </w:tcPr>
          <w:p w14:paraId="6747417E">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Cs w:val="21"/>
              </w:rPr>
            </w:pPr>
          </w:p>
        </w:tc>
        <w:tc>
          <w:tcPr>
            <w:tcW w:w="0" w:type="auto"/>
            <w:tcBorders>
              <w:top w:val="single" w:color="000000" w:sz="0" w:space="0"/>
              <w:left w:val="nil"/>
              <w:bottom w:val="nil"/>
              <w:right w:val="nil"/>
            </w:tcBorders>
          </w:tcPr>
          <w:p w14:paraId="79BBB34F">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Cs w:val="21"/>
              </w:rPr>
            </w:pPr>
          </w:p>
        </w:tc>
      </w:tr>
    </w:tbl>
    <w:p w14:paraId="53D4A020">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sz w:val="24"/>
        </w:rPr>
        <w:t>由表8中，缩尾处理后，所有变量的显著性与系数与原本的结果总体一致。</w:t>
      </w:r>
    </w:p>
    <w:p w14:paraId="500F2FEE">
      <w:pPr>
        <w:keepNext w:val="0"/>
        <w:keepLines w:val="0"/>
        <w:pageBreakBefore w:val="0"/>
        <w:kinsoku/>
        <w:wordWrap/>
        <w:overflowPunct/>
        <w:topLinePunct w:val="0"/>
        <w:autoSpaceDE/>
        <w:autoSpaceDN/>
        <w:bidi w:val="0"/>
        <w:adjustRightInd/>
        <w:spacing w:line="300" w:lineRule="auto"/>
        <w:ind w:firstLine="420"/>
        <w:textAlignment w:val="auto"/>
        <w:outlineLvl w:val="2"/>
        <w:rPr>
          <w:rFonts w:hint="eastAsia" w:ascii="Times New Roman" w:hAnsi="Times New Roman" w:cs="Times New Roman"/>
          <w:b/>
          <w:bCs/>
          <w:sz w:val="24"/>
        </w:rPr>
      </w:pPr>
      <w:r>
        <w:rPr>
          <w:rFonts w:hint="eastAsia" w:ascii="Times New Roman" w:hAnsi="Times New Roman" w:cs="Times New Roman"/>
          <w:b/>
          <w:bCs/>
          <w:sz w:val="24"/>
        </w:rPr>
        <w:t>4.替换被解释变量</w:t>
      </w:r>
    </w:p>
    <w:p w14:paraId="3904D780">
      <w:pPr>
        <w:pStyle w:val="3"/>
        <w:keepNext w:val="0"/>
        <w:keepLines w:val="0"/>
        <w:pageBreakBefore w:val="0"/>
        <w:kinsoku/>
        <w:wordWrap/>
        <w:overflowPunct/>
        <w:topLinePunct w:val="0"/>
        <w:autoSpaceDE/>
        <w:autoSpaceDN/>
        <w:bidi w:val="0"/>
        <w:adjustRightInd/>
        <w:spacing w:line="300" w:lineRule="auto"/>
        <w:ind w:firstLine="480" w:firstLineChars="200"/>
        <w:jc w:val="left"/>
        <w:textAlignment w:val="auto"/>
        <w:rPr>
          <w:rFonts w:hint="eastAsia" w:ascii="Times New Roman" w:hAnsi="Times New Roman" w:cs="Times New Roman" w:eastAsiaTheme="minorEastAsia"/>
          <w:sz w:val="24"/>
        </w:rPr>
      </w:pPr>
      <w:r>
        <w:rPr>
          <w:rFonts w:hint="eastAsia" w:ascii="Times New Roman" w:hAnsi="Times New Roman" w:cs="Times New Roman" w:eastAsiaTheme="minorEastAsia"/>
          <w:sz w:val="24"/>
        </w:rPr>
        <w:t>为确保研究结果的可靠性，本文做了替换被解释变量的稳健性检验方法。在真实盈余管理衡量方面，采用修正Jones模型对数据重</w:t>
      </w:r>
      <w:bookmarkStart w:id="25" w:name="OLE_LINK6"/>
      <w:r>
        <w:rPr>
          <w:rFonts w:hint="eastAsia" w:ascii="Times New Roman" w:hAnsi="Times New Roman" w:cs="Times New Roman" w:eastAsiaTheme="minorEastAsia"/>
          <w:sz w:val="24"/>
        </w:rPr>
        <w:t>新计</w:t>
      </w:r>
      <w:bookmarkEnd w:id="25"/>
      <w:r>
        <w:rPr>
          <w:rFonts w:hint="eastAsia" w:ascii="Times New Roman" w:hAnsi="Times New Roman" w:cs="Times New Roman" w:eastAsiaTheme="minorEastAsia"/>
          <w:sz w:val="24"/>
        </w:rPr>
        <w:t>算（王瑶，2023）</w:t>
      </w:r>
      <w:r>
        <w:rPr>
          <w:rStyle w:val="12"/>
        </w:rPr>
        <w:t>[</w:t>
      </w:r>
      <w:r>
        <w:rPr>
          <w:rStyle w:val="12"/>
          <w:rFonts w:hint="eastAsia" w:ascii="Times New Roman" w:hAnsi="Times New Roman" w:cs="Times New Roman" w:eastAsiaTheme="minorEastAsia"/>
          <w:sz w:val="24"/>
        </w:rPr>
        <w:endnoteReference w:id="32"/>
      </w:r>
      <w:r>
        <w:rPr>
          <w:rStyle w:val="12"/>
        </w:rPr>
        <w:t>]</w:t>
      </w:r>
      <w:r>
        <w:rPr>
          <w:rFonts w:hint="eastAsia" w:ascii="Times New Roman" w:hAnsi="Times New Roman" w:cs="Times New Roman" w:eastAsiaTheme="minorEastAsia"/>
          <w:sz w:val="24"/>
        </w:rPr>
        <w:t>，随后将此替代变量引入回归模型中进行检测，结果如表9所示。</w:t>
      </w:r>
    </w:p>
    <w:p w14:paraId="6CA4C87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b/>
          <w:bCs/>
          <w:szCs w:val="21"/>
        </w:rPr>
        <w:t>表 9 稳健性检验——替换被解释变量</w:t>
      </w:r>
    </w:p>
    <w:tbl>
      <w:tblPr>
        <w:tblStyle w:val="10"/>
        <w:tblW w:w="0" w:type="auto"/>
        <w:jc w:val="center"/>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484"/>
        <w:gridCol w:w="2179"/>
        <w:gridCol w:w="1680"/>
        <w:gridCol w:w="2179"/>
      </w:tblGrid>
      <w:tr w14:paraId="370D1085">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439C268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变量名称</w:t>
            </w:r>
          </w:p>
        </w:tc>
        <w:tc>
          <w:tcPr>
            <w:tcW w:w="0" w:type="auto"/>
            <w:vAlign w:val="center"/>
          </w:tcPr>
          <w:p w14:paraId="27CD19E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lang w:eastAsia="zh-CN"/>
              </w:rPr>
              <w:t>(1)</w:t>
            </w:r>
          </w:p>
        </w:tc>
        <w:tc>
          <w:tcPr>
            <w:tcW w:w="0" w:type="auto"/>
            <w:vMerge w:val="restart"/>
            <w:vAlign w:val="center"/>
          </w:tcPr>
          <w:p w14:paraId="713D0F64">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变量名称</w:t>
            </w:r>
          </w:p>
        </w:tc>
        <w:tc>
          <w:tcPr>
            <w:tcW w:w="0" w:type="auto"/>
            <w:vMerge w:val="restart"/>
            <w:shd w:val="clear" w:color="auto" w:fill="auto"/>
            <w:vAlign w:val="center"/>
          </w:tcPr>
          <w:p w14:paraId="3FFC4600">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lang w:eastAsia="zh-CN"/>
              </w:rPr>
              <w:t>(1)</w:t>
            </w:r>
          </w:p>
          <w:p w14:paraId="11B9D06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修正Jones模型（DA_abs）</w:t>
            </w:r>
          </w:p>
        </w:tc>
      </w:tr>
      <w:tr w14:paraId="0E478D3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tcBorders>
              <w:bottom w:val="single" w:color="000000" w:sz="0" w:space="0"/>
            </w:tcBorders>
            <w:vAlign w:val="center"/>
          </w:tcPr>
          <w:p w14:paraId="379173D1">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tcBorders>
              <w:bottom w:val="single" w:color="000000" w:sz="0" w:space="0"/>
            </w:tcBorders>
            <w:vAlign w:val="center"/>
          </w:tcPr>
          <w:p w14:paraId="7DE295B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b/>
                <w:bCs/>
                <w:szCs w:val="21"/>
              </w:rPr>
              <w:t>修正Jones模型（DA_abs）</w:t>
            </w:r>
          </w:p>
        </w:tc>
        <w:tc>
          <w:tcPr>
            <w:tcW w:w="0" w:type="auto"/>
            <w:vMerge w:val="continue"/>
            <w:tcBorders>
              <w:bottom w:val="single" w:color="000000" w:sz="0" w:space="0"/>
            </w:tcBorders>
            <w:vAlign w:val="center"/>
          </w:tcPr>
          <w:p w14:paraId="3E59196F">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Merge w:val="continue"/>
            <w:tcBorders>
              <w:bottom w:val="single" w:color="000000" w:sz="0" w:space="0"/>
            </w:tcBorders>
            <w:shd w:val="clear" w:color="auto" w:fill="auto"/>
            <w:vAlign w:val="center"/>
          </w:tcPr>
          <w:p w14:paraId="6177C6A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r>
      <w:tr w14:paraId="6886AA68">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tcBorders>
              <w:top w:val="single" w:color="000000" w:sz="0" w:space="0"/>
            </w:tcBorders>
            <w:vAlign w:val="center"/>
          </w:tcPr>
          <w:p w14:paraId="7971AB0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审计费用（ln_AudFee）</w:t>
            </w:r>
          </w:p>
        </w:tc>
        <w:tc>
          <w:tcPr>
            <w:tcW w:w="0" w:type="auto"/>
            <w:tcBorders>
              <w:top w:val="single" w:color="000000" w:sz="0" w:space="0"/>
            </w:tcBorders>
            <w:vAlign w:val="center"/>
          </w:tcPr>
          <w:p w14:paraId="4F70314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-0.038***</w:t>
            </w:r>
          </w:p>
        </w:tc>
        <w:tc>
          <w:tcPr>
            <w:tcW w:w="0" w:type="auto"/>
            <w:vMerge w:val="restart"/>
            <w:tcBorders>
              <w:top w:val="single" w:color="000000" w:sz="0" w:space="0"/>
            </w:tcBorders>
            <w:shd w:val="clear" w:color="auto" w:fill="auto"/>
            <w:vAlign w:val="center"/>
          </w:tcPr>
          <w:p w14:paraId="053D46A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事务所排名（Rank）</w:t>
            </w:r>
          </w:p>
        </w:tc>
        <w:tc>
          <w:tcPr>
            <w:tcW w:w="0" w:type="auto"/>
            <w:tcBorders>
              <w:top w:val="single" w:color="000000" w:sz="0" w:space="0"/>
            </w:tcBorders>
            <w:shd w:val="clear" w:color="auto" w:fill="auto"/>
            <w:vAlign w:val="center"/>
          </w:tcPr>
          <w:p w14:paraId="0E0DF6B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-0.014</w:t>
            </w:r>
          </w:p>
        </w:tc>
      </w:tr>
      <w:tr w14:paraId="66CE4805">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5FB352D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Align w:val="center"/>
          </w:tcPr>
          <w:p w14:paraId="280394EA">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(-3.243)</w:t>
            </w:r>
          </w:p>
        </w:tc>
        <w:tc>
          <w:tcPr>
            <w:tcW w:w="0" w:type="auto"/>
            <w:vMerge w:val="continue"/>
            <w:shd w:val="clear" w:color="auto" w:fill="auto"/>
            <w:vAlign w:val="center"/>
          </w:tcPr>
          <w:p w14:paraId="7791C84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shd w:val="clear" w:color="auto" w:fill="auto"/>
            <w:vAlign w:val="center"/>
          </w:tcPr>
          <w:p w14:paraId="5B69AC04">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(-1.265)</w:t>
            </w:r>
          </w:p>
        </w:tc>
      </w:tr>
      <w:tr w14:paraId="72F74B06">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55CA38BB">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资产负债率（Debt）</w:t>
            </w:r>
          </w:p>
        </w:tc>
        <w:tc>
          <w:tcPr>
            <w:tcW w:w="0" w:type="auto"/>
            <w:vAlign w:val="center"/>
          </w:tcPr>
          <w:p w14:paraId="1F221D1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0.031</w:t>
            </w:r>
          </w:p>
        </w:tc>
        <w:tc>
          <w:tcPr>
            <w:tcW w:w="0" w:type="auto"/>
            <w:vMerge w:val="restart"/>
            <w:shd w:val="clear" w:color="auto" w:fill="auto"/>
            <w:vAlign w:val="center"/>
          </w:tcPr>
          <w:p w14:paraId="28D8CE5F">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持股比例（Top1）</w:t>
            </w:r>
          </w:p>
        </w:tc>
        <w:tc>
          <w:tcPr>
            <w:tcW w:w="0" w:type="auto"/>
            <w:shd w:val="clear" w:color="auto" w:fill="auto"/>
            <w:vAlign w:val="center"/>
          </w:tcPr>
          <w:p w14:paraId="4470B6C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0.001**</w:t>
            </w:r>
          </w:p>
        </w:tc>
      </w:tr>
      <w:tr w14:paraId="007C2344">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4E63C84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Align w:val="center"/>
          </w:tcPr>
          <w:p w14:paraId="044B08BF">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(0.794)</w:t>
            </w:r>
          </w:p>
        </w:tc>
        <w:tc>
          <w:tcPr>
            <w:tcW w:w="0" w:type="auto"/>
            <w:vMerge w:val="continue"/>
            <w:shd w:val="clear" w:color="auto" w:fill="auto"/>
            <w:vAlign w:val="center"/>
          </w:tcPr>
          <w:p w14:paraId="3382730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shd w:val="clear" w:color="auto" w:fill="auto"/>
            <w:vAlign w:val="center"/>
          </w:tcPr>
          <w:p w14:paraId="34B46AF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(2.060)</w:t>
            </w:r>
          </w:p>
        </w:tc>
      </w:tr>
      <w:tr w14:paraId="40BD1FC3">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restart"/>
            <w:vAlign w:val="center"/>
          </w:tcPr>
          <w:p w14:paraId="15D445C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资产净利率（Roa）</w:t>
            </w:r>
          </w:p>
        </w:tc>
        <w:tc>
          <w:tcPr>
            <w:tcW w:w="0" w:type="auto"/>
            <w:vAlign w:val="center"/>
          </w:tcPr>
          <w:p w14:paraId="7EEB378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-0.162</w:t>
            </w:r>
          </w:p>
        </w:tc>
        <w:tc>
          <w:tcPr>
            <w:tcW w:w="0" w:type="auto"/>
            <w:shd w:val="clear" w:color="auto" w:fill="auto"/>
            <w:vAlign w:val="center"/>
          </w:tcPr>
          <w:p w14:paraId="736D133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_cons</w:t>
            </w:r>
          </w:p>
        </w:tc>
        <w:tc>
          <w:tcPr>
            <w:tcW w:w="0" w:type="auto"/>
            <w:shd w:val="clear" w:color="auto" w:fill="auto"/>
            <w:vAlign w:val="center"/>
          </w:tcPr>
          <w:p w14:paraId="026DD54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0.567***</w:t>
            </w:r>
          </w:p>
        </w:tc>
      </w:tr>
      <w:tr w14:paraId="308A1FA6">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vMerge w:val="continue"/>
            <w:vAlign w:val="center"/>
          </w:tcPr>
          <w:p w14:paraId="2F0ABC2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vAlign w:val="center"/>
          </w:tcPr>
          <w:p w14:paraId="42B1DCE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(-1.453)</w:t>
            </w:r>
          </w:p>
        </w:tc>
        <w:tc>
          <w:tcPr>
            <w:tcW w:w="0" w:type="auto"/>
            <w:shd w:val="clear" w:color="auto" w:fill="auto"/>
            <w:vAlign w:val="center"/>
          </w:tcPr>
          <w:p w14:paraId="1BBA5E8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shd w:val="clear" w:color="auto" w:fill="auto"/>
            <w:vAlign w:val="center"/>
          </w:tcPr>
          <w:p w14:paraId="707BA25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(3.338)</w:t>
            </w:r>
          </w:p>
        </w:tc>
      </w:tr>
      <w:tr w14:paraId="0CB5D45A">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bottom w:val="single" w:color="auto" w:sz="4" w:space="0"/>
            </w:tcBorders>
            <w:vAlign w:val="center"/>
          </w:tcPr>
          <w:p w14:paraId="08035D0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主营业务收入增长率（Growth）</w:t>
            </w:r>
          </w:p>
        </w:tc>
        <w:tc>
          <w:tcPr>
            <w:tcW w:w="0" w:type="auto"/>
            <w:tcBorders>
              <w:bottom w:val="single" w:color="auto" w:sz="4" w:space="0"/>
            </w:tcBorders>
            <w:vAlign w:val="center"/>
          </w:tcPr>
          <w:p w14:paraId="1D524351">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0.028***</w:t>
            </w:r>
          </w:p>
          <w:p w14:paraId="49F0A6D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(16.143)</w:t>
            </w:r>
          </w:p>
        </w:tc>
        <w:tc>
          <w:tcPr>
            <w:tcW w:w="0" w:type="auto"/>
            <w:tcBorders>
              <w:bottom w:val="single" w:color="auto" w:sz="4" w:space="0"/>
            </w:tcBorders>
            <w:vAlign w:val="center"/>
          </w:tcPr>
          <w:p w14:paraId="1632018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tcBorders>
              <w:bottom w:val="single" w:color="auto" w:sz="4" w:space="0"/>
            </w:tcBorders>
            <w:vAlign w:val="center"/>
          </w:tcPr>
          <w:p w14:paraId="510B5906">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r>
      <w:tr w14:paraId="5058F3CE">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top w:val="single" w:color="auto" w:sz="4" w:space="0"/>
            </w:tcBorders>
            <w:vAlign w:val="center"/>
          </w:tcPr>
          <w:p w14:paraId="52B154B4">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R</w:t>
            </w:r>
            <w:r>
              <w:rPr>
                <w:rFonts w:hint="eastAsia" w:ascii="Times New Roman" w:hAnsi="Times New Roman" w:cs="Times New Roman"/>
                <w:szCs w:val="21"/>
                <w:vertAlign w:val="superscript"/>
              </w:rPr>
              <w:t>2</w:t>
            </w:r>
          </w:p>
        </w:tc>
        <w:tc>
          <w:tcPr>
            <w:tcW w:w="0" w:type="auto"/>
            <w:tcBorders>
              <w:top w:val="single" w:color="auto" w:sz="4" w:space="0"/>
            </w:tcBorders>
            <w:vAlign w:val="center"/>
          </w:tcPr>
          <w:p w14:paraId="761B1A76">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0.254</w:t>
            </w:r>
          </w:p>
        </w:tc>
        <w:tc>
          <w:tcPr>
            <w:tcW w:w="0" w:type="auto"/>
            <w:tcBorders>
              <w:top w:val="single" w:color="auto" w:sz="4" w:space="0"/>
            </w:tcBorders>
            <w:shd w:val="clear" w:color="auto" w:fill="auto"/>
            <w:vAlign w:val="center"/>
          </w:tcPr>
          <w:p w14:paraId="1C25073A">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R</w:t>
            </w:r>
            <w:r>
              <w:rPr>
                <w:rFonts w:hint="eastAsia" w:ascii="Times New Roman" w:hAnsi="Times New Roman" w:cs="Times New Roman"/>
                <w:szCs w:val="21"/>
                <w:vertAlign w:val="superscript"/>
              </w:rPr>
              <w:t>2</w:t>
            </w:r>
          </w:p>
        </w:tc>
        <w:tc>
          <w:tcPr>
            <w:tcW w:w="0" w:type="auto"/>
            <w:tcBorders>
              <w:top w:val="single" w:color="auto" w:sz="4" w:space="0"/>
            </w:tcBorders>
            <w:shd w:val="clear" w:color="auto" w:fill="auto"/>
            <w:vAlign w:val="center"/>
          </w:tcPr>
          <w:p w14:paraId="24EBB9C0">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0.254</w:t>
            </w:r>
          </w:p>
        </w:tc>
      </w:tr>
      <w:tr w14:paraId="67FB97AF">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tcBorders>
              <w:bottom w:val="single" w:color="000000" w:sz="0" w:space="0"/>
            </w:tcBorders>
            <w:vAlign w:val="center"/>
          </w:tcPr>
          <w:p w14:paraId="2041A784">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F</w:t>
            </w:r>
          </w:p>
        </w:tc>
        <w:tc>
          <w:tcPr>
            <w:tcW w:w="0" w:type="auto"/>
            <w:tcBorders>
              <w:bottom w:val="single" w:color="000000" w:sz="0" w:space="0"/>
            </w:tcBorders>
            <w:vAlign w:val="center"/>
          </w:tcPr>
          <w:p w14:paraId="5907AA2A">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47.094</w:t>
            </w:r>
          </w:p>
        </w:tc>
        <w:tc>
          <w:tcPr>
            <w:tcW w:w="0" w:type="auto"/>
            <w:tcBorders>
              <w:bottom w:val="single" w:color="000000" w:sz="0" w:space="0"/>
            </w:tcBorders>
            <w:shd w:val="clear" w:color="auto" w:fill="auto"/>
            <w:vAlign w:val="center"/>
          </w:tcPr>
          <w:p w14:paraId="6C738C8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F</w:t>
            </w:r>
          </w:p>
        </w:tc>
        <w:tc>
          <w:tcPr>
            <w:tcW w:w="0" w:type="auto"/>
            <w:tcBorders>
              <w:bottom w:val="single" w:color="000000" w:sz="0" w:space="0"/>
            </w:tcBorders>
            <w:shd w:val="clear" w:color="auto" w:fill="auto"/>
            <w:vAlign w:val="center"/>
          </w:tcPr>
          <w:p w14:paraId="43AA652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47.094</w:t>
            </w:r>
          </w:p>
        </w:tc>
      </w:tr>
      <w:tr w14:paraId="363D4967">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0" w:type="auto"/>
            <w:gridSpan w:val="2"/>
            <w:tcBorders>
              <w:top w:val="single" w:color="000000" w:sz="0" w:space="0"/>
              <w:left w:val="nil"/>
              <w:bottom w:val="nil"/>
              <w:right w:val="nil"/>
            </w:tcBorders>
            <w:vAlign w:val="center"/>
          </w:tcPr>
          <w:p w14:paraId="165D27FB">
            <w:pPr>
              <w:keepNext w:val="0"/>
              <w:keepLines w:val="0"/>
              <w:pageBreakBefore w:val="0"/>
              <w:kinsoku/>
              <w:wordWrap/>
              <w:overflowPunct/>
              <w:topLinePunct w:val="0"/>
              <w:autoSpaceDE/>
              <w:autoSpaceDN/>
              <w:bidi w:val="0"/>
              <w:adjustRightInd/>
              <w:spacing w:line="300" w:lineRule="auto"/>
              <w:jc w:val="left"/>
              <w:textAlignment w:val="auto"/>
              <w:rPr>
                <w:rFonts w:hint="eastAsia" w:ascii="Times New Roman" w:hAnsi="Times New Roman" w:cs="Times New Roman"/>
                <w:szCs w:val="21"/>
              </w:rPr>
            </w:pPr>
            <w:r>
              <w:rPr>
                <w:rFonts w:hint="eastAsia" w:ascii="Times New Roman" w:hAnsi="Times New Roman" w:cs="Times New Roman"/>
                <w:szCs w:val="21"/>
              </w:rPr>
              <w:t>***p&lt;0.01,**p&lt;0.05,*p&lt;0.10</w:t>
            </w:r>
          </w:p>
        </w:tc>
        <w:tc>
          <w:tcPr>
            <w:tcW w:w="0" w:type="auto"/>
            <w:tcBorders>
              <w:top w:val="single" w:color="000000" w:sz="0" w:space="0"/>
              <w:left w:val="nil"/>
              <w:bottom w:val="nil"/>
              <w:right w:val="nil"/>
            </w:tcBorders>
            <w:vAlign w:val="center"/>
          </w:tcPr>
          <w:p w14:paraId="710BA3AA">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0" w:type="auto"/>
            <w:tcBorders>
              <w:top w:val="single" w:color="000000" w:sz="0" w:space="0"/>
              <w:left w:val="nil"/>
              <w:bottom w:val="nil"/>
              <w:right w:val="nil"/>
            </w:tcBorders>
            <w:vAlign w:val="center"/>
          </w:tcPr>
          <w:p w14:paraId="1B62B58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r>
    </w:tbl>
    <w:p w14:paraId="59B138B4">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sz w:val="24"/>
        </w:rPr>
        <w:t>表9中，借助修正Jones模型计算的真实盈余管理和原模型结果大致一致。就稳健性检验的结果而言，不同检验方法下得到的结论未表现出明显不同，这支持了本文研究结论既稳健又可靠。</w:t>
      </w:r>
    </w:p>
    <w:p w14:paraId="3A37E4C3">
      <w:pPr>
        <w:keepNext w:val="0"/>
        <w:keepLines w:val="0"/>
        <w:pageBreakBefore w:val="0"/>
        <w:kinsoku/>
        <w:wordWrap/>
        <w:overflowPunct/>
        <w:topLinePunct w:val="0"/>
        <w:autoSpaceDE/>
        <w:autoSpaceDN/>
        <w:bidi w:val="0"/>
        <w:adjustRightInd/>
        <w:spacing w:line="300" w:lineRule="auto"/>
        <w:ind w:firstLine="420"/>
        <w:textAlignment w:val="auto"/>
        <w:outlineLvl w:val="1"/>
        <w:rPr>
          <w:rFonts w:hint="eastAsia" w:ascii="Times New Roman" w:hAnsi="Times New Roman" w:cs="Times New Roman"/>
          <w:b/>
          <w:bCs/>
          <w:sz w:val="24"/>
        </w:rPr>
      </w:pPr>
      <w:r>
        <w:rPr>
          <w:rFonts w:hint="eastAsia" w:ascii="Times New Roman" w:hAnsi="Times New Roman" w:cs="Times New Roman"/>
          <w:b/>
          <w:bCs/>
          <w:sz w:val="24"/>
        </w:rPr>
        <w:t>（六）异质性检验</w:t>
      </w:r>
    </w:p>
    <w:p w14:paraId="1DD91595">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sz w:val="24"/>
        </w:rPr>
        <w:t>研究显示，不同产权性质上市公司盈余管理水平有差异。由于国企受到更为严格的监管与公众监督，采取真实盈余管理行为会面临较大的阻碍。</w:t>
      </w:r>
      <w:r>
        <w:rPr>
          <w:rFonts w:hint="eastAsia" w:ascii="Times New Roman" w:hAnsi="Times New Roman" w:cs="Times New Roman"/>
          <w:sz w:val="24"/>
          <w:lang w:val="en-US" w:eastAsia="zh-CN"/>
        </w:rPr>
        <w:t>而</w:t>
      </w:r>
      <w:r>
        <w:rPr>
          <w:rFonts w:hint="eastAsia" w:ascii="Times New Roman" w:hAnsi="Times New Roman" w:cs="Times New Roman"/>
          <w:sz w:val="24"/>
        </w:rPr>
        <w:t>部分非国有企业</w:t>
      </w:r>
      <w:r>
        <w:rPr>
          <w:rFonts w:hint="eastAsia" w:ascii="Times New Roman" w:hAnsi="Times New Roman" w:cs="Times New Roman"/>
          <w:sz w:val="24"/>
          <w:lang w:eastAsia="zh-CN"/>
        </w:rPr>
        <w:t>，</w:t>
      </w:r>
      <w:r>
        <w:rPr>
          <w:rFonts w:hint="eastAsia" w:ascii="Times New Roman" w:hAnsi="Times New Roman" w:cs="Times New Roman"/>
          <w:sz w:val="24"/>
        </w:rPr>
        <w:t>为了在资本市场成功融资</w:t>
      </w:r>
      <w:r>
        <w:rPr>
          <w:rFonts w:hint="eastAsia" w:ascii="Times New Roman" w:hAnsi="Times New Roman" w:cs="Times New Roman"/>
          <w:sz w:val="24"/>
          <w:lang w:val="en-US" w:eastAsia="zh-CN"/>
        </w:rPr>
        <w:t>则可能</w:t>
      </w:r>
      <w:r>
        <w:rPr>
          <w:rFonts w:hint="eastAsia" w:ascii="Times New Roman" w:hAnsi="Times New Roman" w:cs="Times New Roman"/>
          <w:sz w:val="24"/>
        </w:rPr>
        <w:t>会</w:t>
      </w:r>
      <w:r>
        <w:rPr>
          <w:rFonts w:hint="eastAsia" w:ascii="Times New Roman" w:hAnsi="Times New Roman" w:cs="Times New Roman"/>
          <w:sz w:val="24"/>
          <w:lang w:val="en-US" w:eastAsia="zh-CN"/>
        </w:rPr>
        <w:t>存在</w:t>
      </w:r>
      <w:r>
        <w:rPr>
          <w:rFonts w:hint="eastAsia" w:ascii="Times New Roman" w:hAnsi="Times New Roman" w:cs="Times New Roman"/>
          <w:sz w:val="24"/>
        </w:rPr>
        <w:t>较强的盈余管理动机。</w:t>
      </w:r>
      <w:r>
        <w:rPr>
          <w:rFonts w:hint="eastAsia" w:ascii="Times New Roman" w:hAnsi="Times New Roman" w:cs="Times New Roman"/>
          <w:sz w:val="24"/>
          <w:lang w:val="en-US" w:eastAsia="zh-CN"/>
        </w:rPr>
        <w:t>故</w:t>
      </w:r>
      <w:r>
        <w:rPr>
          <w:rFonts w:hint="eastAsia" w:ascii="Times New Roman" w:hAnsi="Times New Roman" w:cs="Times New Roman"/>
          <w:sz w:val="24"/>
        </w:rPr>
        <w:t>本文按照企业性质划分成不同组，分为非国有企业类和国有企业类，结果如表10所示。</w:t>
      </w:r>
    </w:p>
    <w:p w14:paraId="4C5CAE54">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表</w:t>
      </w:r>
      <w:r>
        <w:rPr>
          <w:rFonts w:ascii="Times New Roman" w:hAnsi="Times New Roman" w:cs="Times New Roman"/>
          <w:b/>
          <w:bCs/>
          <w:szCs w:val="21"/>
        </w:rPr>
        <w:t>10</w:t>
      </w:r>
      <w:r>
        <w:rPr>
          <w:rFonts w:hint="eastAsia" w:ascii="Times New Roman" w:hAnsi="Times New Roman" w:cs="Times New Roman"/>
          <w:b/>
          <w:bCs/>
          <w:szCs w:val="21"/>
        </w:rPr>
        <w:t xml:space="preserve"> 异质性检验分析</w:t>
      </w:r>
    </w:p>
    <w:tbl>
      <w:tblPr>
        <w:tblStyle w:val="10"/>
        <w:tblW w:w="9285" w:type="dxa"/>
        <w:jc w:val="center"/>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95"/>
        <w:gridCol w:w="3095"/>
        <w:gridCol w:w="3095"/>
      </w:tblGrid>
      <w:tr w14:paraId="3B98428A">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restart"/>
            <w:vAlign w:val="center"/>
          </w:tcPr>
          <w:p w14:paraId="32CFD07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变量名称</w:t>
            </w:r>
          </w:p>
        </w:tc>
        <w:tc>
          <w:tcPr>
            <w:tcW w:w="3095" w:type="dxa"/>
          </w:tcPr>
          <w:p w14:paraId="4FEF417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lang w:eastAsia="zh-CN"/>
              </w:rPr>
              <w:t>(1)</w:t>
            </w:r>
            <w:r>
              <w:rPr>
                <w:rFonts w:hint="eastAsia" w:ascii="Times New Roman" w:hAnsi="Times New Roman" w:cs="Times New Roman"/>
                <w:b/>
                <w:bCs/>
                <w:szCs w:val="21"/>
              </w:rPr>
              <w:t>非国有企业</w:t>
            </w:r>
          </w:p>
        </w:tc>
        <w:tc>
          <w:tcPr>
            <w:tcW w:w="3095" w:type="dxa"/>
            <w:shd w:val="clear" w:color="auto" w:fill="auto"/>
          </w:tcPr>
          <w:p w14:paraId="2C07BD3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（2）国有企业</w:t>
            </w:r>
          </w:p>
        </w:tc>
      </w:tr>
      <w:tr w14:paraId="3EC7CD58">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continue"/>
            <w:tcBorders>
              <w:bottom w:val="single" w:color="000000" w:sz="0" w:space="0"/>
            </w:tcBorders>
            <w:vAlign w:val="center"/>
          </w:tcPr>
          <w:p w14:paraId="580EFD8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p>
        </w:tc>
        <w:tc>
          <w:tcPr>
            <w:tcW w:w="3095" w:type="dxa"/>
            <w:tcBorders>
              <w:bottom w:val="single" w:color="000000" w:sz="0" w:space="0"/>
            </w:tcBorders>
          </w:tcPr>
          <w:p w14:paraId="6588FF1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盈余管理绝对值（REM_abs）</w:t>
            </w:r>
          </w:p>
        </w:tc>
        <w:tc>
          <w:tcPr>
            <w:tcW w:w="3095" w:type="dxa"/>
            <w:tcBorders>
              <w:bottom w:val="single" w:color="000000" w:sz="0" w:space="0"/>
            </w:tcBorders>
            <w:shd w:val="clear" w:color="auto" w:fill="auto"/>
          </w:tcPr>
          <w:p w14:paraId="4FDF80BA">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b/>
                <w:bCs/>
                <w:szCs w:val="21"/>
              </w:rPr>
            </w:pPr>
            <w:r>
              <w:rPr>
                <w:rFonts w:hint="eastAsia" w:ascii="Times New Roman" w:hAnsi="Times New Roman" w:cs="Times New Roman"/>
                <w:b/>
                <w:bCs/>
                <w:szCs w:val="21"/>
              </w:rPr>
              <w:t>盈余管理绝对值（REM_abs）</w:t>
            </w:r>
          </w:p>
        </w:tc>
      </w:tr>
      <w:tr w14:paraId="49DBA989">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restart"/>
            <w:tcBorders>
              <w:top w:val="single" w:color="000000" w:sz="0" w:space="0"/>
            </w:tcBorders>
            <w:vAlign w:val="center"/>
          </w:tcPr>
          <w:p w14:paraId="073376F3">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审计费用（ln_AudFee）</w:t>
            </w:r>
          </w:p>
        </w:tc>
        <w:tc>
          <w:tcPr>
            <w:tcW w:w="3095" w:type="dxa"/>
            <w:tcBorders>
              <w:top w:val="single" w:color="000000" w:sz="0" w:space="0"/>
            </w:tcBorders>
          </w:tcPr>
          <w:p w14:paraId="3408E15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-0.116**</w:t>
            </w:r>
          </w:p>
        </w:tc>
        <w:tc>
          <w:tcPr>
            <w:tcW w:w="3095" w:type="dxa"/>
            <w:tcBorders>
              <w:top w:val="single" w:color="000000" w:sz="0" w:space="0"/>
            </w:tcBorders>
            <w:shd w:val="clear" w:color="auto" w:fill="auto"/>
          </w:tcPr>
          <w:p w14:paraId="1AAFEF96">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-0.154***</w:t>
            </w:r>
          </w:p>
        </w:tc>
      </w:tr>
      <w:tr w14:paraId="7A6E6C19">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continue"/>
            <w:vAlign w:val="center"/>
          </w:tcPr>
          <w:p w14:paraId="2D86A3A0">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3095" w:type="dxa"/>
          </w:tcPr>
          <w:p w14:paraId="3474364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(-2.523)</w:t>
            </w:r>
          </w:p>
        </w:tc>
        <w:tc>
          <w:tcPr>
            <w:tcW w:w="3095" w:type="dxa"/>
            <w:shd w:val="clear" w:color="auto" w:fill="auto"/>
          </w:tcPr>
          <w:p w14:paraId="4941E09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(-3.467)</w:t>
            </w:r>
          </w:p>
        </w:tc>
      </w:tr>
      <w:tr w14:paraId="5A9C161A">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restart"/>
            <w:vAlign w:val="center"/>
          </w:tcPr>
          <w:p w14:paraId="32B3B013">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资产负债率（Debt）</w:t>
            </w:r>
          </w:p>
        </w:tc>
        <w:tc>
          <w:tcPr>
            <w:tcW w:w="3095" w:type="dxa"/>
          </w:tcPr>
          <w:p w14:paraId="4D3282C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0.043</w:t>
            </w:r>
          </w:p>
        </w:tc>
        <w:tc>
          <w:tcPr>
            <w:tcW w:w="3095" w:type="dxa"/>
            <w:shd w:val="clear" w:color="auto" w:fill="auto"/>
          </w:tcPr>
          <w:p w14:paraId="5F5DCAB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0.158</w:t>
            </w:r>
          </w:p>
        </w:tc>
      </w:tr>
      <w:tr w14:paraId="020D5386">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continue"/>
            <w:vAlign w:val="center"/>
          </w:tcPr>
          <w:p w14:paraId="41AA20A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3095" w:type="dxa"/>
          </w:tcPr>
          <w:p w14:paraId="349E1AC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(0.283)</w:t>
            </w:r>
          </w:p>
        </w:tc>
        <w:tc>
          <w:tcPr>
            <w:tcW w:w="3095" w:type="dxa"/>
            <w:shd w:val="clear" w:color="auto" w:fill="auto"/>
          </w:tcPr>
          <w:p w14:paraId="73792623">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(1.070)</w:t>
            </w:r>
          </w:p>
        </w:tc>
      </w:tr>
      <w:tr w14:paraId="6A300C20">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restart"/>
            <w:vAlign w:val="center"/>
          </w:tcPr>
          <w:p w14:paraId="47764511">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资产净利率（Roa）</w:t>
            </w:r>
          </w:p>
        </w:tc>
        <w:tc>
          <w:tcPr>
            <w:tcW w:w="3095" w:type="dxa"/>
          </w:tcPr>
          <w:p w14:paraId="380353F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0.576</w:t>
            </w:r>
          </w:p>
        </w:tc>
        <w:tc>
          <w:tcPr>
            <w:tcW w:w="3095" w:type="dxa"/>
            <w:shd w:val="clear" w:color="auto" w:fill="auto"/>
          </w:tcPr>
          <w:p w14:paraId="3E0AC93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0.950**</w:t>
            </w:r>
          </w:p>
        </w:tc>
      </w:tr>
      <w:tr w14:paraId="67481A00">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continue"/>
            <w:vAlign w:val="center"/>
          </w:tcPr>
          <w:p w14:paraId="39CE04F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3095" w:type="dxa"/>
          </w:tcPr>
          <w:p w14:paraId="3D89B7F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(1.287)</w:t>
            </w:r>
          </w:p>
        </w:tc>
        <w:tc>
          <w:tcPr>
            <w:tcW w:w="3095" w:type="dxa"/>
            <w:shd w:val="clear" w:color="auto" w:fill="auto"/>
          </w:tcPr>
          <w:p w14:paraId="4D834006">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(2.139)</w:t>
            </w:r>
          </w:p>
        </w:tc>
      </w:tr>
      <w:tr w14:paraId="4828B4E1">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restart"/>
            <w:vAlign w:val="center"/>
          </w:tcPr>
          <w:p w14:paraId="45C5A220">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主营业务收入增长率（Growth）</w:t>
            </w:r>
          </w:p>
        </w:tc>
        <w:tc>
          <w:tcPr>
            <w:tcW w:w="3095" w:type="dxa"/>
          </w:tcPr>
          <w:p w14:paraId="41A91D22">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0.021***</w:t>
            </w:r>
          </w:p>
        </w:tc>
        <w:tc>
          <w:tcPr>
            <w:tcW w:w="3095" w:type="dxa"/>
            <w:shd w:val="clear" w:color="auto" w:fill="auto"/>
          </w:tcPr>
          <w:p w14:paraId="3281D354">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0.011</w:t>
            </w:r>
          </w:p>
        </w:tc>
      </w:tr>
      <w:tr w14:paraId="11E19092">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continue"/>
            <w:vAlign w:val="center"/>
          </w:tcPr>
          <w:p w14:paraId="62C220F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3095" w:type="dxa"/>
          </w:tcPr>
          <w:p w14:paraId="52F64D3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(3.834)</w:t>
            </w:r>
          </w:p>
        </w:tc>
        <w:tc>
          <w:tcPr>
            <w:tcW w:w="3095" w:type="dxa"/>
            <w:shd w:val="clear" w:color="auto" w:fill="auto"/>
          </w:tcPr>
          <w:p w14:paraId="7CCA24D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(1.111)</w:t>
            </w:r>
          </w:p>
        </w:tc>
      </w:tr>
      <w:tr w14:paraId="0A276DAF">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restart"/>
            <w:vAlign w:val="center"/>
          </w:tcPr>
          <w:p w14:paraId="295EA3DB">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事务所排名（Rank）</w:t>
            </w:r>
          </w:p>
        </w:tc>
        <w:tc>
          <w:tcPr>
            <w:tcW w:w="3095" w:type="dxa"/>
          </w:tcPr>
          <w:p w14:paraId="33267103">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-0.032</w:t>
            </w:r>
          </w:p>
        </w:tc>
        <w:tc>
          <w:tcPr>
            <w:tcW w:w="3095" w:type="dxa"/>
            <w:shd w:val="clear" w:color="auto" w:fill="auto"/>
          </w:tcPr>
          <w:p w14:paraId="29C249F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-0.018</w:t>
            </w:r>
          </w:p>
        </w:tc>
      </w:tr>
      <w:tr w14:paraId="3F60D9A3">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continue"/>
            <w:vAlign w:val="center"/>
          </w:tcPr>
          <w:p w14:paraId="0688F600">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3095" w:type="dxa"/>
          </w:tcPr>
          <w:p w14:paraId="3F7E2CA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(-0.614)</w:t>
            </w:r>
          </w:p>
        </w:tc>
        <w:tc>
          <w:tcPr>
            <w:tcW w:w="3095" w:type="dxa"/>
            <w:shd w:val="clear" w:color="auto" w:fill="auto"/>
          </w:tcPr>
          <w:p w14:paraId="5A0919FC">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(-0.524)</w:t>
            </w:r>
          </w:p>
        </w:tc>
      </w:tr>
      <w:tr w14:paraId="66611A0A">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restart"/>
            <w:vAlign w:val="center"/>
          </w:tcPr>
          <w:p w14:paraId="4C340AF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持股比例（Top1）</w:t>
            </w:r>
          </w:p>
        </w:tc>
        <w:tc>
          <w:tcPr>
            <w:tcW w:w="3095" w:type="dxa"/>
          </w:tcPr>
          <w:p w14:paraId="6DE1D6E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0.004*</w:t>
            </w:r>
          </w:p>
        </w:tc>
        <w:tc>
          <w:tcPr>
            <w:tcW w:w="3095" w:type="dxa"/>
            <w:shd w:val="clear" w:color="auto" w:fill="auto"/>
          </w:tcPr>
          <w:p w14:paraId="2382AE7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0.003</w:t>
            </w:r>
          </w:p>
        </w:tc>
      </w:tr>
      <w:tr w14:paraId="1C8C31C4">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continue"/>
            <w:vAlign w:val="center"/>
          </w:tcPr>
          <w:p w14:paraId="16F958F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3095" w:type="dxa"/>
          </w:tcPr>
          <w:p w14:paraId="6769C2FF">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(1.748)</w:t>
            </w:r>
          </w:p>
        </w:tc>
        <w:tc>
          <w:tcPr>
            <w:tcW w:w="3095" w:type="dxa"/>
            <w:shd w:val="clear" w:color="auto" w:fill="auto"/>
          </w:tcPr>
          <w:p w14:paraId="4845C62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(1.072)</w:t>
            </w:r>
          </w:p>
        </w:tc>
      </w:tr>
      <w:tr w14:paraId="1024772B">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restart"/>
            <w:vAlign w:val="center"/>
          </w:tcPr>
          <w:p w14:paraId="41B792B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_cons</w:t>
            </w:r>
          </w:p>
        </w:tc>
        <w:tc>
          <w:tcPr>
            <w:tcW w:w="3095" w:type="dxa"/>
          </w:tcPr>
          <w:p w14:paraId="0E2AB63A">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1.692**</w:t>
            </w:r>
          </w:p>
        </w:tc>
        <w:tc>
          <w:tcPr>
            <w:tcW w:w="3095" w:type="dxa"/>
            <w:shd w:val="clear" w:color="auto" w:fill="auto"/>
          </w:tcPr>
          <w:p w14:paraId="0AEEDC65">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2.120***</w:t>
            </w:r>
          </w:p>
        </w:tc>
      </w:tr>
      <w:tr w14:paraId="6CE6311F">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Merge w:val="continue"/>
            <w:tcBorders>
              <w:bottom w:val="single" w:color="000000" w:sz="0" w:space="0"/>
            </w:tcBorders>
            <w:vAlign w:val="center"/>
          </w:tcPr>
          <w:p w14:paraId="40404D0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p>
        </w:tc>
        <w:tc>
          <w:tcPr>
            <w:tcW w:w="3095" w:type="dxa"/>
            <w:tcBorders>
              <w:bottom w:val="single" w:color="000000" w:sz="0" w:space="0"/>
            </w:tcBorders>
          </w:tcPr>
          <w:p w14:paraId="7EFBA0CE">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(2.588)</w:t>
            </w:r>
          </w:p>
        </w:tc>
        <w:tc>
          <w:tcPr>
            <w:tcW w:w="3095" w:type="dxa"/>
            <w:tcBorders>
              <w:bottom w:val="single" w:color="000000" w:sz="0" w:space="0"/>
            </w:tcBorders>
            <w:shd w:val="clear" w:color="auto" w:fill="auto"/>
          </w:tcPr>
          <w:p w14:paraId="3D0B3F68">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(3.279)</w:t>
            </w:r>
          </w:p>
        </w:tc>
      </w:tr>
      <w:tr w14:paraId="34C36774">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vAlign w:val="center"/>
          </w:tcPr>
          <w:p w14:paraId="226A69CA">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R</w:t>
            </w:r>
            <w:r>
              <w:rPr>
                <w:rFonts w:hint="eastAsia" w:ascii="Times New Roman" w:hAnsi="Times New Roman" w:cs="Times New Roman"/>
                <w:szCs w:val="21"/>
                <w:vertAlign w:val="superscript"/>
              </w:rPr>
              <w:t>2</w:t>
            </w:r>
          </w:p>
        </w:tc>
        <w:tc>
          <w:tcPr>
            <w:tcW w:w="3095" w:type="dxa"/>
          </w:tcPr>
          <w:p w14:paraId="714F0BF7">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0.082</w:t>
            </w:r>
          </w:p>
        </w:tc>
        <w:tc>
          <w:tcPr>
            <w:tcW w:w="3095" w:type="dxa"/>
            <w:shd w:val="clear" w:color="auto" w:fill="auto"/>
          </w:tcPr>
          <w:p w14:paraId="6A1FC6B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0.052</w:t>
            </w:r>
          </w:p>
        </w:tc>
      </w:tr>
      <w:tr w14:paraId="2D0697B0">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3095" w:type="dxa"/>
            <w:tcBorders>
              <w:bottom w:val="single" w:color="000000" w:sz="0" w:space="0"/>
            </w:tcBorders>
            <w:vAlign w:val="center"/>
          </w:tcPr>
          <w:p w14:paraId="7BC80139">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F</w:t>
            </w:r>
          </w:p>
        </w:tc>
        <w:tc>
          <w:tcPr>
            <w:tcW w:w="3095" w:type="dxa"/>
            <w:tcBorders>
              <w:bottom w:val="single" w:color="000000" w:sz="0" w:space="0"/>
            </w:tcBorders>
          </w:tcPr>
          <w:p w14:paraId="6F6A272B">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5.121</w:t>
            </w:r>
          </w:p>
        </w:tc>
        <w:tc>
          <w:tcPr>
            <w:tcW w:w="3095" w:type="dxa"/>
            <w:tcBorders>
              <w:bottom w:val="single" w:color="000000" w:sz="0" w:space="0"/>
            </w:tcBorders>
            <w:shd w:val="clear" w:color="auto" w:fill="auto"/>
          </w:tcPr>
          <w:p w14:paraId="347636BD">
            <w:pPr>
              <w:keepNext w:val="0"/>
              <w:keepLines w:val="0"/>
              <w:pageBreakBefore w:val="0"/>
              <w:kinsoku/>
              <w:wordWrap/>
              <w:overflowPunct/>
              <w:topLinePunct w:val="0"/>
              <w:autoSpaceDE/>
              <w:autoSpaceDN/>
              <w:bidi w:val="0"/>
              <w:adjustRightInd/>
              <w:spacing w:line="300" w:lineRule="auto"/>
              <w:jc w:val="center"/>
              <w:textAlignment w:val="auto"/>
              <w:rPr>
                <w:rFonts w:hint="eastAsia" w:ascii="Times New Roman" w:hAnsi="Times New Roman" w:cs="Times New Roman"/>
                <w:szCs w:val="21"/>
              </w:rPr>
            </w:pPr>
            <w:r>
              <w:rPr>
                <w:rFonts w:hint="eastAsia" w:ascii="Times New Roman" w:hAnsi="Times New Roman" w:cs="Times New Roman"/>
                <w:szCs w:val="21"/>
              </w:rPr>
              <w:t>4.117</w:t>
            </w:r>
          </w:p>
        </w:tc>
      </w:tr>
      <w:tr w14:paraId="36468EDF">
        <w:tblPrEx>
          <w:tblBorders>
            <w:top w:val="singl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6190" w:type="dxa"/>
            <w:gridSpan w:val="2"/>
            <w:tcBorders>
              <w:top w:val="single" w:color="000000" w:sz="0" w:space="0"/>
              <w:left w:val="nil"/>
              <w:bottom w:val="nil"/>
              <w:right w:val="nil"/>
            </w:tcBorders>
          </w:tcPr>
          <w:p w14:paraId="08524144">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Cs w:val="21"/>
              </w:rPr>
            </w:pPr>
            <w:r>
              <w:rPr>
                <w:rFonts w:hint="eastAsia" w:ascii="Times New Roman" w:hAnsi="Times New Roman" w:cs="Times New Roman"/>
                <w:szCs w:val="21"/>
              </w:rPr>
              <w:t>***p&lt;0.01,**p&lt;0.05,*p&lt;0.10</w:t>
            </w:r>
          </w:p>
        </w:tc>
        <w:tc>
          <w:tcPr>
            <w:tcW w:w="3095" w:type="dxa"/>
            <w:tcBorders>
              <w:top w:val="single" w:color="000000" w:sz="0" w:space="0"/>
              <w:left w:val="nil"/>
              <w:bottom w:val="nil"/>
              <w:right w:val="nil"/>
            </w:tcBorders>
          </w:tcPr>
          <w:p w14:paraId="75710EFD">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Cs w:val="21"/>
              </w:rPr>
            </w:pPr>
          </w:p>
        </w:tc>
      </w:tr>
    </w:tbl>
    <w:p w14:paraId="197AE8F3">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表10中，非国有企业审计收费对数的系数取值为-0.116，且显著性满足p&lt;5%，这体现了在非国有企业内，审计收费增加跟真实盈余管理减少显著相关，审计行为强化明显降低了非国有企业的实际盈余管理程度。国有企业审计收费对数对应的系数为-0.154，而且显著性呈现为p&lt;1%，这揭示了在国有企业中，审计收费的提升同样与真实盈余管理的减少明显相关，审计力度的加大也明显降低了国有企业的真实盈余管理水平。</w:t>
      </w:r>
    </w:p>
    <w:p w14:paraId="34C3EA43">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eastAsiaTheme="minorEastAsia"/>
          <w:sz w:val="24"/>
          <w:lang w:eastAsia="zh-CN"/>
        </w:rPr>
      </w:pPr>
      <w:r>
        <w:rPr>
          <w:rFonts w:hint="eastAsia" w:ascii="Times New Roman" w:hAnsi="Times New Roman" w:cs="Times New Roman"/>
          <w:sz w:val="24"/>
        </w:rPr>
        <w:t>在非国有企业</w:t>
      </w:r>
      <w:r>
        <w:rPr>
          <w:rFonts w:hint="eastAsia" w:ascii="Times New Roman" w:hAnsi="Times New Roman" w:cs="Times New Roman"/>
          <w:sz w:val="24"/>
          <w:lang w:eastAsia="zh-CN"/>
        </w:rPr>
        <w:t>、</w:t>
      </w:r>
      <w:r>
        <w:rPr>
          <w:rFonts w:hint="eastAsia" w:ascii="Times New Roman" w:hAnsi="Times New Roman" w:cs="Times New Roman"/>
          <w:sz w:val="24"/>
        </w:rPr>
        <w:t>国有企业</w:t>
      </w:r>
      <w:r>
        <w:rPr>
          <w:rFonts w:hint="eastAsia" w:ascii="Times New Roman" w:hAnsi="Times New Roman" w:cs="Times New Roman"/>
          <w:sz w:val="24"/>
          <w:lang w:val="en-US" w:eastAsia="zh-CN"/>
        </w:rPr>
        <w:t>两大类型</w:t>
      </w:r>
      <w:r>
        <w:rPr>
          <w:rFonts w:hint="eastAsia" w:ascii="Times New Roman" w:hAnsi="Times New Roman" w:cs="Times New Roman"/>
          <w:sz w:val="24"/>
        </w:rPr>
        <w:t>中，审计收费对真实盈余管理的影响均为负且显著，这表明无论企业性质如何，审计行为的增强都能有效降低真实盈余管理。然而，审计收费对真实盈余管理的影响在国有企业中更为显著，这表明在国有企业中，审计行为对真实盈余管理的抑制作用更为显著</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这也为《</w:t>
      </w:r>
      <w:r>
        <w:rPr>
          <w:rFonts w:hint="eastAsia" w:ascii="Times New Roman" w:hAnsi="Times New Roman" w:cs="Times New Roman"/>
          <w:sz w:val="24"/>
        </w:rPr>
        <w:t>新证券法》下差异化审计监管提供了经验证据</w:t>
      </w:r>
      <w:r>
        <w:rPr>
          <w:rFonts w:hint="eastAsia" w:ascii="Times New Roman" w:hAnsi="Times New Roman" w:cs="Times New Roman"/>
          <w:sz w:val="24"/>
          <w:lang w:eastAsia="zh-CN"/>
        </w:rPr>
        <w:t>。</w:t>
      </w:r>
    </w:p>
    <w:p w14:paraId="08A44BDE">
      <w:pPr>
        <w:keepNext w:val="0"/>
        <w:keepLines w:val="0"/>
        <w:pageBreakBefore w:val="0"/>
        <w:kinsoku/>
        <w:wordWrap/>
        <w:overflowPunct/>
        <w:topLinePunct w:val="0"/>
        <w:autoSpaceDE/>
        <w:autoSpaceDN/>
        <w:bidi w:val="0"/>
        <w:adjustRightInd/>
        <w:spacing w:line="300" w:lineRule="auto"/>
        <w:textAlignment w:val="auto"/>
        <w:outlineLvl w:val="0"/>
        <w:rPr>
          <w:rFonts w:hint="eastAsia" w:ascii="Times New Roman" w:hAnsi="Times New Roman" w:cs="Times New Roman"/>
          <w:sz w:val="24"/>
        </w:rPr>
      </w:pPr>
      <w:r>
        <w:rPr>
          <w:rFonts w:hint="eastAsia" w:ascii="Times New Roman" w:hAnsi="Times New Roman" w:cs="Times New Roman"/>
          <w:b/>
          <w:bCs/>
          <w:sz w:val="24"/>
        </w:rPr>
        <w:t>五、总结与展望</w:t>
      </w:r>
    </w:p>
    <w:p w14:paraId="3E837A41">
      <w:pPr>
        <w:keepNext w:val="0"/>
        <w:keepLines w:val="0"/>
        <w:pageBreakBefore w:val="0"/>
        <w:kinsoku/>
        <w:wordWrap/>
        <w:overflowPunct/>
        <w:topLinePunct w:val="0"/>
        <w:autoSpaceDE/>
        <w:autoSpaceDN/>
        <w:bidi w:val="0"/>
        <w:adjustRightInd/>
        <w:spacing w:line="300" w:lineRule="auto"/>
        <w:ind w:firstLine="420"/>
        <w:textAlignment w:val="auto"/>
        <w:outlineLvl w:val="1"/>
        <w:rPr>
          <w:rFonts w:hint="eastAsia" w:ascii="Times New Roman" w:hAnsi="Times New Roman" w:cs="Times New Roman"/>
          <w:b/>
          <w:bCs/>
          <w:sz w:val="24"/>
        </w:rPr>
      </w:pPr>
      <w:bookmarkStart w:id="26" w:name="_Toc17038"/>
      <w:bookmarkStart w:id="27" w:name="_Toc16511"/>
      <w:bookmarkStart w:id="28" w:name="_Toc28099"/>
      <w:r>
        <w:rPr>
          <w:rFonts w:hint="eastAsia" w:ascii="Times New Roman" w:hAnsi="Times New Roman" w:cs="Times New Roman"/>
          <w:b/>
          <w:bCs/>
          <w:sz w:val="24"/>
        </w:rPr>
        <w:t>（一）研究结论</w:t>
      </w:r>
      <w:bookmarkEnd w:id="26"/>
      <w:bookmarkEnd w:id="27"/>
      <w:bookmarkEnd w:id="28"/>
    </w:p>
    <w:p w14:paraId="7D97B032">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sz w:val="24"/>
        </w:rPr>
        <w:t>基于上述实证结果，本文归纳出下面重要结论：</w:t>
      </w:r>
    </w:p>
    <w:p w14:paraId="079F40D9">
      <w:pPr>
        <w:keepNext w:val="0"/>
        <w:keepLines w:val="0"/>
        <w:pageBreakBefore w:val="0"/>
        <w:widowControl/>
        <w:kinsoku/>
        <w:wordWrap/>
        <w:overflowPunct/>
        <w:topLinePunct w:val="0"/>
        <w:autoSpaceDE/>
        <w:autoSpaceDN/>
        <w:bidi w:val="0"/>
        <w:adjustRightInd/>
        <w:spacing w:line="300" w:lineRule="auto"/>
        <w:ind w:firstLine="420"/>
        <w:textAlignment w:val="auto"/>
        <w:outlineLvl w:val="2"/>
        <w:rPr>
          <w:rFonts w:ascii="Times New Roman" w:hAnsi="Times New Roman" w:cs="Times New Roman"/>
          <w:sz w:val="24"/>
        </w:rPr>
      </w:pPr>
      <w:r>
        <w:rPr>
          <w:rFonts w:hint="eastAsia" w:ascii="Times New Roman" w:hAnsi="Times New Roman" w:cs="Times New Roman"/>
          <w:b/>
          <w:bCs/>
          <w:sz w:val="24"/>
          <w:lang w:val="en-US" w:eastAsia="zh-CN"/>
        </w:rPr>
        <w:t>1</w:t>
      </w:r>
      <w:r>
        <w:rPr>
          <w:rFonts w:ascii="Times New Roman" w:hAnsi="Times New Roman" w:cs="Times New Roman"/>
          <w:b/>
          <w:bCs/>
          <w:sz w:val="24"/>
        </w:rPr>
        <w:t>.</w:t>
      </w:r>
      <w:r>
        <w:rPr>
          <w:rFonts w:hint="eastAsia" w:ascii="Times New Roman" w:hAnsi="Times New Roman" w:cs="Times New Roman"/>
          <w:b/>
          <w:bCs/>
          <w:sz w:val="24"/>
        </w:rPr>
        <w:t>中介效应模型</w:t>
      </w:r>
      <w:r>
        <w:rPr>
          <w:rFonts w:ascii="Times New Roman" w:hAnsi="Times New Roman" w:cs="Times New Roman"/>
          <w:b/>
          <w:bCs/>
          <w:sz w:val="24"/>
        </w:rPr>
        <w:t>为研究此类问题提供了一种可行的分析框架和方法</w:t>
      </w:r>
      <w:r>
        <w:rPr>
          <w:rFonts w:hint="eastAsia" w:ascii="Times New Roman" w:hAnsi="Times New Roman" w:cs="Times New Roman"/>
          <w:b/>
          <w:bCs/>
          <w:sz w:val="24"/>
        </w:rPr>
        <w:t>。</w:t>
      </w:r>
      <w:r>
        <w:rPr>
          <w:rFonts w:hint="eastAsia" w:ascii="Times New Roman" w:hAnsi="Times New Roman" w:cs="Times New Roman"/>
          <w:sz w:val="24"/>
        </w:rPr>
        <w:t>本文通过运用该模型进行</w:t>
      </w:r>
      <w:r>
        <w:rPr>
          <w:rFonts w:hint="eastAsia" w:ascii="Times New Roman" w:hAnsi="Times New Roman" w:cs="Times New Roman"/>
          <w:sz w:val="24"/>
          <w:lang w:val="en-US" w:eastAsia="zh-CN"/>
        </w:rPr>
        <w:t>了</w:t>
      </w:r>
      <w:r>
        <w:rPr>
          <w:rFonts w:hint="eastAsia" w:ascii="Times New Roman" w:hAnsi="Times New Roman" w:cs="Times New Roman"/>
          <w:sz w:val="24"/>
        </w:rPr>
        <w:t>实证分析，</w:t>
      </w:r>
      <w:r>
        <w:rPr>
          <w:rFonts w:hint="eastAsia" w:ascii="Times New Roman" w:hAnsi="Times New Roman" w:cs="Times New Roman"/>
          <w:sz w:val="24"/>
          <w:lang w:val="en-US" w:eastAsia="zh-CN"/>
        </w:rPr>
        <w:t>并</w:t>
      </w:r>
      <w:r>
        <w:rPr>
          <w:rFonts w:hint="eastAsia" w:ascii="Times New Roman" w:hAnsi="Times New Roman" w:cs="Times New Roman"/>
          <w:sz w:val="24"/>
        </w:rPr>
        <w:t>发现审计行为通过强化企业内控质量，形成针对盈余质量的间接约束路径，证实了“审计监督</w:t>
      </w:r>
      <w:r>
        <w:rPr>
          <w:rFonts w:hint="eastAsia" w:ascii="Times New Roman" w:hAnsi="Times New Roman" w:cs="Times New Roman"/>
          <w:sz w:val="24"/>
          <w:lang w:eastAsia="zh-CN"/>
        </w:rPr>
        <w:t>－</w:t>
      </w:r>
      <w:r>
        <w:rPr>
          <w:rFonts w:hint="eastAsia" w:ascii="Times New Roman" w:hAnsi="Times New Roman" w:cs="Times New Roman"/>
          <w:sz w:val="24"/>
        </w:rPr>
        <w:t>内控增强</w:t>
      </w:r>
      <w:r>
        <w:rPr>
          <w:rFonts w:hint="eastAsia" w:ascii="Times New Roman" w:hAnsi="Times New Roman" w:cs="Times New Roman"/>
          <w:sz w:val="24"/>
          <w:lang w:eastAsia="zh-CN"/>
        </w:rPr>
        <w:t>－</w:t>
      </w:r>
      <w:r>
        <w:rPr>
          <w:rFonts w:hint="eastAsia" w:ascii="Times New Roman" w:hAnsi="Times New Roman" w:cs="Times New Roman"/>
          <w:sz w:val="24"/>
        </w:rPr>
        <w:t>盈余质量优化”的传导机制。</w:t>
      </w:r>
    </w:p>
    <w:p w14:paraId="5F6F89DB">
      <w:pPr>
        <w:keepNext w:val="0"/>
        <w:keepLines w:val="0"/>
        <w:pageBreakBefore w:val="0"/>
        <w:widowControl/>
        <w:kinsoku/>
        <w:wordWrap/>
        <w:overflowPunct/>
        <w:topLinePunct w:val="0"/>
        <w:autoSpaceDE/>
        <w:autoSpaceDN/>
        <w:bidi w:val="0"/>
        <w:adjustRightInd/>
        <w:spacing w:line="300" w:lineRule="auto"/>
        <w:ind w:firstLine="420"/>
        <w:textAlignment w:val="auto"/>
        <w:outlineLvl w:val="2"/>
        <w:rPr>
          <w:rFonts w:ascii="Times New Roman" w:hAnsi="Times New Roman" w:cs="Times New Roman"/>
          <w:sz w:val="24"/>
        </w:rPr>
      </w:pPr>
      <w:r>
        <w:rPr>
          <w:rFonts w:hint="eastAsia" w:ascii="Times New Roman" w:hAnsi="Times New Roman" w:cs="Times New Roman"/>
          <w:b/>
          <w:bCs/>
          <w:sz w:val="24"/>
          <w:lang w:val="en-US" w:eastAsia="zh-CN"/>
        </w:rPr>
        <w:t>2</w:t>
      </w:r>
      <w:r>
        <w:rPr>
          <w:rFonts w:hint="eastAsia" w:ascii="Times New Roman" w:hAnsi="Times New Roman" w:cs="Times New Roman"/>
          <w:b/>
          <w:bCs/>
          <w:sz w:val="24"/>
        </w:rPr>
        <w:t>.强有力的审计行为能够显著抑制真实盈余管理行为。</w:t>
      </w:r>
      <w:r>
        <w:rPr>
          <w:rFonts w:hint="eastAsia" w:ascii="Times New Roman" w:hAnsi="Times New Roman" w:cs="Times New Roman"/>
          <w:sz w:val="24"/>
        </w:rPr>
        <w:t>本文的实证得出结果显示，审计行为与房地产企业真实盈余管理的状况显著负相关，审计收费对数（ln_AudFee）用作审计行为的替代变量，其对应的数值越大，体现审计质量越高，对真实盈余管理绝对值（REM_abs）的抑制功能越突出。</w:t>
      </w:r>
      <w:r>
        <w:rPr>
          <w:rFonts w:hint="eastAsia" w:ascii="Times New Roman" w:hAnsi="Times New Roman" w:cs="Times New Roman"/>
          <w:sz w:val="24"/>
          <w:lang w:val="en-US" w:eastAsia="zh-CN"/>
        </w:rPr>
        <w:t>稳健性和异质性检验也均证实了该结论的可靠性和稳定性，</w:t>
      </w:r>
      <w:r>
        <w:rPr>
          <w:rFonts w:hint="eastAsia" w:ascii="Times New Roman" w:hAnsi="Times New Roman" w:cs="Times New Roman"/>
          <w:sz w:val="24"/>
        </w:rPr>
        <w:t>这</w:t>
      </w:r>
      <w:r>
        <w:rPr>
          <w:rFonts w:hint="eastAsia" w:ascii="Times New Roman" w:hAnsi="Times New Roman" w:cs="Times New Roman"/>
          <w:sz w:val="24"/>
          <w:lang w:val="en-US" w:eastAsia="zh-CN"/>
        </w:rPr>
        <w:t>也</w:t>
      </w:r>
      <w:r>
        <w:rPr>
          <w:rFonts w:hint="eastAsia" w:ascii="Times New Roman" w:hAnsi="Times New Roman" w:cs="Times New Roman"/>
          <w:sz w:val="24"/>
        </w:rPr>
        <w:t>显示审计行为</w:t>
      </w:r>
      <w:r>
        <w:rPr>
          <w:rFonts w:hint="eastAsia" w:ascii="Times New Roman" w:hAnsi="Times New Roman" w:cs="Times New Roman"/>
          <w:sz w:val="24"/>
          <w:lang w:val="en-US" w:eastAsia="zh-CN"/>
        </w:rPr>
        <w:t>的确可通过对企业 内控</w:t>
      </w:r>
      <w:r>
        <w:rPr>
          <w:rFonts w:hint="eastAsia" w:ascii="Times New Roman" w:hAnsi="Times New Roman" w:cs="Times New Roman"/>
          <w:sz w:val="24"/>
        </w:rPr>
        <w:t>质量</w:t>
      </w:r>
      <w:r>
        <w:rPr>
          <w:rFonts w:hint="eastAsia" w:ascii="Times New Roman" w:hAnsi="Times New Roman" w:cs="Times New Roman"/>
          <w:sz w:val="24"/>
          <w:lang w:val="en-US" w:eastAsia="zh-CN"/>
        </w:rPr>
        <w:t>的提升</w:t>
      </w:r>
      <w:r>
        <w:rPr>
          <w:rFonts w:hint="eastAsia" w:ascii="Times New Roman" w:hAnsi="Times New Roman" w:cs="Times New Roman"/>
          <w:sz w:val="24"/>
        </w:rPr>
        <w:t>，切实抑制房地产企业的真实盈余管理操作，</w:t>
      </w:r>
      <w:r>
        <w:rPr>
          <w:rFonts w:hint="eastAsia" w:ascii="Times New Roman" w:hAnsi="Times New Roman" w:cs="Times New Roman"/>
          <w:sz w:val="24"/>
          <w:lang w:val="en-US" w:eastAsia="zh-CN"/>
        </w:rPr>
        <w:t>从而</w:t>
      </w:r>
      <w:r>
        <w:rPr>
          <w:rFonts w:hint="eastAsia" w:ascii="Times New Roman" w:hAnsi="Times New Roman" w:cs="Times New Roman"/>
          <w:sz w:val="24"/>
        </w:rPr>
        <w:t>提升了财务报告在真实与可靠方面的水平。</w:t>
      </w:r>
    </w:p>
    <w:p w14:paraId="4A8F9F84">
      <w:pPr>
        <w:keepNext w:val="0"/>
        <w:keepLines w:val="0"/>
        <w:pageBreakBefore w:val="0"/>
        <w:widowControl/>
        <w:kinsoku/>
        <w:wordWrap/>
        <w:overflowPunct/>
        <w:topLinePunct w:val="0"/>
        <w:autoSpaceDE/>
        <w:autoSpaceDN/>
        <w:bidi w:val="0"/>
        <w:adjustRightInd/>
        <w:spacing w:line="300" w:lineRule="auto"/>
        <w:ind w:firstLine="420"/>
        <w:textAlignment w:val="auto"/>
        <w:outlineLvl w:val="2"/>
        <w:rPr>
          <w:rFonts w:ascii="Times New Roman" w:hAnsi="Times New Roman" w:cs="Times New Roman"/>
          <w:sz w:val="24"/>
        </w:rPr>
      </w:pPr>
      <w:r>
        <w:rPr>
          <w:rFonts w:hint="eastAsia" w:ascii="Times New Roman" w:hAnsi="Times New Roman" w:cs="Times New Roman"/>
          <w:b/>
          <w:bCs/>
          <w:sz w:val="24"/>
          <w:lang w:val="en-US" w:eastAsia="zh-CN"/>
        </w:rPr>
        <w:t>3</w:t>
      </w:r>
      <w:r>
        <w:rPr>
          <w:rFonts w:hint="eastAsia" w:ascii="Times New Roman" w:hAnsi="Times New Roman" w:cs="Times New Roman"/>
          <w:b/>
          <w:bCs/>
          <w:sz w:val="24"/>
        </w:rPr>
        <w:t>.异质性检验揭示了审计行为在不同产权性质企业中的抑制作用差异。</w:t>
      </w:r>
      <w:r>
        <w:rPr>
          <w:rFonts w:hint="eastAsia" w:ascii="Times New Roman" w:hAnsi="Times New Roman" w:cs="Times New Roman"/>
          <w:sz w:val="24"/>
        </w:rPr>
        <w:t>按照企业性质分组进行的异质性检验结果说明，审计作为在国有企业与非国有企业内均能显著减少真实盈余管理程度，审计对真实盈余管理的抑制效果在国企中更明显，这体现了在国有企业这个范畴内，审计行为对真实盈余管理的抑制成效更明显，可能和国有企业面临的更严格国家监管及社会公众监督有关系。</w:t>
      </w:r>
    </w:p>
    <w:p w14:paraId="2F007B57">
      <w:pPr>
        <w:keepNext w:val="0"/>
        <w:keepLines w:val="0"/>
        <w:pageBreakBefore w:val="0"/>
        <w:kinsoku/>
        <w:wordWrap/>
        <w:overflowPunct/>
        <w:topLinePunct w:val="0"/>
        <w:autoSpaceDE/>
        <w:autoSpaceDN/>
        <w:bidi w:val="0"/>
        <w:adjustRightInd/>
        <w:spacing w:line="300" w:lineRule="auto"/>
        <w:ind w:firstLine="420"/>
        <w:textAlignment w:val="auto"/>
        <w:outlineLvl w:val="1"/>
        <w:rPr>
          <w:rFonts w:ascii="Times New Roman" w:hAnsi="Times New Roman" w:cs="Times New Roman"/>
          <w:b/>
          <w:bCs/>
          <w:sz w:val="24"/>
        </w:rPr>
      </w:pPr>
      <w:r>
        <w:rPr>
          <w:rFonts w:ascii="Times New Roman" w:hAnsi="Times New Roman" w:cs="Times New Roman"/>
          <w:b/>
          <w:bCs/>
          <w:sz w:val="24"/>
        </w:rPr>
        <w:t>（</w:t>
      </w:r>
      <w:r>
        <w:rPr>
          <w:rFonts w:hint="eastAsia" w:ascii="Times New Roman" w:hAnsi="Times New Roman" w:cs="Times New Roman"/>
          <w:b/>
          <w:bCs/>
          <w:sz w:val="24"/>
        </w:rPr>
        <w:t>二</w:t>
      </w:r>
      <w:r>
        <w:rPr>
          <w:rFonts w:ascii="Times New Roman" w:hAnsi="Times New Roman" w:cs="Times New Roman"/>
          <w:b/>
          <w:bCs/>
          <w:sz w:val="24"/>
        </w:rPr>
        <w:t>）政策建议</w:t>
      </w:r>
    </w:p>
    <w:p w14:paraId="257EAC75">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基于模型结果和研究数据，本文特别提出以下建议：</w:t>
      </w:r>
    </w:p>
    <w:p w14:paraId="4DC8FEF3">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一是</w:t>
      </w:r>
      <w:r>
        <w:rPr>
          <w:rFonts w:ascii="Times New Roman" w:hAnsi="Times New Roman" w:cs="Times New Roman"/>
          <w:sz w:val="24"/>
        </w:rPr>
        <w:t>对于上市公司而言，应积极配合审计工作，认识到高质量审计对抑制真实盈余管理、提升财务报告质量的关键作用。主动加强内部控制建设，合理投入资源，完善内控制度，提高内控有效性。同时，不同产权性质企业要关注差异，国企应利用严格监管环境强化审计配合，非国企则需主动提升治理水平，借鉴先进经验。</w:t>
      </w:r>
    </w:p>
    <w:p w14:paraId="38240464">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二是</w:t>
      </w:r>
      <w:r>
        <w:rPr>
          <w:rFonts w:ascii="Times New Roman" w:hAnsi="Times New Roman" w:cs="Times New Roman"/>
          <w:sz w:val="24"/>
        </w:rPr>
        <w:t>对于会计师事务所而言，要持续提升审计质量，加大审计资源投入，采用科学严谨的审计方法，确保审计结论准确可靠。重视对企业内控的审计，评价内控设计与运行有效性，提出改进建议，助力企业完善内控体系。此外，加强行业交流，分享经验，共同应对不同产权性质企业的审计挑战。</w:t>
      </w:r>
    </w:p>
    <w:p w14:paraId="0A42149F">
      <w:pPr>
        <w:keepNext w:val="0"/>
        <w:keepLines w:val="0"/>
        <w:pageBreakBefore w:val="0"/>
        <w:kinsoku/>
        <w:wordWrap/>
        <w:overflowPunct/>
        <w:topLinePunct w:val="0"/>
        <w:autoSpaceDE/>
        <w:autoSpaceDN/>
        <w:bidi w:val="0"/>
        <w:adjustRightInd/>
        <w:spacing w:line="300" w:lineRule="auto"/>
        <w:ind w:firstLine="480" w:firstLineChars="200"/>
        <w:textAlignment w:val="auto"/>
        <w:rPr>
          <w:rFonts w:ascii="Times New Roman" w:hAnsi="Times New Roman" w:cs="Times New Roman"/>
          <w:sz w:val="24"/>
        </w:rPr>
      </w:pPr>
      <w:r>
        <w:rPr>
          <w:rFonts w:hint="eastAsia" w:ascii="Times New Roman" w:hAnsi="Times New Roman" w:cs="Times New Roman"/>
          <w:sz w:val="24"/>
        </w:rPr>
        <w:t>三是</w:t>
      </w:r>
      <w:r>
        <w:rPr>
          <w:rFonts w:ascii="Times New Roman" w:hAnsi="Times New Roman" w:cs="Times New Roman"/>
          <w:sz w:val="24"/>
        </w:rPr>
        <w:t>对于监管部门而言，需强化对会计师事务所的监管，完善审计质量评价体系，严肃处理违规行为。推动企业内控规范实施，加强对上市</w:t>
      </w:r>
      <w:r>
        <w:rPr>
          <w:rFonts w:hint="eastAsia" w:ascii="Times New Roman" w:hAnsi="Times New Roman" w:cs="Times New Roman"/>
          <w:sz w:val="24"/>
        </w:rPr>
        <w:t>企业内控</w:t>
      </w:r>
      <w:r>
        <w:rPr>
          <w:rFonts w:ascii="Times New Roman" w:hAnsi="Times New Roman" w:cs="Times New Roman"/>
          <w:sz w:val="24"/>
        </w:rPr>
        <w:t>建设的指导和监督，提高内控信息透明度。关注产权性质差异监管，优化对国企的监管方式，引导非国企加强内控与审计，维护公平竞争的审计市场环境。</w:t>
      </w:r>
    </w:p>
    <w:p w14:paraId="3CAFC236">
      <w:pPr>
        <w:keepNext w:val="0"/>
        <w:keepLines w:val="0"/>
        <w:pageBreakBefore w:val="0"/>
        <w:kinsoku/>
        <w:wordWrap/>
        <w:overflowPunct/>
        <w:topLinePunct w:val="0"/>
        <w:autoSpaceDE/>
        <w:autoSpaceDN/>
        <w:bidi w:val="0"/>
        <w:adjustRightInd/>
        <w:spacing w:line="300" w:lineRule="auto"/>
        <w:ind w:firstLine="420"/>
        <w:textAlignment w:val="auto"/>
        <w:outlineLvl w:val="1"/>
        <w:rPr>
          <w:rFonts w:hint="eastAsia" w:ascii="Times New Roman" w:hAnsi="Times New Roman" w:cs="Times New Roman"/>
          <w:b/>
          <w:bCs/>
          <w:sz w:val="24"/>
        </w:rPr>
      </w:pPr>
      <w:bookmarkStart w:id="29" w:name="_Toc3499"/>
      <w:bookmarkStart w:id="30" w:name="_Toc26319"/>
      <w:bookmarkStart w:id="31" w:name="_Toc29313"/>
      <w:r>
        <w:rPr>
          <w:rFonts w:hint="eastAsia" w:ascii="Times New Roman" w:hAnsi="Times New Roman" w:cs="Times New Roman"/>
          <w:b/>
          <w:bCs/>
          <w:sz w:val="24"/>
        </w:rPr>
        <w:t>（三）展望</w:t>
      </w:r>
      <w:bookmarkEnd w:id="29"/>
      <w:bookmarkEnd w:id="30"/>
      <w:bookmarkEnd w:id="31"/>
    </w:p>
    <w:p w14:paraId="572DE412">
      <w:pPr>
        <w:keepNext w:val="0"/>
        <w:keepLines w:val="0"/>
        <w:pageBreakBefore w:val="0"/>
        <w:kinsoku/>
        <w:wordWrap/>
        <w:overflowPunct/>
        <w:topLinePunct w:val="0"/>
        <w:autoSpaceDE/>
        <w:autoSpaceDN/>
        <w:bidi w:val="0"/>
        <w:adjustRightInd/>
        <w:spacing w:line="300" w:lineRule="auto"/>
        <w:ind w:firstLine="480" w:firstLineChars="200"/>
        <w:textAlignment w:val="auto"/>
        <w:rPr>
          <w:rFonts w:hint="eastAsia" w:ascii="Times New Roman" w:hAnsi="Times New Roman" w:cs="Times New Roman"/>
          <w:sz w:val="24"/>
        </w:rPr>
      </w:pPr>
      <w:r>
        <w:rPr>
          <w:rFonts w:hint="eastAsia" w:ascii="Times New Roman" w:hAnsi="Times New Roman" w:cs="Times New Roman"/>
          <w:sz w:val="24"/>
        </w:rPr>
        <w:t>尽管本文在审计行为对真实盈余管理的影响方面取得了一定成果，但仍存在一些不足之处。</w:t>
      </w:r>
      <w:r>
        <w:rPr>
          <w:rFonts w:ascii="Times New Roman" w:hAnsi="Times New Roman" w:cs="Times New Roman"/>
          <w:sz w:val="24"/>
        </w:rPr>
        <w:t>一是</w:t>
      </w:r>
      <w:r>
        <w:rPr>
          <w:rFonts w:hint="eastAsia" w:ascii="Times New Roman" w:hAnsi="Times New Roman" w:cs="Times New Roman"/>
          <w:sz w:val="24"/>
        </w:rPr>
        <w:t>本文的研究</w:t>
      </w:r>
      <w:r>
        <w:rPr>
          <w:rFonts w:ascii="Times New Roman" w:hAnsi="Times New Roman" w:cs="Times New Roman"/>
          <w:sz w:val="24"/>
        </w:rPr>
        <w:t>样本仅限房地产行业，结论普适性待验证，未来应拓展至其他行业。二是</w:t>
      </w:r>
      <w:r>
        <w:rPr>
          <w:rFonts w:hint="eastAsia" w:ascii="Times New Roman" w:hAnsi="Times New Roman" w:cs="Times New Roman"/>
          <w:sz w:val="24"/>
        </w:rPr>
        <w:t>所构建的测度</w:t>
      </w:r>
      <w:r>
        <w:rPr>
          <w:rFonts w:ascii="Times New Roman" w:hAnsi="Times New Roman" w:cs="Times New Roman"/>
          <w:sz w:val="24"/>
        </w:rPr>
        <w:t>指标体系受数据来源影响，未来宜结合更多客观指标构建更全面的内控质量评价体系。三是市场与政策变化或影响审计与盈余管理关系，未来需跟进变化，采用动态模型以贴合新需求。</w:t>
      </w:r>
    </w:p>
    <w:p w14:paraId="67D506D5">
      <w:pPr>
        <w:keepNext w:val="0"/>
        <w:keepLines w:val="0"/>
        <w:pageBreakBefore w:val="0"/>
        <w:kinsoku/>
        <w:wordWrap/>
        <w:overflowPunct/>
        <w:topLinePunct w:val="0"/>
        <w:autoSpaceDE/>
        <w:autoSpaceDN/>
        <w:bidi w:val="0"/>
        <w:adjustRightInd/>
        <w:spacing w:line="300" w:lineRule="auto"/>
        <w:ind w:firstLine="420"/>
        <w:textAlignment w:val="auto"/>
        <w:rPr>
          <w:rFonts w:hint="eastAsia" w:ascii="Times New Roman" w:hAnsi="Times New Roman" w:cs="Times New Roman"/>
          <w:sz w:val="24"/>
        </w:rPr>
      </w:pPr>
      <w:r>
        <w:rPr>
          <w:rFonts w:hint="eastAsia" w:ascii="Times New Roman" w:hAnsi="Times New Roman" w:cs="Times New Roman"/>
          <w:sz w:val="24"/>
        </w:rPr>
        <w:t>展望未来，审计行为对盈余管理的影响研究仍具有广阔的空间。可以进一步剖析审计行为的具体机制，细致研究审计行为利用不同路径影响盈余管理现象；推进跨行业的对比分析研究，为各行业制定更贴合实际的政策建议提供支撑，跟着大数据、人工智能等新技术逐步发展，未来的研究也</w:t>
      </w:r>
      <w:r>
        <w:rPr>
          <w:rFonts w:hint="eastAsia" w:ascii="Times New Roman" w:hAnsi="Times New Roman" w:cs="Times New Roman"/>
          <w:sz w:val="24"/>
          <w:lang w:eastAsia="zh-CN"/>
        </w:rPr>
        <w:t>可以</w:t>
      </w:r>
      <w:r>
        <w:rPr>
          <w:rFonts w:hint="eastAsia" w:ascii="Times New Roman" w:hAnsi="Times New Roman" w:cs="Times New Roman"/>
          <w:sz w:val="24"/>
        </w:rPr>
        <w:t>将这些新技术结合进去，探寻其在审计与盈余管理研究</w:t>
      </w:r>
      <w:r>
        <w:rPr>
          <w:rFonts w:hint="eastAsia" w:ascii="Times New Roman" w:hAnsi="Times New Roman" w:cs="Times New Roman"/>
          <w:sz w:val="24"/>
          <w:lang w:eastAsia="zh-CN"/>
        </w:rPr>
        <w:t>中</w:t>
      </w:r>
      <w:r>
        <w:rPr>
          <w:rFonts w:hint="eastAsia" w:ascii="Times New Roman" w:hAnsi="Times New Roman" w:cs="Times New Roman"/>
          <w:sz w:val="24"/>
        </w:rPr>
        <w:t>的应用，以增强研究的前沿性与实用性。</w:t>
      </w:r>
    </w:p>
    <w:p w14:paraId="2B3573EA">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 w:val="24"/>
        </w:rPr>
      </w:pPr>
    </w:p>
    <w:p w14:paraId="13D8EA0D">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 w:val="24"/>
        </w:rPr>
      </w:pPr>
    </w:p>
    <w:p w14:paraId="68CA0C67">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 w:val="24"/>
        </w:rPr>
      </w:pPr>
    </w:p>
    <w:p w14:paraId="28FBDDA6">
      <w:pPr>
        <w:keepNext w:val="0"/>
        <w:keepLines w:val="0"/>
        <w:pageBreakBefore w:val="0"/>
        <w:kinsoku/>
        <w:wordWrap/>
        <w:overflowPunct/>
        <w:topLinePunct w:val="0"/>
        <w:autoSpaceDE/>
        <w:autoSpaceDN/>
        <w:bidi w:val="0"/>
        <w:adjustRightInd/>
        <w:spacing w:line="300" w:lineRule="auto"/>
        <w:textAlignment w:val="auto"/>
        <w:rPr>
          <w:rFonts w:hint="eastAsia" w:ascii="Times New Roman" w:hAnsi="Times New Roman" w:cs="Times New Roman"/>
          <w:sz w:val="24"/>
        </w:rPr>
      </w:pPr>
    </w:p>
    <w:p w14:paraId="521D911B">
      <w:pPr>
        <w:keepNext w:val="0"/>
        <w:keepLines w:val="0"/>
        <w:pageBreakBefore w:val="0"/>
        <w:kinsoku/>
        <w:wordWrap/>
        <w:overflowPunct/>
        <w:topLinePunct w:val="0"/>
        <w:autoSpaceDE/>
        <w:autoSpaceDN/>
        <w:bidi w:val="0"/>
        <w:adjustRightInd/>
        <w:spacing w:line="300" w:lineRule="auto"/>
        <w:textAlignment w:val="auto"/>
        <w:outlineLvl w:val="0"/>
        <w:rPr>
          <w:rFonts w:hint="eastAsia" w:ascii="Times New Roman" w:hAnsi="Times New Roman" w:cs="Times New Roman"/>
          <w:sz w:val="24"/>
        </w:rPr>
      </w:pPr>
      <w:r>
        <w:rPr>
          <w:rFonts w:hint="eastAsia" w:ascii="Times New Roman" w:hAnsi="Times New Roman" w:cs="Times New Roman"/>
          <w:b/>
          <w:bCs/>
          <w:sz w:val="24"/>
        </w:rPr>
        <w:t>参考文献</w:t>
      </w:r>
    </w:p>
    <w:sectPr>
      <w:footnotePr>
        <w:numFmt w:val="decimalEnclosedCircleChinese"/>
      </w:footnote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6">
    <w:p/>
  </w:endnote>
  <w:endnote w:type="continuationSeparator" w:id="67">
    <w:p/>
  </w:endnote>
  <w:endnote w:id="0">
    <w:p w14:paraId="72E91C11">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]梁力军,陈国渔,陈明仪.基于信息熵—Logistic的财务数据异常告警与实证研究——以房地产企业为例[J].会计之友,2025,(02):81-88.</w:t>
      </w:r>
    </w:p>
  </w:endnote>
  <w:endnote w:id="1">
    <w:p w14:paraId="3723A2F3">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]张静娴,冯勇杰,张曾莲.ESG对企业真实盈余管理的影响效应检验[J].统计与决策,2025,41(10):166-172.</w:t>
      </w:r>
    </w:p>
  </w:endnote>
  <w:endnote w:id="2">
    <w:p w14:paraId="3083A213">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]王欣兰,许安迪,王金凤.职工董事与盈余管理：机制与效应[J].财务研究,2024,(06):69-83.</w:t>
      </w:r>
    </w:p>
  </w:endnote>
  <w:endnote w:id="3">
    <w:p w14:paraId="182E530C">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]刘艳霞,曹钰琪,李宾.企业ESG表现对盈余管理行为的影响[J].改革,2024,(11):114-132.</w:t>
      </w:r>
    </w:p>
  </w:endnote>
  <w:endnote w:id="4">
    <w:p w14:paraId="4E80228A">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]朱泽钢,姜丽莎.关键审计事项披露对盈余管理行为的治理作用研究——基于DID模型与文本分析[J].经济经纬,2021,38(01):124-133.</w:t>
      </w:r>
    </w:p>
  </w:endnote>
  <w:endnote w:id="5">
    <w:p w14:paraId="3108B2D7">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]喻采平,周玉洁,刘祥坚.披露关键审计事项对盈余管理的影响——基于会计师事务所声誉的调节作用[J].中国注册会计师,2021,(09):28-33.</w:t>
      </w:r>
    </w:p>
  </w:endnote>
  <w:endnote w:id="6">
    <w:p w14:paraId="3C8C67CD">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]陈奕虹.上市公司真实盈余管理与审计收费关系研究[D].长沙理工大学,2020.</w:t>
      </w:r>
    </w:p>
  </w:endnote>
  <w:endnote w:id="7">
    <w:p w14:paraId="18B904B0">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]宋娜.真实盈余管理、内部控制与审计费用[D].安徽农业大学,2021.</w:t>
      </w:r>
    </w:p>
  </w:endnote>
  <w:endnote w:id="8">
    <w:p w14:paraId="09A811DD">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]Khalil Sandra,Nehme Rabih.Performance evaluations and junior auditors’attitude to audit behavior:a gender and culture comparative study[J].Meditari Accountancy Research, 2023,31(2):239-257.</w:t>
      </w:r>
    </w:p>
  </w:endnote>
  <w:endnote w:id="9">
    <w:p w14:paraId="39681F64">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]张丽达,冯均科,王艺.审计风险联结是否影响关键审计事项披露行为?——基于“低质量审计传染”问题的情境研究[J].审计研究,2024,(04):65-76.</w:t>
      </w:r>
    </w:p>
  </w:endnote>
  <w:endnote w:id="10">
    <w:p w14:paraId="69F0F25B">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]李燕.关键审计事项对盈余管理影响研究[D].吉林财经大学,2022.</w:t>
      </w:r>
    </w:p>
  </w:endnote>
  <w:endnote w:id="11">
    <w:p w14:paraId="6408B0D3">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]刘静,关苗.关键审计事项、企业数字化转型与真实盈余管理[J].商业会计,2024,(11):62-66.</w:t>
      </w:r>
    </w:p>
  </w:endnote>
  <w:endnote w:id="12">
    <w:p w14:paraId="7BBB0493">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]黄亮华,汤晓燕.关键审计事项：审计师的“免责声明”？——企业真实活动盈余管理和关键审计事项披露的差异化[J].财经研究,2021,47(02):139-153.</w:t>
      </w:r>
    </w:p>
  </w:endnote>
  <w:endnote w:id="13">
    <w:p w14:paraId="5191ACAF">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]黎纪东，曹惠玲.审计质量、盈余管理与投资绩效关系的实证研究[J].中国注册会计师,2023,(08):65-68.</w:t>
      </w:r>
    </w:p>
  </w:endnote>
  <w:endnote w:id="14">
    <w:p w14:paraId="68DE001B">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]李双承.企业环境不确定性与内部控制质量对关键审计事项披露数量的影响研究[D].北京邮电大学,2021.</w:t>
      </w:r>
    </w:p>
  </w:endnote>
  <w:endnote w:id="15">
    <w:p w14:paraId="7106EA74">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]王雅,杨航.企业内部控制质量、董事会规模与审计收费研究[J].全国流通经济,2021,(07):174-177.</w:t>
      </w:r>
    </w:p>
  </w:endnote>
  <w:endnote w:id="16">
    <w:p w14:paraId="45FF161F">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]张宏霞,解辰影.企业数字化转型、内部控制与审计质量[J].国际商务财会,2024,(04):3-10+22.</w:t>
      </w:r>
    </w:p>
  </w:endnote>
  <w:endnote w:id="17">
    <w:p w14:paraId="16E543E0">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]黄静如,高雄天.持续经营审计意见、审计费用与真实盈余管理[J].集美大学学报(哲社版),2024,27(06):34-44.</w:t>
      </w:r>
    </w:p>
  </w:endnote>
  <w:endnote w:id="18">
    <w:p w14:paraId="17E8DB76">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]李慧敏.关键审计事项披露对盈余持续性的影响研究[D].西京学院,2024.</w:t>
      </w:r>
    </w:p>
  </w:endnote>
  <w:endnote w:id="19">
    <w:p w14:paraId="3BF2223C">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w:t>
      </w:r>
      <w:r>
        <w:rPr>
          <w:rFonts w:hint="eastAsia" w:asciiTheme="minorEastAsia" w:hAnsiTheme="minorEastAsia" w:eastAsiaTheme="minorEastAsia" w:cstheme="minorEastAsia"/>
          <w:color w:val="333333"/>
          <w:szCs w:val="21"/>
          <w:shd w:val="clear" w:color="auto" w:fill="FFFFFF"/>
        </w:rPr>
        <w:t>温忠麟,王一帆,马鹏,孟进.变量之间的影响关系和多重影响因素的共同作用类型[J].心理学报,2024,56(10):1462-1471.</w:t>
      </w:r>
    </w:p>
  </w:endnote>
  <w:endnote w:id="20">
    <w:p w14:paraId="6DCEBB2A">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]赵西亮.因果中介分析的理论进展及其应用[J].数量经济技术经济研究,2025,42(02):195-216.</w:t>
      </w:r>
    </w:p>
  </w:endnote>
  <w:endnote w:id="21">
    <w:p w14:paraId="0E25E5BA">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]马楷纯.企业风险承担水平对审计收费的影响——基于盈余管理的中介作用[J].经济研究导刊,2022,(27):125-127+161.</w:t>
      </w:r>
    </w:p>
  </w:endnote>
  <w:endnote w:id="22">
    <w:p w14:paraId="279A6070">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]王冠青,郜攀峰.审计委员会特征对企业财务绩效的影响研究——基于内部控制质量的中介效应[J].现代商贸工业,2023,44(12):76-82.</w:t>
      </w:r>
    </w:p>
  </w:endnote>
  <w:endnote w:id="23">
    <w:p w14:paraId="0F674B20">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]刘斌,李延喜,迟健心.内部控制意愿、内部控制水平与盈余管理方式——基于文本分析与机器学习的计量方法[J].科研管理,2021,42(09):166-174.</w:t>
      </w:r>
    </w:p>
  </w:endnote>
  <w:endnote w:id="24">
    <w:p w14:paraId="7F72B887">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]庾爽.基于盈余管理视角分析商誉减值问题[D].甘肃政法大学,2023.</w:t>
      </w:r>
    </w:p>
  </w:endnote>
  <w:endnote w:id="25">
    <w:p w14:paraId="6DA82365">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]田志凡,张学人,李春涛.盈余管理指标的构建及其Stata实现[J].航空财会,2019,1(03):27-35.</w:t>
      </w:r>
    </w:p>
  </w:endnote>
  <w:endnote w:id="26">
    <w:p w14:paraId="043E460A">
      <w:pPr>
        <w:pStyle w:val="6"/>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]张静.中小投资者异议与审计行为研究[D].厦门大学,2020.</w:t>
      </w:r>
    </w:p>
  </w:endnote>
  <w:endnote w:id="27">
    <w:p w14:paraId="34BFBA07">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]金炫智.关于审计质量对真实盈余管理影响的实证研究[J].中国集体经济,2022,(04):146-147.</w:t>
      </w:r>
    </w:p>
  </w:endnote>
  <w:endnote w:id="28">
    <w:p w14:paraId="731E6EAA">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]孙文一.会计师事务所审计质量与企业盈余管理的实证研究[J].中国乡镇企业会计,2023,(03):151-154.</w:t>
      </w:r>
    </w:p>
  </w:endnote>
  <w:endnote w:id="29">
    <w:p w14:paraId="4B683AC7">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]于庆超.分析师行为对盈余管理的影响研究[D].商务部国际贸易经济合作研究院,2024.</w:t>
      </w:r>
    </w:p>
  </w:endnote>
  <w:endnote w:id="30">
    <w:p w14:paraId="22508D02">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]杨晓梅.员工持股计划、内部控制与审计质量[D].山西：山西财经大学,2022.</w:t>
      </w:r>
    </w:p>
  </w:endnote>
  <w:endnote w:id="31">
    <w:p w14:paraId="6E31841D">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]李萍.董事会异质性、外部审计对盈余管理的影响研究[D].山东：山东科技大学,2019.</w:t>
      </w:r>
    </w:p>
  </w:endnote>
  <w:endnote w:id="32">
    <w:p w14:paraId="05AA6DC6">
      <w:pPr>
        <w:pStyle w:val="5"/>
        <w:snapToGrid w:val="0"/>
        <w:spacing w:line="360" w:lineRule="atLeast"/>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rPr>
        <w:endnoteRef/>
      </w:r>
      <w:r>
        <w:rPr>
          <w:rFonts w:hint="eastAsia" w:asciiTheme="minorEastAsia" w:hAnsiTheme="minorEastAsia" w:eastAsiaTheme="minorEastAsia" w:cstheme="minorEastAsia"/>
        </w:rPr>
        <w:t>]王瑶.内部控制质量、盈余管理与审计收费——基于A股上市公司的实证研究[J].辽宁工程技术大学学报(社会科学版),2023,25(04):269-277.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69806170">
      <w:pPr>
        <w:pStyle w:val="8"/>
        <w:widowControl/>
        <w:kinsoku w:val="0"/>
        <w:adjustRightInd w:val="0"/>
        <w:spacing w:line="200" w:lineRule="exact"/>
        <w:jc w:val="both"/>
        <w:textAlignment w:val="baseline"/>
        <w:rPr>
          <w:rFonts w:ascii="Times New Roman" w:hAnsi="Times New Roman" w:eastAsia="楷体" w:cs="Times New Roman"/>
          <w:b/>
          <w:bCs/>
        </w:rPr>
      </w:pPr>
      <w:r>
        <w:rPr>
          <w:rFonts w:ascii="Times New Roman" w:hAnsi="Times New Roman" w:eastAsia="楷体" w:cs="Times New Roman"/>
          <w:b/>
          <w:bCs/>
        </w:rPr>
        <w:footnoteRef/>
      </w:r>
      <w:r>
        <w:rPr>
          <w:rFonts w:ascii="Times New Roman" w:hAnsi="Times New Roman" w:eastAsia="楷体" w:cs="Times New Roman"/>
          <w:b/>
          <w:bCs/>
        </w:rPr>
        <w:t>国家社科基金“多源数据融合下数字金融风险监测与防范机制研究”（项目号：23BGL091）；中国商业会计学会2024年重点科研课题“新质生产力下审计</w:t>
      </w:r>
      <w:r>
        <w:rPr>
          <w:rFonts w:hint="eastAsia" w:ascii="Times New Roman" w:hAnsi="Times New Roman" w:eastAsia="楷体" w:cs="Times New Roman"/>
          <w:b/>
          <w:bCs/>
        </w:rPr>
        <w:t>数智化</w:t>
      </w:r>
      <w:r>
        <w:rPr>
          <w:rFonts w:ascii="Times New Roman" w:hAnsi="Times New Roman" w:eastAsia="楷体" w:cs="Times New Roman"/>
          <w:b/>
          <w:bCs/>
        </w:rPr>
        <w:t>转型发展的关键要素、动力机制和实践框架研究”</w:t>
      </w:r>
      <w:r>
        <w:rPr>
          <w:rFonts w:hint="eastAsia" w:ascii="Times New Roman" w:hAnsi="Times New Roman" w:eastAsia="楷体" w:cs="Times New Roman"/>
          <w:b/>
          <w:bCs/>
        </w:rPr>
        <w:t>（项目号：</w:t>
      </w:r>
      <w:r>
        <w:rPr>
          <w:rFonts w:ascii="Times New Roman" w:hAnsi="Times New Roman" w:eastAsia="楷体" w:cs="Times New Roman"/>
          <w:b/>
          <w:bCs/>
        </w:rPr>
        <w:t>2024zsx023</w:t>
      </w:r>
      <w:r>
        <w:rPr>
          <w:rFonts w:hint="eastAsia" w:ascii="Times New Roman" w:hAnsi="Times New Roman" w:eastAsia="楷体" w:cs="Times New Roman"/>
          <w:b/>
          <w:bCs/>
        </w:rPr>
        <w:t>）</w:t>
      </w:r>
    </w:p>
    <w:p w14:paraId="519C2878">
      <w:pPr>
        <w:pStyle w:val="8"/>
        <w:widowControl/>
        <w:kinsoku w:val="0"/>
        <w:adjustRightInd w:val="0"/>
        <w:spacing w:line="200" w:lineRule="exact"/>
        <w:jc w:val="both"/>
        <w:textAlignment w:val="baseline"/>
        <w:rPr>
          <w:rFonts w:ascii="Times New Roman" w:hAnsi="Times New Roman" w:eastAsia="楷体" w:cs="Times New Roman"/>
        </w:rPr>
      </w:pPr>
      <w:r>
        <w:rPr>
          <w:rFonts w:ascii="Times New Roman" w:hAnsi="Times New Roman" w:eastAsia="楷体" w:cs="Times New Roman"/>
        </w:rPr>
        <w:t>1.梁力军（1974-），男，汉族，河北省石家庄人，管理学博士、工商管理博士后。北京信息科技大学商学院审计系副教授、硕士生导师。研究方向：审计理论与实务等；物流工程与供应链管理。联系方式：13911702030，北京市昌平区太行路55号，102206.邮箱：</w:t>
      </w:r>
      <w:r>
        <w:fldChar w:fldCharType="begin"/>
      </w:r>
      <w:r>
        <w:instrText xml:space="preserve"> HYPERLINK "mailto:lianglijunuse@163.com。" </w:instrText>
      </w:r>
      <w:r>
        <w:fldChar w:fldCharType="separate"/>
      </w:r>
      <w:r>
        <w:rPr>
          <w:rFonts w:ascii="Times New Roman" w:hAnsi="Times New Roman" w:eastAsia="楷体" w:cs="Times New Roman"/>
        </w:rPr>
        <w:t>lianglijunuse@163.com。</w:t>
      </w:r>
      <w:r>
        <w:rPr>
          <w:rFonts w:ascii="Times New Roman" w:hAnsi="Times New Roman" w:eastAsia="楷体" w:cs="Times New Roman"/>
        </w:rPr>
        <w:fldChar w:fldCharType="end"/>
      </w:r>
    </w:p>
    <w:p w14:paraId="74E3F45A">
      <w:pPr>
        <w:pStyle w:val="8"/>
        <w:widowControl/>
        <w:kinsoku w:val="0"/>
        <w:adjustRightInd w:val="0"/>
        <w:spacing w:line="200" w:lineRule="exact"/>
        <w:jc w:val="both"/>
        <w:textAlignment w:val="baseline"/>
        <w:rPr>
          <w:rFonts w:ascii="Times New Roman" w:hAnsi="Times New Roman" w:eastAsia="楷体" w:cs="Times New Roman"/>
        </w:rPr>
      </w:pPr>
      <w:r>
        <w:rPr>
          <w:rFonts w:ascii="Times New Roman" w:hAnsi="Times New Roman" w:eastAsia="楷体" w:cs="Times New Roman"/>
        </w:rPr>
        <w:t>2.刘佳琦(2002-),女,河北省沧州市人,首都经贸大学会计学院审计专业硕士研究生。研究方向：审计理论与实务。联系方式：13520002943，邮箱：liujiaqiuse@163.com。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 w:id="2"/>
    <w:footnote w:id="3"/>
  </w:footnotePr>
  <w:endnotePr>
    <w:numFmt w:val="decimal"/>
    <w:endnote w:id="66"/>
    <w:endnote w:id="67"/>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132"/>
    <w:rsid w:val="002A6BF1"/>
    <w:rsid w:val="002E1CB9"/>
    <w:rsid w:val="002F31F5"/>
    <w:rsid w:val="003316E0"/>
    <w:rsid w:val="00422132"/>
    <w:rsid w:val="0061489E"/>
    <w:rsid w:val="00741BE0"/>
    <w:rsid w:val="008B10AF"/>
    <w:rsid w:val="008B7F96"/>
    <w:rsid w:val="00913F85"/>
    <w:rsid w:val="009415FB"/>
    <w:rsid w:val="00A50628"/>
    <w:rsid w:val="00AB7A64"/>
    <w:rsid w:val="00AC1C8C"/>
    <w:rsid w:val="00BC273A"/>
    <w:rsid w:val="00EB5DF2"/>
    <w:rsid w:val="00F841D9"/>
    <w:rsid w:val="010C0502"/>
    <w:rsid w:val="011375A8"/>
    <w:rsid w:val="0179546C"/>
    <w:rsid w:val="01E44870"/>
    <w:rsid w:val="01E70628"/>
    <w:rsid w:val="020F4ADB"/>
    <w:rsid w:val="02881E0B"/>
    <w:rsid w:val="02BC1BFB"/>
    <w:rsid w:val="02CE6244"/>
    <w:rsid w:val="032D26DE"/>
    <w:rsid w:val="03433F84"/>
    <w:rsid w:val="03A569EC"/>
    <w:rsid w:val="03B7465A"/>
    <w:rsid w:val="04211386"/>
    <w:rsid w:val="04892D9E"/>
    <w:rsid w:val="04A716E3"/>
    <w:rsid w:val="04BC0740"/>
    <w:rsid w:val="05D70D6F"/>
    <w:rsid w:val="0643270C"/>
    <w:rsid w:val="067D77AC"/>
    <w:rsid w:val="068C707C"/>
    <w:rsid w:val="0697042D"/>
    <w:rsid w:val="070A6D80"/>
    <w:rsid w:val="0737795B"/>
    <w:rsid w:val="07456C2F"/>
    <w:rsid w:val="07660241"/>
    <w:rsid w:val="07A174CB"/>
    <w:rsid w:val="07DF3C56"/>
    <w:rsid w:val="086504F8"/>
    <w:rsid w:val="08E65ADD"/>
    <w:rsid w:val="092357C0"/>
    <w:rsid w:val="09277F6E"/>
    <w:rsid w:val="09736C45"/>
    <w:rsid w:val="09BA7F36"/>
    <w:rsid w:val="0A285C81"/>
    <w:rsid w:val="0AA364AD"/>
    <w:rsid w:val="0AF02C43"/>
    <w:rsid w:val="0BDB744F"/>
    <w:rsid w:val="0C3923C8"/>
    <w:rsid w:val="0CD93263"/>
    <w:rsid w:val="0D1F15BD"/>
    <w:rsid w:val="0D4C1F32"/>
    <w:rsid w:val="0D764EB3"/>
    <w:rsid w:val="0DCE7C62"/>
    <w:rsid w:val="0E481E5C"/>
    <w:rsid w:val="0F694D72"/>
    <w:rsid w:val="0FBE7087"/>
    <w:rsid w:val="10072DFF"/>
    <w:rsid w:val="10362BFB"/>
    <w:rsid w:val="119A56B6"/>
    <w:rsid w:val="11E6338C"/>
    <w:rsid w:val="121B2245"/>
    <w:rsid w:val="127247CC"/>
    <w:rsid w:val="12B40364"/>
    <w:rsid w:val="12E50BB3"/>
    <w:rsid w:val="12FC1681"/>
    <w:rsid w:val="136F66CF"/>
    <w:rsid w:val="137E6912"/>
    <w:rsid w:val="14316687"/>
    <w:rsid w:val="145F4995"/>
    <w:rsid w:val="155B33AF"/>
    <w:rsid w:val="15A969F7"/>
    <w:rsid w:val="15B605E5"/>
    <w:rsid w:val="15CC1BB7"/>
    <w:rsid w:val="167F4E7B"/>
    <w:rsid w:val="16A8416F"/>
    <w:rsid w:val="17200FAC"/>
    <w:rsid w:val="175E0A74"/>
    <w:rsid w:val="17994D0F"/>
    <w:rsid w:val="187E2A36"/>
    <w:rsid w:val="1886054D"/>
    <w:rsid w:val="1934019F"/>
    <w:rsid w:val="194257ED"/>
    <w:rsid w:val="1A622AE9"/>
    <w:rsid w:val="1B2E0C1E"/>
    <w:rsid w:val="1B6D5BEA"/>
    <w:rsid w:val="1B792809"/>
    <w:rsid w:val="1C1B73F4"/>
    <w:rsid w:val="1C4306F9"/>
    <w:rsid w:val="1CD777BF"/>
    <w:rsid w:val="1CE84EFD"/>
    <w:rsid w:val="1D0139CC"/>
    <w:rsid w:val="1D303373"/>
    <w:rsid w:val="1D481485"/>
    <w:rsid w:val="1D837D50"/>
    <w:rsid w:val="1D9A07EC"/>
    <w:rsid w:val="1DEF0904"/>
    <w:rsid w:val="1E935967"/>
    <w:rsid w:val="1F971487"/>
    <w:rsid w:val="1FA33D7E"/>
    <w:rsid w:val="20BA367F"/>
    <w:rsid w:val="20CF4C51"/>
    <w:rsid w:val="20DC7CCA"/>
    <w:rsid w:val="20FF28F5"/>
    <w:rsid w:val="219263AA"/>
    <w:rsid w:val="21AD4F92"/>
    <w:rsid w:val="22306A85"/>
    <w:rsid w:val="224A05B8"/>
    <w:rsid w:val="229E48DB"/>
    <w:rsid w:val="22AB7021"/>
    <w:rsid w:val="234E6DF2"/>
    <w:rsid w:val="23940F40"/>
    <w:rsid w:val="241C63FF"/>
    <w:rsid w:val="24F5112A"/>
    <w:rsid w:val="25275E5F"/>
    <w:rsid w:val="25341526"/>
    <w:rsid w:val="25BA7C7E"/>
    <w:rsid w:val="25C91C6F"/>
    <w:rsid w:val="263E440B"/>
    <w:rsid w:val="264D0715"/>
    <w:rsid w:val="26E222DC"/>
    <w:rsid w:val="26E623ED"/>
    <w:rsid w:val="275639D6"/>
    <w:rsid w:val="27AE55C0"/>
    <w:rsid w:val="27CF398B"/>
    <w:rsid w:val="28013942"/>
    <w:rsid w:val="29122107"/>
    <w:rsid w:val="29550782"/>
    <w:rsid w:val="29FC60BB"/>
    <w:rsid w:val="2A390639"/>
    <w:rsid w:val="2A9C1406"/>
    <w:rsid w:val="2B200583"/>
    <w:rsid w:val="2B54247B"/>
    <w:rsid w:val="2B7B3A0B"/>
    <w:rsid w:val="2B82123D"/>
    <w:rsid w:val="2B8E7BE2"/>
    <w:rsid w:val="2C1E18DF"/>
    <w:rsid w:val="2C9662FB"/>
    <w:rsid w:val="2CB27900"/>
    <w:rsid w:val="2CB90C8F"/>
    <w:rsid w:val="2CDD4252"/>
    <w:rsid w:val="2D03414B"/>
    <w:rsid w:val="2D1057CD"/>
    <w:rsid w:val="2D7F132C"/>
    <w:rsid w:val="2DBB0A37"/>
    <w:rsid w:val="2DCA6ECC"/>
    <w:rsid w:val="2DF33D2D"/>
    <w:rsid w:val="2E353B9D"/>
    <w:rsid w:val="2E400F3C"/>
    <w:rsid w:val="2E6E3081"/>
    <w:rsid w:val="2F9037FD"/>
    <w:rsid w:val="2FED1084"/>
    <w:rsid w:val="303D4A56"/>
    <w:rsid w:val="30AC76AB"/>
    <w:rsid w:val="30F3375D"/>
    <w:rsid w:val="310426F5"/>
    <w:rsid w:val="310C502A"/>
    <w:rsid w:val="31175F84"/>
    <w:rsid w:val="313C23C0"/>
    <w:rsid w:val="314C6BC6"/>
    <w:rsid w:val="31F66987"/>
    <w:rsid w:val="31F9140C"/>
    <w:rsid w:val="32163EDA"/>
    <w:rsid w:val="323E5792"/>
    <w:rsid w:val="336A2CE3"/>
    <w:rsid w:val="337A6C9E"/>
    <w:rsid w:val="337C39DB"/>
    <w:rsid w:val="33997993"/>
    <w:rsid w:val="340A0022"/>
    <w:rsid w:val="340F06E9"/>
    <w:rsid w:val="34FD0CA5"/>
    <w:rsid w:val="350031D3"/>
    <w:rsid w:val="35BF7A04"/>
    <w:rsid w:val="35D308DD"/>
    <w:rsid w:val="36154A5C"/>
    <w:rsid w:val="36792A4E"/>
    <w:rsid w:val="36C344B8"/>
    <w:rsid w:val="37662C86"/>
    <w:rsid w:val="38166895"/>
    <w:rsid w:val="3842549E"/>
    <w:rsid w:val="38675A43"/>
    <w:rsid w:val="38C8225A"/>
    <w:rsid w:val="39033292"/>
    <w:rsid w:val="393B53E7"/>
    <w:rsid w:val="396B71B7"/>
    <w:rsid w:val="39720087"/>
    <w:rsid w:val="398E34A3"/>
    <w:rsid w:val="39A03035"/>
    <w:rsid w:val="3A331955"/>
    <w:rsid w:val="3AA755AA"/>
    <w:rsid w:val="3B6F55AB"/>
    <w:rsid w:val="3C163FDB"/>
    <w:rsid w:val="3C667DC0"/>
    <w:rsid w:val="3C8D39D3"/>
    <w:rsid w:val="3D7A6B08"/>
    <w:rsid w:val="3DA43295"/>
    <w:rsid w:val="3DB1150E"/>
    <w:rsid w:val="3DB42DAD"/>
    <w:rsid w:val="3DB80AEF"/>
    <w:rsid w:val="3DC20639"/>
    <w:rsid w:val="3E452877"/>
    <w:rsid w:val="3ECB4852"/>
    <w:rsid w:val="3EEF0540"/>
    <w:rsid w:val="3F38176A"/>
    <w:rsid w:val="3FC619D0"/>
    <w:rsid w:val="3FFD4EDF"/>
    <w:rsid w:val="401732FD"/>
    <w:rsid w:val="40D0614F"/>
    <w:rsid w:val="40EF4827"/>
    <w:rsid w:val="40F57964"/>
    <w:rsid w:val="40FB141E"/>
    <w:rsid w:val="41173D7E"/>
    <w:rsid w:val="41865D05"/>
    <w:rsid w:val="419D4283"/>
    <w:rsid w:val="42220C2D"/>
    <w:rsid w:val="42434FE8"/>
    <w:rsid w:val="42AC34C9"/>
    <w:rsid w:val="43E24EB3"/>
    <w:rsid w:val="44576BD6"/>
    <w:rsid w:val="446D428A"/>
    <w:rsid w:val="447C2876"/>
    <w:rsid w:val="44F92119"/>
    <w:rsid w:val="45683C1E"/>
    <w:rsid w:val="4623283D"/>
    <w:rsid w:val="463D7DE3"/>
    <w:rsid w:val="4716784A"/>
    <w:rsid w:val="475E2707"/>
    <w:rsid w:val="480000CE"/>
    <w:rsid w:val="480C0F07"/>
    <w:rsid w:val="481B05F8"/>
    <w:rsid w:val="48221986"/>
    <w:rsid w:val="48B3438D"/>
    <w:rsid w:val="48B819A3"/>
    <w:rsid w:val="48D32C81"/>
    <w:rsid w:val="48E64762"/>
    <w:rsid w:val="4921579A"/>
    <w:rsid w:val="49276B29"/>
    <w:rsid w:val="49292141"/>
    <w:rsid w:val="494E1CC8"/>
    <w:rsid w:val="49A308A5"/>
    <w:rsid w:val="4A4A3C21"/>
    <w:rsid w:val="4B1F5D09"/>
    <w:rsid w:val="4B274610"/>
    <w:rsid w:val="4B674448"/>
    <w:rsid w:val="4C4905C7"/>
    <w:rsid w:val="4C5346DC"/>
    <w:rsid w:val="4C7B394F"/>
    <w:rsid w:val="4CE62D87"/>
    <w:rsid w:val="4CF8721A"/>
    <w:rsid w:val="4D090A1F"/>
    <w:rsid w:val="4D186EB4"/>
    <w:rsid w:val="4DE01353"/>
    <w:rsid w:val="4E4A12EF"/>
    <w:rsid w:val="4EE72FE2"/>
    <w:rsid w:val="4EFB4CDF"/>
    <w:rsid w:val="4F3713F4"/>
    <w:rsid w:val="4F624D5E"/>
    <w:rsid w:val="50245C76"/>
    <w:rsid w:val="50C25AB5"/>
    <w:rsid w:val="513B5867"/>
    <w:rsid w:val="51B44DED"/>
    <w:rsid w:val="52263E21"/>
    <w:rsid w:val="524644C3"/>
    <w:rsid w:val="537312E8"/>
    <w:rsid w:val="53B053BB"/>
    <w:rsid w:val="53DF5DB6"/>
    <w:rsid w:val="55411085"/>
    <w:rsid w:val="55674E7D"/>
    <w:rsid w:val="558570B1"/>
    <w:rsid w:val="568A30CF"/>
    <w:rsid w:val="56CA251D"/>
    <w:rsid w:val="56CA3A89"/>
    <w:rsid w:val="570606C5"/>
    <w:rsid w:val="572A488A"/>
    <w:rsid w:val="57A4640C"/>
    <w:rsid w:val="57BF2D4E"/>
    <w:rsid w:val="57C9715E"/>
    <w:rsid w:val="57DA004C"/>
    <w:rsid w:val="58704048"/>
    <w:rsid w:val="58D77C23"/>
    <w:rsid w:val="59366498"/>
    <w:rsid w:val="59CA59DA"/>
    <w:rsid w:val="5A3A32AF"/>
    <w:rsid w:val="5A625C12"/>
    <w:rsid w:val="5AE03DE2"/>
    <w:rsid w:val="5B0A62C6"/>
    <w:rsid w:val="5C190553"/>
    <w:rsid w:val="5C5E1665"/>
    <w:rsid w:val="5C69772C"/>
    <w:rsid w:val="5C814A76"/>
    <w:rsid w:val="5D0E3E30"/>
    <w:rsid w:val="5D646797"/>
    <w:rsid w:val="5D867E6A"/>
    <w:rsid w:val="5DD920B9"/>
    <w:rsid w:val="5E3101E3"/>
    <w:rsid w:val="5EBB3B43"/>
    <w:rsid w:val="5F261904"/>
    <w:rsid w:val="5F4955F3"/>
    <w:rsid w:val="5F781A34"/>
    <w:rsid w:val="5FA016B7"/>
    <w:rsid w:val="605537AA"/>
    <w:rsid w:val="606D1789"/>
    <w:rsid w:val="60817C8D"/>
    <w:rsid w:val="61333E65"/>
    <w:rsid w:val="6151078F"/>
    <w:rsid w:val="6171498D"/>
    <w:rsid w:val="617D3332"/>
    <w:rsid w:val="61C61BE2"/>
    <w:rsid w:val="622163B3"/>
    <w:rsid w:val="625C0808"/>
    <w:rsid w:val="62885CC1"/>
    <w:rsid w:val="62F13FD7"/>
    <w:rsid w:val="62FB6C04"/>
    <w:rsid w:val="63021D41"/>
    <w:rsid w:val="63400ABB"/>
    <w:rsid w:val="63FB79D0"/>
    <w:rsid w:val="63FE3A6A"/>
    <w:rsid w:val="647F5A5C"/>
    <w:rsid w:val="64E02FF9"/>
    <w:rsid w:val="650825C6"/>
    <w:rsid w:val="666303EE"/>
    <w:rsid w:val="66A01F9C"/>
    <w:rsid w:val="67AE693B"/>
    <w:rsid w:val="68784476"/>
    <w:rsid w:val="69672308"/>
    <w:rsid w:val="69750F1B"/>
    <w:rsid w:val="69A973BA"/>
    <w:rsid w:val="69F06D97"/>
    <w:rsid w:val="69F9666D"/>
    <w:rsid w:val="6A771266"/>
    <w:rsid w:val="6A7A48B2"/>
    <w:rsid w:val="6B225BFF"/>
    <w:rsid w:val="6B560E7C"/>
    <w:rsid w:val="6BA4220D"/>
    <w:rsid w:val="6C121A74"/>
    <w:rsid w:val="6C326BA8"/>
    <w:rsid w:val="6C472EBA"/>
    <w:rsid w:val="6C735A5D"/>
    <w:rsid w:val="6C89291D"/>
    <w:rsid w:val="6D3671B7"/>
    <w:rsid w:val="6D374CDD"/>
    <w:rsid w:val="6DC36570"/>
    <w:rsid w:val="6E380A90"/>
    <w:rsid w:val="6E4B4B1B"/>
    <w:rsid w:val="6FA5043E"/>
    <w:rsid w:val="705D4A5A"/>
    <w:rsid w:val="708A4958"/>
    <w:rsid w:val="71F024AB"/>
    <w:rsid w:val="72945B26"/>
    <w:rsid w:val="72E11EB6"/>
    <w:rsid w:val="72E74AAF"/>
    <w:rsid w:val="734463A5"/>
    <w:rsid w:val="73A840D0"/>
    <w:rsid w:val="73B8068F"/>
    <w:rsid w:val="742A0361"/>
    <w:rsid w:val="74634609"/>
    <w:rsid w:val="74DB0643"/>
    <w:rsid w:val="74F31E31"/>
    <w:rsid w:val="75120509"/>
    <w:rsid w:val="75504B8E"/>
    <w:rsid w:val="760A6649"/>
    <w:rsid w:val="76544B8E"/>
    <w:rsid w:val="765D3A06"/>
    <w:rsid w:val="76724FD8"/>
    <w:rsid w:val="768E1E11"/>
    <w:rsid w:val="76C73713"/>
    <w:rsid w:val="76FA1255"/>
    <w:rsid w:val="773F135E"/>
    <w:rsid w:val="77EF594B"/>
    <w:rsid w:val="782642CC"/>
    <w:rsid w:val="787F1308"/>
    <w:rsid w:val="7B123DE2"/>
    <w:rsid w:val="7C235913"/>
    <w:rsid w:val="7C484D8B"/>
    <w:rsid w:val="7C80044E"/>
    <w:rsid w:val="7C9C5B48"/>
    <w:rsid w:val="7CD83A05"/>
    <w:rsid w:val="7CF44998"/>
    <w:rsid w:val="7D283FD7"/>
    <w:rsid w:val="7E23750D"/>
    <w:rsid w:val="7F007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caption"/>
    <w:basedOn w:val="1"/>
    <w:next w:val="1"/>
    <w:qFormat/>
    <w:uiPriority w:val="0"/>
    <w:rPr>
      <w:rFonts w:ascii="Arial" w:hAnsi="Arial" w:eastAsia="黑体"/>
      <w:sz w:val="20"/>
    </w:rPr>
  </w:style>
  <w:style w:type="paragraph" w:styleId="4">
    <w:name w:val="annotation text"/>
    <w:basedOn w:val="1"/>
    <w:qFormat/>
    <w:uiPriority w:val="0"/>
    <w:pPr>
      <w:jc w:val="left"/>
    </w:pPr>
  </w:style>
  <w:style w:type="paragraph" w:styleId="5">
    <w:name w:val="Plain Text"/>
    <w:basedOn w:val="1"/>
    <w:qFormat/>
    <w:uiPriority w:val="0"/>
    <w:rPr>
      <w:rFonts w:hAnsi="Courier New"/>
    </w:rPr>
  </w:style>
  <w:style w:type="paragraph" w:styleId="6">
    <w:name w:val="endnote text"/>
    <w:basedOn w:val="1"/>
    <w:link w:val="19"/>
    <w:qFormat/>
    <w:uiPriority w:val="0"/>
    <w:pPr>
      <w:snapToGrid w:val="0"/>
      <w:jc w:val="left"/>
    </w:p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footnote text"/>
    <w:basedOn w:val="1"/>
    <w:qFormat/>
    <w:uiPriority w:val="0"/>
    <w:pPr>
      <w:snapToGrid w:val="0"/>
      <w:jc w:val="left"/>
    </w:pPr>
    <w:rPr>
      <w:sz w:val="18"/>
    </w:rPr>
  </w:style>
  <w:style w:type="table" w:styleId="10">
    <w:name w:val="Table Grid"/>
    <w:basedOn w:val="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endnote reference"/>
    <w:basedOn w:val="11"/>
    <w:qFormat/>
    <w:uiPriority w:val="0"/>
    <w:rPr>
      <w:vertAlign w:val="superscript"/>
    </w:rPr>
  </w:style>
  <w:style w:type="character" w:styleId="13">
    <w:name w:val="annotation reference"/>
    <w:basedOn w:val="11"/>
    <w:qFormat/>
    <w:uiPriority w:val="0"/>
    <w:rPr>
      <w:sz w:val="21"/>
      <w:szCs w:val="21"/>
    </w:rPr>
  </w:style>
  <w:style w:type="character" w:styleId="14">
    <w:name w:val="footnote reference"/>
    <w:basedOn w:val="11"/>
    <w:qFormat/>
    <w:uiPriority w:val="0"/>
    <w:rPr>
      <w:vertAlign w:val="superscript"/>
    </w:rPr>
  </w:style>
  <w:style w:type="paragraph" w:customStyle="1" w:styleId="15">
    <w:name w:val="作者"/>
    <w:basedOn w:val="1"/>
    <w:qFormat/>
    <w:uiPriority w:val="0"/>
    <w:pPr>
      <w:adjustRightInd w:val="0"/>
      <w:snapToGrid w:val="0"/>
      <w:spacing w:line="313" w:lineRule="atLeast"/>
      <w:jc w:val="center"/>
    </w:pPr>
    <w:rPr>
      <w:rFonts w:eastAsia="仿宋_GB2312"/>
      <w:sz w:val="28"/>
    </w:rPr>
  </w:style>
  <w:style w:type="paragraph" w:customStyle="1" w:styleId="16">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7">
    <w:name w:val="修订2"/>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8">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9">
    <w:name w:val="尾注文本 字符"/>
    <w:basedOn w:val="11"/>
    <w:link w:val="6"/>
    <w:qFormat/>
    <w:uiPriority w:val="0"/>
    <w:rPr>
      <w:rFonts w:asciiTheme="minorHAnsi" w:hAnsiTheme="minorHAnsi" w:eastAsiaTheme="minorEastAsia" w:cstheme="minorBidi"/>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emf"/><Relationship Id="rId6" Type="http://schemas.openxmlformats.org/officeDocument/2006/relationships/package" Target="embeddings/Microsoft_Visio___1.vsdx"/><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C6B838-8089-4B16-BE19-C01EC9C8F539}">
  <ds:schemaRefs/>
</ds:datastoreItem>
</file>

<file path=docProps/app.xml><?xml version="1.0" encoding="utf-8"?>
<Properties xmlns="http://schemas.openxmlformats.org/officeDocument/2006/extended-properties" xmlns:vt="http://schemas.openxmlformats.org/officeDocument/2006/docPropsVTypes">
  <Template>Normal</Template>
  <Pages>20</Pages>
  <Words>8567</Words>
  <Characters>10974</Characters>
  <Lines>139</Lines>
  <Paragraphs>39</Paragraphs>
  <TotalTime>8</TotalTime>
  <ScaleCrop>false</ScaleCrop>
  <LinksUpToDate>false</LinksUpToDate>
  <CharactersWithSpaces>11273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2025-05-31T11:23:00Z</dcterms:created>
  <dc:creator>LJQ</dc:creator>
  <cp:lastModifiedBy>BIT梁子</cp:lastModifiedBy>
  <cp:lastPrinted>2025-06-23T13:15:00Z</cp:lastPrinted>
  <dcterms:modified xsi:type="dcterms:W3CDTF">2025-06-24T10:13:04Z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eyJoZGlkIjoiZGMyYzAxYTJkMjdhNTU0MjFjZGFiM2ViM2E3Y2E5OGYiLCJ1c2VySWQiOiI0MjU3OTEzNDIifQ==</vt:lpwstr>
  </property>
  <property fmtid="{D5CDD505-2E9C-101B-9397-08002B2CF9AE}" pid="4" name="ICV">
    <vt:lpwstr>F6E327C8A8AA434A934D7FDD3E7D5B7C_13</vt:lpwstr>
  </property>
</Properties>
</file>