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45B75B">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rPr>
          <w:rFonts w:hint="eastAsia" w:ascii="黑体" w:hAnsi="黑体" w:eastAsia="黑体" w:cs="黑体"/>
          <w:b w:val="0"/>
          <w:bCs w:val="0"/>
          <w:kern w:val="44"/>
          <w:sz w:val="36"/>
          <w:szCs w:val="36"/>
          <w:lang w:val="en-US" w:eastAsia="zh-CN"/>
        </w:rPr>
      </w:pPr>
      <w:r>
        <w:rPr>
          <w:rFonts w:hint="eastAsia" w:ascii="黑体" w:hAnsi="黑体" w:eastAsia="黑体" w:cs="黑体"/>
          <w:b w:val="0"/>
          <w:bCs w:val="0"/>
          <w:kern w:val="44"/>
          <w:sz w:val="36"/>
          <w:szCs w:val="36"/>
          <w:lang w:val="en-US" w:eastAsia="zh-CN"/>
        </w:rPr>
        <w:t>数字化转型对中小银行信贷风险的影响机制研究</w:t>
      </w:r>
    </w:p>
    <w:p w14:paraId="2E5BFEB1">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rPr>
          <w:rFonts w:hint="eastAsia" w:ascii="黑体" w:hAnsi="黑体" w:eastAsia="黑体" w:cs="黑体"/>
          <w:b w:val="0"/>
          <w:bCs w:val="0"/>
          <w:kern w:val="44"/>
          <w:sz w:val="46"/>
          <w:szCs w:val="46"/>
          <w:lang w:val="en-US" w:eastAsia="zh-CN"/>
        </w:rPr>
      </w:pPr>
      <w:r>
        <w:rPr>
          <w:rFonts w:hint="eastAsia" w:ascii="黑体" w:hAnsi="黑体" w:eastAsia="黑体" w:cs="黑体"/>
          <w:b w:val="0"/>
          <w:bCs w:val="0"/>
          <w:kern w:val="44"/>
          <w:sz w:val="36"/>
          <w:szCs w:val="36"/>
          <w:lang w:val="en-US" w:eastAsia="zh-CN"/>
        </w:rPr>
        <w:t>—基于中介效应模型的实证分析</w:t>
      </w:r>
      <w:r>
        <w:rPr>
          <w:rStyle w:val="21"/>
          <w:rFonts w:hint="default" w:ascii="Times New Roman" w:hAnsi="Times New Roman" w:eastAsia="黑体" w:cs="Times New Roman"/>
          <w:b/>
          <w:bCs/>
          <w:sz w:val="32"/>
          <w:szCs w:val="32"/>
          <w:lang w:val="en-US" w:eastAsia="zh-CN"/>
        </w:rPr>
        <w:footnoteReference w:id="0"/>
      </w:r>
    </w:p>
    <w:p w14:paraId="2052D469">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jc w:val="center"/>
        <w:textAlignment w:val="auto"/>
        <w:rPr>
          <w:rFonts w:hint="eastAsia" w:ascii="楷体" w:hAnsi="楷体" w:eastAsia="楷体" w:cs="楷体"/>
          <w:bCs/>
          <w:sz w:val="24"/>
          <w:szCs w:val="24"/>
          <w:highlight w:val="none"/>
          <w:lang w:val="en-US" w:eastAsia="zh-CN"/>
        </w:rPr>
      </w:pPr>
      <w:r>
        <w:rPr>
          <w:rFonts w:hint="eastAsia" w:ascii="楷体" w:hAnsi="楷体" w:eastAsia="楷体" w:cs="楷体"/>
          <w:bCs/>
          <w:sz w:val="24"/>
          <w:szCs w:val="24"/>
          <w:highlight w:val="none"/>
          <w:lang w:val="en-US" w:eastAsia="zh-CN"/>
        </w:rPr>
        <w:t>梁力军</w:t>
      </w:r>
      <w:r>
        <w:rPr>
          <w:rFonts w:hint="eastAsia" w:ascii="楷体" w:hAnsi="楷体" w:eastAsia="楷体" w:cs="楷体"/>
          <w:bCs/>
          <w:sz w:val="24"/>
          <w:szCs w:val="24"/>
          <w:highlight w:val="none"/>
          <w:vertAlign w:val="superscript"/>
          <w:lang w:val="en-US" w:eastAsia="zh-CN"/>
        </w:rPr>
        <w:t>1</w:t>
      </w:r>
      <w:r>
        <w:rPr>
          <w:rFonts w:hint="eastAsia" w:ascii="楷体" w:hAnsi="楷体" w:eastAsia="楷体" w:cs="楷体"/>
          <w:bCs/>
          <w:sz w:val="24"/>
          <w:szCs w:val="24"/>
          <w:highlight w:val="none"/>
          <w:lang w:val="en-US" w:eastAsia="zh-CN"/>
        </w:rPr>
        <w:t>，李霞</w:t>
      </w:r>
      <w:r>
        <w:rPr>
          <w:rFonts w:hint="eastAsia" w:ascii="楷体" w:hAnsi="楷体" w:eastAsia="楷体" w:cs="楷体"/>
          <w:bCs/>
          <w:sz w:val="24"/>
          <w:szCs w:val="24"/>
          <w:highlight w:val="none"/>
          <w:vertAlign w:val="superscript"/>
          <w:lang w:val="en-US" w:eastAsia="zh-CN"/>
        </w:rPr>
        <w:t>1</w:t>
      </w:r>
      <w:r>
        <w:rPr>
          <w:rFonts w:hint="eastAsia" w:ascii="楷体" w:hAnsi="楷体" w:eastAsia="楷体" w:cs="楷体"/>
          <w:bCs/>
          <w:sz w:val="24"/>
          <w:szCs w:val="24"/>
          <w:highlight w:val="none"/>
          <w:lang w:val="en-US" w:eastAsia="zh-CN"/>
        </w:rPr>
        <w:t>，崔丽同</w:t>
      </w:r>
      <w:r>
        <w:rPr>
          <w:rFonts w:hint="eastAsia" w:ascii="楷体" w:hAnsi="楷体" w:eastAsia="楷体" w:cs="楷体"/>
          <w:bCs/>
          <w:sz w:val="24"/>
          <w:szCs w:val="24"/>
          <w:highlight w:val="none"/>
          <w:vertAlign w:val="superscript"/>
          <w:lang w:val="en-US" w:eastAsia="zh-CN"/>
        </w:rPr>
        <w:t>2</w:t>
      </w:r>
      <w:r>
        <w:rPr>
          <w:rFonts w:hint="eastAsia" w:ascii="楷体" w:hAnsi="楷体" w:eastAsia="楷体" w:cs="楷体"/>
          <w:bCs/>
          <w:sz w:val="24"/>
          <w:szCs w:val="24"/>
          <w:highlight w:val="none"/>
          <w:lang w:val="en-US" w:eastAsia="zh-CN"/>
        </w:rPr>
        <w:t>，戴佟昕</w:t>
      </w:r>
      <w:r>
        <w:rPr>
          <w:rFonts w:hint="eastAsia" w:ascii="楷体" w:hAnsi="楷体" w:eastAsia="楷体" w:cs="楷体"/>
          <w:bCs/>
          <w:sz w:val="24"/>
          <w:szCs w:val="24"/>
          <w:highlight w:val="none"/>
          <w:vertAlign w:val="superscript"/>
          <w:lang w:val="en-US" w:eastAsia="zh-CN"/>
        </w:rPr>
        <w:t>2</w:t>
      </w:r>
    </w:p>
    <w:p w14:paraId="3FF65A04">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center"/>
        <w:textAlignment w:val="auto"/>
        <w:rPr>
          <w:rFonts w:hint="eastAsia" w:ascii="楷体" w:hAnsi="楷体" w:eastAsia="楷体" w:cs="楷体"/>
          <w:bCs/>
          <w:sz w:val="24"/>
          <w:szCs w:val="24"/>
          <w:highlight w:val="none"/>
          <w:lang w:val="en-US" w:eastAsia="zh-CN"/>
        </w:rPr>
      </w:pPr>
      <w:r>
        <w:rPr>
          <w:rFonts w:hint="eastAsia" w:ascii="楷体" w:hAnsi="楷体" w:eastAsia="楷体" w:cs="楷体"/>
          <w:bCs/>
          <w:sz w:val="24"/>
          <w:szCs w:val="24"/>
          <w:highlight w:val="none"/>
          <w:lang w:val="en-US" w:eastAsia="zh-CN"/>
        </w:rPr>
        <w:t>北京信息科技大学 商学院，北京102206</w:t>
      </w:r>
    </w:p>
    <w:p w14:paraId="12D72687">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center"/>
        <w:textAlignment w:val="auto"/>
        <w:rPr>
          <w:rFonts w:hint="eastAsia" w:ascii="楷体" w:hAnsi="楷体" w:eastAsia="楷体" w:cs="楷体"/>
          <w:bCs/>
          <w:sz w:val="24"/>
          <w:szCs w:val="24"/>
          <w:highlight w:val="none"/>
          <w:lang w:val="en-US" w:eastAsia="zh-CN"/>
        </w:rPr>
      </w:pPr>
      <w:r>
        <w:rPr>
          <w:rFonts w:hint="eastAsia" w:ascii="楷体" w:hAnsi="楷体" w:eastAsia="楷体" w:cs="楷体"/>
          <w:bCs/>
          <w:sz w:val="24"/>
          <w:szCs w:val="24"/>
          <w:highlight w:val="none"/>
          <w:lang w:val="en-US" w:eastAsia="zh-CN"/>
        </w:rPr>
        <w:t>河北大学 管理学院，保定 071002</w:t>
      </w:r>
    </w:p>
    <w:p w14:paraId="0B847FB5">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jc w:val="both"/>
        <w:textAlignment w:val="auto"/>
        <w:rPr>
          <w:rFonts w:hint="default" w:ascii="Times New Roman" w:hAnsi="Times New Roman" w:eastAsia="宋体" w:cs="Times New Roman"/>
          <w:bCs/>
          <w:sz w:val="24"/>
          <w:szCs w:val="24"/>
          <w:lang w:val="en-US" w:eastAsia="zh-CN"/>
        </w:rPr>
      </w:pPr>
      <w:r>
        <w:rPr>
          <w:rFonts w:hint="eastAsia" w:ascii="黑体" w:hAnsi="黑体" w:eastAsia="黑体" w:cs="黑体"/>
          <w:b w:val="0"/>
          <w:bCs/>
          <w:sz w:val="24"/>
          <w:szCs w:val="24"/>
        </w:rPr>
        <w:t>摘要：</w:t>
      </w:r>
      <w:r>
        <w:rPr>
          <w:rFonts w:hint="eastAsia" w:ascii="楷体" w:hAnsi="楷体" w:eastAsia="楷体" w:cs="楷体"/>
          <w:b w:val="0"/>
          <w:bCs/>
          <w:sz w:val="24"/>
          <w:szCs w:val="24"/>
          <w:highlight w:val="none"/>
          <w:lang w:val="en-US" w:eastAsia="zh-CN"/>
        </w:rPr>
        <w:t>当前，</w:t>
      </w:r>
      <w:r>
        <w:rPr>
          <w:rFonts w:hint="eastAsia" w:ascii="楷体" w:hAnsi="楷体" w:eastAsia="楷体" w:cs="楷体"/>
          <w:bCs/>
          <w:i w:val="0"/>
          <w:iCs w:val="0"/>
          <w:caps w:val="0"/>
          <w:color w:val="auto"/>
          <w:spacing w:val="0"/>
          <w:sz w:val="24"/>
          <w:szCs w:val="24"/>
          <w:highlight w:val="none"/>
          <w:shd w:val="clear" w:fill="auto"/>
        </w:rPr>
        <w:t>中小银行</w:t>
      </w:r>
      <w:r>
        <w:rPr>
          <w:rFonts w:hint="eastAsia" w:ascii="楷体" w:hAnsi="楷体" w:eastAsia="楷体" w:cs="楷体"/>
          <w:bCs/>
          <w:i w:val="0"/>
          <w:iCs w:val="0"/>
          <w:caps w:val="0"/>
          <w:spacing w:val="0"/>
          <w:sz w:val="24"/>
          <w:szCs w:val="24"/>
          <w:highlight w:val="none"/>
          <w:shd w:val="clear"/>
          <w:lang w:val="en-US" w:eastAsia="zh-CN"/>
        </w:rPr>
        <w:t>风险防范化解具有紧迫性，尤其是信贷风险控制方面。</w:t>
      </w:r>
      <w:r>
        <w:rPr>
          <w:rFonts w:hint="eastAsia" w:ascii="楷体" w:hAnsi="楷体" w:eastAsia="楷体" w:cs="楷体"/>
          <w:bCs/>
          <w:sz w:val="24"/>
          <w:szCs w:val="24"/>
          <w:highlight w:val="none"/>
          <w:lang w:val="en-US" w:eastAsia="zh-CN"/>
        </w:rPr>
        <w:t>数字化转型对中小银行信贷风险水平产生了重要影响，但这种影响究竟为正向抑或负向，如何更好地实施信贷风险管控，是金融界和学界共同关注的重要问题。为探究该问题，本文基于2014—2023年国内27家地方</w:t>
      </w:r>
      <w:r>
        <w:rPr>
          <w:rFonts w:hint="eastAsia" w:ascii="楷体" w:hAnsi="楷体" w:eastAsia="楷体" w:cs="楷体"/>
          <w:b w:val="0"/>
          <w:bCs w:val="0"/>
          <w:strike w:val="0"/>
          <w:sz w:val="24"/>
          <w:szCs w:val="24"/>
          <w:lang w:val="en-US" w:eastAsia="zh-CN"/>
        </w:rPr>
        <w:t>商业</w:t>
      </w:r>
      <w:r>
        <w:rPr>
          <w:rFonts w:hint="eastAsia" w:ascii="楷体" w:hAnsi="楷体" w:eastAsia="楷体" w:cs="楷体"/>
          <w:bCs/>
          <w:sz w:val="24"/>
          <w:szCs w:val="24"/>
          <w:highlight w:val="none"/>
          <w:lang w:val="en-US" w:eastAsia="zh-CN"/>
        </w:rPr>
        <w:t>银行的经营数据，运用中介效应模型，以非息收入作为中介变量，探究数字化转型对中小银行信贷风险水平的影响机制。研究发现：（1）数字化转型可以显著降低中小银行信贷风险水平，经过稳健性检验和内生性检验后依然成立。（2）数字化转型会通过提升中小银行非息收入占比，从而降低信贷风险水平。（3）经异质性检验发现，相比于大规模银行，小规模银行的数字化转型对信贷风险的抑制作用更为显著。研究以期为拓实银行数字化转型与信贷风险的作用关系研究，以及信贷风险控制提供策略建议和路径参考。</w:t>
      </w:r>
    </w:p>
    <w:p w14:paraId="01B5D267">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jc w:val="left"/>
        <w:textAlignment w:val="auto"/>
        <w:rPr>
          <w:rFonts w:hint="default" w:ascii="楷体" w:hAnsi="楷体" w:eastAsia="楷体" w:cs="楷体"/>
          <w:kern w:val="2"/>
          <w:sz w:val="24"/>
          <w:szCs w:val="24"/>
          <w:lang w:val="en-US" w:eastAsia="zh-CN" w:bidi="ar-SA"/>
        </w:rPr>
      </w:pPr>
      <w:r>
        <w:rPr>
          <w:rFonts w:hint="eastAsia" w:ascii="黑体" w:hAnsi="黑体" w:eastAsia="黑体" w:cs="黑体"/>
          <w:b w:val="0"/>
          <w:bCs/>
          <w:sz w:val="24"/>
          <w:szCs w:val="24"/>
        </w:rPr>
        <w:t>关键词</w:t>
      </w:r>
      <w:r>
        <w:rPr>
          <w:rFonts w:hint="eastAsia" w:ascii="黑体" w:hAnsi="黑体" w:eastAsia="黑体" w:cs="黑体"/>
          <w:b w:val="0"/>
          <w:bCs/>
          <w:sz w:val="24"/>
          <w:szCs w:val="24"/>
          <w:lang w:eastAsia="zh-CN"/>
        </w:rPr>
        <w:t>：</w:t>
      </w:r>
      <w:r>
        <w:rPr>
          <w:rFonts w:hint="eastAsia" w:ascii="楷体" w:hAnsi="楷体" w:eastAsia="楷体" w:cs="楷体"/>
          <w:b w:val="0"/>
          <w:bCs/>
          <w:sz w:val="24"/>
          <w:szCs w:val="24"/>
          <w:lang w:val="en-US" w:eastAsia="zh-CN"/>
        </w:rPr>
        <w:t>中小银行</w:t>
      </w:r>
      <w:r>
        <w:rPr>
          <w:rFonts w:hint="eastAsia" w:ascii="楷体" w:hAnsi="楷体" w:eastAsia="楷体" w:cs="楷体"/>
          <w:b/>
          <w:sz w:val="24"/>
          <w:szCs w:val="24"/>
          <w:lang w:val="en-US" w:eastAsia="zh-CN"/>
        </w:rPr>
        <w:t>；</w:t>
      </w:r>
      <w:r>
        <w:rPr>
          <w:rFonts w:hint="eastAsia" w:ascii="楷体" w:hAnsi="楷体" w:eastAsia="楷体" w:cs="楷体"/>
          <w:sz w:val="24"/>
          <w:szCs w:val="24"/>
          <w:lang w:val="en-US" w:eastAsia="zh-CN"/>
        </w:rPr>
        <w:t>数字化转型；信贷风险水平；非息收入；中介效应</w:t>
      </w:r>
    </w:p>
    <w:p w14:paraId="137CC4F2">
      <w:pPr>
        <w:pStyle w:val="2"/>
        <w:keepNext/>
        <w:keepLines/>
        <w:pageBreakBefore w:val="0"/>
        <w:widowControl w:val="0"/>
        <w:kinsoku/>
        <w:wordWrap/>
        <w:overflowPunct/>
        <w:topLinePunct w:val="0"/>
        <w:autoSpaceDE/>
        <w:autoSpaceDN/>
        <w:bidi w:val="0"/>
        <w:adjustRightInd/>
        <w:snapToGrid/>
        <w:spacing w:before="369" w:after="369" w:line="382" w:lineRule="exact"/>
        <w:jc w:val="center"/>
        <w:textAlignment w:val="auto"/>
        <w:rPr>
          <w:rFonts w:hint="eastAsia" w:ascii="黑体" w:hAnsi="黑体" w:eastAsia="黑体" w:cs="黑体"/>
          <w:sz w:val="24"/>
          <w:szCs w:val="24"/>
          <w:lang w:val="en-US" w:eastAsia="zh-CN"/>
        </w:rPr>
      </w:pPr>
      <w:bookmarkStart w:id="0" w:name="_Toc12478"/>
      <w:r>
        <w:rPr>
          <w:rFonts w:hint="eastAsia" w:ascii="黑体" w:hAnsi="黑体" w:eastAsia="黑体" w:cs="黑体"/>
          <w:sz w:val="24"/>
          <w:szCs w:val="24"/>
          <w:lang w:val="en-US" w:eastAsia="zh-CN"/>
        </w:rPr>
        <w:t>一、引言</w:t>
      </w:r>
      <w:bookmarkEnd w:id="0"/>
    </w:p>
    <w:p w14:paraId="70789C75">
      <w:pPr>
        <w:bidi w:val="0"/>
        <w:rPr>
          <w:rFonts w:hint="default"/>
          <w:lang w:val="en-US" w:eastAsia="zh-CN"/>
        </w:rPr>
      </w:pPr>
      <w:r>
        <w:rPr>
          <w:rFonts w:hint="default"/>
          <w:lang w:val="en-US" w:eastAsia="zh-CN"/>
        </w:rPr>
        <w:t>在数字化浪潮席卷全球经济的大背景下，</w:t>
      </w:r>
      <w:r>
        <w:rPr>
          <w:rFonts w:hint="default"/>
        </w:rPr>
        <w:t>银行业务模式正在被重塑。</w:t>
      </w:r>
      <w:r>
        <w:rPr>
          <w:rFonts w:hint="default"/>
          <w:lang w:val="en-US" w:eastAsia="zh-CN"/>
        </w:rPr>
        <w:t>经济下行压力和金融环境波动等因素增加了银行经营及信贷资产质量的压力。如</w:t>
      </w:r>
      <w:r>
        <w:rPr>
          <w:rFonts w:hint="eastAsia"/>
          <w:lang w:val="en-US" w:eastAsia="zh-CN"/>
        </w:rPr>
        <w:t>相比于</w:t>
      </w:r>
      <w:r>
        <w:rPr>
          <w:rFonts w:hint="default"/>
          <w:lang w:val="en-US" w:eastAsia="zh-CN"/>
        </w:rPr>
        <w:t>2023年</w:t>
      </w:r>
      <w:r>
        <w:rPr>
          <w:rFonts w:hint="eastAsia"/>
          <w:lang w:val="en-US" w:eastAsia="zh-CN"/>
        </w:rPr>
        <w:t>，</w:t>
      </w:r>
      <w:r>
        <w:rPr>
          <w:rFonts w:hint="default"/>
          <w:lang w:val="en-US" w:eastAsia="zh-CN"/>
        </w:rPr>
        <w:t>2024年四季度大型商业银行的不良贷款余额为14,007亿元</w:t>
      </w:r>
      <w:r>
        <w:rPr>
          <w:rFonts w:hint="eastAsia"/>
          <w:lang w:val="en-US" w:eastAsia="zh-CN"/>
        </w:rPr>
        <w:t>，</w:t>
      </w:r>
      <w:r>
        <w:rPr>
          <w:rFonts w:hint="default"/>
          <w:lang w:val="en-US" w:eastAsia="zh-CN"/>
        </w:rPr>
        <w:t>同比增长了6.65%</w:t>
      </w:r>
      <w:r>
        <w:rPr>
          <w:rFonts w:hint="eastAsia"/>
          <w:lang w:val="en-US" w:eastAsia="zh-CN"/>
        </w:rPr>
        <w:t>（2023年不良贷款余额为13133亿元）</w:t>
      </w:r>
      <w:r>
        <w:rPr>
          <w:rFonts w:hint="default"/>
          <w:lang w:val="en-US" w:eastAsia="zh-CN"/>
        </w:rPr>
        <w:t>，而国内各股份制商业银行、城商银行、农商银行、互联网银行与外资银行等，在不良贷款余额上也有不同程度的增长，给商业银行健康发展和稳健经营带来了挑战</w:t>
      </w:r>
      <w:r>
        <w:rPr>
          <w:rStyle w:val="19"/>
          <w:rFonts w:hint="default" w:ascii="Times New Roman" w:hAnsi="Times New Roman" w:eastAsia="宋体" w:cs="Times New Roman"/>
          <w:strike w:val="0"/>
          <w:szCs w:val="24"/>
          <w:lang w:val="en-US" w:eastAsia="zh-CN"/>
        </w:rPr>
        <w:t>[</w:t>
      </w:r>
      <w:r>
        <w:rPr>
          <w:rStyle w:val="19"/>
          <w:rFonts w:hint="default" w:ascii="Times New Roman" w:hAnsi="Times New Roman" w:eastAsia="宋体" w:cs="Times New Roman"/>
          <w:strike w:val="0"/>
          <w:szCs w:val="24"/>
          <w:lang w:val="en-US" w:eastAsia="zh-CN"/>
        </w:rPr>
        <w:endnoteReference w:id="0"/>
      </w:r>
      <w:r>
        <w:rPr>
          <w:rStyle w:val="19"/>
          <w:rFonts w:hint="default" w:ascii="Times New Roman" w:hAnsi="Times New Roman" w:eastAsia="宋体" w:cs="Times New Roman"/>
          <w:strike w:val="0"/>
          <w:szCs w:val="24"/>
          <w:lang w:val="en-US" w:eastAsia="zh-CN"/>
        </w:rPr>
        <w:t>-</w:t>
      </w:r>
      <w:r>
        <w:rPr>
          <w:rStyle w:val="19"/>
          <w:rFonts w:hint="default" w:ascii="Times New Roman" w:hAnsi="Times New Roman" w:eastAsia="宋体" w:cs="Times New Roman"/>
          <w:strike w:val="0"/>
          <w:szCs w:val="24"/>
          <w:lang w:val="en-US" w:eastAsia="zh-CN"/>
        </w:rPr>
        <w:endnoteReference w:id="1"/>
      </w:r>
      <w:r>
        <w:rPr>
          <w:rStyle w:val="19"/>
          <w:rFonts w:hint="default" w:ascii="Times New Roman" w:hAnsi="Times New Roman" w:eastAsia="宋体" w:cs="Times New Roman"/>
          <w:strike w:val="0"/>
          <w:szCs w:val="24"/>
          <w:lang w:val="en-US" w:eastAsia="zh-CN"/>
        </w:rPr>
        <w:t>]</w:t>
      </w:r>
      <w:r>
        <w:rPr>
          <w:rFonts w:hint="default"/>
          <w:lang w:val="en-US" w:eastAsia="zh-CN"/>
        </w:rPr>
        <w:t>。</w:t>
      </w:r>
      <w:r>
        <w:rPr>
          <w:rFonts w:hint="eastAsia"/>
          <w:lang w:val="en-US" w:eastAsia="zh-CN"/>
        </w:rPr>
        <w:t>近年来地方银行信贷风险暴露频发，如2018年包商银行事件、2022年河南村镇银行事件、2022年辽宁多家中小银行信用风险暴露，这些事件揭示了在中小银行中的信用风险与内控治理、风险防控都存在着问题，故而</w:t>
      </w:r>
      <w:r>
        <w:rPr>
          <w:rFonts w:hint="default"/>
          <w:lang w:val="en-US" w:eastAsia="zh-CN"/>
        </w:rPr>
        <w:t>如何有效控制信贷风险</w:t>
      </w:r>
      <w:r>
        <w:rPr>
          <w:rFonts w:hint="eastAsia"/>
          <w:lang w:val="en-US" w:eastAsia="zh-CN"/>
        </w:rPr>
        <w:t>尤其是中小银行的信贷风险</w:t>
      </w:r>
      <w:r>
        <w:rPr>
          <w:rFonts w:hint="default"/>
          <w:lang w:val="en-US" w:eastAsia="zh-CN"/>
        </w:rPr>
        <w:t>成为金融机构</w:t>
      </w:r>
      <w:r>
        <w:rPr>
          <w:rFonts w:hint="eastAsia"/>
          <w:lang w:val="en-US" w:eastAsia="zh-CN"/>
        </w:rPr>
        <w:t>亟须解决的</w:t>
      </w:r>
      <w:r>
        <w:rPr>
          <w:rFonts w:hint="default"/>
          <w:lang w:val="en-US" w:eastAsia="zh-CN"/>
        </w:rPr>
        <w:t>问题。</w:t>
      </w:r>
    </w:p>
    <w:p w14:paraId="46D3EB33">
      <w:pPr>
        <w:bidi w:val="0"/>
        <w:rPr>
          <w:rFonts w:hint="default"/>
        </w:rPr>
      </w:pPr>
      <w:r>
        <w:rPr>
          <w:rFonts w:hint="default"/>
        </w:rPr>
        <w:t>当前，各</w:t>
      </w:r>
      <w:r>
        <w:rPr>
          <w:rFonts w:hint="eastAsia"/>
          <w:lang w:val="en-US" w:eastAsia="zh-CN"/>
        </w:rPr>
        <w:t>中小</w:t>
      </w:r>
      <w:r>
        <w:rPr>
          <w:rFonts w:hint="default"/>
          <w:lang w:val="en-US" w:eastAsia="zh-CN"/>
        </w:rPr>
        <w:t>银行</w:t>
      </w:r>
      <w:r>
        <w:rPr>
          <w:rFonts w:hint="default"/>
        </w:rPr>
        <w:t>已经</w:t>
      </w:r>
      <w:r>
        <w:rPr>
          <w:rFonts w:hint="default"/>
          <w:lang w:val="en-US" w:eastAsia="zh-CN"/>
        </w:rPr>
        <w:t>普遍</w:t>
      </w:r>
      <w:r>
        <w:rPr>
          <w:rFonts w:hint="default"/>
        </w:rPr>
        <w:t>意识到</w:t>
      </w:r>
      <w:r>
        <w:rPr>
          <w:rFonts w:hint="default"/>
          <w:lang w:val="en-US" w:eastAsia="zh-CN"/>
        </w:rPr>
        <w:t>需进一步</w:t>
      </w:r>
      <w:r>
        <w:rPr>
          <w:rFonts w:hint="eastAsia"/>
          <w:lang w:val="en-US" w:eastAsia="zh-CN"/>
        </w:rPr>
        <w:t>促进</w:t>
      </w:r>
      <w:r>
        <w:rPr>
          <w:rFonts w:hint="default"/>
          <w:lang w:val="en-US" w:eastAsia="zh-CN"/>
        </w:rPr>
        <w:t>推进银行</w:t>
      </w:r>
      <w:r>
        <w:rPr>
          <w:rFonts w:hint="default"/>
        </w:rPr>
        <w:t>数字化转型，</w:t>
      </w:r>
      <w:r>
        <w:rPr>
          <w:rFonts w:hint="default"/>
          <w:lang w:val="en-US" w:eastAsia="zh-CN"/>
        </w:rPr>
        <w:t>利用大数据、人工智能、区块链等技术优化信贷审批、风险监测和贷后管理流程，以提高风险识别能力并降低不良贷款率。然而</w:t>
      </w:r>
      <w:r>
        <w:rPr>
          <w:rFonts w:hint="default"/>
        </w:rPr>
        <w:t>数字化</w:t>
      </w:r>
      <w:r>
        <w:rPr>
          <w:rFonts w:hint="default"/>
          <w:lang w:val="en-US" w:eastAsia="zh-CN"/>
        </w:rPr>
        <w:t>转型程度的加深</w:t>
      </w:r>
      <w:r>
        <w:rPr>
          <w:rFonts w:hint="default"/>
        </w:rPr>
        <w:t>，是否真的能够有效控制和降低</w:t>
      </w:r>
      <w:r>
        <w:rPr>
          <w:rFonts w:hint="default"/>
          <w:lang w:val="en-US" w:eastAsia="zh-CN"/>
        </w:rPr>
        <w:t>信贷</w:t>
      </w:r>
      <w:r>
        <w:rPr>
          <w:rFonts w:hint="default"/>
        </w:rPr>
        <w:t>风险</w:t>
      </w:r>
      <w:r>
        <w:rPr>
          <w:rFonts w:hint="default"/>
          <w:lang w:val="en-US" w:eastAsia="zh-CN"/>
        </w:rPr>
        <w:t>水平呢</w:t>
      </w:r>
      <w:r>
        <w:rPr>
          <w:rFonts w:hint="default"/>
        </w:rPr>
        <w:t>？在</w:t>
      </w:r>
      <w:r>
        <w:rPr>
          <w:rFonts w:hint="default"/>
          <w:lang w:val="en-US" w:eastAsia="zh-CN"/>
        </w:rPr>
        <w:t>此</w:t>
      </w:r>
      <w:r>
        <w:rPr>
          <w:rFonts w:hint="default"/>
        </w:rPr>
        <w:t>过程中，是哪些因素产生或发挥了关键影响？首先，就</w:t>
      </w:r>
      <w:r>
        <w:rPr>
          <w:rFonts w:hint="default"/>
          <w:lang w:val="en-US" w:eastAsia="zh-CN"/>
        </w:rPr>
        <w:t>信贷客户而言</w:t>
      </w:r>
      <w:r>
        <w:rPr>
          <w:rFonts w:hint="default"/>
        </w:rPr>
        <w:t>，当</w:t>
      </w:r>
      <w:r>
        <w:rPr>
          <w:rFonts w:hint="default"/>
          <w:lang w:val="en-US" w:eastAsia="zh-CN"/>
        </w:rPr>
        <w:t>银行</w:t>
      </w:r>
      <w:r>
        <w:rPr>
          <w:rFonts w:hint="default"/>
        </w:rPr>
        <w:t>数字化程度越高时，</w:t>
      </w:r>
      <w:r>
        <w:rPr>
          <w:rFonts w:hint="default"/>
          <w:lang w:val="en-US" w:eastAsia="zh-CN"/>
        </w:rPr>
        <w:t>对于信贷客户真实的</w:t>
      </w:r>
      <w:r>
        <w:rPr>
          <w:rFonts w:hint="default"/>
        </w:rPr>
        <w:t>业务经营、生产管理和资金财务等数据</w:t>
      </w:r>
      <w:r>
        <w:rPr>
          <w:rFonts w:hint="default"/>
          <w:lang w:val="en-US" w:eastAsia="zh-CN"/>
        </w:rPr>
        <w:t>的获取相对更加全面</w:t>
      </w:r>
      <w:r>
        <w:rPr>
          <w:rFonts w:hint="default"/>
        </w:rPr>
        <w:t>，从而提升了财务信息的准确性和</w:t>
      </w:r>
      <w:r>
        <w:rPr>
          <w:rFonts w:hint="default"/>
          <w:lang w:val="en-US" w:eastAsia="zh-CN"/>
        </w:rPr>
        <w:t>可靠性</w:t>
      </w:r>
      <w:r>
        <w:rPr>
          <w:rFonts w:hint="default"/>
        </w:rPr>
        <w:t>，也就降低了</w:t>
      </w:r>
      <w:r>
        <w:rPr>
          <w:rFonts w:hint="default"/>
          <w:lang w:val="en-US" w:eastAsia="zh-CN"/>
        </w:rPr>
        <w:t>因信息不对称导致的银行信贷风险</w:t>
      </w:r>
      <w:r>
        <w:rPr>
          <w:rFonts w:hint="default"/>
        </w:rPr>
        <w:t>；其次，就</w:t>
      </w:r>
      <w:r>
        <w:rPr>
          <w:rFonts w:hint="eastAsia"/>
          <w:lang w:val="en-US" w:eastAsia="zh-CN"/>
        </w:rPr>
        <w:t>中小银行</w:t>
      </w:r>
      <w:r>
        <w:rPr>
          <w:rFonts w:hint="default"/>
          <w:lang w:val="en-US" w:eastAsia="zh-CN"/>
        </w:rPr>
        <w:t>而言</w:t>
      </w:r>
      <w:r>
        <w:rPr>
          <w:rFonts w:hint="default"/>
        </w:rPr>
        <w:t>，数字化技术的运用是一把双刃剑，</w:t>
      </w:r>
      <w:r>
        <w:rPr>
          <w:rFonts w:hint="default"/>
          <w:lang w:val="en-US" w:eastAsia="zh-CN"/>
        </w:rPr>
        <w:t>它既可能通过智能风控模型提升信贷决策的精准度，也可能因数据质量、算法偏差或网络安全问题引入新的风险因素。</w:t>
      </w:r>
      <w:r>
        <w:rPr>
          <w:rFonts w:hint="default"/>
        </w:rPr>
        <w:t>故厘清数字化</w:t>
      </w:r>
      <w:r>
        <w:rPr>
          <w:rFonts w:hint="default"/>
          <w:lang w:val="en-US" w:eastAsia="zh-CN"/>
        </w:rPr>
        <w:t>转型程度</w:t>
      </w:r>
      <w:r>
        <w:rPr>
          <w:rFonts w:hint="default"/>
        </w:rPr>
        <w:t>究竟能否降低</w:t>
      </w:r>
      <w:r>
        <w:rPr>
          <w:rFonts w:hint="eastAsia"/>
          <w:lang w:val="en-US" w:eastAsia="zh-CN"/>
        </w:rPr>
        <w:t>银行信贷风险水平</w:t>
      </w:r>
      <w:r>
        <w:rPr>
          <w:rFonts w:hint="default"/>
        </w:rPr>
        <w:t>，对</w:t>
      </w:r>
      <w:r>
        <w:rPr>
          <w:rFonts w:hint="eastAsia"/>
          <w:lang w:val="en-US" w:eastAsia="zh-CN"/>
        </w:rPr>
        <w:t>中小</w:t>
      </w:r>
      <w:r>
        <w:rPr>
          <w:rFonts w:hint="default"/>
          <w:lang w:val="en-US" w:eastAsia="zh-CN"/>
        </w:rPr>
        <w:t>银行</w:t>
      </w:r>
      <w:r>
        <w:rPr>
          <w:rFonts w:hint="default"/>
        </w:rPr>
        <w:t>的可持续健康发展而言，既具有</w:t>
      </w:r>
      <w:r>
        <w:rPr>
          <w:rFonts w:hint="eastAsia"/>
          <w:lang w:val="en-US" w:eastAsia="zh-CN"/>
        </w:rPr>
        <w:t>重要的</w:t>
      </w:r>
      <w:r>
        <w:rPr>
          <w:rFonts w:hint="default"/>
        </w:rPr>
        <w:t>理论指导性，也具有强烈的现实意义。</w:t>
      </w:r>
    </w:p>
    <w:p w14:paraId="77BB2AED">
      <w:pPr>
        <w:bidi w:val="0"/>
        <w:rPr>
          <w:rFonts w:hint="default"/>
          <w:lang w:val="en-US" w:eastAsia="zh-CN"/>
        </w:rPr>
      </w:pPr>
      <w:r>
        <w:rPr>
          <w:rFonts w:hint="default"/>
          <w:lang w:val="en-US" w:eastAsia="zh-CN"/>
        </w:rPr>
        <w:t>需要指出的是，</w:t>
      </w:r>
      <w:r>
        <w:rPr>
          <w:rFonts w:hint="eastAsia"/>
          <w:lang w:val="en-US" w:eastAsia="zh-CN"/>
        </w:rPr>
        <w:t>学界</w:t>
      </w:r>
      <w:r>
        <w:rPr>
          <w:rFonts w:hint="default"/>
          <w:lang w:val="en-US" w:eastAsia="zh-CN"/>
        </w:rPr>
        <w:t>已就数字化转型对银行信贷风险水平、非息收入水平的影响，分别展开了相关研究，但关于数字化转型如何通过非息收入来影响</w:t>
      </w:r>
      <w:r>
        <w:rPr>
          <w:rFonts w:hint="eastAsia"/>
          <w:lang w:val="en-US" w:eastAsia="zh-CN"/>
        </w:rPr>
        <w:t>中小</w:t>
      </w:r>
      <w:r>
        <w:rPr>
          <w:rFonts w:hint="default"/>
          <w:lang w:val="en-US" w:eastAsia="zh-CN"/>
        </w:rPr>
        <w:t>银行信贷风险的研究则较少。故</w:t>
      </w:r>
      <w:r>
        <w:rPr>
          <w:rFonts w:hint="default"/>
        </w:rPr>
        <w:t>在借鉴相关研究基础上，本文以</w:t>
      </w:r>
      <w:r>
        <w:rPr>
          <w:rFonts w:hint="eastAsia"/>
          <w:lang w:val="en-US" w:eastAsia="zh-CN"/>
        </w:rPr>
        <w:t>中小</w:t>
      </w:r>
      <w:r>
        <w:rPr>
          <w:rFonts w:hint="default"/>
          <w:lang w:val="en-US" w:eastAsia="zh-CN"/>
        </w:rPr>
        <w:t>银行</w:t>
      </w:r>
      <w:r>
        <w:rPr>
          <w:rFonts w:hint="default"/>
        </w:rPr>
        <w:t>“数字化</w:t>
      </w:r>
      <w:r>
        <w:rPr>
          <w:rFonts w:hint="default"/>
          <w:lang w:val="en-US" w:eastAsia="zh-CN"/>
        </w:rPr>
        <w:t>转型程度</w:t>
      </w:r>
      <w:r>
        <w:rPr>
          <w:rFonts w:hint="default"/>
        </w:rPr>
        <w:t>→</w:t>
      </w:r>
      <w:r>
        <w:rPr>
          <w:rFonts w:hint="default"/>
          <w:lang w:val="en-US" w:eastAsia="zh-CN"/>
        </w:rPr>
        <w:t>非息收入水平</w:t>
      </w:r>
      <w:r>
        <w:rPr>
          <w:rFonts w:hint="default"/>
        </w:rPr>
        <w:t>→</w:t>
      </w:r>
      <w:r>
        <w:rPr>
          <w:rFonts w:hint="default"/>
          <w:lang w:val="en-US" w:eastAsia="zh-CN"/>
        </w:rPr>
        <w:t>信贷</w:t>
      </w:r>
      <w:r>
        <w:rPr>
          <w:rFonts w:hint="default"/>
        </w:rPr>
        <w:t>风险水平”的路径</w:t>
      </w:r>
      <w:r>
        <w:rPr>
          <w:rFonts w:hint="default"/>
          <w:lang w:eastAsia="zh-CN"/>
        </w:rPr>
        <w:t>，</w:t>
      </w:r>
      <w:r>
        <w:rPr>
          <w:rFonts w:hint="default"/>
          <w:lang w:val="en-US" w:eastAsia="zh-CN"/>
        </w:rPr>
        <w:t>探究</w:t>
      </w:r>
      <w:r>
        <w:rPr>
          <w:rFonts w:hint="eastAsia"/>
          <w:lang w:val="en-US" w:eastAsia="zh-CN"/>
        </w:rPr>
        <w:t>中小</w:t>
      </w:r>
      <w:r>
        <w:rPr>
          <w:rFonts w:hint="default"/>
          <w:lang w:val="en-US" w:eastAsia="zh-CN"/>
        </w:rPr>
        <w:t>银行</w:t>
      </w:r>
      <w:r>
        <w:rPr>
          <w:rFonts w:hint="default"/>
        </w:rPr>
        <w:t>数字化</w:t>
      </w:r>
      <w:r>
        <w:rPr>
          <w:rFonts w:hint="default"/>
          <w:lang w:val="en-US" w:eastAsia="zh-CN"/>
        </w:rPr>
        <w:t>转型程度</w:t>
      </w:r>
      <w:r>
        <w:rPr>
          <w:rFonts w:hint="default"/>
        </w:rPr>
        <w:t>与</w:t>
      </w:r>
      <w:r>
        <w:rPr>
          <w:rFonts w:hint="default"/>
          <w:lang w:val="en-US" w:eastAsia="zh-CN"/>
        </w:rPr>
        <w:t>信贷</w:t>
      </w:r>
      <w:r>
        <w:rPr>
          <w:rFonts w:hint="default"/>
        </w:rPr>
        <w:t>风险水平</w:t>
      </w:r>
      <w:r>
        <w:rPr>
          <w:rFonts w:hint="default"/>
          <w:lang w:val="en-US" w:eastAsia="zh-CN"/>
        </w:rPr>
        <w:t>之间</w:t>
      </w:r>
      <w:r>
        <w:rPr>
          <w:rFonts w:hint="default"/>
        </w:rPr>
        <w:t>的</w:t>
      </w:r>
      <w:r>
        <w:rPr>
          <w:rFonts w:hint="default"/>
          <w:lang w:val="en-US" w:eastAsia="zh-CN"/>
        </w:rPr>
        <w:t>传导</w:t>
      </w:r>
      <w:r>
        <w:rPr>
          <w:rFonts w:hint="default"/>
        </w:rPr>
        <w:t>关系</w:t>
      </w:r>
      <w:r>
        <w:rPr>
          <w:rFonts w:hint="default"/>
          <w:lang w:val="en-US" w:eastAsia="zh-CN"/>
        </w:rPr>
        <w:t>。本文据此展开相应研究，以2014—2023年我国上市的27家地方商业银行作为研究对象，运用中介效应模型探究数字化转型对</w:t>
      </w:r>
      <w:r>
        <w:rPr>
          <w:rFonts w:hint="eastAsia"/>
          <w:lang w:val="en-US" w:eastAsia="zh-CN"/>
        </w:rPr>
        <w:t>中小</w:t>
      </w:r>
      <w:r>
        <w:rPr>
          <w:rFonts w:hint="default"/>
          <w:lang w:val="en-US" w:eastAsia="zh-CN"/>
        </w:rPr>
        <w:t>银行信贷风险的影响。本文研究价值</w:t>
      </w:r>
      <w:r>
        <w:rPr>
          <w:rFonts w:hint="eastAsia"/>
          <w:lang w:val="en-US" w:eastAsia="zh-CN"/>
        </w:rPr>
        <w:t>可能</w:t>
      </w:r>
      <w:r>
        <w:rPr>
          <w:rFonts w:hint="default"/>
          <w:lang w:val="en-US" w:eastAsia="zh-CN"/>
        </w:rPr>
        <w:t>在于：一是回答数字化转型影响</w:t>
      </w:r>
      <w:r>
        <w:rPr>
          <w:rFonts w:hint="eastAsia"/>
          <w:lang w:val="en-US" w:eastAsia="zh-CN"/>
        </w:rPr>
        <w:t>中小银行信贷风险水平</w:t>
      </w:r>
      <w:r>
        <w:rPr>
          <w:rFonts w:hint="default"/>
          <w:lang w:val="en-US" w:eastAsia="zh-CN"/>
        </w:rPr>
        <w:t>的路径究竟为何，这种影响作用是正向的抑或负向的；二是基于中介效应模型结果和实证数据，从风险管控、业务模式等视角提出</w:t>
      </w:r>
      <w:r>
        <w:rPr>
          <w:rFonts w:hint="eastAsia"/>
          <w:lang w:val="en-US" w:eastAsia="zh-CN"/>
        </w:rPr>
        <w:t>中小银行信贷风险管控的</w:t>
      </w:r>
      <w:r>
        <w:rPr>
          <w:rFonts w:hint="default"/>
          <w:lang w:val="en-US" w:eastAsia="zh-CN"/>
        </w:rPr>
        <w:t>可行性路径策略。</w:t>
      </w:r>
    </w:p>
    <w:p w14:paraId="0FAEA4F8">
      <w:pPr>
        <w:pStyle w:val="2"/>
        <w:keepNext/>
        <w:keepLines/>
        <w:pageBreakBefore w:val="0"/>
        <w:widowControl w:val="0"/>
        <w:kinsoku/>
        <w:wordWrap/>
        <w:overflowPunct/>
        <w:topLinePunct w:val="0"/>
        <w:autoSpaceDE/>
        <w:autoSpaceDN/>
        <w:bidi w:val="0"/>
        <w:adjustRightInd/>
        <w:snapToGrid/>
        <w:spacing w:before="369" w:after="369" w:line="382" w:lineRule="exact"/>
        <w:jc w:val="center"/>
        <w:textAlignment w:val="auto"/>
        <w:rPr>
          <w:rFonts w:hint="default" w:ascii="黑体" w:hAnsi="黑体" w:eastAsia="黑体" w:cs="黑体"/>
          <w:sz w:val="24"/>
          <w:szCs w:val="24"/>
          <w:lang w:val="en-US" w:eastAsia="zh-CN"/>
        </w:rPr>
      </w:pPr>
      <w:bookmarkStart w:id="1" w:name="_Toc1717"/>
      <w:r>
        <w:rPr>
          <w:rFonts w:hint="default" w:ascii="黑体" w:hAnsi="黑体" w:eastAsia="黑体" w:cs="黑体"/>
          <w:sz w:val="24"/>
          <w:szCs w:val="24"/>
          <w:lang w:val="en-US" w:eastAsia="zh-CN"/>
        </w:rPr>
        <w:t>二、研究基础与研究假设</w:t>
      </w:r>
      <w:bookmarkEnd w:id="1"/>
    </w:p>
    <w:p w14:paraId="41D3B83D">
      <w:pPr>
        <w:bidi w:val="0"/>
        <w:rPr>
          <w:rFonts w:hint="default" w:ascii="Times New Roman" w:hAnsi="Times New Roman" w:eastAsia="宋体" w:cs="Times New Roman"/>
          <w:strike w:val="0"/>
          <w:szCs w:val="24"/>
          <w:lang w:val="en-US" w:eastAsia="zh-CN"/>
        </w:rPr>
      </w:pPr>
      <w:r>
        <w:rPr>
          <w:rFonts w:hint="default"/>
          <w:lang w:val="en-US" w:eastAsia="zh-CN"/>
        </w:rPr>
        <w:t>伴随着人工智能的普及，一方面，客户的差异化需求使得银行通过互联网平台推出更多差异化产品，促使银行提供更加高质量的服务（洪宇高，2024）</w:t>
      </w:r>
      <w:r>
        <w:rPr>
          <w:rFonts w:hint="default"/>
          <w:vertAlign w:val="superscript"/>
          <w:lang w:val="en-US" w:eastAsia="zh-CN"/>
        </w:rPr>
        <w:t>[</w:t>
      </w:r>
      <w:r>
        <w:rPr>
          <w:rFonts w:hint="default"/>
          <w:vertAlign w:val="superscript"/>
          <w:lang w:val="en-US" w:eastAsia="zh-CN"/>
        </w:rPr>
        <w:endnoteReference w:id="2"/>
      </w:r>
      <w:r>
        <w:rPr>
          <w:rFonts w:hint="default"/>
          <w:vertAlign w:val="superscript"/>
          <w:lang w:val="en-US" w:eastAsia="zh-CN"/>
        </w:rPr>
        <w:t>]</w:t>
      </w:r>
      <w:r>
        <w:rPr>
          <w:rFonts w:hint="default"/>
          <w:lang w:val="en-US" w:eastAsia="zh-CN"/>
        </w:rPr>
        <w:t>，另一方面，随着银行间的竞争不断加剧，加快银行数字化可以促使银行更具有竞争力。因此，内外部竞争压力</w:t>
      </w:r>
      <w:r>
        <w:rPr>
          <w:rFonts w:hint="eastAsia"/>
          <w:lang w:val="en-US" w:eastAsia="zh-CN"/>
        </w:rPr>
        <w:t>驱动</w:t>
      </w:r>
      <w:r>
        <w:rPr>
          <w:rFonts w:hint="default"/>
          <w:lang w:val="en-US" w:eastAsia="zh-CN"/>
        </w:rPr>
        <w:t>商业银行借助金融科技服务</w:t>
      </w:r>
      <w:r>
        <w:rPr>
          <w:rFonts w:hint="eastAsia"/>
          <w:lang w:val="en-US" w:eastAsia="zh-CN"/>
        </w:rPr>
        <w:t>手段，来</w:t>
      </w:r>
      <w:r>
        <w:rPr>
          <w:rFonts w:hint="default"/>
          <w:lang w:val="en-US" w:eastAsia="zh-CN"/>
        </w:rPr>
        <w:t>探索</w:t>
      </w:r>
      <w:r>
        <w:rPr>
          <w:rFonts w:hint="eastAsia"/>
          <w:lang w:val="en-US" w:eastAsia="zh-CN"/>
        </w:rPr>
        <w:t>经营</w:t>
      </w:r>
      <w:r>
        <w:rPr>
          <w:rFonts w:hint="default"/>
          <w:lang w:val="en-US" w:eastAsia="zh-CN"/>
        </w:rPr>
        <w:t>转型之路（逯苗苗等，2023）</w:t>
      </w:r>
      <w:r>
        <w:rPr>
          <w:rFonts w:hint="default"/>
          <w:vertAlign w:val="superscript"/>
          <w:lang w:val="en-US" w:eastAsia="zh-CN"/>
        </w:rPr>
        <w:t>[</w:t>
      </w:r>
      <w:r>
        <w:rPr>
          <w:rFonts w:hint="default"/>
          <w:vertAlign w:val="superscript"/>
          <w:lang w:val="en-US" w:eastAsia="zh-CN"/>
        </w:rPr>
        <w:endnoteReference w:id="3"/>
      </w:r>
      <w:r>
        <w:rPr>
          <w:rFonts w:hint="default"/>
          <w:vertAlign w:val="superscript"/>
          <w:lang w:val="en-US" w:eastAsia="zh-CN"/>
        </w:rPr>
        <w:t>]</w:t>
      </w:r>
      <w:r>
        <w:rPr>
          <w:rFonts w:hint="default"/>
          <w:lang w:val="en-US" w:eastAsia="zh-CN"/>
        </w:rPr>
        <w:t>。</w:t>
      </w:r>
    </w:p>
    <w:p w14:paraId="2EBE6F69">
      <w:pPr>
        <w:pStyle w:val="3"/>
        <w:numPr>
          <w:ilvl w:val="0"/>
          <w:numId w:val="0"/>
        </w:numPr>
        <w:bidi w:val="0"/>
        <w:ind w:firstLine="420" w:firstLineChars="200"/>
        <w:rPr>
          <w:rFonts w:hint="default"/>
          <w:lang w:val="en-US" w:eastAsia="zh-CN"/>
        </w:rPr>
      </w:pPr>
      <w:bookmarkStart w:id="2" w:name="_Toc7287"/>
      <w:r>
        <w:rPr>
          <w:rFonts w:hint="eastAsia" w:ascii="Arial" w:hAnsi="Arial" w:eastAsia="黑体" w:cstheme="minorBidi"/>
          <w:b w:val="0"/>
          <w:kern w:val="2"/>
          <w:sz w:val="21"/>
          <w:szCs w:val="24"/>
          <w:lang w:val="en-US" w:eastAsia="zh-CN" w:bidi="ar-SA"/>
        </w:rPr>
        <w:t>（一）</w:t>
      </w:r>
      <w:r>
        <w:rPr>
          <w:rFonts w:hint="default"/>
          <w:lang w:val="en-US" w:eastAsia="zh-CN"/>
        </w:rPr>
        <w:t>银行数字化转型与信贷风险水平的关系分析</w:t>
      </w:r>
      <w:bookmarkEnd w:id="2"/>
    </w:p>
    <w:p w14:paraId="77999236">
      <w:pPr>
        <w:bidi w:val="0"/>
        <w:rPr>
          <w:rFonts w:hint="default"/>
          <w:lang w:val="en-US" w:eastAsia="zh-CN"/>
        </w:rPr>
      </w:pPr>
      <w:r>
        <w:rPr>
          <w:rFonts w:hint="default"/>
          <w:lang w:val="en-US" w:eastAsia="zh-CN"/>
        </w:rPr>
        <w:t>商业银行数字化转型对信贷风险水平具有重要影响作用。一是，从业务流程方面来看，银行数字化转型通过优化银行业务流程，缓解信息不对称，增加盈利模式的多元化，从而产生信用风险优化效应（丁敬雯，2024）</w:t>
      </w:r>
      <w:r>
        <w:rPr>
          <w:rFonts w:hint="default"/>
          <w:vertAlign w:val="superscript"/>
          <w:lang w:val="en-US" w:eastAsia="zh-CN"/>
        </w:rPr>
        <w:t>[</w:t>
      </w:r>
      <w:bookmarkStart w:id="3" w:name="_Ref3782"/>
      <w:r>
        <w:rPr>
          <w:rFonts w:hint="default"/>
          <w:vertAlign w:val="superscript"/>
          <w:lang w:val="en-US" w:eastAsia="zh-CN"/>
        </w:rPr>
        <w:endnoteReference w:id="4"/>
      </w:r>
      <w:bookmarkEnd w:id="3"/>
      <w:r>
        <w:rPr>
          <w:rFonts w:hint="default"/>
          <w:vertAlign w:val="superscript"/>
          <w:lang w:val="en-US" w:eastAsia="zh-CN"/>
        </w:rPr>
        <w:t>]</w:t>
      </w:r>
      <w:r>
        <w:rPr>
          <w:rFonts w:hint="default"/>
          <w:lang w:val="en-US" w:eastAsia="zh-CN"/>
        </w:rPr>
        <w:t>，并能够增强银行信贷风险识别、分散、缓冲能力，提升银行信贷风险管理效率（徐蕾等，2024）</w:t>
      </w:r>
      <w:r>
        <w:rPr>
          <w:rFonts w:hint="default"/>
          <w:vertAlign w:val="superscript"/>
          <w:lang w:val="en-US" w:eastAsia="zh-CN"/>
        </w:rPr>
        <w:t>[</w:t>
      </w:r>
      <w:r>
        <w:rPr>
          <w:rFonts w:hint="default"/>
          <w:vertAlign w:val="superscript"/>
          <w:lang w:val="en-US" w:eastAsia="zh-CN"/>
        </w:rPr>
        <w:endnoteReference w:id="5"/>
      </w:r>
      <w:r>
        <w:rPr>
          <w:rFonts w:hint="default"/>
          <w:vertAlign w:val="superscript"/>
          <w:lang w:val="en-US" w:eastAsia="zh-CN"/>
        </w:rPr>
        <w:t>]</w:t>
      </w:r>
      <w:r>
        <w:rPr>
          <w:rFonts w:hint="default"/>
          <w:lang w:val="en-US" w:eastAsia="zh-CN"/>
        </w:rPr>
        <w:t>，以及银行信息甄别能力（方意，2025）</w:t>
      </w:r>
      <w:r>
        <w:rPr>
          <w:rFonts w:hint="default"/>
          <w:vertAlign w:val="superscript"/>
          <w:lang w:val="en-US" w:eastAsia="zh-CN"/>
        </w:rPr>
        <w:t>[</w:t>
      </w:r>
      <w:r>
        <w:rPr>
          <w:rFonts w:hint="default"/>
          <w:vertAlign w:val="superscript"/>
          <w:lang w:val="en-US" w:eastAsia="zh-CN"/>
        </w:rPr>
        <w:endnoteReference w:id="6"/>
      </w:r>
      <w:r>
        <w:rPr>
          <w:rFonts w:hint="default"/>
          <w:vertAlign w:val="superscript"/>
          <w:lang w:val="en-US" w:eastAsia="zh-CN"/>
        </w:rPr>
        <w:t>]</w:t>
      </w:r>
      <w:r>
        <w:rPr>
          <w:rFonts w:hint="default"/>
          <w:lang w:val="en-US" w:eastAsia="zh-CN"/>
        </w:rPr>
        <w:t>；二是，从内部管理上来看，银行数字化转型可以提高银行经营效率、降低银行运营成本促进银行流动性创造并降低风险承担水平（宋科等，2025）</w:t>
      </w:r>
      <w:r>
        <w:rPr>
          <w:rFonts w:hint="default"/>
          <w:vertAlign w:val="superscript"/>
          <w:lang w:val="en-US" w:eastAsia="zh-CN"/>
        </w:rPr>
        <w:t>[</w:t>
      </w:r>
      <w:r>
        <w:rPr>
          <w:rFonts w:hint="default"/>
          <w:vertAlign w:val="superscript"/>
          <w:lang w:val="en-US" w:eastAsia="zh-CN"/>
        </w:rPr>
        <w:endnoteReference w:id="7"/>
      </w:r>
      <w:r>
        <w:rPr>
          <w:rFonts w:hint="default"/>
          <w:vertAlign w:val="superscript"/>
          <w:lang w:val="en-US" w:eastAsia="zh-CN"/>
        </w:rPr>
        <w:t>]</w:t>
      </w:r>
      <w:r>
        <w:rPr>
          <w:rFonts w:hint="default"/>
          <w:lang w:val="en-US" w:eastAsia="zh-CN"/>
        </w:rPr>
        <w:t>。如马亚明等（2024）</w:t>
      </w:r>
      <w:r>
        <w:rPr>
          <w:rFonts w:hint="default"/>
          <w:vertAlign w:val="superscript"/>
          <w:lang w:val="en-US" w:eastAsia="zh-CN"/>
        </w:rPr>
        <w:t>[</w:t>
      </w:r>
      <w:r>
        <w:rPr>
          <w:rFonts w:hint="default"/>
          <w:vertAlign w:val="superscript"/>
          <w:lang w:val="en-US" w:eastAsia="zh-CN"/>
        </w:rPr>
        <w:endnoteReference w:id="8"/>
      </w:r>
      <w:r>
        <w:rPr>
          <w:rFonts w:hint="default"/>
          <w:vertAlign w:val="superscript"/>
          <w:lang w:val="en-US" w:eastAsia="zh-CN"/>
        </w:rPr>
        <w:t>]</w:t>
      </w:r>
      <w:r>
        <w:rPr>
          <w:rFonts w:hint="default"/>
          <w:lang w:val="en-US" w:eastAsia="zh-CN"/>
        </w:rPr>
        <w:t>认为商业银行数字化转型可以通过降低信贷集中度来抑制信用风险。此外，银行数字化转型还可提升银行在信贷业务的内控效能（池国华，2025；蒋海，2024）</w:t>
      </w:r>
      <w:r>
        <w:rPr>
          <w:rFonts w:hint="default"/>
          <w:vertAlign w:val="superscript"/>
          <w:lang w:val="en-US" w:eastAsia="zh-CN"/>
        </w:rPr>
        <w:t>[</w:t>
      </w:r>
      <w:r>
        <w:rPr>
          <w:rFonts w:hint="default"/>
          <w:vertAlign w:val="superscript"/>
          <w:lang w:val="en-US" w:eastAsia="zh-CN"/>
        </w:rPr>
        <w:endnoteReference w:id="9"/>
      </w:r>
      <w:r>
        <w:rPr>
          <w:rStyle w:val="19"/>
          <w:rFonts w:hint="default" w:ascii="Times New Roman" w:hAnsi="Times New Roman" w:eastAsia="宋体" w:cs="Times New Roman"/>
          <w:strike w:val="0"/>
          <w:szCs w:val="24"/>
          <w:vertAlign w:val="superscript"/>
          <w:lang w:val="en-US" w:eastAsia="zh-CN"/>
        </w:rPr>
        <w:t>-</w:t>
      </w:r>
      <w:r>
        <w:rPr>
          <w:rFonts w:hint="default"/>
          <w:vertAlign w:val="superscript"/>
          <w:lang w:val="en-US" w:eastAsia="zh-CN"/>
        </w:rPr>
        <w:endnoteReference w:id="10"/>
      </w:r>
      <w:r>
        <w:rPr>
          <w:rFonts w:hint="default"/>
          <w:vertAlign w:val="superscript"/>
          <w:lang w:val="en-US" w:eastAsia="zh-CN"/>
        </w:rPr>
        <w:t>]</w:t>
      </w:r>
      <w:r>
        <w:rPr>
          <w:rFonts w:hint="default"/>
          <w:lang w:val="en-US" w:eastAsia="zh-CN"/>
        </w:rPr>
        <w:t>。三是，从外部影响来看，银行数字化转型会在一定程度上加剧银行业的信贷服务竞争（方芳等，2024；贾妍妍等，2024）</w:t>
      </w:r>
      <w:r>
        <w:rPr>
          <w:rFonts w:hint="default"/>
          <w:vertAlign w:val="superscript"/>
          <w:lang w:val="en-US" w:eastAsia="zh-CN"/>
        </w:rPr>
        <w:t>[</w:t>
      </w:r>
      <w:r>
        <w:rPr>
          <w:rFonts w:hint="default"/>
          <w:vertAlign w:val="superscript"/>
          <w:lang w:val="en-US" w:eastAsia="zh-CN"/>
        </w:rPr>
        <w:endnoteReference w:id="11"/>
      </w:r>
      <w:r>
        <w:rPr>
          <w:rStyle w:val="19"/>
          <w:rFonts w:hint="default" w:ascii="Times New Roman" w:hAnsi="Times New Roman" w:eastAsia="宋体" w:cs="Times New Roman"/>
          <w:strike w:val="0"/>
          <w:szCs w:val="24"/>
          <w:vertAlign w:val="superscript"/>
          <w:lang w:val="en-US" w:eastAsia="zh-CN"/>
        </w:rPr>
        <w:t>-</w:t>
      </w:r>
      <w:bookmarkStart w:id="4" w:name="_Ref16744"/>
      <w:r>
        <w:rPr>
          <w:rFonts w:hint="default"/>
          <w:vertAlign w:val="superscript"/>
          <w:lang w:val="en-US" w:eastAsia="zh-CN"/>
        </w:rPr>
        <w:endnoteReference w:id="12"/>
      </w:r>
      <w:bookmarkEnd w:id="4"/>
      <w:r>
        <w:rPr>
          <w:rFonts w:hint="default"/>
          <w:vertAlign w:val="superscript"/>
          <w:lang w:val="en-US" w:eastAsia="zh-CN"/>
        </w:rPr>
        <w:t>]</w:t>
      </w:r>
      <w:r>
        <w:rPr>
          <w:rFonts w:hint="default"/>
          <w:lang w:val="en-US" w:eastAsia="zh-CN"/>
        </w:rPr>
        <w:t>，驱动商业银行调整信贷投资导向（吴永刚等，2024）</w:t>
      </w:r>
      <w:r>
        <w:rPr>
          <w:rFonts w:hint="default"/>
          <w:vertAlign w:val="superscript"/>
          <w:lang w:val="en-US" w:eastAsia="zh-CN"/>
        </w:rPr>
        <w:t>[</w:t>
      </w:r>
      <w:r>
        <w:rPr>
          <w:rFonts w:hint="default"/>
          <w:vertAlign w:val="superscript"/>
          <w:lang w:val="en-US" w:eastAsia="zh-CN"/>
        </w:rPr>
        <w:endnoteReference w:id="13"/>
      </w:r>
      <w:r>
        <w:rPr>
          <w:rFonts w:hint="default"/>
          <w:vertAlign w:val="superscript"/>
          <w:lang w:val="en-US" w:eastAsia="zh-CN"/>
        </w:rPr>
        <w:t>]</w:t>
      </w:r>
      <w:r>
        <w:rPr>
          <w:rFonts w:hint="default"/>
          <w:lang w:val="en-US" w:eastAsia="zh-CN"/>
        </w:rPr>
        <w:t>，来降低银行信贷风险承担水平。此外，银行数字化转型程度越高，商业银行会能够尽可能规避外部环境波动及不确定性的影响，主动调整其风险承担水平（陈肖雄，2024；王哲琦，2025）</w:t>
      </w:r>
      <w:r>
        <w:rPr>
          <w:rFonts w:hint="default"/>
          <w:vertAlign w:val="superscript"/>
          <w:lang w:val="en-US" w:eastAsia="zh-CN"/>
        </w:rPr>
        <w:t>[</w:t>
      </w:r>
      <w:r>
        <w:rPr>
          <w:rFonts w:hint="default"/>
          <w:vertAlign w:val="superscript"/>
          <w:lang w:val="en-US" w:eastAsia="zh-CN"/>
        </w:rPr>
        <w:endnoteReference w:id="14"/>
      </w:r>
      <w:r>
        <w:rPr>
          <w:rStyle w:val="19"/>
          <w:rFonts w:hint="default" w:ascii="Times New Roman" w:hAnsi="Times New Roman" w:eastAsia="宋体" w:cs="Times New Roman"/>
          <w:strike w:val="0"/>
          <w:szCs w:val="24"/>
          <w:vertAlign w:val="superscript"/>
          <w:lang w:val="en-US" w:eastAsia="zh-CN"/>
        </w:rPr>
        <w:t>-</w:t>
      </w:r>
      <w:r>
        <w:rPr>
          <w:rFonts w:hint="default"/>
          <w:vertAlign w:val="superscript"/>
          <w:lang w:val="en-US" w:eastAsia="zh-CN"/>
        </w:rPr>
        <w:endnoteReference w:id="15"/>
      </w:r>
      <w:r>
        <w:rPr>
          <w:rFonts w:hint="default"/>
          <w:vertAlign w:val="superscript"/>
          <w:lang w:val="en-US" w:eastAsia="zh-CN"/>
        </w:rPr>
        <w:t>]</w:t>
      </w:r>
      <w:r>
        <w:rPr>
          <w:rFonts w:hint="default"/>
          <w:lang w:val="en-US" w:eastAsia="zh-CN"/>
        </w:rPr>
        <w:t>，从而降低银行信贷风险水平。</w:t>
      </w:r>
    </w:p>
    <w:p w14:paraId="4854158F">
      <w:pPr>
        <w:bidi w:val="0"/>
        <w:rPr>
          <w:rFonts w:hint="default"/>
          <w:lang w:val="en-US" w:eastAsia="zh-CN"/>
        </w:rPr>
      </w:pPr>
      <w:r>
        <w:rPr>
          <w:rFonts w:hint="default"/>
          <w:lang w:val="en-US" w:eastAsia="zh-CN"/>
        </w:rPr>
        <w:t>综上所述，商业银行数字化转型可通过提升自身风险管理能力、经营效率和信贷服务质量，降低信贷运营成本等必要手段，以规避和抑制</w:t>
      </w:r>
      <w:r>
        <w:rPr>
          <w:rFonts w:hint="eastAsia"/>
          <w:lang w:val="en-US" w:eastAsia="zh-CN"/>
        </w:rPr>
        <w:t>信贷风险</w:t>
      </w:r>
      <w:r>
        <w:rPr>
          <w:rFonts w:hint="default"/>
          <w:lang w:val="en-US" w:eastAsia="zh-CN"/>
        </w:rPr>
        <w:t>。基于此，本文提出第一条假设：</w:t>
      </w:r>
    </w:p>
    <w:p w14:paraId="09D7E0F2">
      <w:pPr>
        <w:bidi w:val="0"/>
        <w:rPr>
          <w:rFonts w:hint="default"/>
          <w:b/>
          <w:bCs/>
        </w:rPr>
      </w:pPr>
      <w:r>
        <w:rPr>
          <w:rFonts w:hint="default"/>
          <w:b/>
          <w:bCs/>
        </w:rPr>
        <w:t>H1：</w:t>
      </w:r>
      <w:r>
        <w:rPr>
          <w:rFonts w:hint="default"/>
          <w:b/>
          <w:bCs/>
          <w:lang w:val="en-US" w:eastAsia="zh-CN"/>
        </w:rPr>
        <w:t>银行</w:t>
      </w:r>
      <w:r>
        <w:rPr>
          <w:rFonts w:hint="default"/>
          <w:b/>
          <w:bCs/>
        </w:rPr>
        <w:t>数字化转型</w:t>
      </w:r>
      <w:r>
        <w:rPr>
          <w:rFonts w:hint="default"/>
          <w:b/>
          <w:bCs/>
          <w:lang w:val="en-US" w:eastAsia="zh-CN"/>
        </w:rPr>
        <w:t>程度的加深</w:t>
      </w:r>
      <w:r>
        <w:rPr>
          <w:rFonts w:hint="default"/>
          <w:b/>
          <w:bCs/>
        </w:rPr>
        <w:t>能</w:t>
      </w:r>
      <w:r>
        <w:rPr>
          <w:rFonts w:hint="default"/>
          <w:b/>
          <w:bCs/>
          <w:lang w:val="en-US" w:eastAsia="zh-CN"/>
        </w:rPr>
        <w:t>抑制</w:t>
      </w:r>
      <w:r>
        <w:rPr>
          <w:rFonts w:hint="eastAsia"/>
          <w:b/>
          <w:bCs/>
          <w:lang w:val="en-US" w:eastAsia="zh-CN"/>
        </w:rPr>
        <w:t>中小银行信贷风险水平</w:t>
      </w:r>
      <w:r>
        <w:rPr>
          <w:rFonts w:hint="default"/>
          <w:b/>
          <w:bCs/>
        </w:rPr>
        <w:t>。</w:t>
      </w:r>
    </w:p>
    <w:p w14:paraId="7A30F9E2">
      <w:pPr>
        <w:pStyle w:val="3"/>
        <w:bidi w:val="0"/>
        <w:rPr>
          <w:rFonts w:hint="default"/>
          <w:lang w:val="en-US" w:eastAsia="zh-CN"/>
        </w:rPr>
      </w:pPr>
      <w:bookmarkStart w:id="5" w:name="_Toc3311"/>
      <w:r>
        <w:rPr>
          <w:rFonts w:hint="eastAsia"/>
          <w:lang w:val="en-US" w:eastAsia="zh-CN"/>
        </w:rPr>
        <w:t>（二）</w:t>
      </w:r>
      <w:r>
        <w:rPr>
          <w:rFonts w:hint="default"/>
          <w:lang w:val="en-US" w:eastAsia="zh-CN"/>
        </w:rPr>
        <w:t>银行数字化转型与非息收入的关系分析</w:t>
      </w:r>
      <w:bookmarkEnd w:id="5"/>
    </w:p>
    <w:p w14:paraId="264AD2BF">
      <w:pPr>
        <w:bidi w:val="0"/>
        <w:rPr>
          <w:rFonts w:hint="default"/>
          <w:lang w:val="en-US" w:eastAsia="zh-CN"/>
        </w:rPr>
      </w:pPr>
      <w:r>
        <w:rPr>
          <w:rFonts w:hint="default"/>
          <w:lang w:val="en-US" w:eastAsia="zh-CN"/>
        </w:rPr>
        <w:t>商业银行数字化转型对非息收入产生重要影响，主要体现在运用金融科技能够拓宽收入渠道、多元化其收入结构，降低盈利能力对存贷利差的依赖（郭晔，2022）[</w:t>
      </w:r>
      <w:r>
        <w:rPr>
          <w:rFonts w:hint="default"/>
          <w:lang w:val="en-US" w:eastAsia="zh-CN"/>
        </w:rPr>
        <w:endnoteReference w:id="16"/>
      </w:r>
      <w:r>
        <w:rPr>
          <w:rFonts w:hint="default"/>
          <w:lang w:val="en-US" w:eastAsia="zh-CN"/>
        </w:rPr>
        <w:t>]。一是，对于大型的商业银行拥有更强的资金实力可以加快银行数字化转型，强化对非息收入水平的提升（施志晖等，2024）</w:t>
      </w:r>
      <w:bookmarkStart w:id="6" w:name="_Ref28610"/>
      <w:r>
        <w:rPr>
          <w:rFonts w:hint="default"/>
          <w:lang w:val="en-US" w:eastAsia="zh-CN"/>
        </w:rPr>
        <w:t>[</w:t>
      </w:r>
      <w:bookmarkStart w:id="7" w:name="_Ref20394"/>
      <w:r>
        <w:rPr>
          <w:rFonts w:hint="default"/>
          <w:lang w:val="en-US" w:eastAsia="zh-CN"/>
        </w:rPr>
        <w:endnoteReference w:id="17"/>
      </w:r>
      <w:bookmarkEnd w:id="6"/>
      <w:bookmarkEnd w:id="7"/>
      <w:r>
        <w:rPr>
          <w:rFonts w:hint="default"/>
          <w:lang w:val="en-US" w:eastAsia="zh-CN"/>
        </w:rPr>
        <w:t>]。二是，数字化转型会促进商业银行推进业务创新，提高其技术应用质效和丰富场景，从而增加商业银行的中间业务收入（张庆君等，2023）[</w:t>
      </w:r>
      <w:r>
        <w:rPr>
          <w:rFonts w:hint="default"/>
          <w:lang w:val="en-US" w:eastAsia="zh-CN"/>
        </w:rPr>
        <w:endnoteReference w:id="18"/>
      </w:r>
      <w:r>
        <w:rPr>
          <w:rFonts w:hint="default"/>
          <w:lang w:val="en-US" w:eastAsia="zh-CN"/>
        </w:rPr>
        <w:t>]，同时也会开展金融服务模式的渠道创新，从而拓展非利息业务（赵清波等，2023）</w:t>
      </w:r>
      <w:bookmarkStart w:id="8" w:name="_Ref28659"/>
      <w:r>
        <w:rPr>
          <w:rFonts w:hint="default"/>
          <w:lang w:val="en-US" w:eastAsia="zh-CN"/>
        </w:rPr>
        <w:t>[</w:t>
      </w:r>
      <w:bookmarkStart w:id="9" w:name="_Ref20505"/>
      <w:r>
        <w:rPr>
          <w:rFonts w:hint="default"/>
          <w:lang w:val="en-US" w:eastAsia="zh-CN"/>
        </w:rPr>
        <w:endnoteReference w:id="19"/>
      </w:r>
      <w:bookmarkEnd w:id="8"/>
      <w:bookmarkEnd w:id="9"/>
      <w:r>
        <w:rPr>
          <w:rFonts w:hint="default"/>
          <w:lang w:val="en-US" w:eastAsia="zh-CN"/>
        </w:rPr>
        <w:t>]。三是，商业银行中间业务的多维渠道创新，可以有效促进中间业务产品创新，进而提升非息收入水平（李琴，2022）[</w:t>
      </w:r>
      <w:r>
        <w:rPr>
          <w:rFonts w:hint="default"/>
          <w:lang w:val="en-US" w:eastAsia="zh-CN"/>
        </w:rPr>
        <w:endnoteReference w:id="20"/>
      </w:r>
      <w:r>
        <w:rPr>
          <w:rFonts w:hint="default"/>
          <w:lang w:val="en-US" w:eastAsia="zh-CN"/>
        </w:rPr>
        <w:t>]。需要指出的是，在非息收入数字化转型相关策略，一方面要加速场景生态建设，提升综合服务能力（周毅，2024）[</w:t>
      </w:r>
      <w:r>
        <w:rPr>
          <w:rFonts w:hint="default"/>
          <w:lang w:val="en-US" w:eastAsia="zh-CN"/>
        </w:rPr>
        <w:endnoteReference w:id="21"/>
      </w:r>
      <w:r>
        <w:rPr>
          <w:rFonts w:hint="default"/>
          <w:lang w:val="en-US" w:eastAsia="zh-CN"/>
        </w:rPr>
        <w:t>]，另一方面，要</w:t>
      </w:r>
      <w:r>
        <w:rPr>
          <w:rFonts w:hint="eastAsia"/>
          <w:lang w:val="en-US" w:eastAsia="zh-CN"/>
        </w:rPr>
        <w:t>加强</w:t>
      </w:r>
      <w:r>
        <w:rPr>
          <w:rFonts w:hint="default"/>
          <w:lang w:val="en-US" w:eastAsia="zh-CN"/>
        </w:rPr>
        <w:t>电子平台建设，实现非息收入的稳步增长（李晓明,2023）[</w:t>
      </w:r>
      <w:r>
        <w:rPr>
          <w:rFonts w:hint="default"/>
          <w:lang w:val="en-US" w:eastAsia="zh-CN"/>
        </w:rPr>
        <w:endnoteReference w:id="22"/>
      </w:r>
      <w:r>
        <w:rPr>
          <w:rFonts w:hint="default"/>
          <w:lang w:val="en-US" w:eastAsia="zh-CN"/>
        </w:rPr>
        <w:t>]。</w:t>
      </w:r>
    </w:p>
    <w:p w14:paraId="7607E870">
      <w:pPr>
        <w:bidi w:val="0"/>
        <w:rPr>
          <w:rFonts w:hint="default"/>
          <w:lang w:val="en-US" w:eastAsia="zh-CN"/>
        </w:rPr>
      </w:pPr>
      <w:r>
        <w:rPr>
          <w:rFonts w:hint="default"/>
          <w:lang w:val="en-US" w:eastAsia="zh-CN"/>
        </w:rPr>
        <w:t>银行数字化转型程度对非息收入的影响主要体现在以下。从收入来源上看，商业银行通过数字化转型，不仅可以改善传统业务流程和渠道，提高服务效率和客户黏性，从而发掘新的收入来源，拓宽其非息收入渠道，最终实现非息收入的持续增长（施志晖等，2024）[</w:t>
      </w:r>
      <w:r>
        <w:rPr>
          <w:rFonts w:hint="default"/>
          <w:lang w:val="en-US" w:eastAsia="zh-CN"/>
        </w:rPr>
        <w:fldChar w:fldCharType="begin"/>
      </w:r>
      <w:r>
        <w:rPr>
          <w:rFonts w:hint="default"/>
          <w:lang w:val="en-US" w:eastAsia="zh-CN"/>
        </w:rPr>
        <w:instrText xml:space="preserve"> NOTEREF _Ref20394 \h </w:instrText>
      </w:r>
      <w:r>
        <w:rPr>
          <w:rFonts w:hint="default"/>
          <w:lang w:val="en-US" w:eastAsia="zh-CN"/>
        </w:rPr>
        <w:fldChar w:fldCharType="separate"/>
      </w:r>
      <w:r>
        <w:rPr>
          <w:rFonts w:hint="default"/>
          <w:lang w:val="en-US" w:eastAsia="zh-CN"/>
        </w:rPr>
        <w:t>18</w:t>
      </w:r>
      <w:r>
        <w:rPr>
          <w:rFonts w:hint="default"/>
          <w:lang w:val="en-US" w:eastAsia="zh-CN"/>
        </w:rPr>
        <w:fldChar w:fldCharType="end"/>
      </w:r>
      <w:r>
        <w:rPr>
          <w:rFonts w:hint="default"/>
          <w:lang w:val="en-US" w:eastAsia="zh-CN"/>
        </w:rPr>
        <w:t>]。从业务创新上，数字化转型会促进银行业务创新，开展服务模式的创新（赵清波等，2023）[</w:t>
      </w:r>
      <w:r>
        <w:rPr>
          <w:rFonts w:hint="default"/>
          <w:lang w:val="en-US" w:eastAsia="zh-CN"/>
        </w:rPr>
        <w:fldChar w:fldCharType="begin"/>
      </w:r>
      <w:r>
        <w:rPr>
          <w:rFonts w:hint="default"/>
          <w:lang w:val="en-US" w:eastAsia="zh-CN"/>
        </w:rPr>
        <w:instrText xml:space="preserve"> NOTEREF _Ref20505 \f \h </w:instrText>
      </w:r>
      <w:r>
        <w:rPr>
          <w:rFonts w:hint="default"/>
          <w:lang w:val="en-US" w:eastAsia="zh-CN"/>
        </w:rPr>
        <w:fldChar w:fldCharType="separate"/>
      </w:r>
      <w:r>
        <w:rPr>
          <w:rFonts w:hint="default"/>
          <w:lang w:val="en-US" w:eastAsia="zh-CN"/>
        </w:rPr>
        <w:t>20</w:t>
      </w:r>
      <w:r>
        <w:rPr>
          <w:rFonts w:hint="default"/>
          <w:lang w:val="en-US" w:eastAsia="zh-CN"/>
        </w:rPr>
        <w:fldChar w:fldCharType="end"/>
      </w:r>
      <w:r>
        <w:rPr>
          <w:rFonts w:hint="default"/>
          <w:lang w:val="en-US" w:eastAsia="zh-CN"/>
        </w:rPr>
        <w:t>]，提高商业银行的技术效率，从而增加银行的中间业务收入。从营运管理上，开展数字化转型能够显著降低银行营业成本，提高银行多元化经营程度和运营效率，进而提高其盈利能力（唐绅峰等，2024）[</w:t>
      </w:r>
      <w:r>
        <w:rPr>
          <w:rFonts w:hint="default"/>
          <w:lang w:val="en-US" w:eastAsia="zh-CN"/>
        </w:rPr>
        <w:endnoteReference w:id="23"/>
      </w:r>
      <w:r>
        <w:rPr>
          <w:rFonts w:hint="default"/>
          <w:lang w:val="en-US" w:eastAsia="zh-CN"/>
        </w:rPr>
        <w:t>]。另外，数字化转型提高了商业银行后台处理速度和精准度，同时通过数据分析和智能化服务提升客户满意度，促进了交叉销售和增值服务，</w:t>
      </w:r>
      <w:r>
        <w:rPr>
          <w:rFonts w:hint="eastAsia"/>
          <w:lang w:val="en-US" w:eastAsia="zh-CN"/>
        </w:rPr>
        <w:t>进</w:t>
      </w:r>
      <w:r>
        <w:rPr>
          <w:rFonts w:hint="default"/>
          <w:lang w:val="en-US" w:eastAsia="zh-CN"/>
        </w:rPr>
        <w:t>而增加了非息收入（叶蜀君等，2025）[</w:t>
      </w:r>
      <w:r>
        <w:rPr>
          <w:rFonts w:hint="default"/>
          <w:lang w:val="en-US" w:eastAsia="zh-CN"/>
        </w:rPr>
        <w:endnoteReference w:id="24"/>
      </w:r>
      <w:r>
        <w:rPr>
          <w:rFonts w:hint="default"/>
          <w:lang w:val="en-US" w:eastAsia="zh-CN"/>
        </w:rPr>
        <w:t>]。</w:t>
      </w:r>
    </w:p>
    <w:p w14:paraId="755EF104">
      <w:pPr>
        <w:bidi w:val="0"/>
        <w:rPr>
          <w:rFonts w:hint="default"/>
          <w:lang w:val="en-US" w:eastAsia="zh-CN"/>
        </w:rPr>
      </w:pPr>
      <w:r>
        <w:rPr>
          <w:rFonts w:hint="default"/>
          <w:lang w:val="en-US" w:eastAsia="zh-CN"/>
        </w:rPr>
        <w:t>综上所述，数字化转型有助于通过拓宽银行非息收入来源、增加业务与服务模式创新</w:t>
      </w:r>
      <w:r>
        <w:rPr>
          <w:rFonts w:hint="eastAsia"/>
          <w:lang w:val="en-US" w:eastAsia="zh-CN"/>
        </w:rPr>
        <w:t>，以及</w:t>
      </w:r>
      <w:r>
        <w:rPr>
          <w:rFonts w:hint="default"/>
          <w:lang w:val="en-US" w:eastAsia="zh-CN"/>
        </w:rPr>
        <w:t>提高运营管理</w:t>
      </w:r>
      <w:r>
        <w:rPr>
          <w:rFonts w:hint="eastAsia"/>
          <w:lang w:val="en-US" w:eastAsia="zh-CN"/>
        </w:rPr>
        <w:t>效率，</w:t>
      </w:r>
      <w:r>
        <w:rPr>
          <w:rFonts w:hint="default"/>
          <w:lang w:val="en-US" w:eastAsia="zh-CN"/>
        </w:rPr>
        <w:t>降低相关运营成本，进而促进银行非息收入水平的提升。基于此，本文提出第二条假设：</w:t>
      </w:r>
    </w:p>
    <w:p w14:paraId="57A256CF">
      <w:pPr>
        <w:bidi w:val="0"/>
        <w:rPr>
          <w:rFonts w:hint="default"/>
          <w:b/>
          <w:bCs/>
        </w:rPr>
      </w:pPr>
      <w:r>
        <w:rPr>
          <w:rFonts w:hint="default"/>
          <w:b/>
          <w:bCs/>
        </w:rPr>
        <w:t>H</w:t>
      </w:r>
      <w:r>
        <w:rPr>
          <w:rFonts w:hint="default"/>
          <w:b/>
          <w:bCs/>
          <w:lang w:val="en-US" w:eastAsia="zh-CN"/>
        </w:rPr>
        <w:t>2</w:t>
      </w:r>
      <w:r>
        <w:rPr>
          <w:rFonts w:hint="default"/>
          <w:b/>
          <w:bCs/>
        </w:rPr>
        <w:t>：</w:t>
      </w:r>
      <w:r>
        <w:rPr>
          <w:rFonts w:hint="default"/>
          <w:b/>
          <w:bCs/>
          <w:lang w:val="en-US" w:eastAsia="zh-CN"/>
        </w:rPr>
        <w:t>银行</w:t>
      </w:r>
      <w:r>
        <w:rPr>
          <w:rFonts w:hint="default"/>
          <w:b/>
          <w:bCs/>
        </w:rPr>
        <w:t>数字化转型</w:t>
      </w:r>
      <w:r>
        <w:rPr>
          <w:rFonts w:hint="default"/>
          <w:b/>
          <w:bCs/>
          <w:lang w:val="en-US" w:eastAsia="zh-CN"/>
        </w:rPr>
        <w:t>程度的增强</w:t>
      </w:r>
      <w:r>
        <w:rPr>
          <w:rFonts w:hint="default"/>
          <w:b/>
          <w:bCs/>
        </w:rPr>
        <w:t>能</w:t>
      </w:r>
      <w:r>
        <w:rPr>
          <w:rFonts w:hint="default"/>
          <w:b/>
          <w:bCs/>
          <w:lang w:val="en-US" w:eastAsia="zh-CN"/>
        </w:rPr>
        <w:t>提高非息收入水平</w:t>
      </w:r>
      <w:r>
        <w:rPr>
          <w:rFonts w:hint="default"/>
          <w:b/>
          <w:bCs/>
        </w:rPr>
        <w:t>。</w:t>
      </w:r>
    </w:p>
    <w:p w14:paraId="1A161547">
      <w:pPr>
        <w:pStyle w:val="3"/>
        <w:bidi w:val="0"/>
        <w:rPr>
          <w:rFonts w:hint="default"/>
          <w:lang w:val="en-US" w:eastAsia="zh-CN"/>
        </w:rPr>
      </w:pPr>
      <w:bookmarkStart w:id="10" w:name="_Toc31808"/>
      <w:r>
        <w:rPr>
          <w:rFonts w:hint="eastAsia"/>
          <w:lang w:val="en-US" w:eastAsia="zh-CN"/>
        </w:rPr>
        <w:t>（三）</w:t>
      </w:r>
      <w:r>
        <w:rPr>
          <w:rFonts w:hint="default"/>
          <w:lang w:val="en-US" w:eastAsia="zh-CN"/>
        </w:rPr>
        <w:t>银行非息收入与信贷风险的影响关系分析</w:t>
      </w:r>
      <w:bookmarkEnd w:id="10"/>
    </w:p>
    <w:p w14:paraId="55163123">
      <w:pPr>
        <w:bidi w:val="0"/>
        <w:rPr>
          <w:rFonts w:hint="default"/>
          <w:lang w:val="en-US" w:eastAsia="zh-CN"/>
        </w:rPr>
      </w:pPr>
      <w:r>
        <w:rPr>
          <w:rFonts w:hint="default"/>
          <w:lang w:val="en-US" w:eastAsia="zh-CN"/>
        </w:rPr>
        <w:t>商业银行的非息收入是指除利差收入之外的营业收入，包括手续费及佣金净收入、投资收益、公允价值变动损益、汇兑损益和其他业务收入（李宁果，2021）</w:t>
      </w:r>
      <w:bookmarkStart w:id="11" w:name="_Ref32307"/>
      <w:bookmarkStart w:id="12" w:name="_Ref28427"/>
      <w:r>
        <w:rPr>
          <w:rFonts w:hint="default"/>
          <w:lang w:val="en-US" w:eastAsia="zh-CN"/>
        </w:rPr>
        <w:t>[</w:t>
      </w:r>
      <w:bookmarkStart w:id="13" w:name="_Ref20606"/>
      <w:r>
        <w:rPr>
          <w:rFonts w:hint="default"/>
          <w:lang w:val="en-US" w:eastAsia="zh-CN"/>
        </w:rPr>
        <w:endnoteReference w:id="25"/>
      </w:r>
      <w:bookmarkEnd w:id="11"/>
      <w:bookmarkEnd w:id="12"/>
      <w:bookmarkEnd w:id="13"/>
      <w:r>
        <w:rPr>
          <w:rFonts w:hint="default"/>
          <w:lang w:val="en-US" w:eastAsia="zh-CN"/>
        </w:rPr>
        <w:t>]。</w:t>
      </w:r>
    </w:p>
    <w:p w14:paraId="3CD9CB20">
      <w:pPr>
        <w:bidi w:val="0"/>
        <w:rPr>
          <w:rFonts w:hint="default"/>
          <w:lang w:val="en-US" w:eastAsia="zh-CN"/>
        </w:rPr>
      </w:pPr>
      <w:r>
        <w:rPr>
          <w:rFonts w:hint="default"/>
          <w:lang w:val="en-US" w:eastAsia="zh-CN"/>
        </w:rPr>
        <w:t>首先，商业银行拓展非息收入的作用，主要体现在提升收入稳定性以提升抵御风险的能力（任立媛等，2018）[</w:t>
      </w:r>
      <w:r>
        <w:rPr>
          <w:rFonts w:hint="default"/>
          <w:lang w:val="en-US" w:eastAsia="zh-CN"/>
        </w:rPr>
        <w:endnoteReference w:id="26"/>
      </w:r>
      <w:r>
        <w:rPr>
          <w:rFonts w:hint="default"/>
          <w:lang w:val="en-US" w:eastAsia="zh-CN"/>
        </w:rPr>
        <w:t>]，有助于自身业务产品和服务的多元化综合经营，从而获取稳定的收入来源，进而提升其经济效益和整体绩效水平（谢太峰等，2021）[</w:t>
      </w:r>
      <w:r>
        <w:rPr>
          <w:rFonts w:hint="default"/>
          <w:lang w:val="en-US" w:eastAsia="zh-CN"/>
        </w:rPr>
        <w:endnoteReference w:id="27"/>
      </w:r>
      <w:r>
        <w:rPr>
          <w:rFonts w:hint="default"/>
          <w:lang w:val="en-US" w:eastAsia="zh-CN"/>
        </w:rPr>
        <w:t>]</w:t>
      </w:r>
      <w:r>
        <w:rPr>
          <w:rFonts w:hint="default"/>
          <w:lang w:val="en-US" w:eastAsia="zh-CN"/>
        </w:rPr>
        <w:fldChar w:fldCharType="begin"/>
      </w:r>
      <w:r>
        <w:rPr>
          <w:rFonts w:hint="default"/>
          <w:lang w:val="en-US" w:eastAsia="zh-CN"/>
        </w:rPr>
        <w:instrText xml:space="preserve"> REF _Ref25480 \r \h </w:instrText>
      </w:r>
      <w:r>
        <w:rPr>
          <w:rFonts w:hint="default"/>
          <w:lang w:val="en-US" w:eastAsia="zh-CN"/>
        </w:rPr>
        <w:fldChar w:fldCharType="separate"/>
      </w:r>
      <w:r>
        <w:rPr>
          <w:rFonts w:hint="default"/>
          <w:lang w:val="en-US" w:eastAsia="zh-CN"/>
        </w:rPr>
        <w:fldChar w:fldCharType="end"/>
      </w:r>
      <w:r>
        <w:rPr>
          <w:rFonts w:hint="default"/>
          <w:lang w:val="en-US" w:eastAsia="zh-CN"/>
        </w:rPr>
        <w:t>（张晓燕，2021）[</w:t>
      </w:r>
      <w:r>
        <w:rPr>
          <w:rFonts w:hint="default"/>
          <w:lang w:val="en-US" w:eastAsia="zh-CN"/>
        </w:rPr>
        <w:endnoteReference w:id="28"/>
      </w:r>
      <w:r>
        <w:rPr>
          <w:rFonts w:hint="default"/>
          <w:lang w:val="en-US" w:eastAsia="zh-CN"/>
        </w:rPr>
        <w:t>]。其次，收入结构的多元化，能够降低银行净资产收益率的波动性和不良贷款率，有利于提升银行抵御风险的能力（李宁果，2021）[</w:t>
      </w:r>
      <w:r>
        <w:rPr>
          <w:rFonts w:hint="default"/>
          <w:lang w:val="en-US" w:eastAsia="zh-CN"/>
        </w:rPr>
        <w:fldChar w:fldCharType="begin"/>
      </w:r>
      <w:r>
        <w:rPr>
          <w:rFonts w:hint="default"/>
          <w:lang w:val="en-US" w:eastAsia="zh-CN"/>
        </w:rPr>
        <w:instrText xml:space="preserve"> NOTEREF _Ref20606 \f \h </w:instrText>
      </w:r>
      <w:r>
        <w:rPr>
          <w:rFonts w:hint="default"/>
          <w:lang w:val="en-US" w:eastAsia="zh-CN"/>
        </w:rPr>
        <w:fldChar w:fldCharType="separate"/>
      </w:r>
      <w:r>
        <w:rPr>
          <w:rFonts w:hint="default"/>
          <w:lang w:val="en-US" w:eastAsia="zh-CN"/>
        </w:rPr>
        <w:t>26</w:t>
      </w:r>
      <w:r>
        <w:rPr>
          <w:rFonts w:hint="default"/>
          <w:lang w:val="en-US" w:eastAsia="zh-CN"/>
        </w:rPr>
        <w:fldChar w:fldCharType="end"/>
      </w:r>
      <w:r>
        <w:rPr>
          <w:rFonts w:hint="default"/>
          <w:lang w:val="en-US" w:eastAsia="zh-CN"/>
        </w:rPr>
        <w:t>]。此外，多元化的业务结构，能够协助商业银行扩大服务范围，并通过金融创新主动改变经营理念和资产管理水平，从而有效降低商业银行风险承担（李志远，2025）[</w:t>
      </w:r>
      <w:r>
        <w:rPr>
          <w:rFonts w:hint="default"/>
          <w:lang w:val="en-US" w:eastAsia="zh-CN"/>
        </w:rPr>
        <w:endnoteReference w:id="29"/>
      </w:r>
      <w:r>
        <w:rPr>
          <w:rFonts w:hint="default"/>
          <w:lang w:val="en-US" w:eastAsia="zh-CN"/>
        </w:rPr>
        <w:t>]。</w:t>
      </w:r>
    </w:p>
    <w:p w14:paraId="5EC46392">
      <w:pPr>
        <w:bidi w:val="0"/>
        <w:rPr>
          <w:rFonts w:hint="default"/>
          <w:lang w:val="en-US" w:eastAsia="zh-CN"/>
        </w:rPr>
      </w:pPr>
      <w:r>
        <w:rPr>
          <w:rFonts w:hint="default"/>
          <w:lang w:val="en-US" w:eastAsia="zh-CN"/>
        </w:rPr>
        <w:t>由上可知，银行非息收入的增加会提升银行抵御信贷风险水平的能力。故综合H1与H2的假设，本文进一步提出第三条假设：</w:t>
      </w:r>
    </w:p>
    <w:p w14:paraId="73E2A067">
      <w:pPr>
        <w:bidi w:val="0"/>
        <w:rPr>
          <w:rFonts w:hint="default" w:ascii="Times New Roman" w:hAnsi="Times New Roman" w:eastAsia="宋体" w:cs="Times New Roman"/>
          <w:b/>
          <w:bCs/>
          <w:szCs w:val="24"/>
        </w:rPr>
      </w:pPr>
      <w:r>
        <w:rPr>
          <w:rFonts w:hint="default"/>
          <w:b/>
          <w:bCs/>
        </w:rPr>
        <w:t>H</w:t>
      </w:r>
      <w:r>
        <w:rPr>
          <w:rFonts w:hint="default"/>
          <w:b/>
          <w:bCs/>
          <w:lang w:val="en-US" w:eastAsia="zh-CN"/>
        </w:rPr>
        <w:t>3</w:t>
      </w:r>
      <w:r>
        <w:rPr>
          <w:rFonts w:hint="default"/>
          <w:b/>
          <w:bCs/>
        </w:rPr>
        <w:t>：</w:t>
      </w:r>
      <w:r>
        <w:rPr>
          <w:rFonts w:hint="default"/>
          <w:b/>
          <w:bCs/>
          <w:lang w:val="en-US" w:eastAsia="zh-CN"/>
        </w:rPr>
        <w:t>银行</w:t>
      </w:r>
      <w:r>
        <w:rPr>
          <w:rFonts w:hint="default"/>
          <w:b/>
          <w:bCs/>
        </w:rPr>
        <w:t>数字化转型</w:t>
      </w:r>
      <w:r>
        <w:rPr>
          <w:rFonts w:hint="default"/>
          <w:b/>
          <w:bCs/>
          <w:lang w:val="en-US" w:eastAsia="zh-CN"/>
        </w:rPr>
        <w:t>程度的加深会通过提升非息收入份额，降低中小银行信贷风险水平</w:t>
      </w:r>
      <w:r>
        <w:rPr>
          <w:rFonts w:hint="default"/>
          <w:b/>
          <w:bCs/>
        </w:rPr>
        <w:t>。</w:t>
      </w:r>
    </w:p>
    <w:p w14:paraId="73DF88F9">
      <w:pPr>
        <w:pStyle w:val="2"/>
        <w:keepNext/>
        <w:keepLines/>
        <w:pageBreakBefore w:val="0"/>
        <w:widowControl w:val="0"/>
        <w:kinsoku/>
        <w:wordWrap/>
        <w:overflowPunct/>
        <w:topLinePunct w:val="0"/>
        <w:autoSpaceDE/>
        <w:autoSpaceDN/>
        <w:bidi w:val="0"/>
        <w:adjustRightInd/>
        <w:snapToGrid/>
        <w:spacing w:before="369" w:after="369" w:line="382" w:lineRule="exact"/>
        <w:jc w:val="center"/>
        <w:textAlignment w:val="auto"/>
        <w:rPr>
          <w:rFonts w:hint="default" w:ascii="黑体" w:hAnsi="黑体" w:eastAsia="黑体" w:cs="黑体"/>
          <w:sz w:val="24"/>
          <w:szCs w:val="24"/>
          <w:lang w:val="en-US" w:eastAsia="zh-CN"/>
        </w:rPr>
      </w:pPr>
      <w:bookmarkStart w:id="14" w:name="_Toc10833"/>
      <w:r>
        <w:rPr>
          <w:rFonts w:hint="default" w:ascii="黑体" w:hAnsi="黑体" w:eastAsia="黑体" w:cs="黑体"/>
          <w:sz w:val="24"/>
          <w:szCs w:val="24"/>
          <w:lang w:val="en-US" w:eastAsia="zh-CN"/>
        </w:rPr>
        <w:t>三、研究设计</w:t>
      </w:r>
      <w:bookmarkEnd w:id="14"/>
    </w:p>
    <w:p w14:paraId="41034A39">
      <w:pPr>
        <w:bidi w:val="0"/>
        <w:rPr>
          <w:rFonts w:hint="default"/>
          <w:lang w:val="en-US" w:eastAsia="zh-CN"/>
        </w:rPr>
      </w:pPr>
      <w:r>
        <w:rPr>
          <w:rFonts w:hint="default"/>
          <w:lang w:val="en-US" w:eastAsia="zh-CN"/>
        </w:rPr>
        <w:t>本文将以银行非息收入为中介变量，研究数字化转型程度对</w:t>
      </w:r>
      <w:r>
        <w:rPr>
          <w:rFonts w:hint="eastAsia"/>
          <w:lang w:val="en-US" w:eastAsia="zh-CN"/>
        </w:rPr>
        <w:t>中小</w:t>
      </w:r>
      <w:r>
        <w:rPr>
          <w:rFonts w:hint="default"/>
          <w:lang w:val="en-US" w:eastAsia="zh-CN"/>
        </w:rPr>
        <w:t>银行信贷风险</w:t>
      </w:r>
      <w:r>
        <w:rPr>
          <w:rFonts w:hint="eastAsia"/>
          <w:lang w:val="en-US" w:eastAsia="zh-CN"/>
        </w:rPr>
        <w:t>水平</w:t>
      </w:r>
      <w:r>
        <w:rPr>
          <w:rFonts w:hint="default"/>
          <w:lang w:val="en-US" w:eastAsia="zh-CN"/>
        </w:rPr>
        <w:t>的</w:t>
      </w:r>
      <w:r>
        <w:rPr>
          <w:rFonts w:hint="eastAsia"/>
          <w:lang w:val="en-US" w:eastAsia="zh-CN"/>
        </w:rPr>
        <w:t>影响</w:t>
      </w:r>
      <w:r>
        <w:rPr>
          <w:rFonts w:hint="default"/>
          <w:lang w:val="en-US" w:eastAsia="zh-CN"/>
        </w:rPr>
        <w:t>，以期为推进银行数字化转型和信贷风险提供可行性参考。具体研究设计如下</w:t>
      </w:r>
      <w:r>
        <w:rPr>
          <w:rFonts w:hint="eastAsia"/>
          <w:lang w:val="en-US" w:eastAsia="zh-CN"/>
        </w:rPr>
        <w:t>图1所示</w:t>
      </w:r>
      <w:r>
        <w:rPr>
          <w:rFonts w:hint="default"/>
          <w:lang w:val="en-US" w:eastAsia="zh-CN"/>
        </w:rPr>
        <w:t>：</w:t>
      </w:r>
    </w:p>
    <w:p w14:paraId="40C81ED7">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pPr>
      <w:r>
        <w:drawing>
          <wp:inline distT="0" distB="0" distL="114300" distR="114300">
            <wp:extent cx="4660900" cy="1853565"/>
            <wp:effectExtent l="0" t="0" r="2540" b="5715"/>
            <wp:docPr id="2" name="F360BE8B-6686-4F3D-AEAF-501FE73E4058-1" descr="C:/Users/HP/AppData/Local/Temp/绘图1(1).png绘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360BE8B-6686-4F3D-AEAF-501FE73E4058-1" descr="C:/Users/HP/AppData/Local/Temp/绘图1(1).png绘图1(1)"/>
                    <pic:cNvPicPr>
                      <a:picLocks noChangeAspect="1"/>
                    </pic:cNvPicPr>
                  </pic:nvPicPr>
                  <pic:blipFill>
                    <a:blip r:embed="rId7"/>
                    <a:stretch>
                      <a:fillRect/>
                    </a:stretch>
                  </pic:blipFill>
                  <pic:spPr>
                    <a:xfrm>
                      <a:off x="0" y="0"/>
                      <a:ext cx="4660900" cy="1853565"/>
                    </a:xfrm>
                    <a:prstGeom prst="rect">
                      <a:avLst/>
                    </a:prstGeom>
                    <a:noFill/>
                    <a:ln>
                      <a:noFill/>
                    </a:ln>
                  </pic:spPr>
                </pic:pic>
              </a:graphicData>
            </a:graphic>
          </wp:inline>
        </w:drawing>
      </w:r>
    </w:p>
    <w:p w14:paraId="6B00F2AD">
      <w:pPr>
        <w:pageBreakBefore w:val="0"/>
        <w:kinsoku/>
        <w:wordWrap/>
        <w:overflowPunct/>
        <w:topLinePunct w:val="0"/>
        <w:autoSpaceDE/>
        <w:autoSpaceDN/>
        <w:bidi w:val="0"/>
        <w:spacing w:line="300" w:lineRule="auto"/>
        <w:ind w:firstLine="422" w:firstLineChars="200"/>
        <w:jc w:val="center"/>
        <w:textAlignment w:val="auto"/>
        <w:rPr>
          <w:rFonts w:hint="default" w:ascii="Times New Roman" w:hAnsi="Times New Roman" w:eastAsia="宋体" w:cs="Times New Roman"/>
          <w:b/>
          <w:bCs/>
          <w:sz w:val="21"/>
          <w:szCs w:val="18"/>
          <w:lang w:val="en-US" w:eastAsia="zh-CN"/>
        </w:rPr>
      </w:pPr>
      <w:r>
        <w:rPr>
          <w:rFonts w:hint="eastAsia" w:ascii="Times New Roman" w:hAnsi="Times New Roman" w:eastAsia="宋体" w:cs="Times New Roman"/>
          <w:b/>
          <w:bCs/>
          <w:sz w:val="21"/>
          <w:szCs w:val="18"/>
          <w:lang w:val="en-US" w:eastAsia="zh-CN"/>
        </w:rPr>
        <w:t>图1 研究思路</w:t>
      </w:r>
    </w:p>
    <w:p w14:paraId="051244EF">
      <w:pPr>
        <w:bidi w:val="0"/>
        <w:rPr>
          <w:rFonts w:hint="default"/>
          <w:lang w:val="en-US" w:eastAsia="zh-CN"/>
        </w:rPr>
      </w:pPr>
      <w:r>
        <w:rPr>
          <w:rFonts w:hint="eastAsia"/>
          <w:lang w:val="en-US" w:eastAsia="zh-CN"/>
        </w:rPr>
        <w:t>首先，本文以城商银行和农商银行等中小银行数据作为样本导入，为确保</w:t>
      </w:r>
      <w:r>
        <w:rPr>
          <w:rFonts w:hint="default"/>
          <w:lang w:val="en-US" w:eastAsia="zh-CN"/>
        </w:rPr>
        <w:t>样本数据</w:t>
      </w:r>
      <w:r>
        <w:rPr>
          <w:rFonts w:hint="eastAsia"/>
          <w:lang w:val="en-US" w:eastAsia="zh-CN"/>
        </w:rPr>
        <w:t>的</w:t>
      </w:r>
      <w:r>
        <w:rPr>
          <w:rFonts w:hint="default"/>
          <w:lang w:val="en-US" w:eastAsia="zh-CN"/>
        </w:rPr>
        <w:t>可比</w:t>
      </w:r>
      <w:r>
        <w:rPr>
          <w:rFonts w:hint="eastAsia"/>
          <w:lang w:val="en-US" w:eastAsia="zh-CN"/>
        </w:rPr>
        <w:t>性</w:t>
      </w:r>
      <w:r>
        <w:rPr>
          <w:rFonts w:hint="default"/>
          <w:lang w:val="en-US" w:eastAsia="zh-CN"/>
        </w:rPr>
        <w:t>，对数据进行了取对数后归一化处理</w:t>
      </w:r>
      <w:r>
        <w:rPr>
          <w:rFonts w:hint="eastAsia"/>
          <w:lang w:val="en-US" w:eastAsia="zh-CN"/>
        </w:rPr>
        <w:t>。其次，对模型进行基准回归分析，为确保模型的可靠性，进行稳健性检验与内生性检验。然后，为研究数字化转型对中小银行信贷风险的作用机制，进行中介效应检验。再次，为确保中介效应检验的准确性，进行bootstrap检验。最后，为区分不同类型以及规模的银行在数字化转型进程中对信贷风险有何影响进行了异质性检验，并对所得出的研究结果进行分析得出结论。</w:t>
      </w:r>
    </w:p>
    <w:p w14:paraId="3E142AD7">
      <w:pPr>
        <w:pStyle w:val="3"/>
        <w:bidi w:val="0"/>
        <w:rPr>
          <w:rFonts w:hint="default"/>
          <w:lang w:val="en-US" w:eastAsia="zh-CN"/>
        </w:rPr>
      </w:pPr>
      <w:bookmarkStart w:id="15" w:name="_Toc12678"/>
      <w:r>
        <w:rPr>
          <w:rFonts w:hint="eastAsia"/>
          <w:lang w:val="en-US" w:eastAsia="zh-CN"/>
        </w:rPr>
        <w:t>（一）</w:t>
      </w:r>
      <w:r>
        <w:rPr>
          <w:rFonts w:hint="default"/>
          <w:lang w:val="en-US" w:eastAsia="zh-CN"/>
        </w:rPr>
        <w:t>研究方法厘选</w:t>
      </w:r>
      <w:bookmarkEnd w:id="15"/>
    </w:p>
    <w:p w14:paraId="7FE6D79B">
      <w:pPr>
        <w:bidi w:val="0"/>
        <w:rPr>
          <w:rFonts w:hint="default"/>
          <w:lang w:val="en-US" w:eastAsia="zh-CN"/>
        </w:rPr>
      </w:pPr>
      <w:r>
        <w:rPr>
          <w:rFonts w:hint="default"/>
          <w:lang w:val="en-US" w:eastAsia="zh-CN"/>
        </w:rPr>
        <w:t>中介效应模型通常是考虑自变量X对因变量Y的影响，如果X通过影响变量M而对Y产生影响，则称M为中介变量（温忠麟，叶宝娟，2014）</w:t>
      </w:r>
      <w:r>
        <w:rPr>
          <w:rStyle w:val="19"/>
          <w:rFonts w:hint="default" w:ascii="Times New Roman" w:hAnsi="Times New Roman" w:eastAsia="宋体" w:cs="Times New Roman"/>
          <w:strike w:val="0"/>
          <w:szCs w:val="24"/>
          <w:vertAlign w:val="superscript"/>
          <w:lang w:val="en-US" w:eastAsia="zh-CN"/>
        </w:rPr>
        <w:t>[</w:t>
      </w:r>
      <w:r>
        <w:rPr>
          <w:rStyle w:val="19"/>
          <w:rFonts w:hint="default" w:ascii="Times New Roman" w:hAnsi="Times New Roman" w:eastAsia="宋体" w:cs="Times New Roman"/>
          <w:strike w:val="0"/>
          <w:szCs w:val="24"/>
          <w:vertAlign w:val="superscript"/>
          <w:lang w:val="en-US" w:eastAsia="zh-CN"/>
        </w:rPr>
        <w:endnoteReference w:id="30"/>
      </w:r>
      <w:r>
        <w:rPr>
          <w:rStyle w:val="19"/>
          <w:rFonts w:hint="default" w:ascii="Times New Roman" w:hAnsi="Times New Roman" w:eastAsia="宋体" w:cs="Times New Roman"/>
          <w:strike w:val="0"/>
          <w:szCs w:val="24"/>
          <w:vertAlign w:val="superscript"/>
          <w:lang w:val="en-US" w:eastAsia="zh-CN"/>
        </w:rPr>
        <w:t>]</w:t>
      </w:r>
      <w:r>
        <w:rPr>
          <w:rFonts w:hint="default"/>
          <w:lang w:val="en-US" w:eastAsia="zh-CN"/>
        </w:rPr>
        <w:t>。中介效应模型可以分析变量之间影响的过程和机制，</w:t>
      </w:r>
      <w:r>
        <w:rPr>
          <w:rFonts w:hint="eastAsia"/>
          <w:lang w:val="en-US" w:eastAsia="zh-CN"/>
        </w:rPr>
        <w:t>是理</w:t>
      </w:r>
      <w:r>
        <w:rPr>
          <w:rFonts w:hint="default"/>
          <w:lang w:val="en-US" w:eastAsia="zh-CN"/>
        </w:rPr>
        <w:t>解变量间复杂关系的重要工具，但在使用时要对中介效应的结果进行检验，确保结果中的因果关系正确（江艇，2022）[</w:t>
      </w:r>
      <w:r>
        <w:rPr>
          <w:rFonts w:hint="default"/>
          <w:lang w:val="en-US" w:eastAsia="zh-CN"/>
        </w:rPr>
        <w:endnoteReference w:id="31"/>
      </w:r>
      <w:r>
        <w:rPr>
          <w:rFonts w:hint="default"/>
          <w:lang w:val="en-US" w:eastAsia="zh-CN"/>
        </w:rPr>
        <w:t>]。中介变量产生的结构方程能够帮助研究人员控制测量误差，并呈现不同嵌套模型的拟合度信息，并能够对多个中介变量的中介效应进行同时检验（郑小勇，2022）[</w:t>
      </w:r>
      <w:r>
        <w:rPr>
          <w:rFonts w:hint="default"/>
          <w:lang w:val="en-US" w:eastAsia="zh-CN"/>
        </w:rPr>
        <w:endnoteReference w:id="32"/>
      </w:r>
      <w:r>
        <w:rPr>
          <w:rFonts w:hint="default"/>
          <w:lang w:val="en-US" w:eastAsia="zh-CN"/>
        </w:rPr>
        <w:t>]。</w:t>
      </w:r>
    </w:p>
    <w:p w14:paraId="1F6D5B7C">
      <w:pPr>
        <w:bidi w:val="0"/>
        <w:rPr>
          <w:rFonts w:hint="default"/>
          <w:lang w:val="en-US" w:eastAsia="zh-CN"/>
        </w:rPr>
      </w:pPr>
      <w:r>
        <w:rPr>
          <w:rFonts w:hint="default"/>
          <w:lang w:val="en-US" w:eastAsia="zh-CN"/>
        </w:rPr>
        <w:t>近年来，中介效应模型已经开始被应用于商业银行的相关研究中</w:t>
      </w:r>
      <w:r>
        <w:rPr>
          <w:rFonts w:hint="eastAsia"/>
          <w:lang w:val="en-US" w:eastAsia="zh-CN"/>
        </w:rPr>
        <w:t>，如探究</w:t>
      </w:r>
      <w:r>
        <w:rPr>
          <w:rFonts w:hint="default"/>
          <w:lang w:val="en-US" w:eastAsia="zh-CN"/>
        </w:rPr>
        <w:t>绿色信贷、金融科技与商业银行绩效之间</w:t>
      </w:r>
      <w:r>
        <w:rPr>
          <w:rFonts w:hint="eastAsia"/>
          <w:lang w:val="en-US" w:eastAsia="zh-CN"/>
        </w:rPr>
        <w:t>的影响</w:t>
      </w:r>
      <w:r>
        <w:rPr>
          <w:rFonts w:hint="default"/>
          <w:lang w:val="en-US" w:eastAsia="zh-CN"/>
        </w:rPr>
        <w:t>关系</w:t>
      </w:r>
      <w:r>
        <w:rPr>
          <w:rFonts w:hint="eastAsia"/>
          <w:lang w:val="en-US" w:eastAsia="zh-CN"/>
        </w:rPr>
        <w:t>（</w:t>
      </w:r>
      <w:r>
        <w:rPr>
          <w:rFonts w:hint="default"/>
          <w:lang w:val="en-US" w:eastAsia="zh-CN"/>
        </w:rPr>
        <w:t>林志伟等</w:t>
      </w:r>
      <w:r>
        <w:rPr>
          <w:rFonts w:hint="eastAsia"/>
          <w:lang w:val="en-US" w:eastAsia="zh-CN"/>
        </w:rPr>
        <w:t>，</w:t>
      </w:r>
      <w:r>
        <w:rPr>
          <w:rFonts w:hint="default"/>
          <w:lang w:val="en-US" w:eastAsia="zh-CN"/>
        </w:rPr>
        <w:t>2024</w:t>
      </w:r>
      <w:r>
        <w:rPr>
          <w:rFonts w:hint="eastAsia"/>
          <w:lang w:val="en-US" w:eastAsia="zh-CN"/>
        </w:rPr>
        <w:t>；</w:t>
      </w:r>
      <w:r>
        <w:rPr>
          <w:rFonts w:hint="default"/>
          <w:lang w:val="en-US" w:eastAsia="zh-CN"/>
        </w:rPr>
        <w:t>文学舟等</w:t>
      </w:r>
      <w:r>
        <w:rPr>
          <w:rFonts w:hint="eastAsia"/>
          <w:lang w:val="en-US" w:eastAsia="zh-CN"/>
        </w:rPr>
        <w:t>，</w:t>
      </w:r>
      <w:r>
        <w:rPr>
          <w:rFonts w:hint="default"/>
          <w:lang w:val="en-US" w:eastAsia="zh-CN"/>
        </w:rPr>
        <w:t>2024）)[</w:t>
      </w:r>
      <w:r>
        <w:rPr>
          <w:rFonts w:hint="default"/>
          <w:lang w:val="en-US" w:eastAsia="zh-CN"/>
        </w:rPr>
        <w:endnoteReference w:id="33"/>
      </w:r>
      <w:r>
        <w:rPr>
          <w:rFonts w:hint="eastAsia"/>
          <w:lang w:val="en-US" w:eastAsia="zh-CN"/>
        </w:rPr>
        <w:t>－</w:t>
      </w:r>
      <w:r>
        <w:rPr>
          <w:rFonts w:hint="default"/>
          <w:lang w:val="en-US" w:eastAsia="zh-CN"/>
        </w:rPr>
        <w:endnoteReference w:id="34"/>
      </w:r>
      <w:r>
        <w:rPr>
          <w:rFonts w:hint="default"/>
          <w:lang w:val="en-US" w:eastAsia="zh-CN"/>
        </w:rPr>
        <w:t>]，研究发现金融科技能够通过降低商业银行信用风险水平，从而提高</w:t>
      </w:r>
      <w:r>
        <w:rPr>
          <w:rFonts w:hint="eastAsia"/>
          <w:lang w:val="en-US" w:eastAsia="zh-CN"/>
        </w:rPr>
        <w:t>了</w:t>
      </w:r>
      <w:r>
        <w:rPr>
          <w:rFonts w:hint="default"/>
          <w:lang w:val="en-US" w:eastAsia="zh-CN"/>
        </w:rPr>
        <w:t>银行开展绿色信贷业务的意愿与能力。</w:t>
      </w:r>
    </w:p>
    <w:p w14:paraId="0EEACC6B">
      <w:pPr>
        <w:bidi w:val="0"/>
        <w:rPr>
          <w:rFonts w:hint="default"/>
          <w:lang w:val="en-US" w:eastAsia="zh-CN"/>
        </w:rPr>
      </w:pPr>
      <w:r>
        <w:rPr>
          <w:rFonts w:hint="default"/>
          <w:lang w:val="en-US" w:eastAsia="zh-CN"/>
        </w:rPr>
        <w:t>故本文基于我国</w:t>
      </w:r>
      <w:r>
        <w:rPr>
          <w:rFonts w:hint="eastAsia"/>
          <w:lang w:val="en-US" w:eastAsia="zh-CN"/>
        </w:rPr>
        <w:t>27家</w:t>
      </w:r>
      <w:r>
        <w:rPr>
          <w:rFonts w:hint="default"/>
          <w:lang w:val="en-US" w:eastAsia="zh-CN"/>
        </w:rPr>
        <w:t>上市</w:t>
      </w:r>
      <w:r>
        <w:rPr>
          <w:rFonts w:hint="eastAsia"/>
          <w:lang w:val="en-US" w:eastAsia="zh-CN"/>
        </w:rPr>
        <w:t>中小</w:t>
      </w:r>
      <w:r>
        <w:rPr>
          <w:rFonts w:hint="default"/>
          <w:lang w:val="en-US" w:eastAsia="zh-CN"/>
        </w:rPr>
        <w:t>银行2014</w:t>
      </w:r>
      <w:r>
        <w:rPr>
          <w:rFonts w:hint="eastAsia"/>
          <w:lang w:val="en-US" w:eastAsia="zh-CN"/>
        </w:rPr>
        <w:t>－</w:t>
      </w:r>
      <w:r>
        <w:rPr>
          <w:rFonts w:hint="default"/>
          <w:lang w:val="en-US" w:eastAsia="zh-CN"/>
        </w:rPr>
        <w:t>2023年10年的</w:t>
      </w:r>
      <w:r>
        <w:rPr>
          <w:rFonts w:hint="eastAsia"/>
          <w:lang w:val="en-US" w:eastAsia="zh-CN"/>
        </w:rPr>
        <w:t>经营</w:t>
      </w:r>
      <w:r>
        <w:rPr>
          <w:rFonts w:hint="default"/>
          <w:lang w:val="en-US" w:eastAsia="zh-CN"/>
        </w:rPr>
        <w:t>数据，构建</w:t>
      </w:r>
      <w:r>
        <w:rPr>
          <w:rFonts w:hint="eastAsia"/>
          <w:lang w:val="en-US" w:eastAsia="zh-CN"/>
        </w:rPr>
        <w:t>研究</w:t>
      </w:r>
      <w:r>
        <w:rPr>
          <w:rFonts w:hint="default"/>
          <w:lang w:val="en-US" w:eastAsia="zh-CN"/>
        </w:rPr>
        <w:t>假设，运用中介效应模型来检验银行数字化转型、非息收入和</w:t>
      </w:r>
      <w:r>
        <w:rPr>
          <w:rFonts w:hint="eastAsia"/>
          <w:lang w:val="en-US" w:eastAsia="zh-CN"/>
        </w:rPr>
        <w:t>中小银行信贷风险水平</w:t>
      </w:r>
      <w:r>
        <w:rPr>
          <w:rFonts w:hint="default"/>
          <w:lang w:val="en-US" w:eastAsia="zh-CN"/>
        </w:rPr>
        <w:t>三者之间的影响关系和传导路径。</w:t>
      </w:r>
    </w:p>
    <w:p w14:paraId="12FCEED0">
      <w:pPr>
        <w:pStyle w:val="3"/>
        <w:bidi w:val="0"/>
        <w:rPr>
          <w:rFonts w:hint="default"/>
          <w:lang w:val="en-US" w:eastAsia="zh-CN"/>
        </w:rPr>
      </w:pPr>
      <w:bookmarkStart w:id="16" w:name="_Toc5982"/>
      <w:r>
        <w:rPr>
          <w:rFonts w:hint="eastAsia"/>
          <w:lang w:val="en-US" w:eastAsia="zh-CN"/>
        </w:rPr>
        <w:t>（二）</w:t>
      </w:r>
      <w:r>
        <w:rPr>
          <w:rFonts w:hint="default"/>
          <w:lang w:val="en-US" w:eastAsia="zh-CN"/>
        </w:rPr>
        <w:t>实证计量模型设计</w:t>
      </w:r>
      <w:bookmarkEnd w:id="16"/>
    </w:p>
    <w:p w14:paraId="298738CD">
      <w:pPr>
        <w:bidi w:val="0"/>
        <w:rPr>
          <w:rFonts w:hint="default"/>
          <w:lang w:val="en-US" w:eastAsia="zh-CN"/>
        </w:rPr>
      </w:pPr>
      <w:r>
        <w:rPr>
          <w:rFonts w:hint="default"/>
          <w:lang w:val="en-US" w:eastAsia="zh-CN"/>
        </w:rPr>
        <w:t>为验证数字化转型程度的增强能否降低</w:t>
      </w:r>
      <w:r>
        <w:rPr>
          <w:rFonts w:hint="eastAsia"/>
          <w:lang w:val="en-US" w:eastAsia="zh-CN"/>
        </w:rPr>
        <w:t>中小银行信贷风险水平</w:t>
      </w:r>
      <w:r>
        <w:rPr>
          <w:rFonts w:hint="default"/>
          <w:lang w:val="en-US" w:eastAsia="zh-CN"/>
        </w:rPr>
        <w:t>，构设模型公式（1）。</w:t>
      </w:r>
    </w:p>
    <w:p w14:paraId="26863271">
      <w:pPr>
        <w:bidi w:val="0"/>
        <w:rPr>
          <w:rFonts w:hint="default"/>
        </w:rPr>
      </w:pPr>
      <w:r>
        <w:rPr>
          <w:rFonts w:hint="default" w:ascii="Times New Roman" w:hAnsi="Times New Roman" w:eastAsia="宋体" w:cs="Times New Roman"/>
          <w:b/>
          <w:bCs/>
          <w:i w:val="0"/>
          <w:kern w:val="2"/>
          <w:position w:val="-14"/>
          <w:szCs w:val="24"/>
          <w:lang w:val="en-US" w:eastAsia="zh-CN" w:bidi="ar-SA"/>
        </w:rPr>
        <w:object>
          <v:shape id="_x0000_i1025" o:spt="75" type="#_x0000_t75" style="height:19pt;width:214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r>
        <w:rPr>
          <w:rFonts w:hint="default"/>
        </w:rPr>
        <w:t xml:space="preserve">                           （</w:t>
      </w:r>
      <w:r>
        <w:rPr>
          <w:rFonts w:hint="default"/>
          <w:lang w:val="en-US" w:eastAsia="zh-CN"/>
        </w:rPr>
        <w:t>1</w:t>
      </w:r>
      <w:r>
        <w:rPr>
          <w:rFonts w:hint="default"/>
        </w:rPr>
        <w:t>）</w:t>
      </w:r>
    </w:p>
    <w:p w14:paraId="55D54FAF">
      <w:pPr>
        <w:bidi w:val="0"/>
        <w:rPr>
          <w:rFonts w:hint="default"/>
          <w:lang w:val="en-US" w:eastAsia="zh-CN"/>
        </w:rPr>
      </w:pPr>
      <w:r>
        <w:rPr>
          <w:rFonts w:hint="default"/>
          <w:lang w:val="en-US" w:eastAsia="zh-CN"/>
        </w:rPr>
        <w:t>式（1）代表数字化转型程度对</w:t>
      </w:r>
      <w:r>
        <w:rPr>
          <w:rFonts w:hint="eastAsia"/>
          <w:lang w:val="en-US" w:eastAsia="zh-CN"/>
        </w:rPr>
        <w:t>中小银行信贷风险水平</w:t>
      </w:r>
      <w:r>
        <w:rPr>
          <w:rFonts w:hint="default"/>
          <w:lang w:val="en-US" w:eastAsia="zh-CN"/>
        </w:rPr>
        <w:t>的影响程度，即当数字化转型程度和控制变量变动x单位时，会引发</w:t>
      </w:r>
      <w:r>
        <w:rPr>
          <w:rFonts w:hint="eastAsia"/>
          <w:lang w:val="en-US" w:eastAsia="zh-CN"/>
        </w:rPr>
        <w:t>中小银行信贷风险水平</w:t>
      </w:r>
      <w:r>
        <w:rPr>
          <w:rFonts w:hint="default"/>
          <w:lang w:val="en-US" w:eastAsia="zh-CN"/>
        </w:rPr>
        <w:t>的变动幅度。其中NPL代表为</w:t>
      </w:r>
      <w:r>
        <w:rPr>
          <w:rFonts w:hint="eastAsia"/>
          <w:lang w:val="en-US" w:eastAsia="zh-CN"/>
        </w:rPr>
        <w:t>中小银行信贷风险水平</w:t>
      </w:r>
      <w:r>
        <w:rPr>
          <w:rFonts w:hint="default"/>
          <w:lang w:val="en-US" w:eastAsia="zh-CN"/>
        </w:rPr>
        <w:t>，β是待估参数。</w:t>
      </w:r>
    </w:p>
    <w:p w14:paraId="31E9C130">
      <w:pPr>
        <w:bidi w:val="0"/>
        <w:rPr>
          <w:rFonts w:hint="default"/>
          <w:lang w:val="en-US" w:eastAsia="zh-CN"/>
        </w:rPr>
      </w:pPr>
      <w:r>
        <w:rPr>
          <w:rFonts w:hint="default"/>
          <w:lang w:val="en-US" w:eastAsia="zh-CN"/>
        </w:rPr>
        <w:t>为验证数字化转型程度的</w:t>
      </w:r>
      <w:r>
        <w:rPr>
          <w:rFonts w:hint="eastAsia"/>
          <w:lang w:val="en-US" w:eastAsia="zh-CN"/>
        </w:rPr>
        <w:t>加深</w:t>
      </w:r>
      <w:r>
        <w:rPr>
          <w:rFonts w:hint="default"/>
          <w:lang w:val="en-US" w:eastAsia="zh-CN"/>
        </w:rPr>
        <w:t>能否提升非息收入水平，构设模型公式（2）。</w:t>
      </w:r>
    </w:p>
    <w:p w14:paraId="131AA79F">
      <w:pPr>
        <w:bidi w:val="0"/>
        <w:rPr>
          <w:rFonts w:hint="default"/>
        </w:rPr>
      </w:pPr>
      <w:r>
        <w:rPr>
          <w:rFonts w:hint="default" w:ascii="Times New Roman" w:hAnsi="Times New Roman" w:eastAsia="宋体" w:cs="Times New Roman"/>
          <w:b/>
          <w:bCs/>
          <w:i w:val="0"/>
          <w:kern w:val="2"/>
          <w:position w:val="-14"/>
          <w:szCs w:val="24"/>
          <w:lang w:val="en-US" w:eastAsia="zh-CN" w:bidi="ar-SA"/>
        </w:rPr>
        <w:object>
          <v:shape id="_x0000_i1026" o:spt="75" type="#_x0000_t75" style="height:19pt;width:211.95pt;" o:ole="t" filled="f" o:preferrelative="t" stroked="f" coordsize="21600,21600">
            <v:path/>
            <v:fill on="f" focussize="0,0"/>
            <v:stroke on="f"/>
            <v:imagedata r:id="rId11" o:title=""/>
            <o:lock v:ext="edit" aspectratio="t"/>
            <w10:wrap type="none"/>
            <w10:anchorlock/>
          </v:shape>
          <o:OLEObject Type="Embed" ProgID="Equation.KSEE3" ShapeID="_x0000_i1026" DrawAspect="Content" ObjectID="_1468075726" r:id="rId10">
            <o:LockedField>false</o:LockedField>
          </o:OLEObject>
        </w:object>
      </w:r>
      <w:r>
        <w:rPr>
          <w:rFonts w:hint="default"/>
        </w:rPr>
        <w:t xml:space="preserve">                            （</w:t>
      </w:r>
      <w:r>
        <w:rPr>
          <w:rFonts w:hint="default"/>
          <w:lang w:val="en-US" w:eastAsia="zh-CN"/>
        </w:rPr>
        <w:t>2</w:t>
      </w:r>
      <w:r>
        <w:rPr>
          <w:rFonts w:hint="default"/>
        </w:rPr>
        <w:t>）</w:t>
      </w:r>
    </w:p>
    <w:p w14:paraId="15F5B7C0">
      <w:pPr>
        <w:bidi w:val="0"/>
        <w:rPr>
          <w:rFonts w:hint="default"/>
          <w:lang w:val="en-US" w:eastAsia="zh-CN"/>
        </w:rPr>
      </w:pPr>
      <w:r>
        <w:rPr>
          <w:rFonts w:hint="default"/>
          <w:lang w:val="en-US" w:eastAsia="zh-CN"/>
        </w:rPr>
        <w:t>式（2）代表数字化转型程度对银行非息收入水平的影响程度，即当数字化转型程度和控制变量变动x单位时，会引发银行非息收入水平的变动幅度。其中DTI为数字化转型程度，NIR为银行非息收入水平，controls为控制变量，ε为误差项，i表示上市公司银行，t表示时间，α是待估参数。</w:t>
      </w:r>
    </w:p>
    <w:p w14:paraId="03B2DBD1">
      <w:pPr>
        <w:bidi w:val="0"/>
        <w:rPr>
          <w:rFonts w:hint="default"/>
          <w:lang w:val="en-US" w:eastAsia="zh-CN"/>
        </w:rPr>
      </w:pPr>
      <w:r>
        <w:rPr>
          <w:rFonts w:hint="default"/>
          <w:lang w:val="en-US" w:eastAsia="zh-CN"/>
        </w:rPr>
        <w:t>为验证银行数字化转型能否通过降低银行信贷风险提升非息收入水平</w:t>
      </w:r>
      <w:r>
        <w:rPr>
          <w:rFonts w:hint="eastAsia"/>
          <w:lang w:val="en-US" w:eastAsia="zh-CN"/>
        </w:rPr>
        <w:t>，</w:t>
      </w:r>
      <w:r>
        <w:rPr>
          <w:rFonts w:hint="default"/>
          <w:lang w:val="en-US" w:eastAsia="zh-CN"/>
        </w:rPr>
        <w:t>构设模型公式（3）。</w:t>
      </w:r>
    </w:p>
    <w:p w14:paraId="078A46E2">
      <w:pPr>
        <w:bidi w:val="0"/>
        <w:rPr>
          <w:rFonts w:hint="default"/>
          <w:lang w:val="en-US" w:eastAsia="zh-CN"/>
        </w:rPr>
      </w:pPr>
      <w:r>
        <w:rPr>
          <w:rFonts w:hint="default" w:ascii="Times New Roman" w:hAnsi="Times New Roman" w:eastAsia="宋体" w:cs="Times New Roman"/>
          <w:strike w:val="0"/>
          <w:szCs w:val="24"/>
          <w:lang w:val="en-US" w:eastAsia="zh-CN"/>
        </w:rPr>
        <w:object>
          <v:shape id="_x0000_i1027" o:spt="75" type="#_x0000_t75" style="height:19pt;width:263pt;" o:ole="t" filled="f" o:preferrelative="t" stroked="f" coordsize="21600,21600">
            <v:path/>
            <v:fill on="f" focussize="0,0"/>
            <v:stroke on="f"/>
            <v:imagedata r:id="rId13" o:title=""/>
            <o:lock v:ext="edit" aspectratio="t"/>
            <w10:wrap type="none"/>
            <w10:anchorlock/>
          </v:shape>
          <o:OLEObject Type="Embed" ProgID="Equation.KSEE3" ShapeID="_x0000_i1027" DrawAspect="Content" ObjectID="_1468075727" r:id="rId12">
            <o:LockedField>false</o:LockedField>
          </o:OLEObject>
        </w:object>
      </w:r>
      <w:r>
        <w:rPr>
          <w:rFonts w:hint="default"/>
          <w:lang w:val="en-US" w:eastAsia="zh-CN"/>
        </w:rPr>
        <w:t xml:space="preserve">                 （3）</w:t>
      </w:r>
    </w:p>
    <w:p w14:paraId="57681DFB">
      <w:pPr>
        <w:bidi w:val="0"/>
        <w:rPr>
          <w:rFonts w:hint="default"/>
          <w:lang w:val="en-US" w:eastAsia="zh-CN"/>
        </w:rPr>
      </w:pPr>
      <w:r>
        <w:rPr>
          <w:rFonts w:hint="default"/>
          <w:lang w:val="en-US" w:eastAsia="zh-CN"/>
        </w:rPr>
        <w:t>式（3）代表数字化转型程度通过影响</w:t>
      </w:r>
      <w:r>
        <w:rPr>
          <w:rFonts w:hint="eastAsia"/>
          <w:lang w:val="en-US" w:eastAsia="zh-CN"/>
        </w:rPr>
        <w:t>中小银行信贷风险水平</w:t>
      </w:r>
      <w:r>
        <w:rPr>
          <w:rFonts w:hint="default"/>
          <w:lang w:val="en-US" w:eastAsia="zh-CN"/>
        </w:rPr>
        <w:t>进而影响非息收入的影响程度，即数字化转型程度变动γ1单位时，会引起</w:t>
      </w:r>
      <w:r>
        <w:rPr>
          <w:rFonts w:hint="eastAsia"/>
          <w:lang w:val="en-US" w:eastAsia="zh-CN"/>
        </w:rPr>
        <w:t>中小银行信贷风险水平</w:t>
      </w:r>
      <w:r>
        <w:rPr>
          <w:rFonts w:hint="default"/>
          <w:lang w:val="en-US" w:eastAsia="zh-CN"/>
        </w:rPr>
        <w:t>γ2单位变动，最终导致非息收入水平的变动。其中γ是待估参数。</w:t>
      </w:r>
    </w:p>
    <w:p w14:paraId="1594DFD8">
      <w:pPr>
        <w:bidi w:val="0"/>
        <w:rPr>
          <w:rFonts w:hint="default"/>
          <w:lang w:val="en-US" w:eastAsia="zh-CN"/>
        </w:rPr>
      </w:pPr>
      <w:r>
        <w:rPr>
          <w:rFonts w:hint="eastAsia"/>
          <w:lang w:val="en-US" w:eastAsia="zh-CN"/>
        </w:rPr>
        <w:t>另外，</w:t>
      </w:r>
      <w:r>
        <w:rPr>
          <w:rFonts w:hint="default"/>
          <w:lang w:val="en-US" w:eastAsia="zh-CN"/>
        </w:rPr>
        <w:t>中介效应成立的条件为：方程（1）的α1显著，方程（2）的β1显著，方程（3）的γ2显著，|γ1|小于|α1|，如果γ1=0，则称为完全中介，即中介变量m将自变量x对因变量y的影响全部抵消；如果γ1≠0，则称为部分中介。</w:t>
      </w:r>
    </w:p>
    <w:p w14:paraId="4936F5C9">
      <w:pPr>
        <w:pStyle w:val="3"/>
        <w:bidi w:val="0"/>
        <w:rPr>
          <w:rFonts w:hint="default"/>
          <w:lang w:val="en-US" w:eastAsia="zh-CN"/>
        </w:rPr>
      </w:pPr>
      <w:bookmarkStart w:id="17" w:name="_Toc9311"/>
      <w:r>
        <w:rPr>
          <w:rFonts w:hint="eastAsia"/>
          <w:lang w:val="en-US" w:eastAsia="zh-CN"/>
        </w:rPr>
        <w:t>（三）</w:t>
      </w:r>
      <w:r>
        <w:rPr>
          <w:rFonts w:hint="default"/>
          <w:lang w:val="en-US" w:eastAsia="zh-CN"/>
        </w:rPr>
        <w:t>研究变量确定</w:t>
      </w:r>
      <w:bookmarkEnd w:id="17"/>
    </w:p>
    <w:p w14:paraId="03A9FD66">
      <w:pPr>
        <w:pStyle w:val="4"/>
        <w:bidi w:val="0"/>
        <w:rPr>
          <w:rFonts w:hint="default"/>
          <w:lang w:val="en-US" w:eastAsia="zh-CN"/>
        </w:rPr>
      </w:pPr>
      <w:bookmarkStart w:id="18" w:name="_Toc28399"/>
      <w:r>
        <w:rPr>
          <w:rFonts w:hint="default"/>
          <w:lang w:val="en-US" w:eastAsia="zh-CN"/>
        </w:rPr>
        <w:t>1.被解释变量——</w:t>
      </w:r>
      <w:r>
        <w:rPr>
          <w:rFonts w:hint="eastAsia"/>
          <w:lang w:val="en-US" w:eastAsia="zh-CN"/>
        </w:rPr>
        <w:t>中小银行信贷风险水平</w:t>
      </w:r>
      <w:r>
        <w:rPr>
          <w:rFonts w:hint="default"/>
          <w:lang w:val="en-US" w:eastAsia="zh-CN"/>
        </w:rPr>
        <w:t>（NPL）</w:t>
      </w:r>
      <w:bookmarkEnd w:id="18"/>
    </w:p>
    <w:p w14:paraId="04C71ECC">
      <w:pPr>
        <w:bidi w:val="0"/>
        <w:rPr>
          <w:rFonts w:hint="default" w:ascii="Times New Roman" w:hAnsi="Times New Roman" w:eastAsia="宋体" w:cs="Times New Roman"/>
          <w:strike w:val="0"/>
          <w:szCs w:val="21"/>
          <w:lang w:val="en-US" w:eastAsia="zh-CN"/>
        </w:rPr>
      </w:pPr>
      <w:r>
        <w:rPr>
          <w:rFonts w:hint="default"/>
          <w:lang w:val="en-US" w:eastAsia="zh-CN"/>
        </w:rPr>
        <w:t>学界对于</w:t>
      </w:r>
      <w:r>
        <w:rPr>
          <w:rFonts w:hint="eastAsia"/>
          <w:lang w:val="en-US" w:eastAsia="zh-CN"/>
        </w:rPr>
        <w:t>中小银行信贷风险水平</w:t>
      </w:r>
      <w:r>
        <w:rPr>
          <w:rFonts w:hint="default"/>
          <w:lang w:val="en-US" w:eastAsia="zh-CN"/>
        </w:rPr>
        <w:t>的度量方式主要包括Ｚ</w:t>
      </w:r>
      <w:r>
        <w:rPr>
          <w:rFonts w:hint="eastAsia"/>
          <w:lang w:val="en-US" w:eastAsia="zh-CN"/>
        </w:rPr>
        <w:t>－</w:t>
      </w:r>
      <w:r>
        <w:rPr>
          <w:rFonts w:hint="default"/>
          <w:lang w:val="en-US" w:eastAsia="zh-CN"/>
        </w:rPr>
        <w:t>ROA值（翟胜宝，2023）[</w:t>
      </w:r>
      <w:r>
        <w:rPr>
          <w:rFonts w:hint="default"/>
          <w:lang w:val="en-US" w:eastAsia="zh-CN"/>
        </w:rPr>
        <w:endnoteReference w:id="35"/>
      </w:r>
      <w:r>
        <w:rPr>
          <w:rFonts w:hint="default"/>
          <w:lang w:val="en-US" w:eastAsia="zh-CN"/>
        </w:rPr>
        <w:t>]、NPL（刘慧超，2023）[</w:t>
      </w:r>
      <w:r>
        <w:rPr>
          <w:rFonts w:hint="default"/>
          <w:lang w:val="en-US" w:eastAsia="zh-CN"/>
        </w:rPr>
        <w:endnoteReference w:id="36"/>
      </w:r>
      <w:r>
        <w:rPr>
          <w:rFonts w:hint="default"/>
          <w:lang w:val="en-US" w:eastAsia="zh-CN"/>
        </w:rPr>
        <w:t>]，以及贷款拨备率等来表征。本文选用NPL来表征被解释变量。</w:t>
      </w:r>
    </w:p>
    <w:p w14:paraId="0B9B94A6">
      <w:pPr>
        <w:pStyle w:val="4"/>
        <w:bidi w:val="0"/>
        <w:rPr>
          <w:rFonts w:hint="default"/>
          <w:lang w:val="en-US" w:eastAsia="zh-CN"/>
        </w:rPr>
      </w:pPr>
      <w:bookmarkStart w:id="19" w:name="_Toc29430"/>
      <w:r>
        <w:rPr>
          <w:rFonts w:hint="default"/>
          <w:lang w:val="en-US" w:eastAsia="zh-CN"/>
        </w:rPr>
        <w:t>2.解释变量——数字化转型程度（DTI）</w:t>
      </w:r>
      <w:bookmarkEnd w:id="19"/>
    </w:p>
    <w:p w14:paraId="5D0241E9">
      <w:pPr>
        <w:bidi w:val="0"/>
        <w:rPr>
          <w:rFonts w:hint="default"/>
          <w:lang w:val="en-US" w:eastAsia="zh-CN"/>
        </w:rPr>
      </w:pPr>
      <w:r>
        <w:rPr>
          <w:rFonts w:hint="default"/>
          <w:lang w:val="en-US" w:eastAsia="zh-CN"/>
        </w:rPr>
        <w:t>商业银行的数字化转型不仅仅是单一的资料数据数字化，更是技术、战略、组织、服务和产品等多方位的深刻变革。学界对数字化转型程度的表征，主要采用以选取北京大学数字普惠金融省级综合指数来衡量数字金融（张泽南，2024）[</w:t>
      </w:r>
      <w:r>
        <w:rPr>
          <w:rFonts w:hint="default"/>
          <w:lang w:val="en-US" w:eastAsia="zh-CN"/>
        </w:rPr>
        <w:endnoteReference w:id="37"/>
      </w:r>
      <w:r>
        <w:rPr>
          <w:rFonts w:hint="default"/>
          <w:lang w:val="en-US" w:eastAsia="zh-CN"/>
        </w:rPr>
        <w:t>]、文本分析法</w:t>
      </w:r>
      <w:r>
        <w:rPr>
          <w:rFonts w:hint="eastAsia"/>
          <w:lang w:val="en-US" w:eastAsia="zh-CN"/>
        </w:rPr>
        <w:t>——</w:t>
      </w:r>
      <w:r>
        <w:rPr>
          <w:rFonts w:hint="default"/>
          <w:lang w:val="en-US" w:eastAsia="zh-CN"/>
        </w:rPr>
        <w:t>主要通过统计银行年报中</w:t>
      </w:r>
      <w:r>
        <w:rPr>
          <w:rFonts w:hint="eastAsia"/>
          <w:lang w:val="en-US" w:eastAsia="zh-CN"/>
        </w:rPr>
        <w:t>涉及</w:t>
      </w:r>
      <w:r>
        <w:rPr>
          <w:rFonts w:hint="default"/>
          <w:lang w:val="en-US" w:eastAsia="zh-CN"/>
        </w:rPr>
        <w:t>数字化转型的词频来评估其数字化转型程度（刘自强，2024）[</w:t>
      </w:r>
      <w:r>
        <w:rPr>
          <w:rFonts w:hint="default"/>
          <w:lang w:val="en-US" w:eastAsia="zh-CN"/>
        </w:rPr>
        <w:endnoteReference w:id="38"/>
      </w:r>
      <w:r>
        <w:rPr>
          <w:rFonts w:hint="default"/>
          <w:lang w:val="en-US" w:eastAsia="zh-CN"/>
        </w:rPr>
        <w:t>]以及其他方法。</w:t>
      </w:r>
    </w:p>
    <w:p w14:paraId="13DFD8B2">
      <w:pPr>
        <w:bidi w:val="0"/>
        <w:rPr>
          <w:rFonts w:hint="default"/>
          <w:lang w:val="en-US" w:eastAsia="zh-CN"/>
        </w:rPr>
      </w:pPr>
      <w:r>
        <w:rPr>
          <w:rFonts w:hint="default"/>
          <w:lang w:val="en-US" w:eastAsia="zh-CN"/>
        </w:rPr>
        <w:t>本文选取国泰安数据库中的数字化转型程度值来表征解释变量，从年报中提取关于战略引领、技术驱动、组织赋能、环境支撑、数字化成果</w:t>
      </w:r>
      <w:r>
        <w:rPr>
          <w:rFonts w:hint="eastAsia"/>
          <w:lang w:val="en-US" w:eastAsia="zh-CN"/>
        </w:rPr>
        <w:t>和</w:t>
      </w:r>
      <w:r>
        <w:rPr>
          <w:rFonts w:hint="default"/>
          <w:lang w:val="en-US" w:eastAsia="zh-CN"/>
        </w:rPr>
        <w:t>数字化应用六个维度经过数据清洗后，数字化关键词在文本中的披露次数，并对其进行对数化处理，加权计算得出企业数字化转型指数（吴非，2021）[</w:t>
      </w:r>
      <w:r>
        <w:rPr>
          <w:rFonts w:hint="default"/>
          <w:lang w:val="en-US" w:eastAsia="zh-CN"/>
        </w:rPr>
        <w:endnoteReference w:id="39"/>
      </w:r>
      <w:r>
        <w:rPr>
          <w:rFonts w:hint="default"/>
          <w:lang w:val="en-US" w:eastAsia="zh-CN"/>
        </w:rPr>
        <w:t>]。</w:t>
      </w:r>
    </w:p>
    <w:p w14:paraId="2D942662">
      <w:pPr>
        <w:pStyle w:val="4"/>
        <w:bidi w:val="0"/>
        <w:rPr>
          <w:rFonts w:hint="default"/>
          <w:lang w:val="en-US" w:eastAsia="zh-CN"/>
        </w:rPr>
      </w:pPr>
      <w:bookmarkStart w:id="20" w:name="_Toc21104"/>
      <w:r>
        <w:rPr>
          <w:rFonts w:hint="default"/>
          <w:lang w:val="en-US" w:eastAsia="zh-CN"/>
        </w:rPr>
        <w:t>3.中介变量——非息收入绝对值（NIR）</w:t>
      </w:r>
      <w:bookmarkEnd w:id="20"/>
    </w:p>
    <w:p w14:paraId="4F74374F">
      <w:pPr>
        <w:bidi w:val="0"/>
        <w:rPr>
          <w:rFonts w:hint="default"/>
          <w:lang w:val="en-US" w:eastAsia="zh-CN"/>
        </w:rPr>
      </w:pPr>
      <w:r>
        <w:rPr>
          <w:rFonts w:hint="default"/>
          <w:lang w:val="en-US" w:eastAsia="zh-CN"/>
        </w:rPr>
        <w:t>本文选取2014—2023年</w:t>
      </w:r>
      <w:r>
        <w:rPr>
          <w:rFonts w:hint="eastAsia"/>
          <w:lang w:val="en-US" w:eastAsia="zh-CN"/>
        </w:rPr>
        <w:t>间</w:t>
      </w:r>
      <w:r>
        <w:rPr>
          <w:rFonts w:hint="default"/>
          <w:lang w:val="en-US" w:eastAsia="zh-CN"/>
        </w:rPr>
        <w:t>各上市银行财务报表中</w:t>
      </w:r>
      <w:r>
        <w:rPr>
          <w:rFonts w:hint="eastAsia"/>
          <w:lang w:val="en-US" w:eastAsia="zh-CN"/>
        </w:rPr>
        <w:t>所</w:t>
      </w:r>
      <w:r>
        <w:rPr>
          <w:rFonts w:hint="default"/>
          <w:lang w:val="en-US" w:eastAsia="zh-CN"/>
        </w:rPr>
        <w:t>公布的非息收入数据来表征中介变量。</w:t>
      </w:r>
    </w:p>
    <w:p w14:paraId="098959E4">
      <w:pPr>
        <w:pStyle w:val="4"/>
        <w:bidi w:val="0"/>
        <w:rPr>
          <w:rFonts w:hint="default"/>
          <w:lang w:val="en-US" w:eastAsia="zh-CN"/>
        </w:rPr>
      </w:pPr>
      <w:bookmarkStart w:id="21" w:name="_Toc27975"/>
      <w:r>
        <w:rPr>
          <w:rFonts w:hint="default"/>
          <w:lang w:val="en-US" w:eastAsia="zh-CN"/>
        </w:rPr>
        <w:t>4.控制变量</w:t>
      </w:r>
      <w:bookmarkEnd w:id="21"/>
    </w:p>
    <w:p w14:paraId="67EFD641">
      <w:pPr>
        <w:bidi w:val="0"/>
        <w:rPr>
          <w:rFonts w:hint="default"/>
          <w:lang w:val="en-US" w:eastAsia="zh-CN"/>
        </w:rPr>
      </w:pPr>
      <w:r>
        <w:rPr>
          <w:rFonts w:hint="default"/>
          <w:lang w:val="en-US" w:eastAsia="zh-CN"/>
        </w:rPr>
        <w:t>为</w:t>
      </w:r>
      <w:r>
        <w:rPr>
          <w:rFonts w:hint="eastAsia"/>
          <w:lang w:val="en-US" w:eastAsia="zh-CN"/>
        </w:rPr>
        <w:t>能更好刻画和表征模型变量及其影响关系</w:t>
      </w:r>
      <w:r>
        <w:rPr>
          <w:rFonts w:hint="default"/>
          <w:lang w:val="en-US" w:eastAsia="zh-CN"/>
        </w:rPr>
        <w:t>，本文参考相关文献[</w:t>
      </w:r>
      <w:r>
        <w:rPr>
          <w:rFonts w:hint="default"/>
          <w:lang w:val="en-US" w:eastAsia="zh-CN"/>
        </w:rPr>
        <w:fldChar w:fldCharType="begin"/>
      </w:r>
      <w:r>
        <w:rPr>
          <w:rFonts w:hint="default"/>
          <w:lang w:val="en-US" w:eastAsia="zh-CN"/>
        </w:rPr>
        <w:instrText xml:space="preserve"> NOTEREF _Ref28610 \f \h </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default"/>
          <w:lang w:val="en-US" w:eastAsia="zh-CN"/>
        </w:rPr>
        <w:t>,8]选取GDP累计同比增长率（GDP_Growth）、ESG表现（ESG）、净资产收益率（ROE）、资本资产率（CAR）等四个指标作为控制变量。</w:t>
      </w:r>
    </w:p>
    <w:p w14:paraId="29C55D77">
      <w:pPr>
        <w:pageBreakBefore w:val="0"/>
        <w:kinsoku/>
        <w:wordWrap/>
        <w:overflowPunct/>
        <w:topLinePunct w:val="0"/>
        <w:autoSpaceDE/>
        <w:autoSpaceDN/>
        <w:bidi w:val="0"/>
        <w:spacing w:line="300" w:lineRule="auto"/>
        <w:ind w:firstLine="420" w:firstLineChars="200"/>
        <w:jc w:val="center"/>
        <w:textAlignment w:val="auto"/>
        <w:rPr>
          <w:rFonts w:hint="eastAsia" w:ascii="黑体" w:hAnsi="黑体" w:eastAsia="黑体" w:cs="黑体"/>
          <w:b w:val="0"/>
          <w:bCs w:val="0"/>
          <w:sz w:val="21"/>
          <w:szCs w:val="18"/>
          <w:lang w:val="en-US" w:eastAsia="zh-CN"/>
        </w:rPr>
      </w:pPr>
      <w:r>
        <w:rPr>
          <w:rFonts w:hint="eastAsia" w:ascii="黑体" w:hAnsi="黑体" w:eastAsia="黑体" w:cs="黑体"/>
          <w:b w:val="0"/>
          <w:bCs w:val="0"/>
          <w:sz w:val="21"/>
          <w:szCs w:val="18"/>
          <w:lang w:val="en-US" w:eastAsia="zh-CN"/>
        </w:rPr>
        <w:t>表1 变量定义与度量</w:t>
      </w:r>
    </w:p>
    <w:tbl>
      <w:tblPr>
        <w:tblStyle w:val="2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05"/>
        <w:gridCol w:w="2616"/>
        <w:gridCol w:w="4282"/>
      </w:tblGrid>
      <w:tr w14:paraId="3D046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 w:hRule="atLeast"/>
          <w:jc w:val="center"/>
        </w:trPr>
        <w:tc>
          <w:tcPr>
            <w:tcW w:w="846" w:type="pct"/>
            <w:tcBorders>
              <w:left w:val="nil"/>
              <w:bottom w:val="single" w:color="000000" w:sz="4" w:space="0"/>
              <w:right w:val="nil"/>
              <w:tl2br w:val="nil"/>
            </w:tcBorders>
            <w:shd w:val="clear" w:color="auto" w:fill="FFFFFF"/>
            <w:vAlign w:val="center"/>
          </w:tcPr>
          <w:p w14:paraId="5D5FEA4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bCs/>
                <w:strike w:val="0"/>
                <w:sz w:val="21"/>
                <w:szCs w:val="18"/>
                <w:lang w:val="en-US" w:eastAsia="zh-CN"/>
              </w:rPr>
            </w:pPr>
            <w:r>
              <w:rPr>
                <w:rFonts w:hint="default" w:ascii="Times New Roman" w:hAnsi="Times New Roman" w:eastAsia="宋体" w:cs="Times New Roman"/>
                <w:b/>
                <w:bCs/>
                <w:strike w:val="0"/>
                <w:sz w:val="21"/>
                <w:szCs w:val="18"/>
                <w:lang w:val="en-US" w:eastAsia="zh-CN"/>
              </w:rPr>
              <w:t>变量类别</w:t>
            </w:r>
          </w:p>
        </w:tc>
        <w:tc>
          <w:tcPr>
            <w:tcW w:w="1575" w:type="pct"/>
            <w:tcBorders>
              <w:left w:val="nil"/>
              <w:bottom w:val="single" w:color="000000" w:sz="4" w:space="0"/>
              <w:right w:val="nil"/>
            </w:tcBorders>
            <w:shd w:val="clear" w:color="auto" w:fill="FFFFFF"/>
            <w:vAlign w:val="center"/>
          </w:tcPr>
          <w:p w14:paraId="0D65601A">
            <w:pPr>
              <w:keepNext w:val="0"/>
              <w:keepLines w:val="0"/>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bCs/>
                <w:strike w:val="0"/>
                <w:sz w:val="21"/>
                <w:szCs w:val="18"/>
                <w:lang w:val="en-US" w:eastAsia="zh-CN"/>
              </w:rPr>
            </w:pPr>
            <w:r>
              <w:rPr>
                <w:rFonts w:hint="default" w:ascii="Times New Roman" w:hAnsi="Times New Roman" w:eastAsia="宋体" w:cs="Times New Roman"/>
                <w:b/>
                <w:bCs/>
                <w:strike w:val="0"/>
                <w:sz w:val="21"/>
                <w:szCs w:val="18"/>
                <w:lang w:val="en-US" w:eastAsia="zh-CN"/>
              </w:rPr>
              <w:t>变量名称</w:t>
            </w:r>
          </w:p>
        </w:tc>
        <w:tc>
          <w:tcPr>
            <w:tcW w:w="2577" w:type="pct"/>
            <w:tcBorders>
              <w:left w:val="nil"/>
              <w:bottom w:val="single" w:color="000000" w:sz="4" w:space="0"/>
              <w:right w:val="nil"/>
            </w:tcBorders>
            <w:shd w:val="clear" w:color="auto" w:fill="FFFFFF"/>
            <w:vAlign w:val="center"/>
          </w:tcPr>
          <w:p w14:paraId="4B903C67">
            <w:pPr>
              <w:keepNext w:val="0"/>
              <w:keepLines w:val="0"/>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bCs/>
                <w:strike w:val="0"/>
                <w:sz w:val="21"/>
                <w:szCs w:val="18"/>
                <w:lang w:val="en-US" w:eastAsia="zh-CN"/>
              </w:rPr>
            </w:pPr>
            <w:r>
              <w:rPr>
                <w:rFonts w:hint="default" w:ascii="Times New Roman" w:hAnsi="Times New Roman" w:eastAsia="宋体" w:cs="Times New Roman"/>
                <w:b/>
                <w:bCs/>
                <w:strike w:val="0"/>
                <w:sz w:val="21"/>
                <w:szCs w:val="18"/>
                <w:lang w:val="en-US" w:eastAsia="zh-CN"/>
              </w:rPr>
              <w:t>变量释义/公式</w:t>
            </w:r>
          </w:p>
        </w:tc>
      </w:tr>
      <w:tr w14:paraId="3D0EA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846" w:type="pct"/>
            <w:tcBorders>
              <w:top w:val="single" w:color="000000" w:sz="4" w:space="0"/>
              <w:left w:val="nil"/>
              <w:bottom w:val="nil"/>
              <w:right w:val="nil"/>
            </w:tcBorders>
            <w:shd w:val="clear" w:color="auto" w:fill="FFFFFF"/>
            <w:vAlign w:val="center"/>
          </w:tcPr>
          <w:p w14:paraId="36D693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被解释量</w:t>
            </w:r>
          </w:p>
        </w:tc>
        <w:tc>
          <w:tcPr>
            <w:tcW w:w="1575" w:type="pct"/>
            <w:tcBorders>
              <w:top w:val="single" w:color="000000" w:sz="4" w:space="0"/>
              <w:left w:val="nil"/>
              <w:bottom w:val="nil"/>
              <w:right w:val="nil"/>
            </w:tcBorders>
            <w:shd w:val="clear" w:color="auto" w:fill="FFFFFF"/>
            <w:vAlign w:val="center"/>
          </w:tcPr>
          <w:p w14:paraId="2BD8168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trike w:val="0"/>
                <w:sz w:val="21"/>
                <w:szCs w:val="18"/>
                <w:lang w:val="en-US" w:eastAsia="zh-CN"/>
              </w:rPr>
            </w:pPr>
            <w:r>
              <w:rPr>
                <w:rFonts w:hint="eastAsia" w:ascii="Times New Roman" w:hAnsi="Times New Roman" w:eastAsia="宋体" w:cs="Times New Roman"/>
                <w:strike w:val="0"/>
                <w:sz w:val="21"/>
                <w:szCs w:val="18"/>
                <w:lang w:val="en-US" w:eastAsia="zh-CN"/>
              </w:rPr>
              <w:t>中小银行信贷风险水平</w:t>
            </w:r>
            <w:r>
              <w:rPr>
                <w:rFonts w:hint="default" w:ascii="Times New Roman" w:hAnsi="Times New Roman" w:eastAsia="宋体" w:cs="Times New Roman"/>
                <w:strike w:val="0"/>
                <w:sz w:val="21"/>
                <w:szCs w:val="18"/>
                <w:lang w:val="en-US" w:eastAsia="zh-CN"/>
              </w:rPr>
              <w:t>（</w:t>
            </w:r>
            <w:r>
              <w:rPr>
                <w:rFonts w:hint="default" w:ascii="Times New Roman" w:hAnsi="Times New Roman" w:eastAsia="宋体" w:cs="Times New Roman"/>
                <w:i/>
                <w:iCs/>
                <w:strike w:val="0"/>
                <w:sz w:val="21"/>
                <w:szCs w:val="18"/>
                <w:lang w:val="en-US" w:eastAsia="zh-CN"/>
              </w:rPr>
              <w:t>NPL</w:t>
            </w:r>
            <w:r>
              <w:rPr>
                <w:rFonts w:hint="default" w:ascii="Times New Roman" w:hAnsi="Times New Roman" w:eastAsia="宋体" w:cs="Times New Roman"/>
                <w:strike w:val="0"/>
                <w:sz w:val="21"/>
                <w:szCs w:val="18"/>
                <w:lang w:val="en-US" w:eastAsia="zh-CN"/>
              </w:rPr>
              <w:t>）</w:t>
            </w:r>
          </w:p>
        </w:tc>
        <w:tc>
          <w:tcPr>
            <w:tcW w:w="2577" w:type="pct"/>
            <w:tcBorders>
              <w:top w:val="single" w:color="000000" w:sz="4" w:space="0"/>
              <w:left w:val="nil"/>
              <w:bottom w:val="nil"/>
              <w:right w:val="nil"/>
            </w:tcBorders>
            <w:shd w:val="clear" w:color="auto" w:fill="FFFFFF"/>
            <w:vAlign w:val="center"/>
          </w:tcPr>
          <w:p w14:paraId="2CF5977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不良资产/贷款总额×100%</w:t>
            </w:r>
          </w:p>
        </w:tc>
      </w:tr>
      <w:tr w14:paraId="2BB83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846" w:type="pct"/>
            <w:tcBorders>
              <w:top w:val="nil"/>
              <w:left w:val="nil"/>
              <w:bottom w:val="nil"/>
              <w:right w:val="nil"/>
            </w:tcBorders>
            <w:shd w:val="clear" w:color="auto" w:fill="FFFFFF"/>
            <w:vAlign w:val="center"/>
          </w:tcPr>
          <w:p w14:paraId="7EBBA1B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解释量</w:t>
            </w:r>
          </w:p>
        </w:tc>
        <w:tc>
          <w:tcPr>
            <w:tcW w:w="1575" w:type="pct"/>
            <w:tcBorders>
              <w:top w:val="nil"/>
              <w:left w:val="nil"/>
              <w:bottom w:val="nil"/>
              <w:right w:val="nil"/>
            </w:tcBorders>
            <w:shd w:val="clear" w:color="auto" w:fill="FFFFFF"/>
            <w:vAlign w:val="center"/>
          </w:tcPr>
          <w:p w14:paraId="4FA031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数字化转型程度（</w:t>
            </w:r>
            <w:r>
              <w:rPr>
                <w:rFonts w:hint="default" w:ascii="Times New Roman" w:hAnsi="Times New Roman" w:eastAsia="宋体" w:cs="Times New Roman"/>
                <w:i/>
                <w:iCs/>
                <w:strike w:val="0"/>
                <w:sz w:val="21"/>
                <w:szCs w:val="18"/>
                <w:lang w:val="en-US" w:eastAsia="zh-CN"/>
              </w:rPr>
              <w:t>DTI</w:t>
            </w:r>
            <w:r>
              <w:rPr>
                <w:rFonts w:hint="default" w:ascii="Times New Roman" w:hAnsi="Times New Roman" w:eastAsia="宋体" w:cs="Times New Roman"/>
                <w:strike w:val="0"/>
                <w:sz w:val="21"/>
                <w:szCs w:val="18"/>
                <w:lang w:val="en-US" w:eastAsia="zh-CN"/>
              </w:rPr>
              <w:t>）</w:t>
            </w:r>
          </w:p>
        </w:tc>
        <w:tc>
          <w:tcPr>
            <w:tcW w:w="2577" w:type="pct"/>
            <w:tcBorders>
              <w:top w:val="nil"/>
              <w:left w:val="nil"/>
              <w:bottom w:val="nil"/>
              <w:right w:val="nil"/>
            </w:tcBorders>
            <w:shd w:val="clear" w:color="auto" w:fill="FFFFFF"/>
            <w:vAlign w:val="center"/>
          </w:tcPr>
          <w:p w14:paraId="4DB38A2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从年报中提取关于战略引领、技术驱动、组织赋能、环境支撑、数字化成果、数字化应用六个维度数据加权计算后得到</w:t>
            </w:r>
          </w:p>
        </w:tc>
      </w:tr>
      <w:tr w14:paraId="770BA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846" w:type="pct"/>
            <w:tcBorders>
              <w:top w:val="nil"/>
              <w:left w:val="nil"/>
              <w:bottom w:val="single" w:color="auto" w:sz="4" w:space="0"/>
              <w:right w:val="nil"/>
            </w:tcBorders>
            <w:shd w:val="clear" w:color="auto" w:fill="FFFFFF"/>
            <w:vAlign w:val="center"/>
          </w:tcPr>
          <w:p w14:paraId="47919E4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trike w:val="0"/>
                <w:kern w:val="2"/>
                <w:sz w:val="21"/>
                <w:szCs w:val="18"/>
                <w:lang w:val="en-US" w:eastAsia="zh-CN" w:bidi="ar-SA"/>
              </w:rPr>
            </w:pPr>
            <w:r>
              <w:rPr>
                <w:rFonts w:hint="default" w:ascii="Times New Roman" w:hAnsi="Times New Roman" w:eastAsia="宋体" w:cs="Times New Roman"/>
                <w:strike w:val="0"/>
                <w:sz w:val="21"/>
                <w:szCs w:val="18"/>
                <w:lang w:val="en-US" w:eastAsia="zh-CN"/>
              </w:rPr>
              <w:t>中介变量</w:t>
            </w:r>
          </w:p>
        </w:tc>
        <w:tc>
          <w:tcPr>
            <w:tcW w:w="1575" w:type="pct"/>
            <w:tcBorders>
              <w:top w:val="nil"/>
              <w:left w:val="nil"/>
              <w:bottom w:val="single" w:color="auto" w:sz="4" w:space="0"/>
              <w:right w:val="nil"/>
            </w:tcBorders>
            <w:shd w:val="clear" w:color="auto" w:fill="FFFFFF"/>
            <w:vAlign w:val="center"/>
          </w:tcPr>
          <w:p w14:paraId="737421A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trike w:val="0"/>
                <w:kern w:val="2"/>
                <w:sz w:val="21"/>
                <w:szCs w:val="18"/>
                <w:lang w:val="en-US" w:eastAsia="zh-CN" w:bidi="ar-SA"/>
              </w:rPr>
            </w:pPr>
            <w:r>
              <w:rPr>
                <w:rFonts w:hint="default" w:ascii="Times New Roman" w:hAnsi="Times New Roman" w:eastAsia="宋体" w:cs="Times New Roman"/>
                <w:strike w:val="0"/>
                <w:sz w:val="21"/>
                <w:szCs w:val="18"/>
                <w:lang w:val="en-US" w:eastAsia="zh-CN"/>
              </w:rPr>
              <w:t>非息收入（</w:t>
            </w:r>
            <w:r>
              <w:rPr>
                <w:rFonts w:hint="default" w:ascii="Times New Roman" w:hAnsi="Times New Roman" w:eastAsia="宋体" w:cs="Times New Roman"/>
                <w:i/>
                <w:iCs/>
                <w:strike w:val="0"/>
                <w:sz w:val="21"/>
                <w:szCs w:val="18"/>
                <w:lang w:val="en-US" w:eastAsia="zh-CN"/>
              </w:rPr>
              <w:t>NIR</w:t>
            </w:r>
            <w:r>
              <w:rPr>
                <w:rFonts w:hint="default" w:ascii="Times New Roman" w:hAnsi="Times New Roman" w:eastAsia="宋体" w:cs="Times New Roman"/>
                <w:strike w:val="0"/>
                <w:sz w:val="21"/>
                <w:szCs w:val="18"/>
                <w:lang w:val="en-US" w:eastAsia="zh-CN"/>
              </w:rPr>
              <w:t>）</w:t>
            </w:r>
          </w:p>
        </w:tc>
        <w:tc>
          <w:tcPr>
            <w:tcW w:w="2577" w:type="pct"/>
            <w:tcBorders>
              <w:top w:val="nil"/>
              <w:left w:val="nil"/>
              <w:bottom w:val="single" w:color="auto" w:sz="4" w:space="0"/>
              <w:right w:val="nil"/>
            </w:tcBorders>
            <w:shd w:val="clear" w:color="auto" w:fill="FFFFFF"/>
            <w:vAlign w:val="center"/>
          </w:tcPr>
          <w:p w14:paraId="759AE05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strike w:val="0"/>
                <w:kern w:val="2"/>
                <w:sz w:val="21"/>
                <w:szCs w:val="18"/>
                <w:lang w:val="en-US" w:eastAsia="zh-CN" w:bidi="ar-SA"/>
              </w:rPr>
            </w:pPr>
            <w:r>
              <w:rPr>
                <w:rFonts w:hint="default" w:ascii="Times New Roman" w:hAnsi="Times New Roman" w:eastAsia="宋体" w:cs="Times New Roman"/>
                <w:strike w:val="0"/>
                <w:sz w:val="21"/>
                <w:szCs w:val="18"/>
                <w:lang w:val="en-US" w:eastAsia="zh-CN"/>
              </w:rPr>
              <w:t>各商业银行财务报表中的对应数值</w:t>
            </w:r>
          </w:p>
        </w:tc>
      </w:tr>
      <w:tr w14:paraId="17A8B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 w:hRule="atLeast"/>
          <w:jc w:val="center"/>
        </w:trPr>
        <w:tc>
          <w:tcPr>
            <w:tcW w:w="846" w:type="pct"/>
            <w:vMerge w:val="restart"/>
            <w:tcBorders>
              <w:top w:val="single" w:color="auto" w:sz="4" w:space="0"/>
              <w:left w:val="nil"/>
              <w:bottom w:val="nil"/>
              <w:right w:val="nil"/>
            </w:tcBorders>
            <w:shd w:val="clear" w:color="auto" w:fill="FFFFFF"/>
            <w:vAlign w:val="center"/>
          </w:tcPr>
          <w:p w14:paraId="14127E5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控制变量</w:t>
            </w:r>
          </w:p>
        </w:tc>
        <w:tc>
          <w:tcPr>
            <w:tcW w:w="1575" w:type="pct"/>
            <w:tcBorders>
              <w:top w:val="single" w:color="auto" w:sz="4" w:space="0"/>
              <w:left w:val="nil"/>
              <w:bottom w:val="nil"/>
              <w:right w:val="nil"/>
            </w:tcBorders>
            <w:shd w:val="clear" w:color="auto" w:fill="FFFFFF"/>
            <w:vAlign w:val="center"/>
          </w:tcPr>
          <w:p w14:paraId="3DFCCB4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GDP累计同比增长率（</w:t>
            </w:r>
            <w:r>
              <w:rPr>
                <w:rFonts w:hint="default" w:ascii="Times New Roman" w:hAnsi="Times New Roman" w:eastAsia="宋体" w:cs="Times New Roman"/>
                <w:i/>
                <w:iCs/>
                <w:strike w:val="0"/>
                <w:sz w:val="21"/>
                <w:szCs w:val="18"/>
                <w:lang w:val="en-US" w:eastAsia="zh-CN"/>
              </w:rPr>
              <w:t>GDP_Growth</w:t>
            </w:r>
            <w:r>
              <w:rPr>
                <w:rFonts w:hint="default" w:ascii="Times New Roman" w:hAnsi="Times New Roman" w:eastAsia="宋体" w:cs="Times New Roman"/>
                <w:strike w:val="0"/>
                <w:sz w:val="21"/>
                <w:szCs w:val="18"/>
                <w:lang w:val="en-US" w:eastAsia="zh-CN"/>
              </w:rPr>
              <w:t>）</w:t>
            </w:r>
          </w:p>
        </w:tc>
        <w:tc>
          <w:tcPr>
            <w:tcW w:w="2577" w:type="pct"/>
            <w:tcBorders>
              <w:top w:val="single" w:color="auto" w:sz="4" w:space="0"/>
              <w:left w:val="nil"/>
              <w:bottom w:val="nil"/>
              <w:right w:val="nil"/>
            </w:tcBorders>
            <w:shd w:val="clear" w:color="auto" w:fill="FFFFFF"/>
            <w:vAlign w:val="center"/>
          </w:tcPr>
          <w:p w14:paraId="0F1AF3D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报告期国内生产总值/基期国内生产总值×100%</w:t>
            </w:r>
            <w:r>
              <w:rPr>
                <w:rFonts w:hint="eastAsia" w:ascii="Times New Roman" w:hAnsi="Times New Roman" w:eastAsia="宋体" w:cs="Times New Roman"/>
                <w:strike w:val="0"/>
                <w:sz w:val="21"/>
                <w:szCs w:val="18"/>
                <w:lang w:val="en-US" w:eastAsia="zh-CN"/>
              </w:rPr>
              <w:t>－</w:t>
            </w:r>
            <w:r>
              <w:rPr>
                <w:rFonts w:hint="default" w:ascii="Times New Roman" w:hAnsi="Times New Roman" w:eastAsia="宋体" w:cs="Times New Roman"/>
                <w:strike w:val="0"/>
                <w:sz w:val="21"/>
                <w:szCs w:val="18"/>
                <w:lang w:val="en-US" w:eastAsia="zh-CN"/>
              </w:rPr>
              <w:t>1</w:t>
            </w:r>
          </w:p>
        </w:tc>
      </w:tr>
      <w:tr w14:paraId="380FF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846" w:type="pct"/>
            <w:vMerge w:val="continue"/>
            <w:tcBorders>
              <w:top w:val="nil"/>
              <w:left w:val="nil"/>
              <w:bottom w:val="nil"/>
              <w:right w:val="nil"/>
            </w:tcBorders>
            <w:shd w:val="clear" w:color="auto" w:fill="FFFFFF"/>
            <w:vAlign w:val="center"/>
          </w:tcPr>
          <w:p w14:paraId="084F5E5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ascii="Times New Roman" w:hAnsi="Times New Roman" w:eastAsia="宋体" w:cs="Times New Roman"/>
                <w:strike w:val="0"/>
                <w:sz w:val="21"/>
                <w:szCs w:val="18"/>
                <w:lang w:val="en-US" w:eastAsia="zh-CN"/>
              </w:rPr>
            </w:pPr>
          </w:p>
        </w:tc>
        <w:tc>
          <w:tcPr>
            <w:tcW w:w="1575" w:type="pct"/>
            <w:tcBorders>
              <w:top w:val="nil"/>
              <w:left w:val="nil"/>
              <w:bottom w:val="nil"/>
              <w:right w:val="nil"/>
            </w:tcBorders>
            <w:shd w:val="clear" w:color="auto" w:fill="FFFFFF"/>
            <w:vAlign w:val="center"/>
          </w:tcPr>
          <w:p w14:paraId="57A2C5D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资本资产率（</w:t>
            </w:r>
            <w:r>
              <w:rPr>
                <w:rFonts w:hint="default" w:ascii="Times New Roman" w:hAnsi="Times New Roman" w:eastAsia="宋体" w:cs="Times New Roman"/>
                <w:i/>
                <w:iCs/>
                <w:strike w:val="0"/>
                <w:sz w:val="21"/>
                <w:szCs w:val="18"/>
                <w:lang w:val="en-US" w:eastAsia="zh-CN"/>
              </w:rPr>
              <w:t>CAR</w:t>
            </w:r>
            <w:r>
              <w:rPr>
                <w:rFonts w:hint="default" w:ascii="Times New Roman" w:hAnsi="Times New Roman" w:eastAsia="宋体" w:cs="Times New Roman"/>
                <w:strike w:val="0"/>
                <w:sz w:val="21"/>
                <w:szCs w:val="18"/>
                <w:lang w:val="en-US" w:eastAsia="zh-CN"/>
              </w:rPr>
              <w:t>）</w:t>
            </w:r>
          </w:p>
        </w:tc>
        <w:tc>
          <w:tcPr>
            <w:tcW w:w="2577" w:type="pct"/>
            <w:tcBorders>
              <w:top w:val="nil"/>
              <w:left w:val="nil"/>
              <w:bottom w:val="nil"/>
              <w:right w:val="nil"/>
            </w:tcBorders>
            <w:shd w:val="clear" w:color="auto" w:fill="FFFFFF"/>
            <w:vAlign w:val="center"/>
          </w:tcPr>
          <w:p w14:paraId="2D70A48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资本资产比，等于所有者权益与总资产之比。</w:t>
            </w:r>
          </w:p>
        </w:tc>
      </w:tr>
      <w:tr w14:paraId="6E85A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846" w:type="pct"/>
            <w:vMerge w:val="continue"/>
            <w:tcBorders>
              <w:top w:val="nil"/>
              <w:left w:val="nil"/>
              <w:bottom w:val="nil"/>
              <w:right w:val="nil"/>
            </w:tcBorders>
            <w:shd w:val="clear" w:color="auto" w:fill="FFFFFF"/>
            <w:vAlign w:val="center"/>
          </w:tcPr>
          <w:p w14:paraId="33B879B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ascii="Times New Roman" w:hAnsi="Times New Roman" w:eastAsia="宋体" w:cs="Times New Roman"/>
                <w:strike w:val="0"/>
                <w:sz w:val="21"/>
                <w:szCs w:val="18"/>
                <w:lang w:val="en-US" w:eastAsia="zh-CN"/>
              </w:rPr>
            </w:pPr>
          </w:p>
        </w:tc>
        <w:tc>
          <w:tcPr>
            <w:tcW w:w="1575" w:type="pct"/>
            <w:tcBorders>
              <w:top w:val="nil"/>
              <w:left w:val="nil"/>
              <w:bottom w:val="nil"/>
              <w:right w:val="nil"/>
            </w:tcBorders>
            <w:shd w:val="clear" w:color="auto" w:fill="FFFFFF"/>
            <w:vAlign w:val="center"/>
          </w:tcPr>
          <w:p w14:paraId="3D8B2FD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ESG表现（</w:t>
            </w:r>
            <w:r>
              <w:rPr>
                <w:rFonts w:hint="default" w:ascii="Times New Roman" w:hAnsi="Times New Roman" w:eastAsia="宋体" w:cs="Times New Roman"/>
                <w:i/>
                <w:iCs/>
                <w:strike w:val="0"/>
                <w:sz w:val="21"/>
                <w:szCs w:val="18"/>
                <w:lang w:val="en-US" w:eastAsia="zh-CN"/>
              </w:rPr>
              <w:t>ESG</w:t>
            </w:r>
            <w:r>
              <w:rPr>
                <w:rFonts w:hint="default" w:ascii="Times New Roman" w:hAnsi="Times New Roman" w:eastAsia="宋体" w:cs="Times New Roman"/>
                <w:strike w:val="0"/>
                <w:sz w:val="21"/>
                <w:szCs w:val="18"/>
                <w:lang w:val="en-US" w:eastAsia="zh-CN"/>
              </w:rPr>
              <w:t>）</w:t>
            </w:r>
          </w:p>
        </w:tc>
        <w:tc>
          <w:tcPr>
            <w:tcW w:w="2577" w:type="pct"/>
            <w:tcBorders>
              <w:top w:val="nil"/>
              <w:left w:val="nil"/>
              <w:bottom w:val="nil"/>
              <w:right w:val="nil"/>
            </w:tcBorders>
            <w:shd w:val="clear" w:color="auto" w:fill="FFFFFF"/>
            <w:vAlign w:val="center"/>
          </w:tcPr>
          <w:p w14:paraId="3B25D3D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环境、社会与治理综合得分</w:t>
            </w:r>
          </w:p>
        </w:tc>
      </w:tr>
      <w:tr w14:paraId="45FFA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846" w:type="pct"/>
            <w:vMerge w:val="continue"/>
            <w:tcBorders>
              <w:top w:val="nil"/>
              <w:left w:val="nil"/>
              <w:bottom w:val="single" w:color="auto" w:sz="4" w:space="0"/>
              <w:right w:val="nil"/>
            </w:tcBorders>
            <w:shd w:val="clear" w:color="auto" w:fill="FFFFFF"/>
            <w:vAlign w:val="center"/>
          </w:tcPr>
          <w:p w14:paraId="634BDD01">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ascii="Times New Roman" w:hAnsi="Times New Roman" w:eastAsia="宋体" w:cs="Times New Roman"/>
                <w:strike w:val="0"/>
                <w:sz w:val="21"/>
                <w:szCs w:val="18"/>
                <w:lang w:val="en-US" w:eastAsia="zh-CN"/>
              </w:rPr>
            </w:pPr>
          </w:p>
        </w:tc>
        <w:tc>
          <w:tcPr>
            <w:tcW w:w="1575" w:type="pct"/>
            <w:tcBorders>
              <w:top w:val="nil"/>
              <w:left w:val="nil"/>
              <w:bottom w:val="single" w:color="auto" w:sz="4" w:space="0"/>
              <w:right w:val="nil"/>
            </w:tcBorders>
            <w:shd w:val="clear" w:color="auto" w:fill="FFFFFF"/>
            <w:vAlign w:val="center"/>
          </w:tcPr>
          <w:p w14:paraId="46015B3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净资产收益率（</w:t>
            </w:r>
            <w:r>
              <w:rPr>
                <w:rFonts w:hint="default" w:ascii="Times New Roman" w:hAnsi="Times New Roman" w:eastAsia="宋体" w:cs="Times New Roman"/>
                <w:i/>
                <w:iCs/>
                <w:strike w:val="0"/>
                <w:sz w:val="21"/>
                <w:szCs w:val="18"/>
                <w:lang w:val="en-US" w:eastAsia="zh-CN"/>
              </w:rPr>
              <w:t>ROE</w:t>
            </w:r>
            <w:r>
              <w:rPr>
                <w:rFonts w:hint="default" w:ascii="Times New Roman" w:hAnsi="Times New Roman" w:eastAsia="宋体" w:cs="Times New Roman"/>
                <w:strike w:val="0"/>
                <w:sz w:val="21"/>
                <w:szCs w:val="18"/>
                <w:lang w:val="en-US" w:eastAsia="zh-CN"/>
              </w:rPr>
              <w:t>）</w:t>
            </w:r>
          </w:p>
        </w:tc>
        <w:tc>
          <w:tcPr>
            <w:tcW w:w="2577" w:type="pct"/>
            <w:tcBorders>
              <w:top w:val="nil"/>
              <w:left w:val="nil"/>
              <w:bottom w:val="single" w:color="auto" w:sz="4" w:space="0"/>
              <w:right w:val="nil"/>
            </w:tcBorders>
            <w:shd w:val="clear" w:color="auto" w:fill="FFFFFF"/>
            <w:vAlign w:val="center"/>
          </w:tcPr>
          <w:p w14:paraId="2E19D8F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strike w:val="0"/>
                <w:sz w:val="21"/>
                <w:szCs w:val="18"/>
                <w:lang w:val="en-US" w:eastAsia="zh-CN"/>
              </w:rPr>
            </w:pPr>
            <w:r>
              <w:rPr>
                <w:rFonts w:hint="default" w:ascii="Times New Roman" w:hAnsi="Times New Roman" w:eastAsia="宋体" w:cs="Times New Roman"/>
                <w:strike w:val="0"/>
                <w:sz w:val="21"/>
                <w:szCs w:val="18"/>
                <w:lang w:val="en-US" w:eastAsia="zh-CN"/>
              </w:rPr>
              <w:t>净利润/股东权益</w:t>
            </w:r>
          </w:p>
        </w:tc>
      </w:tr>
    </w:tbl>
    <w:p w14:paraId="722D5004">
      <w:pPr>
        <w:pStyle w:val="3"/>
        <w:bidi w:val="0"/>
        <w:rPr>
          <w:rFonts w:hint="default"/>
          <w:lang w:val="en-US" w:eastAsia="zh-CN"/>
        </w:rPr>
      </w:pPr>
      <w:bookmarkStart w:id="22" w:name="_Toc15650"/>
      <w:r>
        <w:rPr>
          <w:rFonts w:hint="eastAsia"/>
          <w:lang w:val="en-US" w:eastAsia="zh-CN"/>
        </w:rPr>
        <w:t>（四）</w:t>
      </w:r>
      <w:r>
        <w:rPr>
          <w:rFonts w:hint="default"/>
          <w:lang w:val="en-US" w:eastAsia="zh-CN"/>
        </w:rPr>
        <w:t>样本与数据来源</w:t>
      </w:r>
      <w:bookmarkEnd w:id="22"/>
    </w:p>
    <w:p w14:paraId="3C693D50">
      <w:pPr>
        <w:bidi w:val="0"/>
        <w:rPr>
          <w:rFonts w:hint="default"/>
          <w:lang w:val="en-US" w:eastAsia="zh-CN"/>
        </w:rPr>
      </w:pPr>
      <w:r>
        <w:rPr>
          <w:rFonts w:hint="default"/>
          <w:lang w:val="en-US" w:eastAsia="zh-CN"/>
        </w:rPr>
        <w:t>本文数据源包括</w:t>
      </w:r>
      <w:r>
        <w:rPr>
          <w:rFonts w:hint="eastAsia"/>
          <w:lang w:val="en-US" w:eastAsia="zh-CN"/>
        </w:rPr>
        <w:t>各上市银行的</w:t>
      </w:r>
      <w:r>
        <w:rPr>
          <w:rFonts w:hint="default"/>
          <w:lang w:val="en-US" w:eastAsia="zh-CN"/>
        </w:rPr>
        <w:t>官方年报和中报、Wind数据库和国泰安数据库</w:t>
      </w:r>
      <w:r>
        <w:rPr>
          <w:rFonts w:hint="eastAsia"/>
          <w:lang w:val="en-US" w:eastAsia="zh-CN"/>
        </w:rPr>
        <w:t>，</w:t>
      </w:r>
      <w:r>
        <w:rPr>
          <w:rFonts w:hint="default"/>
          <w:lang w:val="en-US" w:eastAsia="zh-CN"/>
        </w:rPr>
        <w:t>选取2014—2023年</w:t>
      </w:r>
      <w:r>
        <w:rPr>
          <w:rFonts w:hint="eastAsia"/>
          <w:lang w:val="en-US" w:eastAsia="zh-CN"/>
        </w:rPr>
        <w:t>间</w:t>
      </w:r>
      <w:r>
        <w:rPr>
          <w:rFonts w:hint="default"/>
          <w:lang w:val="en-US" w:eastAsia="zh-CN"/>
        </w:rPr>
        <w:t>国内A股和H股上市的27家地方商业银行</w:t>
      </w:r>
      <w:r>
        <w:rPr>
          <w:rFonts w:hint="eastAsia"/>
          <w:lang w:val="en-US" w:eastAsia="zh-CN"/>
        </w:rPr>
        <w:t>经营数据作</w:t>
      </w:r>
      <w:r>
        <w:rPr>
          <w:rFonts w:hint="default"/>
          <w:lang w:val="en-US" w:eastAsia="zh-CN"/>
        </w:rPr>
        <w:t>为研究样本。为确保统计方法科学性和分析结果准确性，数据处理和分析主要采用SPSS以及Stata软件进行</w:t>
      </w:r>
      <w:r>
        <w:rPr>
          <w:rFonts w:hint="eastAsia"/>
          <w:lang w:val="en-US" w:eastAsia="zh-CN"/>
        </w:rPr>
        <w:t>；</w:t>
      </w:r>
      <w:r>
        <w:rPr>
          <w:rFonts w:hint="default"/>
          <w:lang w:val="en-US" w:eastAsia="zh-CN"/>
        </w:rPr>
        <w:t>为确保数据的准确性、完整性，研究中对缺失数据进行了插值法处理；为确保样本数据可比，对数据进行了取对数后归一化处理。</w:t>
      </w:r>
    </w:p>
    <w:p w14:paraId="01F43B9E">
      <w:pPr>
        <w:pStyle w:val="3"/>
        <w:bidi w:val="0"/>
        <w:rPr>
          <w:rFonts w:hint="default"/>
          <w:lang w:val="en-US" w:eastAsia="zh-CN"/>
        </w:rPr>
      </w:pPr>
      <w:bookmarkStart w:id="23" w:name="_Toc18400"/>
      <w:r>
        <w:rPr>
          <w:rFonts w:hint="eastAsia"/>
          <w:lang w:val="en-US" w:eastAsia="zh-CN"/>
        </w:rPr>
        <w:t>（五）</w:t>
      </w:r>
      <w:r>
        <w:rPr>
          <w:rFonts w:hint="default"/>
          <w:lang w:val="en-US" w:eastAsia="zh-CN"/>
        </w:rPr>
        <w:t>描述性统计分析</w:t>
      </w:r>
      <w:bookmarkEnd w:id="23"/>
    </w:p>
    <w:p w14:paraId="263F6710">
      <w:pPr>
        <w:bidi w:val="0"/>
        <w:rPr>
          <w:rFonts w:hint="default"/>
          <w:lang w:val="en-US" w:eastAsia="zh-CN"/>
        </w:rPr>
      </w:pPr>
      <w:r>
        <w:rPr>
          <w:rFonts w:hint="default"/>
          <w:lang w:val="en-US" w:eastAsia="zh-CN"/>
        </w:rPr>
        <w:t>本文运用</w:t>
      </w:r>
      <w:r>
        <w:rPr>
          <w:rFonts w:hint="default" w:ascii="Times New Roman" w:hAnsi="Times New Roman" w:eastAsia="宋体" w:cs="Times New Roman"/>
          <w:strike w:val="0"/>
          <w:szCs w:val="24"/>
          <w:lang w:val="en-US" w:eastAsia="zh-CN"/>
        </w:rPr>
        <w:object>
          <v:shape id="_x0000_i1028" o:spt="75" type="#_x0000_t75" style="height:13.95pt;width:29pt;" o:ole="t" filled="f" o:preferrelative="t" stroked="f" coordsize="21600,21600">
            <v:path/>
            <v:fill on="f" focussize="0,0"/>
            <v:stroke on="f"/>
            <v:imagedata r:id="rId15" o:title=""/>
            <o:lock v:ext="edit" aspectratio="f"/>
            <w10:wrap type="none"/>
            <w10:anchorlock/>
          </v:shape>
          <o:OLEObject Type="Embed" ProgID="Equation.DSMT4" ShapeID="_x0000_i1028" DrawAspect="Content" ObjectID="_1468075728" r:id="rId14">
            <o:LockedField>false</o:LockedField>
          </o:OLEObject>
        </w:object>
      </w:r>
      <w:r>
        <w:rPr>
          <w:rFonts w:hint="default"/>
          <w:lang w:val="en-US" w:eastAsia="zh-CN"/>
        </w:rPr>
        <w:t>软件将变量数据进行描述性统计，结果如表2所示：</w:t>
      </w:r>
    </w:p>
    <w:p w14:paraId="0620398A">
      <w:pPr>
        <w:pageBreakBefore w:val="0"/>
        <w:kinsoku/>
        <w:wordWrap/>
        <w:overflowPunct/>
        <w:topLinePunct w:val="0"/>
        <w:autoSpaceDE/>
        <w:autoSpaceDN/>
        <w:bidi w:val="0"/>
        <w:spacing w:line="300" w:lineRule="auto"/>
        <w:ind w:firstLine="420" w:firstLineChars="200"/>
        <w:jc w:val="center"/>
        <w:textAlignment w:val="auto"/>
        <w:rPr>
          <w:rFonts w:hint="default" w:ascii="黑体" w:hAnsi="黑体" w:eastAsia="黑体" w:cs="黑体"/>
          <w:b w:val="0"/>
          <w:bCs w:val="0"/>
          <w:sz w:val="21"/>
          <w:szCs w:val="18"/>
          <w:lang w:val="en-US" w:eastAsia="zh-CN"/>
        </w:rPr>
      </w:pPr>
      <w:r>
        <w:rPr>
          <w:rFonts w:hint="default" w:ascii="黑体" w:hAnsi="黑体" w:eastAsia="黑体" w:cs="黑体"/>
          <w:b w:val="0"/>
          <w:bCs w:val="0"/>
          <w:sz w:val="21"/>
          <w:szCs w:val="18"/>
          <w:lang w:val="en-US" w:eastAsia="zh-CN"/>
        </w:rPr>
        <w:t>表2 描述性统计</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66"/>
        <w:gridCol w:w="578"/>
        <w:gridCol w:w="1111"/>
        <w:gridCol w:w="1111"/>
        <w:gridCol w:w="1056"/>
        <w:gridCol w:w="1111"/>
      </w:tblGrid>
      <w:tr w14:paraId="0BB99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left w:val="nil"/>
              <w:bottom w:val="single" w:color="auto" w:sz="4" w:space="0"/>
              <w:right w:val="nil"/>
              <w:tl2br w:val="nil"/>
              <w:tr2bl w:val="nil"/>
            </w:tcBorders>
            <w:noWrap w:val="0"/>
            <w:vAlign w:val="center"/>
          </w:tcPr>
          <w:p w14:paraId="7D615764">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b/>
                <w:bCs/>
                <w:sz w:val="21"/>
                <w:szCs w:val="18"/>
                <w:lang w:val="en-US" w:eastAsia="zh-CN"/>
              </w:rPr>
            </w:pPr>
            <w:r>
              <w:rPr>
                <w:rFonts w:hint="default" w:ascii="Times New Roman" w:hAnsi="Times New Roman" w:eastAsia="宋体" w:cs="Times New Roman"/>
                <w:b/>
                <w:bCs/>
                <w:sz w:val="21"/>
                <w:szCs w:val="18"/>
                <w:lang w:val="en-US" w:eastAsia="zh-CN"/>
              </w:rPr>
              <w:t>变量名称</w:t>
            </w:r>
          </w:p>
        </w:tc>
        <w:tc>
          <w:tcPr>
            <w:tcW w:w="0" w:type="auto"/>
            <w:tcBorders>
              <w:top w:val="single" w:color="auto" w:sz="4" w:space="0"/>
              <w:left w:val="nil"/>
              <w:bottom w:val="single" w:color="auto" w:sz="4" w:space="0"/>
              <w:right w:val="nil"/>
              <w:tl2br w:val="nil"/>
              <w:tr2bl w:val="nil"/>
            </w:tcBorders>
            <w:noWrap w:val="0"/>
            <w:vAlign w:val="center"/>
          </w:tcPr>
          <w:p w14:paraId="38E8D33E">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b/>
                <w:bCs/>
                <w:sz w:val="21"/>
                <w:szCs w:val="18"/>
                <w:lang w:val="en-US" w:eastAsia="zh-CN"/>
              </w:rPr>
            </w:pPr>
            <w:r>
              <w:rPr>
                <w:rFonts w:hint="default" w:ascii="Times New Roman" w:hAnsi="Times New Roman" w:eastAsia="宋体" w:cs="Times New Roman"/>
                <w:b/>
                <w:bCs/>
                <w:sz w:val="21"/>
                <w:szCs w:val="18"/>
                <w:lang w:val="en-US" w:eastAsia="zh-CN"/>
              </w:rPr>
              <w:t>Obs</w:t>
            </w:r>
          </w:p>
        </w:tc>
        <w:tc>
          <w:tcPr>
            <w:tcW w:w="0" w:type="auto"/>
            <w:tcBorders>
              <w:top w:val="single" w:color="auto" w:sz="4" w:space="0"/>
              <w:left w:val="nil"/>
              <w:bottom w:val="single" w:color="auto" w:sz="4" w:space="0"/>
              <w:right w:val="nil"/>
              <w:tl2br w:val="nil"/>
              <w:tr2bl w:val="nil"/>
            </w:tcBorders>
            <w:noWrap w:val="0"/>
            <w:vAlign w:val="center"/>
          </w:tcPr>
          <w:p w14:paraId="7E4C6B5B">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b/>
                <w:bCs/>
                <w:sz w:val="21"/>
                <w:szCs w:val="18"/>
                <w:lang w:val="en-US" w:eastAsia="zh-CN"/>
              </w:rPr>
            </w:pPr>
            <w:r>
              <w:rPr>
                <w:rFonts w:hint="default" w:ascii="Times New Roman" w:hAnsi="Times New Roman" w:eastAsia="宋体" w:cs="Times New Roman"/>
                <w:b/>
                <w:bCs/>
                <w:sz w:val="21"/>
                <w:szCs w:val="18"/>
                <w:lang w:val="en-US" w:eastAsia="zh-CN"/>
              </w:rPr>
              <w:t>Mean</w:t>
            </w:r>
          </w:p>
        </w:tc>
        <w:tc>
          <w:tcPr>
            <w:tcW w:w="0" w:type="auto"/>
            <w:tcBorders>
              <w:top w:val="single" w:color="auto" w:sz="4" w:space="0"/>
              <w:left w:val="nil"/>
              <w:bottom w:val="single" w:color="auto" w:sz="4" w:space="0"/>
              <w:right w:val="nil"/>
              <w:tl2br w:val="nil"/>
              <w:tr2bl w:val="nil"/>
            </w:tcBorders>
            <w:noWrap w:val="0"/>
            <w:vAlign w:val="center"/>
          </w:tcPr>
          <w:p w14:paraId="1DE32E64">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b/>
                <w:bCs/>
                <w:sz w:val="21"/>
                <w:szCs w:val="18"/>
                <w:lang w:val="en-US" w:eastAsia="zh-CN"/>
              </w:rPr>
            </w:pPr>
            <w:r>
              <w:rPr>
                <w:rFonts w:hint="default" w:ascii="Times New Roman" w:hAnsi="Times New Roman" w:eastAsia="宋体" w:cs="Times New Roman"/>
                <w:b/>
                <w:bCs/>
                <w:sz w:val="21"/>
                <w:szCs w:val="18"/>
                <w:lang w:val="en-US" w:eastAsia="zh-CN"/>
              </w:rPr>
              <w:t>Std.Dev.</w:t>
            </w:r>
          </w:p>
        </w:tc>
        <w:tc>
          <w:tcPr>
            <w:tcW w:w="0" w:type="auto"/>
            <w:tcBorders>
              <w:top w:val="single" w:color="auto" w:sz="4" w:space="0"/>
              <w:left w:val="nil"/>
              <w:bottom w:val="single" w:color="auto" w:sz="4" w:space="0"/>
              <w:right w:val="nil"/>
              <w:tl2br w:val="nil"/>
              <w:tr2bl w:val="nil"/>
            </w:tcBorders>
            <w:noWrap w:val="0"/>
            <w:vAlign w:val="center"/>
          </w:tcPr>
          <w:p w14:paraId="05239859">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b/>
                <w:bCs/>
                <w:sz w:val="21"/>
                <w:szCs w:val="18"/>
                <w:lang w:val="en-US" w:eastAsia="zh-CN"/>
              </w:rPr>
            </w:pPr>
            <w:r>
              <w:rPr>
                <w:rFonts w:hint="default" w:ascii="Times New Roman" w:hAnsi="Times New Roman" w:eastAsia="宋体" w:cs="Times New Roman"/>
                <w:b/>
                <w:bCs/>
                <w:sz w:val="21"/>
                <w:szCs w:val="18"/>
                <w:lang w:val="en-US" w:eastAsia="zh-CN"/>
              </w:rPr>
              <w:t>Min</w:t>
            </w:r>
          </w:p>
        </w:tc>
        <w:tc>
          <w:tcPr>
            <w:tcW w:w="0" w:type="auto"/>
            <w:tcBorders>
              <w:top w:val="single" w:color="auto" w:sz="4" w:space="0"/>
              <w:left w:val="nil"/>
              <w:bottom w:val="single" w:color="auto" w:sz="4" w:space="0"/>
              <w:right w:val="nil"/>
              <w:tl2br w:val="nil"/>
              <w:tr2bl w:val="nil"/>
            </w:tcBorders>
            <w:noWrap w:val="0"/>
            <w:vAlign w:val="center"/>
          </w:tcPr>
          <w:p w14:paraId="452A3AD3">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b/>
                <w:bCs/>
                <w:sz w:val="21"/>
                <w:szCs w:val="18"/>
                <w:lang w:val="en-US" w:eastAsia="zh-CN"/>
              </w:rPr>
            </w:pPr>
            <w:r>
              <w:rPr>
                <w:rFonts w:hint="default" w:ascii="Times New Roman" w:hAnsi="Times New Roman" w:eastAsia="宋体" w:cs="Times New Roman"/>
                <w:b/>
                <w:bCs/>
                <w:sz w:val="21"/>
                <w:szCs w:val="18"/>
                <w:lang w:val="en-US" w:eastAsia="zh-CN"/>
              </w:rPr>
              <w:t>Max</w:t>
            </w:r>
          </w:p>
        </w:tc>
      </w:tr>
      <w:tr w14:paraId="262B5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l2br w:val="nil"/>
              <w:tr2bl w:val="nil"/>
            </w:tcBorders>
            <w:noWrap w:val="0"/>
            <w:vAlign w:val="center"/>
          </w:tcPr>
          <w:p w14:paraId="3930A276">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sz w:val="21"/>
                <w:szCs w:val="18"/>
                <w:lang w:val="en-US" w:eastAsia="zh-CN"/>
              </w:rPr>
            </w:pPr>
            <w:r>
              <w:rPr>
                <w:rFonts w:hint="eastAsia" w:ascii="Times New Roman" w:hAnsi="Times New Roman" w:eastAsia="宋体" w:cs="Times New Roman"/>
                <w:sz w:val="21"/>
                <w:szCs w:val="18"/>
                <w:lang w:val="en-US" w:eastAsia="zh-CN"/>
              </w:rPr>
              <w:t>中小银行信贷风险水平</w:t>
            </w:r>
            <w:r>
              <w:rPr>
                <w:rFonts w:hint="default" w:ascii="Times New Roman" w:hAnsi="Times New Roman" w:eastAsia="宋体" w:cs="Times New Roman"/>
                <w:sz w:val="21"/>
                <w:szCs w:val="18"/>
                <w:lang w:val="en-US" w:eastAsia="zh-CN"/>
              </w:rPr>
              <w:t>（NPL）</w:t>
            </w:r>
          </w:p>
        </w:tc>
        <w:tc>
          <w:tcPr>
            <w:tcW w:w="0" w:type="auto"/>
            <w:tcBorders>
              <w:top w:val="single" w:color="auto" w:sz="4" w:space="0"/>
              <w:left w:val="nil"/>
              <w:bottom w:val="nil"/>
              <w:right w:val="nil"/>
              <w:tl2br w:val="nil"/>
              <w:tr2bl w:val="nil"/>
            </w:tcBorders>
            <w:noWrap w:val="0"/>
            <w:vAlign w:val="center"/>
          </w:tcPr>
          <w:p w14:paraId="3114BD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270</w:t>
            </w:r>
          </w:p>
        </w:tc>
        <w:tc>
          <w:tcPr>
            <w:tcW w:w="0" w:type="auto"/>
            <w:tcBorders>
              <w:top w:val="single" w:color="auto" w:sz="4" w:space="0"/>
              <w:left w:val="nil"/>
              <w:bottom w:val="nil"/>
              <w:right w:val="nil"/>
              <w:tl2br w:val="nil"/>
              <w:tr2bl w:val="nil"/>
            </w:tcBorders>
            <w:noWrap w:val="0"/>
            <w:vAlign w:val="center"/>
          </w:tcPr>
          <w:p w14:paraId="020125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1.337</w:t>
            </w:r>
          </w:p>
        </w:tc>
        <w:tc>
          <w:tcPr>
            <w:tcW w:w="0" w:type="auto"/>
            <w:tcBorders>
              <w:top w:val="single" w:color="auto" w:sz="4" w:space="0"/>
              <w:left w:val="nil"/>
              <w:bottom w:val="nil"/>
              <w:right w:val="nil"/>
              <w:tl2br w:val="nil"/>
              <w:tr2bl w:val="nil"/>
            </w:tcBorders>
            <w:noWrap w:val="0"/>
            <w:vAlign w:val="center"/>
          </w:tcPr>
          <w:p w14:paraId="2E221A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w:t>
            </w:r>
            <w:r>
              <w:rPr>
                <w:rFonts w:hint="default" w:ascii="Times New Roman" w:hAnsi="Times New Roman" w:eastAsia="宋体" w:cs="Times New Roman"/>
                <w:sz w:val="21"/>
                <w:szCs w:val="16"/>
              </w:rPr>
              <w:t>.399</w:t>
            </w:r>
          </w:p>
        </w:tc>
        <w:tc>
          <w:tcPr>
            <w:tcW w:w="0" w:type="auto"/>
            <w:tcBorders>
              <w:top w:val="single" w:color="auto" w:sz="4" w:space="0"/>
              <w:left w:val="nil"/>
              <w:bottom w:val="nil"/>
              <w:right w:val="nil"/>
              <w:tl2br w:val="nil"/>
              <w:tr2bl w:val="nil"/>
            </w:tcBorders>
            <w:noWrap w:val="0"/>
            <w:vAlign w:val="center"/>
          </w:tcPr>
          <w:p w14:paraId="7F54F7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w:t>
            </w:r>
            <w:r>
              <w:rPr>
                <w:rFonts w:hint="default" w:ascii="Times New Roman" w:hAnsi="Times New Roman" w:eastAsia="宋体" w:cs="Times New Roman"/>
                <w:sz w:val="21"/>
                <w:szCs w:val="16"/>
              </w:rPr>
              <w:t>.68</w:t>
            </w:r>
            <w:r>
              <w:rPr>
                <w:rFonts w:hint="eastAsia" w:ascii="Times New Roman" w:hAnsi="Times New Roman" w:eastAsia="宋体" w:cs="Times New Roman"/>
                <w:sz w:val="21"/>
                <w:szCs w:val="16"/>
                <w:lang w:val="en-US" w:eastAsia="zh-CN"/>
              </w:rPr>
              <w:t>0</w:t>
            </w:r>
          </w:p>
        </w:tc>
        <w:tc>
          <w:tcPr>
            <w:tcW w:w="0" w:type="auto"/>
            <w:tcBorders>
              <w:top w:val="single" w:color="auto" w:sz="4" w:space="0"/>
              <w:left w:val="nil"/>
              <w:bottom w:val="nil"/>
              <w:right w:val="nil"/>
              <w:tl2br w:val="nil"/>
              <w:tr2bl w:val="nil"/>
            </w:tcBorders>
            <w:noWrap w:val="0"/>
            <w:vAlign w:val="center"/>
          </w:tcPr>
          <w:p w14:paraId="6BF121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2.71</w:t>
            </w:r>
            <w:r>
              <w:rPr>
                <w:rFonts w:hint="eastAsia" w:ascii="Times New Roman" w:hAnsi="Times New Roman" w:eastAsia="宋体" w:cs="Times New Roman"/>
                <w:sz w:val="21"/>
                <w:szCs w:val="16"/>
                <w:lang w:val="en-US" w:eastAsia="zh-CN"/>
              </w:rPr>
              <w:t>0</w:t>
            </w:r>
          </w:p>
        </w:tc>
      </w:tr>
      <w:tr w14:paraId="221C6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left w:val="nil"/>
              <w:bottom w:val="nil"/>
              <w:right w:val="nil"/>
              <w:tl2br w:val="nil"/>
              <w:tr2bl w:val="nil"/>
            </w:tcBorders>
            <w:noWrap w:val="0"/>
            <w:vAlign w:val="center"/>
          </w:tcPr>
          <w:p w14:paraId="03BFCCE6">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sz w:val="21"/>
                <w:szCs w:val="18"/>
                <w:lang w:val="en-US" w:eastAsia="zh-CN"/>
              </w:rPr>
            </w:pPr>
            <w:r>
              <w:rPr>
                <w:rFonts w:hint="default" w:ascii="Times New Roman" w:hAnsi="Times New Roman" w:eastAsia="宋体" w:cs="Times New Roman"/>
                <w:sz w:val="21"/>
                <w:szCs w:val="18"/>
                <w:lang w:val="en-US" w:eastAsia="zh-CN"/>
              </w:rPr>
              <w:t>数字化转型程度（</w:t>
            </w:r>
            <m:oMath>
              <m:r>
                <m:rPr>
                  <m:sty m:val="p"/>
                </m:rPr>
                <w:rPr>
                  <w:rFonts w:hint="default" w:ascii="Cambria Math" w:hAnsi="Cambria Math" w:eastAsia="宋体" w:cs="Times New Roman"/>
                  <w:sz w:val="21"/>
                  <w:szCs w:val="18"/>
                  <w:lang w:val="en-US" w:eastAsia="zh-CN"/>
                </w:rPr>
                <m:t>DTI</m:t>
              </m:r>
            </m:oMath>
            <w:r>
              <w:rPr>
                <w:rFonts w:hint="default" w:ascii="Times New Roman" w:hAnsi="Times New Roman" w:eastAsia="宋体" w:cs="Times New Roman"/>
                <w:sz w:val="21"/>
                <w:szCs w:val="18"/>
                <w:lang w:val="en-US" w:eastAsia="zh-CN"/>
              </w:rPr>
              <w:t>）</w:t>
            </w:r>
          </w:p>
        </w:tc>
        <w:tc>
          <w:tcPr>
            <w:tcW w:w="0" w:type="auto"/>
            <w:tcBorders>
              <w:top w:val="nil"/>
              <w:left w:val="nil"/>
              <w:bottom w:val="nil"/>
              <w:right w:val="nil"/>
              <w:tl2br w:val="nil"/>
              <w:tr2bl w:val="nil"/>
            </w:tcBorders>
            <w:noWrap w:val="0"/>
            <w:vAlign w:val="center"/>
          </w:tcPr>
          <w:p w14:paraId="3CB936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270</w:t>
            </w:r>
          </w:p>
        </w:tc>
        <w:tc>
          <w:tcPr>
            <w:tcW w:w="0" w:type="auto"/>
            <w:tcBorders>
              <w:top w:val="nil"/>
              <w:left w:val="nil"/>
              <w:bottom w:val="nil"/>
              <w:right w:val="nil"/>
              <w:tl2br w:val="nil"/>
              <w:tr2bl w:val="nil"/>
            </w:tcBorders>
            <w:noWrap w:val="0"/>
            <w:vAlign w:val="center"/>
          </w:tcPr>
          <w:p w14:paraId="2623B0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37.773</w:t>
            </w:r>
          </w:p>
        </w:tc>
        <w:tc>
          <w:tcPr>
            <w:tcW w:w="0" w:type="auto"/>
            <w:tcBorders>
              <w:top w:val="nil"/>
              <w:left w:val="nil"/>
              <w:bottom w:val="nil"/>
              <w:right w:val="nil"/>
              <w:tl2br w:val="nil"/>
              <w:tr2bl w:val="nil"/>
            </w:tcBorders>
            <w:noWrap w:val="0"/>
            <w:vAlign w:val="center"/>
          </w:tcPr>
          <w:p w14:paraId="74545F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7.167</w:t>
            </w:r>
          </w:p>
        </w:tc>
        <w:tc>
          <w:tcPr>
            <w:tcW w:w="0" w:type="auto"/>
            <w:tcBorders>
              <w:top w:val="nil"/>
              <w:left w:val="nil"/>
              <w:bottom w:val="nil"/>
              <w:right w:val="nil"/>
              <w:tl2br w:val="nil"/>
              <w:tr2bl w:val="nil"/>
            </w:tcBorders>
            <w:noWrap w:val="0"/>
            <w:vAlign w:val="center"/>
          </w:tcPr>
          <w:p w14:paraId="099313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22.61</w:t>
            </w:r>
            <w:r>
              <w:rPr>
                <w:rFonts w:hint="eastAsia" w:ascii="Times New Roman" w:hAnsi="Times New Roman" w:eastAsia="宋体" w:cs="Times New Roman"/>
                <w:sz w:val="21"/>
                <w:szCs w:val="16"/>
                <w:lang w:val="en-US" w:eastAsia="zh-CN"/>
              </w:rPr>
              <w:t>0</w:t>
            </w:r>
          </w:p>
        </w:tc>
        <w:tc>
          <w:tcPr>
            <w:tcW w:w="0" w:type="auto"/>
            <w:tcBorders>
              <w:top w:val="nil"/>
              <w:left w:val="nil"/>
              <w:bottom w:val="nil"/>
              <w:right w:val="nil"/>
              <w:tl2br w:val="nil"/>
              <w:tr2bl w:val="nil"/>
            </w:tcBorders>
            <w:noWrap w:val="0"/>
            <w:vAlign w:val="center"/>
          </w:tcPr>
          <w:p w14:paraId="51EFE0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61.92</w:t>
            </w:r>
            <w:r>
              <w:rPr>
                <w:rFonts w:hint="eastAsia" w:ascii="Times New Roman" w:hAnsi="Times New Roman" w:eastAsia="宋体" w:cs="Times New Roman"/>
                <w:sz w:val="21"/>
                <w:szCs w:val="16"/>
                <w:lang w:val="en-US" w:eastAsia="zh-CN"/>
              </w:rPr>
              <w:t>0</w:t>
            </w:r>
          </w:p>
        </w:tc>
      </w:tr>
      <w:tr w14:paraId="0A22A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left w:val="nil"/>
              <w:bottom w:val="nil"/>
              <w:right w:val="nil"/>
              <w:tl2br w:val="nil"/>
              <w:tr2bl w:val="nil"/>
            </w:tcBorders>
            <w:noWrap w:val="0"/>
            <w:vAlign w:val="center"/>
          </w:tcPr>
          <w:p w14:paraId="2F0CF515">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sz w:val="21"/>
                <w:szCs w:val="18"/>
                <w:lang w:val="en-US" w:eastAsia="zh-CN"/>
              </w:rPr>
            </w:pPr>
            <w:r>
              <w:rPr>
                <w:rFonts w:hint="default" w:ascii="Times New Roman" w:hAnsi="Times New Roman" w:eastAsia="宋体" w:cs="Times New Roman"/>
                <w:sz w:val="21"/>
                <w:szCs w:val="18"/>
                <w:lang w:val="en-US" w:eastAsia="zh-CN"/>
              </w:rPr>
              <w:t>非息收入（NIR）</w:t>
            </w:r>
          </w:p>
        </w:tc>
        <w:tc>
          <w:tcPr>
            <w:tcW w:w="0" w:type="auto"/>
            <w:tcBorders>
              <w:top w:val="nil"/>
              <w:left w:val="nil"/>
              <w:bottom w:val="nil"/>
              <w:right w:val="nil"/>
              <w:tl2br w:val="nil"/>
              <w:tr2bl w:val="nil"/>
            </w:tcBorders>
            <w:noWrap w:val="0"/>
            <w:vAlign w:val="center"/>
          </w:tcPr>
          <w:p w14:paraId="2D4A25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270</w:t>
            </w:r>
          </w:p>
        </w:tc>
        <w:tc>
          <w:tcPr>
            <w:tcW w:w="0" w:type="auto"/>
            <w:tcBorders>
              <w:top w:val="nil"/>
              <w:left w:val="nil"/>
              <w:bottom w:val="nil"/>
              <w:right w:val="nil"/>
              <w:tl2br w:val="nil"/>
              <w:tr2bl w:val="nil"/>
            </w:tcBorders>
            <w:noWrap w:val="0"/>
            <w:vAlign w:val="center"/>
          </w:tcPr>
          <w:p w14:paraId="55EBAC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3.571e+09</w:t>
            </w:r>
          </w:p>
        </w:tc>
        <w:tc>
          <w:tcPr>
            <w:tcW w:w="0" w:type="auto"/>
            <w:tcBorders>
              <w:top w:val="nil"/>
              <w:left w:val="nil"/>
              <w:bottom w:val="nil"/>
              <w:right w:val="nil"/>
              <w:tl2br w:val="nil"/>
              <w:tr2bl w:val="nil"/>
            </w:tcBorders>
            <w:noWrap w:val="0"/>
            <w:vAlign w:val="center"/>
          </w:tcPr>
          <w:p w14:paraId="10FF0C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4.826e+09</w:t>
            </w:r>
          </w:p>
        </w:tc>
        <w:tc>
          <w:tcPr>
            <w:tcW w:w="0" w:type="auto"/>
            <w:tcBorders>
              <w:top w:val="nil"/>
              <w:left w:val="nil"/>
              <w:bottom w:val="nil"/>
              <w:right w:val="nil"/>
              <w:tl2br w:val="nil"/>
              <w:tr2bl w:val="nil"/>
            </w:tcBorders>
            <w:noWrap w:val="0"/>
            <w:vAlign w:val="center"/>
          </w:tcPr>
          <w:p w14:paraId="0DC9EC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26747729</w:t>
            </w:r>
          </w:p>
        </w:tc>
        <w:tc>
          <w:tcPr>
            <w:tcW w:w="0" w:type="auto"/>
            <w:tcBorders>
              <w:top w:val="nil"/>
              <w:left w:val="nil"/>
              <w:bottom w:val="nil"/>
              <w:right w:val="nil"/>
              <w:tl2br w:val="nil"/>
              <w:tr2bl w:val="nil"/>
            </w:tcBorders>
            <w:noWrap w:val="0"/>
            <w:vAlign w:val="center"/>
          </w:tcPr>
          <w:p w14:paraId="581334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2.165e+10</w:t>
            </w:r>
          </w:p>
        </w:tc>
      </w:tr>
      <w:tr w14:paraId="7822B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left w:val="nil"/>
              <w:bottom w:val="nil"/>
              <w:right w:val="nil"/>
              <w:tl2br w:val="nil"/>
              <w:tr2bl w:val="nil"/>
            </w:tcBorders>
            <w:noWrap w:val="0"/>
            <w:vAlign w:val="center"/>
          </w:tcPr>
          <w:p w14:paraId="79E0400C">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sz w:val="21"/>
                <w:szCs w:val="18"/>
                <w:lang w:val="en-US" w:eastAsia="zh-CN"/>
              </w:rPr>
            </w:pPr>
            <w:r>
              <w:rPr>
                <w:rFonts w:hint="default" w:ascii="Times New Roman" w:hAnsi="Times New Roman" w:eastAsia="宋体" w:cs="Times New Roman"/>
                <w:strike w:val="0"/>
                <w:sz w:val="21"/>
                <w:szCs w:val="18"/>
                <w:lang w:val="en-US" w:eastAsia="zh-CN"/>
              </w:rPr>
              <w:t>净资产收益率（ROE）</w:t>
            </w:r>
          </w:p>
        </w:tc>
        <w:tc>
          <w:tcPr>
            <w:tcW w:w="0" w:type="auto"/>
            <w:tcBorders>
              <w:top w:val="nil"/>
              <w:left w:val="nil"/>
              <w:bottom w:val="nil"/>
              <w:right w:val="nil"/>
              <w:tl2br w:val="nil"/>
              <w:tr2bl w:val="nil"/>
            </w:tcBorders>
            <w:noWrap w:val="0"/>
            <w:vAlign w:val="center"/>
          </w:tcPr>
          <w:p w14:paraId="715844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270</w:t>
            </w:r>
          </w:p>
        </w:tc>
        <w:tc>
          <w:tcPr>
            <w:tcW w:w="0" w:type="auto"/>
            <w:tcBorders>
              <w:top w:val="nil"/>
              <w:left w:val="nil"/>
              <w:bottom w:val="nil"/>
              <w:right w:val="nil"/>
              <w:tl2br w:val="nil"/>
              <w:tr2bl w:val="nil"/>
            </w:tcBorders>
            <w:noWrap w:val="0"/>
            <w:vAlign w:val="center"/>
          </w:tcPr>
          <w:p w14:paraId="4EBC2D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12.495</w:t>
            </w:r>
          </w:p>
        </w:tc>
        <w:tc>
          <w:tcPr>
            <w:tcW w:w="0" w:type="auto"/>
            <w:tcBorders>
              <w:top w:val="nil"/>
              <w:left w:val="nil"/>
              <w:bottom w:val="nil"/>
              <w:right w:val="nil"/>
              <w:tl2br w:val="nil"/>
              <w:tr2bl w:val="nil"/>
            </w:tcBorders>
            <w:noWrap w:val="0"/>
            <w:vAlign w:val="center"/>
          </w:tcPr>
          <w:p w14:paraId="332840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3.757</w:t>
            </w:r>
          </w:p>
        </w:tc>
        <w:tc>
          <w:tcPr>
            <w:tcW w:w="0" w:type="auto"/>
            <w:tcBorders>
              <w:top w:val="nil"/>
              <w:left w:val="nil"/>
              <w:bottom w:val="nil"/>
              <w:right w:val="nil"/>
              <w:tl2br w:val="nil"/>
              <w:tr2bl w:val="nil"/>
            </w:tcBorders>
            <w:noWrap w:val="0"/>
            <w:vAlign w:val="center"/>
          </w:tcPr>
          <w:p w14:paraId="4B0FA6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3.58</w:t>
            </w:r>
            <w:r>
              <w:rPr>
                <w:rFonts w:hint="eastAsia" w:ascii="Times New Roman" w:hAnsi="Times New Roman" w:eastAsia="宋体" w:cs="Times New Roman"/>
                <w:sz w:val="21"/>
                <w:szCs w:val="16"/>
                <w:lang w:val="en-US" w:eastAsia="zh-CN"/>
              </w:rPr>
              <w:t>0</w:t>
            </w:r>
          </w:p>
        </w:tc>
        <w:tc>
          <w:tcPr>
            <w:tcW w:w="0" w:type="auto"/>
            <w:tcBorders>
              <w:top w:val="nil"/>
              <w:left w:val="nil"/>
              <w:bottom w:val="nil"/>
              <w:right w:val="nil"/>
              <w:tl2br w:val="nil"/>
              <w:tr2bl w:val="nil"/>
            </w:tcBorders>
            <w:noWrap w:val="0"/>
            <w:vAlign w:val="center"/>
          </w:tcPr>
          <w:p w14:paraId="73B34F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32.32</w:t>
            </w:r>
            <w:r>
              <w:rPr>
                <w:rFonts w:hint="eastAsia" w:ascii="Times New Roman" w:hAnsi="Times New Roman" w:eastAsia="宋体" w:cs="Times New Roman"/>
                <w:sz w:val="21"/>
                <w:szCs w:val="16"/>
                <w:lang w:val="en-US" w:eastAsia="zh-CN"/>
              </w:rPr>
              <w:t>0</w:t>
            </w:r>
          </w:p>
        </w:tc>
      </w:tr>
      <w:tr w14:paraId="63075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l2br w:val="nil"/>
              <w:tr2bl w:val="nil"/>
            </w:tcBorders>
            <w:noWrap w:val="0"/>
            <w:vAlign w:val="center"/>
          </w:tcPr>
          <w:p w14:paraId="0A5E7820">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sz w:val="21"/>
                <w:szCs w:val="18"/>
                <w:lang w:val="en-US" w:eastAsia="zh-CN"/>
              </w:rPr>
            </w:pPr>
            <w:r>
              <w:rPr>
                <w:rFonts w:hint="default" w:ascii="Times New Roman" w:hAnsi="Times New Roman" w:eastAsia="宋体" w:cs="Times New Roman"/>
                <w:sz w:val="21"/>
                <w:szCs w:val="18"/>
                <w:lang w:val="en-US" w:eastAsia="zh-CN"/>
              </w:rPr>
              <w:t>ESG表现（ESG）</w:t>
            </w:r>
          </w:p>
        </w:tc>
        <w:tc>
          <w:tcPr>
            <w:tcW w:w="0" w:type="auto"/>
            <w:tcBorders>
              <w:top w:val="nil"/>
              <w:left w:val="nil"/>
              <w:bottom w:val="nil"/>
              <w:right w:val="nil"/>
              <w:tl2br w:val="nil"/>
              <w:tr2bl w:val="nil"/>
            </w:tcBorders>
            <w:noWrap w:val="0"/>
            <w:vAlign w:val="center"/>
          </w:tcPr>
          <w:p w14:paraId="5BD784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270</w:t>
            </w:r>
          </w:p>
        </w:tc>
        <w:tc>
          <w:tcPr>
            <w:tcW w:w="0" w:type="auto"/>
            <w:tcBorders>
              <w:top w:val="nil"/>
              <w:left w:val="nil"/>
              <w:bottom w:val="nil"/>
              <w:right w:val="nil"/>
              <w:tl2br w:val="nil"/>
              <w:tr2bl w:val="nil"/>
            </w:tcBorders>
            <w:noWrap w:val="0"/>
            <w:vAlign w:val="center"/>
          </w:tcPr>
          <w:p w14:paraId="2E4C49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5.524</w:t>
            </w:r>
          </w:p>
        </w:tc>
        <w:tc>
          <w:tcPr>
            <w:tcW w:w="0" w:type="auto"/>
            <w:tcBorders>
              <w:top w:val="nil"/>
              <w:left w:val="nil"/>
              <w:bottom w:val="nil"/>
              <w:right w:val="nil"/>
              <w:tl2br w:val="nil"/>
              <w:tr2bl w:val="nil"/>
            </w:tcBorders>
            <w:noWrap w:val="0"/>
            <w:vAlign w:val="center"/>
          </w:tcPr>
          <w:p w14:paraId="41D683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w:t>
            </w:r>
            <w:r>
              <w:rPr>
                <w:rFonts w:hint="default" w:ascii="Times New Roman" w:hAnsi="Times New Roman" w:eastAsia="宋体" w:cs="Times New Roman"/>
                <w:sz w:val="21"/>
                <w:szCs w:val="16"/>
              </w:rPr>
              <w:t>.67</w:t>
            </w:r>
            <w:r>
              <w:rPr>
                <w:rFonts w:hint="eastAsia" w:ascii="Times New Roman" w:hAnsi="Times New Roman" w:eastAsia="宋体" w:cs="Times New Roman"/>
                <w:sz w:val="21"/>
                <w:szCs w:val="16"/>
                <w:lang w:val="en-US" w:eastAsia="zh-CN"/>
              </w:rPr>
              <w:t>0</w:t>
            </w:r>
          </w:p>
        </w:tc>
        <w:tc>
          <w:tcPr>
            <w:tcW w:w="0" w:type="auto"/>
            <w:tcBorders>
              <w:top w:val="nil"/>
              <w:left w:val="nil"/>
              <w:bottom w:val="nil"/>
              <w:right w:val="nil"/>
              <w:tl2br w:val="nil"/>
              <w:tr2bl w:val="nil"/>
            </w:tcBorders>
            <w:noWrap w:val="0"/>
            <w:vAlign w:val="center"/>
          </w:tcPr>
          <w:p w14:paraId="6F7C29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3</w:t>
            </w:r>
          </w:p>
        </w:tc>
        <w:tc>
          <w:tcPr>
            <w:tcW w:w="0" w:type="auto"/>
            <w:tcBorders>
              <w:top w:val="nil"/>
              <w:left w:val="nil"/>
              <w:bottom w:val="nil"/>
              <w:right w:val="nil"/>
              <w:tl2br w:val="nil"/>
              <w:tr2bl w:val="nil"/>
            </w:tcBorders>
            <w:noWrap w:val="0"/>
            <w:vAlign w:val="center"/>
          </w:tcPr>
          <w:p w14:paraId="2A216A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7</w:t>
            </w:r>
          </w:p>
        </w:tc>
      </w:tr>
      <w:tr w14:paraId="0AD87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left w:val="nil"/>
              <w:bottom w:val="nil"/>
              <w:right w:val="nil"/>
              <w:tl2br w:val="nil"/>
              <w:tr2bl w:val="nil"/>
            </w:tcBorders>
            <w:noWrap w:val="0"/>
            <w:vAlign w:val="center"/>
          </w:tcPr>
          <w:p w14:paraId="68A25956">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sz w:val="21"/>
                <w:szCs w:val="18"/>
                <w:lang w:val="en-US" w:eastAsia="zh-CN"/>
              </w:rPr>
            </w:pPr>
            <w:r>
              <w:rPr>
                <w:rFonts w:hint="default" w:ascii="Times New Roman" w:hAnsi="Times New Roman" w:eastAsia="宋体" w:cs="Times New Roman"/>
                <w:sz w:val="21"/>
                <w:szCs w:val="18"/>
                <w:lang w:val="en-US" w:eastAsia="zh-CN"/>
              </w:rPr>
              <w:t>资本资产率（CAR）</w:t>
            </w:r>
          </w:p>
        </w:tc>
        <w:tc>
          <w:tcPr>
            <w:tcW w:w="0" w:type="auto"/>
            <w:tcBorders>
              <w:top w:val="nil"/>
              <w:left w:val="nil"/>
              <w:bottom w:val="nil"/>
              <w:right w:val="nil"/>
              <w:tl2br w:val="nil"/>
              <w:tr2bl w:val="nil"/>
            </w:tcBorders>
            <w:noWrap w:val="0"/>
            <w:vAlign w:val="center"/>
          </w:tcPr>
          <w:p w14:paraId="1761F7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270</w:t>
            </w:r>
          </w:p>
        </w:tc>
        <w:tc>
          <w:tcPr>
            <w:tcW w:w="0" w:type="auto"/>
            <w:tcBorders>
              <w:top w:val="nil"/>
              <w:left w:val="nil"/>
              <w:bottom w:val="nil"/>
              <w:right w:val="nil"/>
              <w:tl2br w:val="nil"/>
              <w:tr2bl w:val="nil"/>
            </w:tcBorders>
            <w:noWrap w:val="0"/>
            <w:vAlign w:val="center"/>
          </w:tcPr>
          <w:p w14:paraId="1257D1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w:t>
            </w:r>
            <w:r>
              <w:rPr>
                <w:rFonts w:hint="default" w:ascii="Times New Roman" w:hAnsi="Times New Roman" w:eastAsia="宋体" w:cs="Times New Roman"/>
                <w:sz w:val="21"/>
                <w:szCs w:val="16"/>
              </w:rPr>
              <w:t>.074</w:t>
            </w:r>
          </w:p>
        </w:tc>
        <w:tc>
          <w:tcPr>
            <w:tcW w:w="0" w:type="auto"/>
            <w:tcBorders>
              <w:top w:val="nil"/>
              <w:left w:val="nil"/>
              <w:bottom w:val="nil"/>
              <w:right w:val="nil"/>
              <w:tl2br w:val="nil"/>
              <w:tr2bl w:val="nil"/>
            </w:tcBorders>
            <w:noWrap w:val="0"/>
            <w:vAlign w:val="center"/>
          </w:tcPr>
          <w:p w14:paraId="0080B4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w:t>
            </w:r>
            <w:r>
              <w:rPr>
                <w:rFonts w:hint="default" w:ascii="Times New Roman" w:hAnsi="Times New Roman" w:eastAsia="宋体" w:cs="Times New Roman"/>
                <w:sz w:val="21"/>
                <w:szCs w:val="16"/>
              </w:rPr>
              <w:t>.012</w:t>
            </w:r>
          </w:p>
        </w:tc>
        <w:tc>
          <w:tcPr>
            <w:tcW w:w="0" w:type="auto"/>
            <w:tcBorders>
              <w:top w:val="nil"/>
              <w:left w:val="nil"/>
              <w:bottom w:val="nil"/>
              <w:right w:val="nil"/>
              <w:tl2br w:val="nil"/>
              <w:tr2bl w:val="nil"/>
            </w:tcBorders>
            <w:noWrap w:val="0"/>
            <w:vAlign w:val="center"/>
          </w:tcPr>
          <w:p w14:paraId="204D73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w:t>
            </w:r>
            <w:r>
              <w:rPr>
                <w:rFonts w:hint="default" w:ascii="Times New Roman" w:hAnsi="Times New Roman" w:eastAsia="宋体" w:cs="Times New Roman"/>
                <w:sz w:val="21"/>
                <w:szCs w:val="16"/>
              </w:rPr>
              <w:t>.05</w:t>
            </w:r>
            <w:r>
              <w:rPr>
                <w:rFonts w:hint="eastAsia" w:ascii="Times New Roman" w:hAnsi="Times New Roman" w:eastAsia="宋体" w:cs="Times New Roman"/>
                <w:sz w:val="21"/>
                <w:szCs w:val="16"/>
                <w:lang w:val="en-US" w:eastAsia="zh-CN"/>
              </w:rPr>
              <w:t>0</w:t>
            </w:r>
          </w:p>
        </w:tc>
        <w:tc>
          <w:tcPr>
            <w:tcW w:w="0" w:type="auto"/>
            <w:tcBorders>
              <w:top w:val="nil"/>
              <w:left w:val="nil"/>
              <w:bottom w:val="nil"/>
              <w:right w:val="nil"/>
              <w:tl2br w:val="nil"/>
              <w:tr2bl w:val="nil"/>
            </w:tcBorders>
            <w:noWrap w:val="0"/>
            <w:vAlign w:val="center"/>
          </w:tcPr>
          <w:p w14:paraId="1C948D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w:t>
            </w:r>
            <w:r>
              <w:rPr>
                <w:rFonts w:hint="default" w:ascii="Times New Roman" w:hAnsi="Times New Roman" w:eastAsia="宋体" w:cs="Times New Roman"/>
                <w:sz w:val="21"/>
                <w:szCs w:val="16"/>
              </w:rPr>
              <w:t>.1</w:t>
            </w:r>
            <w:r>
              <w:rPr>
                <w:rFonts w:hint="eastAsia" w:ascii="Times New Roman" w:hAnsi="Times New Roman" w:eastAsia="宋体" w:cs="Times New Roman"/>
                <w:sz w:val="21"/>
                <w:szCs w:val="16"/>
                <w:lang w:val="en-US" w:eastAsia="zh-CN"/>
              </w:rPr>
              <w:t>00</w:t>
            </w:r>
          </w:p>
        </w:tc>
      </w:tr>
      <w:tr w14:paraId="527D6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nil"/>
              <w:left w:val="nil"/>
              <w:bottom w:val="single" w:color="auto" w:sz="4" w:space="0"/>
              <w:right w:val="nil"/>
              <w:tl2br w:val="nil"/>
              <w:tr2bl w:val="nil"/>
            </w:tcBorders>
            <w:noWrap w:val="0"/>
            <w:vAlign w:val="center"/>
          </w:tcPr>
          <w:p w14:paraId="3A997D5E">
            <w:pPr>
              <w:pageBreakBefore w:val="0"/>
              <w:kinsoku/>
              <w:wordWrap/>
              <w:overflowPunct/>
              <w:topLinePunct w:val="0"/>
              <w:autoSpaceDE/>
              <w:autoSpaceDN/>
              <w:bidi w:val="0"/>
              <w:spacing w:line="300" w:lineRule="auto"/>
              <w:ind w:left="0" w:leftChars="0" w:firstLine="0" w:firstLineChars="0"/>
              <w:jc w:val="center"/>
              <w:textAlignment w:val="auto"/>
              <w:rPr>
                <w:rFonts w:hint="default" w:ascii="Times New Roman" w:hAnsi="Times New Roman" w:eastAsia="宋体" w:cs="Times New Roman"/>
                <w:sz w:val="21"/>
                <w:szCs w:val="18"/>
                <w:lang w:val="en-US" w:eastAsia="zh-CN"/>
              </w:rPr>
            </w:pPr>
            <w:r>
              <w:rPr>
                <w:rFonts w:hint="default" w:ascii="Times New Roman" w:hAnsi="Times New Roman" w:eastAsia="宋体" w:cs="Times New Roman"/>
                <w:sz w:val="21"/>
                <w:szCs w:val="18"/>
                <w:lang w:val="en-US" w:eastAsia="zh-CN"/>
              </w:rPr>
              <w:t>GDP累计同比增长率(GDP_Growth)</w:t>
            </w:r>
          </w:p>
        </w:tc>
        <w:tc>
          <w:tcPr>
            <w:tcW w:w="0" w:type="auto"/>
            <w:tcBorders>
              <w:top w:val="nil"/>
              <w:left w:val="nil"/>
              <w:bottom w:val="single" w:color="auto" w:sz="4" w:space="0"/>
              <w:right w:val="nil"/>
              <w:tl2br w:val="nil"/>
              <w:tr2bl w:val="nil"/>
            </w:tcBorders>
            <w:noWrap w:val="0"/>
            <w:vAlign w:val="center"/>
          </w:tcPr>
          <w:p w14:paraId="383499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270</w:t>
            </w:r>
          </w:p>
        </w:tc>
        <w:tc>
          <w:tcPr>
            <w:tcW w:w="0" w:type="auto"/>
            <w:tcBorders>
              <w:top w:val="nil"/>
              <w:left w:val="nil"/>
              <w:bottom w:val="single" w:color="auto" w:sz="4" w:space="0"/>
              <w:right w:val="nil"/>
              <w:tl2br w:val="nil"/>
              <w:tr2bl w:val="nil"/>
            </w:tcBorders>
            <w:noWrap w:val="0"/>
            <w:vAlign w:val="center"/>
          </w:tcPr>
          <w:p w14:paraId="39D646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7.879</w:t>
            </w:r>
          </w:p>
        </w:tc>
        <w:tc>
          <w:tcPr>
            <w:tcW w:w="0" w:type="auto"/>
            <w:tcBorders>
              <w:top w:val="nil"/>
              <w:left w:val="nil"/>
              <w:bottom w:val="single" w:color="auto" w:sz="4" w:space="0"/>
              <w:right w:val="nil"/>
              <w:tl2br w:val="nil"/>
              <w:tr2bl w:val="nil"/>
            </w:tcBorders>
            <w:noWrap w:val="0"/>
            <w:vAlign w:val="center"/>
          </w:tcPr>
          <w:p w14:paraId="6039EF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3.146</w:t>
            </w:r>
          </w:p>
        </w:tc>
        <w:tc>
          <w:tcPr>
            <w:tcW w:w="0" w:type="auto"/>
            <w:tcBorders>
              <w:top w:val="nil"/>
              <w:left w:val="nil"/>
              <w:bottom w:val="single" w:color="auto" w:sz="4" w:space="0"/>
              <w:right w:val="nil"/>
              <w:tl2br w:val="nil"/>
              <w:tr2bl w:val="nil"/>
            </w:tcBorders>
            <w:noWrap w:val="0"/>
            <w:vAlign w:val="center"/>
          </w:tcPr>
          <w:p w14:paraId="751E82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2.74</w:t>
            </w:r>
            <w:r>
              <w:rPr>
                <w:rFonts w:hint="eastAsia" w:ascii="Times New Roman" w:hAnsi="Times New Roman" w:eastAsia="宋体" w:cs="Times New Roman"/>
                <w:sz w:val="21"/>
                <w:szCs w:val="16"/>
                <w:lang w:val="en-US" w:eastAsia="zh-CN"/>
              </w:rPr>
              <w:t>0</w:t>
            </w:r>
          </w:p>
        </w:tc>
        <w:tc>
          <w:tcPr>
            <w:tcW w:w="0" w:type="auto"/>
            <w:tcBorders>
              <w:top w:val="nil"/>
              <w:left w:val="nil"/>
              <w:bottom w:val="single" w:color="auto" w:sz="4" w:space="0"/>
              <w:right w:val="nil"/>
              <w:tl2br w:val="nil"/>
              <w:tr2bl w:val="nil"/>
            </w:tcBorders>
            <w:noWrap w:val="0"/>
            <w:vAlign w:val="center"/>
          </w:tcPr>
          <w:p w14:paraId="148D20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13.39</w:t>
            </w:r>
            <w:r>
              <w:rPr>
                <w:rFonts w:hint="eastAsia" w:ascii="Times New Roman" w:hAnsi="Times New Roman" w:eastAsia="宋体" w:cs="Times New Roman"/>
                <w:sz w:val="21"/>
                <w:szCs w:val="16"/>
                <w:lang w:val="en-US" w:eastAsia="zh-CN"/>
              </w:rPr>
              <w:t>0</w:t>
            </w:r>
          </w:p>
        </w:tc>
      </w:tr>
    </w:tbl>
    <w:p w14:paraId="07D1EC03">
      <w:pPr>
        <w:bidi w:val="0"/>
        <w:rPr>
          <w:rFonts w:hint="default"/>
          <w:lang w:val="en-US" w:eastAsia="zh-CN"/>
        </w:rPr>
      </w:pPr>
      <w:r>
        <w:rPr>
          <w:rFonts w:hint="default"/>
          <w:lang w:val="en-US" w:eastAsia="zh-CN"/>
        </w:rPr>
        <w:t>其中</w:t>
      </w:r>
      <w:r>
        <w:rPr>
          <w:rFonts w:hint="eastAsia"/>
          <w:lang w:val="en-US" w:eastAsia="zh-CN"/>
        </w:rPr>
        <w:t>，</w:t>
      </w:r>
      <w:r>
        <w:rPr>
          <w:rFonts w:hint="default"/>
          <w:lang w:val="en-US" w:eastAsia="zh-CN"/>
        </w:rPr>
        <w:t>被解释变量</w:t>
      </w:r>
      <w:r>
        <w:rPr>
          <w:rFonts w:hint="eastAsia"/>
          <w:lang w:val="en-US" w:eastAsia="zh-CN"/>
        </w:rPr>
        <w:t>中小银行信贷风险水平的</w:t>
      </w:r>
      <w:r>
        <w:rPr>
          <w:rFonts w:hint="default"/>
          <w:lang w:val="en-US" w:eastAsia="zh-CN"/>
        </w:rPr>
        <w:t>均值为1.33，标准差为0.399，最大值为0.68，最小值为2.71，</w:t>
      </w:r>
      <w:r>
        <w:rPr>
          <w:rFonts w:hint="eastAsia"/>
          <w:lang w:val="en-US" w:eastAsia="zh-CN"/>
        </w:rPr>
        <w:t>中小银行信贷风险水平</w:t>
      </w:r>
      <w:r>
        <w:rPr>
          <w:rFonts w:hint="default"/>
          <w:lang w:val="en-US" w:eastAsia="zh-CN"/>
        </w:rPr>
        <w:t>的最大值与最小值差距较大，说明各家上市银行的信贷风险控制水平有所差异</w:t>
      </w:r>
      <w:r>
        <w:rPr>
          <w:rFonts w:hint="eastAsia"/>
          <w:lang w:val="en-US" w:eastAsia="zh-CN"/>
        </w:rPr>
        <w:t>。</w:t>
      </w:r>
    </w:p>
    <w:p w14:paraId="77D79A19">
      <w:pPr>
        <w:bidi w:val="0"/>
        <w:rPr>
          <w:rFonts w:hint="default"/>
          <w:lang w:val="en-US" w:eastAsia="zh-CN"/>
        </w:rPr>
      </w:pPr>
      <w:r>
        <w:rPr>
          <w:rFonts w:hint="default"/>
          <w:lang w:val="en-US" w:eastAsia="zh-CN"/>
        </w:rPr>
        <w:t>而解释变量数字化转型程度的均值为37.773，最大值为61.92，最小值为22.61，数字化转型程度最小值与最大值差距明显，反映出样本上市银行之间数字化转型程度差距明显</w:t>
      </w:r>
      <w:r>
        <w:rPr>
          <w:rFonts w:hint="eastAsia"/>
          <w:lang w:val="en-US" w:eastAsia="zh-CN"/>
        </w:rPr>
        <w:t>。</w:t>
      </w:r>
    </w:p>
    <w:p w14:paraId="5A86201F">
      <w:pPr>
        <w:bidi w:val="0"/>
        <w:rPr>
          <w:rFonts w:hint="default"/>
          <w:lang w:val="en-US" w:eastAsia="zh-CN"/>
        </w:rPr>
      </w:pPr>
      <w:r>
        <w:rPr>
          <w:rFonts w:hint="default"/>
          <w:lang w:val="en-US" w:eastAsia="zh-CN"/>
        </w:rPr>
        <w:t>中介变量非息收入的均值为3.571e+09，最大值为2.165e+10，最小值为26747729。且最大值和最小值差异较大，表明我国上市的城商银行的非息收入业务水平差距较大，各家银行之间的综合实力与资产规模差异较大，所以非利息业务发展水平存在较大差距。</w:t>
      </w:r>
    </w:p>
    <w:p w14:paraId="1BE60D95">
      <w:pPr>
        <w:bidi w:val="0"/>
        <w:rPr>
          <w:rFonts w:hint="default"/>
          <w:lang w:val="en-US" w:eastAsia="zh-CN"/>
        </w:rPr>
      </w:pPr>
      <w:r>
        <w:rPr>
          <w:rFonts w:hint="default"/>
          <w:lang w:val="en-US" w:eastAsia="zh-CN"/>
        </w:rPr>
        <w:t>其余控制变量的取值范围合理，最小值与最大值之间也存在一定差异，这说明本文所选样本银行覆盖面较广，满足研究条件，在实证分析中能较好地发挥控制作用。</w:t>
      </w:r>
    </w:p>
    <w:p w14:paraId="4EB9A3B2">
      <w:pPr>
        <w:pStyle w:val="2"/>
        <w:keepNext/>
        <w:keepLines/>
        <w:pageBreakBefore w:val="0"/>
        <w:widowControl w:val="0"/>
        <w:kinsoku/>
        <w:wordWrap/>
        <w:overflowPunct/>
        <w:topLinePunct w:val="0"/>
        <w:autoSpaceDE/>
        <w:autoSpaceDN/>
        <w:bidi w:val="0"/>
        <w:adjustRightInd/>
        <w:snapToGrid/>
        <w:spacing w:before="369" w:after="369" w:line="382" w:lineRule="exact"/>
        <w:jc w:val="center"/>
        <w:textAlignment w:val="auto"/>
        <w:rPr>
          <w:rFonts w:hint="default" w:ascii="黑体" w:hAnsi="黑体" w:eastAsia="黑体" w:cs="黑体"/>
          <w:sz w:val="24"/>
          <w:szCs w:val="24"/>
          <w:lang w:val="en-US" w:eastAsia="zh-CN"/>
        </w:rPr>
      </w:pPr>
      <w:bookmarkStart w:id="24" w:name="_Toc26214"/>
      <w:r>
        <w:rPr>
          <w:rFonts w:hint="default" w:ascii="黑体" w:hAnsi="黑体" w:eastAsia="黑体" w:cs="黑体"/>
          <w:sz w:val="24"/>
          <w:szCs w:val="24"/>
          <w:lang w:val="en-US" w:eastAsia="zh-CN"/>
        </w:rPr>
        <w:t>四、模型实证与检验</w:t>
      </w:r>
      <w:bookmarkEnd w:id="24"/>
    </w:p>
    <w:p w14:paraId="135F678D">
      <w:pPr>
        <w:pStyle w:val="3"/>
        <w:numPr>
          <w:ilvl w:val="0"/>
          <w:numId w:val="0"/>
        </w:numPr>
        <w:bidi w:val="0"/>
        <w:ind w:firstLine="420" w:firstLineChars="200"/>
        <w:rPr>
          <w:rFonts w:hint="default"/>
          <w:lang w:val="en-US" w:eastAsia="zh-CN"/>
        </w:rPr>
      </w:pPr>
      <w:bookmarkStart w:id="25" w:name="_Toc1410"/>
      <w:r>
        <w:rPr>
          <w:rFonts w:hint="eastAsia" w:ascii="Arial" w:hAnsi="Arial" w:eastAsia="黑体" w:cstheme="minorBidi"/>
          <w:b w:val="0"/>
          <w:kern w:val="2"/>
          <w:sz w:val="21"/>
          <w:szCs w:val="24"/>
          <w:lang w:val="en-US" w:eastAsia="zh-CN" w:bidi="ar-SA"/>
        </w:rPr>
        <w:t>（一）</w:t>
      </w:r>
      <w:r>
        <w:rPr>
          <w:rFonts w:hint="default"/>
          <w:lang w:val="en-US" w:eastAsia="zh-CN"/>
        </w:rPr>
        <w:t>基准回归分析</w:t>
      </w:r>
      <w:bookmarkEnd w:id="25"/>
    </w:p>
    <w:p w14:paraId="72F5122F">
      <w:pPr>
        <w:bidi w:val="0"/>
        <w:rPr>
          <w:rFonts w:hint="default"/>
          <w:lang w:val="en-US" w:eastAsia="zh-CN"/>
        </w:rPr>
      </w:pPr>
      <w:r>
        <w:rPr>
          <w:rFonts w:hint="default"/>
          <w:lang w:val="en-US" w:eastAsia="zh-CN"/>
        </w:rPr>
        <w:t>为验证数字化转型程度对银行信贷风险的影响，本文参照模型（1）进行实证检验，计算结果如表 3 所示。</w:t>
      </w:r>
    </w:p>
    <w:tbl>
      <w:tblPr>
        <w:tblStyle w:val="15"/>
        <w:tblpPr w:leftFromText="180" w:rightFromText="180" w:vertAnchor="text" w:horzAnchor="page" w:tblpXSpec="center" w:tblpY="553"/>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26"/>
        <w:gridCol w:w="1274"/>
        <w:gridCol w:w="1274"/>
        <w:gridCol w:w="1274"/>
        <w:gridCol w:w="1274"/>
      </w:tblGrid>
      <w:tr w14:paraId="6A3B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op w:val="single" w:color="auto" w:sz="6" w:space="0"/>
              <w:left w:val="nil"/>
              <w:right w:val="nil"/>
              <w:tl2br w:val="nil"/>
              <w:tr2bl w:val="nil"/>
            </w:tcBorders>
            <w:noWrap w:val="0"/>
            <w:vAlign w:val="center"/>
          </w:tcPr>
          <w:p w14:paraId="0004E2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变量名称</w:t>
            </w:r>
          </w:p>
        </w:tc>
        <w:tc>
          <w:tcPr>
            <w:tcW w:w="0" w:type="auto"/>
            <w:tcBorders>
              <w:top w:val="single" w:color="auto" w:sz="6" w:space="0"/>
              <w:left w:val="nil"/>
              <w:bottom w:val="nil"/>
              <w:right w:val="nil"/>
              <w:tl2br w:val="nil"/>
              <w:tr2bl w:val="nil"/>
            </w:tcBorders>
            <w:noWrap w:val="0"/>
            <w:vAlign w:val="center"/>
          </w:tcPr>
          <w:p w14:paraId="55AF23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(1)</w:t>
            </w:r>
          </w:p>
        </w:tc>
        <w:tc>
          <w:tcPr>
            <w:tcW w:w="0" w:type="auto"/>
            <w:tcBorders>
              <w:top w:val="single" w:color="auto" w:sz="6" w:space="0"/>
              <w:left w:val="nil"/>
              <w:bottom w:val="nil"/>
              <w:right w:val="nil"/>
              <w:tl2br w:val="nil"/>
              <w:tr2bl w:val="nil"/>
            </w:tcBorders>
            <w:noWrap w:val="0"/>
            <w:vAlign w:val="center"/>
          </w:tcPr>
          <w:p w14:paraId="2A8F63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(2)</w:t>
            </w:r>
          </w:p>
        </w:tc>
        <w:tc>
          <w:tcPr>
            <w:tcW w:w="0" w:type="auto"/>
            <w:tcBorders>
              <w:top w:val="single" w:color="auto" w:sz="6" w:space="0"/>
              <w:left w:val="nil"/>
              <w:bottom w:val="nil"/>
              <w:right w:val="nil"/>
              <w:tl2br w:val="nil"/>
              <w:tr2bl w:val="nil"/>
            </w:tcBorders>
            <w:noWrap w:val="0"/>
            <w:vAlign w:val="center"/>
          </w:tcPr>
          <w:p w14:paraId="0A034E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(3)</w:t>
            </w:r>
          </w:p>
        </w:tc>
        <w:tc>
          <w:tcPr>
            <w:tcW w:w="0" w:type="auto"/>
            <w:tcBorders>
              <w:top w:val="single" w:color="auto" w:sz="6" w:space="0"/>
              <w:left w:val="nil"/>
              <w:bottom w:val="nil"/>
              <w:right w:val="nil"/>
              <w:tl2br w:val="nil"/>
              <w:tr2bl w:val="nil"/>
            </w:tcBorders>
            <w:noWrap w:val="0"/>
            <w:vAlign w:val="center"/>
          </w:tcPr>
          <w:p w14:paraId="7F3A86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(4)</w:t>
            </w:r>
          </w:p>
        </w:tc>
      </w:tr>
      <w:tr w14:paraId="5F8C9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left w:val="nil"/>
              <w:right w:val="nil"/>
              <w:tl2br w:val="nil"/>
              <w:tr2bl w:val="nil"/>
            </w:tcBorders>
            <w:noWrap w:val="0"/>
            <w:vAlign w:val="center"/>
          </w:tcPr>
          <w:p w14:paraId="2104CF3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p>
        </w:tc>
        <w:tc>
          <w:tcPr>
            <w:tcW w:w="0" w:type="auto"/>
            <w:tcBorders>
              <w:top w:val="nil"/>
              <w:left w:val="nil"/>
              <w:bottom w:val="nil"/>
              <w:right w:val="nil"/>
              <w:tl2br w:val="nil"/>
              <w:tr2bl w:val="nil"/>
            </w:tcBorders>
            <w:noWrap w:val="0"/>
            <w:vAlign w:val="center"/>
          </w:tcPr>
          <w:p w14:paraId="5B1F37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a1</w:t>
            </w:r>
          </w:p>
        </w:tc>
        <w:tc>
          <w:tcPr>
            <w:tcW w:w="0" w:type="auto"/>
            <w:tcBorders>
              <w:top w:val="nil"/>
              <w:left w:val="nil"/>
              <w:bottom w:val="nil"/>
              <w:right w:val="nil"/>
              <w:tl2br w:val="nil"/>
              <w:tr2bl w:val="nil"/>
            </w:tcBorders>
            <w:noWrap w:val="0"/>
            <w:vAlign w:val="center"/>
          </w:tcPr>
          <w:p w14:paraId="671AB3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a2</w:t>
            </w:r>
          </w:p>
        </w:tc>
        <w:tc>
          <w:tcPr>
            <w:tcW w:w="0" w:type="auto"/>
            <w:tcBorders>
              <w:top w:val="nil"/>
              <w:left w:val="nil"/>
              <w:bottom w:val="nil"/>
              <w:right w:val="nil"/>
              <w:tl2br w:val="nil"/>
              <w:tr2bl w:val="nil"/>
            </w:tcBorders>
            <w:noWrap w:val="0"/>
            <w:vAlign w:val="center"/>
          </w:tcPr>
          <w:p w14:paraId="5012AA4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a3</w:t>
            </w:r>
          </w:p>
        </w:tc>
        <w:tc>
          <w:tcPr>
            <w:tcW w:w="0" w:type="auto"/>
            <w:tcBorders>
              <w:top w:val="nil"/>
              <w:left w:val="nil"/>
              <w:bottom w:val="nil"/>
              <w:right w:val="nil"/>
              <w:tl2br w:val="nil"/>
              <w:tr2bl w:val="nil"/>
            </w:tcBorders>
            <w:noWrap w:val="0"/>
            <w:vAlign w:val="center"/>
          </w:tcPr>
          <w:p w14:paraId="0C933E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a4</w:t>
            </w:r>
          </w:p>
        </w:tc>
      </w:tr>
      <w:tr w14:paraId="6AFCF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left w:val="nil"/>
              <w:bottom w:val="single" w:color="auto" w:sz="6" w:space="0"/>
              <w:right w:val="nil"/>
              <w:tl2br w:val="nil"/>
              <w:tr2bl w:val="nil"/>
            </w:tcBorders>
            <w:noWrap w:val="0"/>
            <w:vAlign w:val="center"/>
          </w:tcPr>
          <w:p w14:paraId="788AF53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p>
        </w:tc>
        <w:tc>
          <w:tcPr>
            <w:tcW w:w="0" w:type="auto"/>
            <w:tcBorders>
              <w:top w:val="nil"/>
              <w:left w:val="nil"/>
              <w:bottom w:val="single" w:color="auto" w:sz="6" w:space="0"/>
              <w:right w:val="nil"/>
              <w:tl2br w:val="nil"/>
              <w:tr2bl w:val="nil"/>
            </w:tcBorders>
            <w:noWrap w:val="0"/>
            <w:vAlign w:val="center"/>
          </w:tcPr>
          <w:p w14:paraId="0F296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NPL</w:t>
            </w:r>
          </w:p>
        </w:tc>
        <w:tc>
          <w:tcPr>
            <w:tcW w:w="0" w:type="auto"/>
            <w:tcBorders>
              <w:top w:val="nil"/>
              <w:left w:val="nil"/>
              <w:bottom w:val="single" w:color="auto" w:sz="6" w:space="0"/>
              <w:right w:val="nil"/>
              <w:tl2br w:val="nil"/>
              <w:tr2bl w:val="nil"/>
            </w:tcBorders>
            <w:noWrap w:val="0"/>
            <w:vAlign w:val="center"/>
          </w:tcPr>
          <w:p w14:paraId="3666DA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NPL</w:t>
            </w:r>
          </w:p>
        </w:tc>
        <w:tc>
          <w:tcPr>
            <w:tcW w:w="0" w:type="auto"/>
            <w:tcBorders>
              <w:top w:val="nil"/>
              <w:left w:val="nil"/>
              <w:bottom w:val="single" w:color="auto" w:sz="6" w:space="0"/>
              <w:right w:val="nil"/>
              <w:tl2br w:val="nil"/>
              <w:tr2bl w:val="nil"/>
            </w:tcBorders>
            <w:noWrap w:val="0"/>
            <w:vAlign w:val="center"/>
          </w:tcPr>
          <w:p w14:paraId="462971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NPL</w:t>
            </w:r>
          </w:p>
        </w:tc>
        <w:tc>
          <w:tcPr>
            <w:tcW w:w="0" w:type="auto"/>
            <w:tcBorders>
              <w:top w:val="nil"/>
              <w:left w:val="nil"/>
              <w:bottom w:val="single" w:color="auto" w:sz="6" w:space="0"/>
              <w:right w:val="nil"/>
              <w:tl2br w:val="nil"/>
              <w:tr2bl w:val="nil"/>
            </w:tcBorders>
            <w:noWrap w:val="0"/>
            <w:vAlign w:val="center"/>
          </w:tcPr>
          <w:p w14:paraId="1B9658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val="en-US" w:eastAsia="zh-CN"/>
              </w:rPr>
            </w:pPr>
            <w:r>
              <w:rPr>
                <w:rFonts w:hint="default" w:ascii="Times New Roman" w:hAnsi="Times New Roman" w:eastAsia="宋体" w:cs="Times New Roman"/>
                <w:b/>
                <w:bCs/>
                <w:sz w:val="21"/>
                <w:szCs w:val="16"/>
                <w:lang w:val="en-US" w:eastAsia="zh-CN"/>
              </w:rPr>
              <w:t>NPL</w:t>
            </w:r>
          </w:p>
        </w:tc>
      </w:tr>
      <w:tr w14:paraId="6A2DF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op w:val="nil"/>
              <w:left w:val="nil"/>
              <w:right w:val="nil"/>
              <w:tl2br w:val="nil"/>
              <w:tr2bl w:val="nil"/>
            </w:tcBorders>
            <w:noWrap w:val="0"/>
            <w:vAlign w:val="center"/>
          </w:tcPr>
          <w:p w14:paraId="058F7D1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数字化转型程度（</w:t>
            </w:r>
            <m:oMath>
              <m:r>
                <m:rPr>
                  <m:sty m:val="p"/>
                </m:rPr>
                <w:rPr>
                  <w:rFonts w:hint="default" w:ascii="Cambria Math" w:hAnsi="Cambria Math" w:eastAsia="宋体" w:cs="Times New Roman"/>
                  <w:sz w:val="21"/>
                  <w:szCs w:val="16"/>
                  <w:lang w:val="en-US" w:eastAsia="zh-CN"/>
                </w:rPr>
                <m:t>DTI</m:t>
              </m:r>
            </m:oMath>
            <w:r>
              <w:rPr>
                <w:rFonts w:hint="default" w:ascii="Times New Roman" w:hAnsi="Times New Roman" w:eastAsia="宋体" w:cs="Times New Roman"/>
                <w:b w:val="0"/>
                <w:bCs w:val="0"/>
                <w:sz w:val="21"/>
                <w:szCs w:val="16"/>
                <w:lang w:val="en-US" w:eastAsia="zh-CN"/>
              </w:rPr>
              <w:t>）</w:t>
            </w:r>
          </w:p>
        </w:tc>
        <w:tc>
          <w:tcPr>
            <w:tcW w:w="0" w:type="auto"/>
            <w:tcBorders>
              <w:top w:val="nil"/>
              <w:left w:val="nil"/>
              <w:bottom w:val="nil"/>
              <w:right w:val="nil"/>
              <w:tl2br w:val="nil"/>
              <w:tr2bl w:val="nil"/>
            </w:tcBorders>
            <w:noWrap w:val="0"/>
            <w:vAlign w:val="center"/>
          </w:tcPr>
          <w:p w14:paraId="420B40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0.510***</w:t>
            </w:r>
          </w:p>
        </w:tc>
        <w:tc>
          <w:tcPr>
            <w:tcW w:w="0" w:type="auto"/>
            <w:tcBorders>
              <w:top w:val="nil"/>
              <w:left w:val="nil"/>
              <w:bottom w:val="nil"/>
              <w:right w:val="nil"/>
              <w:tl2br w:val="nil"/>
              <w:tr2bl w:val="nil"/>
            </w:tcBorders>
            <w:noWrap w:val="0"/>
            <w:vAlign w:val="center"/>
          </w:tcPr>
          <w:p w14:paraId="3801CE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0.520***</w:t>
            </w:r>
          </w:p>
        </w:tc>
        <w:tc>
          <w:tcPr>
            <w:tcW w:w="0" w:type="auto"/>
            <w:tcBorders>
              <w:top w:val="nil"/>
              <w:left w:val="nil"/>
              <w:bottom w:val="nil"/>
              <w:right w:val="nil"/>
              <w:tl2br w:val="nil"/>
              <w:tr2bl w:val="nil"/>
            </w:tcBorders>
            <w:noWrap w:val="0"/>
            <w:vAlign w:val="center"/>
          </w:tcPr>
          <w:p w14:paraId="1E5730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0.475***</w:t>
            </w:r>
          </w:p>
        </w:tc>
        <w:tc>
          <w:tcPr>
            <w:tcW w:w="0" w:type="auto"/>
            <w:tcBorders>
              <w:top w:val="nil"/>
              <w:left w:val="nil"/>
              <w:bottom w:val="nil"/>
              <w:right w:val="nil"/>
              <w:tl2br w:val="nil"/>
              <w:tr2bl w:val="nil"/>
            </w:tcBorders>
            <w:noWrap w:val="0"/>
            <w:vAlign w:val="center"/>
          </w:tcPr>
          <w:p w14:paraId="6DB7DB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0.475***</w:t>
            </w:r>
          </w:p>
        </w:tc>
      </w:tr>
      <w:tr w14:paraId="2F308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left w:val="nil"/>
              <w:bottom w:val="nil"/>
              <w:right w:val="nil"/>
              <w:tl2br w:val="nil"/>
              <w:tr2bl w:val="nil"/>
            </w:tcBorders>
            <w:noWrap w:val="0"/>
            <w:vAlign w:val="center"/>
          </w:tcPr>
          <w:p w14:paraId="250E3B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7C1AAD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5.841)</w:t>
            </w:r>
          </w:p>
        </w:tc>
        <w:tc>
          <w:tcPr>
            <w:tcW w:w="0" w:type="auto"/>
            <w:tcBorders>
              <w:top w:val="nil"/>
              <w:left w:val="nil"/>
              <w:bottom w:val="nil"/>
              <w:right w:val="nil"/>
              <w:tl2br w:val="nil"/>
              <w:tr2bl w:val="nil"/>
            </w:tcBorders>
            <w:noWrap w:val="0"/>
            <w:vAlign w:val="center"/>
          </w:tcPr>
          <w:p w14:paraId="20C9AB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4.400)</w:t>
            </w:r>
          </w:p>
        </w:tc>
        <w:tc>
          <w:tcPr>
            <w:tcW w:w="0" w:type="auto"/>
            <w:tcBorders>
              <w:top w:val="nil"/>
              <w:left w:val="nil"/>
              <w:bottom w:val="nil"/>
              <w:right w:val="nil"/>
              <w:tl2br w:val="nil"/>
              <w:tr2bl w:val="nil"/>
            </w:tcBorders>
            <w:noWrap w:val="0"/>
            <w:vAlign w:val="center"/>
          </w:tcPr>
          <w:p w14:paraId="672185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5.707)</w:t>
            </w:r>
          </w:p>
        </w:tc>
        <w:tc>
          <w:tcPr>
            <w:tcW w:w="0" w:type="auto"/>
            <w:tcBorders>
              <w:top w:val="nil"/>
              <w:left w:val="nil"/>
              <w:bottom w:val="nil"/>
              <w:right w:val="nil"/>
              <w:tl2br w:val="nil"/>
              <w:tr2bl w:val="nil"/>
            </w:tcBorders>
            <w:noWrap w:val="0"/>
            <w:vAlign w:val="center"/>
          </w:tcPr>
          <w:p w14:paraId="5D3B04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4.231)</w:t>
            </w:r>
          </w:p>
        </w:tc>
      </w:tr>
      <w:tr w14:paraId="00CCC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op w:val="nil"/>
              <w:left w:val="nil"/>
              <w:right w:val="nil"/>
              <w:tl2br w:val="nil"/>
              <w:tr2bl w:val="nil"/>
            </w:tcBorders>
            <w:shd w:val="clear" w:color="auto" w:fill="auto"/>
            <w:noWrap w:val="0"/>
            <w:vAlign w:val="center"/>
          </w:tcPr>
          <w:p w14:paraId="72E63E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净资产收益率（ROE）</w:t>
            </w:r>
          </w:p>
        </w:tc>
        <w:tc>
          <w:tcPr>
            <w:tcW w:w="0" w:type="auto"/>
            <w:tcBorders>
              <w:top w:val="nil"/>
              <w:left w:val="nil"/>
              <w:bottom w:val="nil"/>
              <w:right w:val="nil"/>
              <w:tl2br w:val="nil"/>
              <w:tr2bl w:val="nil"/>
            </w:tcBorders>
            <w:noWrap w:val="0"/>
            <w:vAlign w:val="center"/>
          </w:tcPr>
          <w:p w14:paraId="3FEF08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3CA8B7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75BA95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0.415***</w:t>
            </w:r>
          </w:p>
        </w:tc>
        <w:tc>
          <w:tcPr>
            <w:tcW w:w="0" w:type="auto"/>
            <w:tcBorders>
              <w:top w:val="nil"/>
              <w:left w:val="nil"/>
              <w:bottom w:val="nil"/>
              <w:right w:val="nil"/>
              <w:tl2br w:val="nil"/>
              <w:tr2bl w:val="nil"/>
            </w:tcBorders>
            <w:noWrap w:val="0"/>
            <w:vAlign w:val="center"/>
          </w:tcPr>
          <w:p w14:paraId="4A6AAD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0.333***</w:t>
            </w:r>
          </w:p>
        </w:tc>
      </w:tr>
      <w:tr w14:paraId="1C883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left w:val="nil"/>
              <w:bottom w:val="nil"/>
              <w:right w:val="nil"/>
              <w:tl2br w:val="nil"/>
              <w:tr2bl w:val="nil"/>
            </w:tcBorders>
            <w:noWrap w:val="0"/>
            <w:vAlign w:val="center"/>
          </w:tcPr>
          <w:p w14:paraId="16C61B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6C77E8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0FC7B5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0C5ED4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6.598)</w:t>
            </w:r>
          </w:p>
        </w:tc>
        <w:tc>
          <w:tcPr>
            <w:tcW w:w="0" w:type="auto"/>
            <w:tcBorders>
              <w:top w:val="nil"/>
              <w:left w:val="nil"/>
              <w:bottom w:val="nil"/>
              <w:right w:val="nil"/>
              <w:tl2br w:val="nil"/>
              <w:tr2bl w:val="nil"/>
            </w:tcBorders>
            <w:noWrap w:val="0"/>
            <w:vAlign w:val="center"/>
          </w:tcPr>
          <w:p w14:paraId="11D6E3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5.275)</w:t>
            </w:r>
          </w:p>
        </w:tc>
      </w:tr>
      <w:tr w14:paraId="5B7C6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op w:val="nil"/>
              <w:left w:val="nil"/>
              <w:right w:val="nil"/>
              <w:tl2br w:val="nil"/>
              <w:tr2bl w:val="nil"/>
            </w:tcBorders>
            <w:shd w:val="clear" w:color="auto" w:fill="auto"/>
            <w:noWrap w:val="0"/>
            <w:vAlign w:val="center"/>
          </w:tcPr>
          <w:p w14:paraId="50A1E5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ESG表现（ESG）</w:t>
            </w:r>
          </w:p>
        </w:tc>
        <w:tc>
          <w:tcPr>
            <w:tcW w:w="0" w:type="auto"/>
            <w:tcBorders>
              <w:top w:val="nil"/>
              <w:left w:val="nil"/>
              <w:bottom w:val="nil"/>
              <w:right w:val="nil"/>
              <w:tl2br w:val="nil"/>
              <w:tr2bl w:val="nil"/>
            </w:tcBorders>
            <w:noWrap w:val="0"/>
            <w:vAlign w:val="center"/>
          </w:tcPr>
          <w:p w14:paraId="1CD018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1FBC8C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71CBF3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0.155</w:t>
            </w:r>
          </w:p>
        </w:tc>
        <w:tc>
          <w:tcPr>
            <w:tcW w:w="0" w:type="auto"/>
            <w:tcBorders>
              <w:top w:val="nil"/>
              <w:left w:val="nil"/>
              <w:bottom w:val="nil"/>
              <w:right w:val="nil"/>
              <w:tl2br w:val="nil"/>
              <w:tr2bl w:val="nil"/>
            </w:tcBorders>
            <w:noWrap w:val="0"/>
            <w:vAlign w:val="center"/>
          </w:tcPr>
          <w:p w14:paraId="54DC77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0.0122</w:t>
            </w:r>
          </w:p>
        </w:tc>
      </w:tr>
      <w:tr w14:paraId="4A13F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left w:val="nil"/>
              <w:bottom w:val="nil"/>
              <w:right w:val="nil"/>
              <w:tl2br w:val="nil"/>
              <w:tr2bl w:val="nil"/>
            </w:tcBorders>
            <w:noWrap w:val="0"/>
            <w:vAlign w:val="center"/>
          </w:tcPr>
          <w:p w14:paraId="66660AC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29FDA6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304FDE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19D628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1.275)</w:t>
            </w:r>
          </w:p>
        </w:tc>
        <w:tc>
          <w:tcPr>
            <w:tcW w:w="0" w:type="auto"/>
            <w:tcBorders>
              <w:top w:val="nil"/>
              <w:left w:val="nil"/>
              <w:bottom w:val="nil"/>
              <w:right w:val="nil"/>
              <w:tl2br w:val="nil"/>
              <w:tr2bl w:val="nil"/>
            </w:tcBorders>
            <w:noWrap w:val="0"/>
            <w:vAlign w:val="center"/>
          </w:tcPr>
          <w:p w14:paraId="349844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(0.105)</w:t>
            </w:r>
          </w:p>
        </w:tc>
      </w:tr>
      <w:tr w14:paraId="5B5D7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op w:val="nil"/>
              <w:left w:val="nil"/>
              <w:right w:val="nil"/>
              <w:tl2br w:val="nil"/>
              <w:tr2bl w:val="nil"/>
            </w:tcBorders>
            <w:shd w:val="clear" w:color="auto" w:fill="auto"/>
            <w:noWrap w:val="0"/>
            <w:vAlign w:val="center"/>
          </w:tcPr>
          <w:p w14:paraId="724518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GDP累计同比增长率(GDP_Growth)</w:t>
            </w:r>
          </w:p>
        </w:tc>
        <w:tc>
          <w:tcPr>
            <w:tcW w:w="0" w:type="auto"/>
            <w:tcBorders>
              <w:top w:val="nil"/>
              <w:left w:val="nil"/>
              <w:bottom w:val="nil"/>
              <w:right w:val="nil"/>
              <w:tl2br w:val="nil"/>
              <w:tr2bl w:val="nil"/>
            </w:tcBorders>
            <w:noWrap w:val="0"/>
            <w:vAlign w:val="center"/>
          </w:tcPr>
          <w:p w14:paraId="0D76D1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6B900C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271EF3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0.133***</w:t>
            </w:r>
          </w:p>
        </w:tc>
        <w:tc>
          <w:tcPr>
            <w:tcW w:w="0" w:type="auto"/>
            <w:tcBorders>
              <w:top w:val="nil"/>
              <w:left w:val="nil"/>
              <w:bottom w:val="nil"/>
              <w:right w:val="nil"/>
              <w:tl2br w:val="nil"/>
              <w:tr2bl w:val="nil"/>
            </w:tcBorders>
            <w:noWrap w:val="0"/>
            <w:vAlign w:val="center"/>
          </w:tcPr>
          <w:p w14:paraId="05CAF0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0.125***</w:t>
            </w:r>
          </w:p>
        </w:tc>
      </w:tr>
      <w:tr w14:paraId="0C0CF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left w:val="nil"/>
              <w:bottom w:val="nil"/>
              <w:right w:val="nil"/>
              <w:tl2br w:val="nil"/>
              <w:tr2bl w:val="nil"/>
            </w:tcBorders>
            <w:noWrap w:val="0"/>
            <w:vAlign w:val="center"/>
          </w:tcPr>
          <w:p w14:paraId="34B58F6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28E59E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7C80F7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0BC5F2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(3.885)</w:t>
            </w:r>
          </w:p>
        </w:tc>
        <w:tc>
          <w:tcPr>
            <w:tcW w:w="0" w:type="auto"/>
            <w:tcBorders>
              <w:top w:val="nil"/>
              <w:left w:val="nil"/>
              <w:bottom w:val="nil"/>
              <w:right w:val="nil"/>
              <w:tl2br w:val="nil"/>
              <w:tr2bl w:val="nil"/>
            </w:tcBorders>
            <w:noWrap w:val="0"/>
            <w:vAlign w:val="center"/>
          </w:tcPr>
          <w:p w14:paraId="327895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(4.500)</w:t>
            </w:r>
          </w:p>
        </w:tc>
      </w:tr>
      <w:tr w14:paraId="1A790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op w:val="nil"/>
              <w:left w:val="nil"/>
              <w:right w:val="nil"/>
              <w:tl2br w:val="nil"/>
              <w:tr2bl w:val="nil"/>
            </w:tcBorders>
            <w:shd w:val="clear" w:color="auto" w:fill="auto"/>
            <w:noWrap w:val="0"/>
            <w:vAlign w:val="center"/>
          </w:tcPr>
          <w:p w14:paraId="51098D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资本资产率（CAR）</w:t>
            </w:r>
          </w:p>
        </w:tc>
        <w:tc>
          <w:tcPr>
            <w:tcW w:w="0" w:type="auto"/>
            <w:tcBorders>
              <w:top w:val="nil"/>
              <w:left w:val="nil"/>
              <w:bottom w:val="nil"/>
              <w:right w:val="nil"/>
              <w:tl2br w:val="nil"/>
              <w:tr2bl w:val="nil"/>
            </w:tcBorders>
            <w:noWrap w:val="0"/>
            <w:vAlign w:val="center"/>
          </w:tcPr>
          <w:p w14:paraId="389469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7DD7AB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l2br w:val="nil"/>
              <w:tr2bl w:val="nil"/>
            </w:tcBorders>
            <w:noWrap w:val="0"/>
            <w:vAlign w:val="center"/>
          </w:tcPr>
          <w:p w14:paraId="2F880E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0.244**</w:t>
            </w:r>
          </w:p>
        </w:tc>
        <w:tc>
          <w:tcPr>
            <w:tcW w:w="0" w:type="auto"/>
            <w:tcBorders>
              <w:top w:val="nil"/>
              <w:left w:val="nil"/>
              <w:bottom w:val="nil"/>
              <w:right w:val="nil"/>
              <w:tl2br w:val="nil"/>
              <w:tr2bl w:val="nil"/>
            </w:tcBorders>
            <w:noWrap w:val="0"/>
            <w:vAlign w:val="center"/>
          </w:tcPr>
          <w:p w14:paraId="1D1415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0.258**</w:t>
            </w:r>
          </w:p>
        </w:tc>
      </w:tr>
      <w:tr w14:paraId="54F27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left w:val="nil"/>
              <w:bottom w:val="single" w:color="auto" w:sz="6" w:space="0"/>
              <w:right w:val="nil"/>
              <w:tl2br w:val="nil"/>
              <w:tr2bl w:val="nil"/>
            </w:tcBorders>
            <w:noWrap w:val="0"/>
            <w:vAlign w:val="center"/>
          </w:tcPr>
          <w:p w14:paraId="596E3C8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single" w:color="auto" w:sz="6" w:space="0"/>
              <w:right w:val="nil"/>
              <w:tl2br w:val="nil"/>
              <w:tr2bl w:val="nil"/>
            </w:tcBorders>
            <w:noWrap w:val="0"/>
            <w:vAlign w:val="center"/>
          </w:tcPr>
          <w:p w14:paraId="56588D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single" w:color="auto" w:sz="6" w:space="0"/>
              <w:right w:val="nil"/>
              <w:tl2br w:val="nil"/>
              <w:tr2bl w:val="nil"/>
            </w:tcBorders>
            <w:noWrap w:val="0"/>
            <w:vAlign w:val="center"/>
          </w:tcPr>
          <w:p w14:paraId="5F668D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single" w:color="auto" w:sz="6" w:space="0"/>
              <w:right w:val="nil"/>
              <w:tl2br w:val="nil"/>
              <w:tr2bl w:val="nil"/>
            </w:tcBorders>
            <w:noWrap w:val="0"/>
            <w:vAlign w:val="center"/>
          </w:tcPr>
          <w:p w14:paraId="3A29F3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2.153)</w:t>
            </w:r>
          </w:p>
        </w:tc>
        <w:tc>
          <w:tcPr>
            <w:tcW w:w="0" w:type="auto"/>
            <w:tcBorders>
              <w:top w:val="nil"/>
              <w:left w:val="nil"/>
              <w:bottom w:val="single" w:color="auto" w:sz="6" w:space="0"/>
              <w:right w:val="nil"/>
              <w:tl2br w:val="nil"/>
              <w:tr2bl w:val="nil"/>
            </w:tcBorders>
            <w:noWrap w:val="0"/>
            <w:vAlign w:val="center"/>
          </w:tcPr>
          <w:p w14:paraId="13D7E1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2.019)</w:t>
            </w:r>
          </w:p>
        </w:tc>
      </w:tr>
      <w:tr w14:paraId="5C82A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top w:val="single" w:color="auto" w:sz="6" w:space="0"/>
              <w:left w:val="nil"/>
              <w:right w:val="nil"/>
            </w:tcBorders>
            <w:noWrap w:val="0"/>
            <w:vAlign w:val="center"/>
          </w:tcPr>
          <w:p w14:paraId="7D51058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Constant</w:t>
            </w:r>
          </w:p>
        </w:tc>
        <w:tc>
          <w:tcPr>
            <w:tcW w:w="0" w:type="auto"/>
            <w:tcBorders>
              <w:top w:val="single" w:color="auto" w:sz="6" w:space="0"/>
              <w:left w:val="nil"/>
              <w:bottom w:val="nil"/>
              <w:right w:val="nil"/>
            </w:tcBorders>
            <w:noWrap w:val="0"/>
            <w:vAlign w:val="center"/>
          </w:tcPr>
          <w:p w14:paraId="30F582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0.0662***</w:t>
            </w:r>
          </w:p>
        </w:tc>
        <w:tc>
          <w:tcPr>
            <w:tcW w:w="0" w:type="auto"/>
            <w:tcBorders>
              <w:top w:val="single" w:color="auto" w:sz="6" w:space="0"/>
              <w:left w:val="nil"/>
              <w:bottom w:val="nil"/>
              <w:right w:val="nil"/>
            </w:tcBorders>
            <w:noWrap w:val="0"/>
            <w:vAlign w:val="center"/>
          </w:tcPr>
          <w:p w14:paraId="27C6C2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－0</w:t>
            </w:r>
            <w:r>
              <w:rPr>
                <w:rFonts w:hint="default" w:ascii="Times New Roman" w:hAnsi="Times New Roman" w:eastAsia="宋体" w:cs="Times New Roman"/>
                <w:b w:val="0"/>
                <w:bCs w:val="0"/>
                <w:sz w:val="21"/>
                <w:szCs w:val="16"/>
                <w:lang w:val="en-US" w:eastAsia="zh-CN"/>
              </w:rPr>
              <w:t>.0669***</w:t>
            </w:r>
          </w:p>
        </w:tc>
        <w:tc>
          <w:tcPr>
            <w:tcW w:w="0" w:type="auto"/>
            <w:tcBorders>
              <w:top w:val="single" w:color="auto" w:sz="6" w:space="0"/>
              <w:left w:val="nil"/>
              <w:bottom w:val="nil"/>
              <w:right w:val="nil"/>
            </w:tcBorders>
            <w:noWrap w:val="0"/>
            <w:vAlign w:val="center"/>
          </w:tcPr>
          <w:p w14:paraId="5608FA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0.0668***</w:t>
            </w:r>
          </w:p>
        </w:tc>
        <w:tc>
          <w:tcPr>
            <w:tcW w:w="0" w:type="auto"/>
            <w:tcBorders>
              <w:top w:val="single" w:color="auto" w:sz="6" w:space="0"/>
              <w:left w:val="nil"/>
              <w:bottom w:val="nil"/>
              <w:right w:val="nil"/>
            </w:tcBorders>
            <w:noWrap w:val="0"/>
            <w:vAlign w:val="center"/>
          </w:tcPr>
          <w:p w14:paraId="0D10BA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0.0624***</w:t>
            </w:r>
          </w:p>
        </w:tc>
      </w:tr>
      <w:tr w14:paraId="5E9E7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left w:val="nil"/>
              <w:bottom w:val="nil"/>
              <w:right w:val="nil"/>
            </w:tcBorders>
            <w:noWrap w:val="0"/>
            <w:vAlign w:val="center"/>
          </w:tcPr>
          <w:p w14:paraId="455C64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p>
        </w:tc>
        <w:tc>
          <w:tcPr>
            <w:tcW w:w="0" w:type="auto"/>
            <w:tcBorders>
              <w:top w:val="nil"/>
              <w:left w:val="nil"/>
              <w:bottom w:val="nil"/>
              <w:right w:val="nil"/>
            </w:tcBorders>
            <w:noWrap w:val="0"/>
            <w:vAlign w:val="center"/>
          </w:tcPr>
          <w:p w14:paraId="5F7FDD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3.710)</w:t>
            </w:r>
          </w:p>
        </w:tc>
        <w:tc>
          <w:tcPr>
            <w:tcW w:w="0" w:type="auto"/>
            <w:tcBorders>
              <w:top w:val="nil"/>
              <w:left w:val="nil"/>
              <w:bottom w:val="nil"/>
              <w:right w:val="nil"/>
            </w:tcBorders>
            <w:noWrap w:val="0"/>
            <w:vAlign w:val="center"/>
          </w:tcPr>
          <w:p w14:paraId="5AA175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4.270)</w:t>
            </w:r>
          </w:p>
        </w:tc>
        <w:tc>
          <w:tcPr>
            <w:tcW w:w="0" w:type="auto"/>
            <w:tcBorders>
              <w:top w:val="nil"/>
              <w:left w:val="nil"/>
              <w:bottom w:val="nil"/>
              <w:right w:val="nil"/>
            </w:tcBorders>
            <w:noWrap w:val="0"/>
            <w:vAlign w:val="center"/>
          </w:tcPr>
          <w:p w14:paraId="3CBE19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3.971)</w:t>
            </w:r>
          </w:p>
        </w:tc>
        <w:tc>
          <w:tcPr>
            <w:tcW w:w="0" w:type="auto"/>
            <w:tcBorders>
              <w:top w:val="nil"/>
              <w:left w:val="nil"/>
              <w:bottom w:val="nil"/>
              <w:right w:val="nil"/>
            </w:tcBorders>
            <w:noWrap w:val="0"/>
            <w:vAlign w:val="center"/>
          </w:tcPr>
          <w:p w14:paraId="0FA21F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4.106)</w:t>
            </w:r>
          </w:p>
        </w:tc>
      </w:tr>
      <w:tr w14:paraId="4DA2C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left w:val="nil"/>
              <w:bottom w:val="nil"/>
              <w:right w:val="nil"/>
            </w:tcBorders>
            <w:noWrap w:val="0"/>
            <w:vAlign w:val="center"/>
          </w:tcPr>
          <w:p w14:paraId="44AE884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Fe</w:t>
            </w:r>
          </w:p>
        </w:tc>
        <w:tc>
          <w:tcPr>
            <w:tcW w:w="0" w:type="auto"/>
            <w:tcBorders>
              <w:top w:val="nil"/>
              <w:left w:val="nil"/>
              <w:bottom w:val="nil"/>
              <w:right w:val="nil"/>
            </w:tcBorders>
            <w:noWrap w:val="0"/>
            <w:vAlign w:val="center"/>
          </w:tcPr>
          <w:p w14:paraId="1CCF99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NO</w:t>
            </w:r>
          </w:p>
        </w:tc>
        <w:tc>
          <w:tcPr>
            <w:tcW w:w="0" w:type="auto"/>
            <w:tcBorders>
              <w:top w:val="nil"/>
              <w:left w:val="nil"/>
              <w:bottom w:val="nil"/>
              <w:right w:val="nil"/>
            </w:tcBorders>
            <w:noWrap w:val="0"/>
            <w:vAlign w:val="center"/>
          </w:tcPr>
          <w:p w14:paraId="126F9F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YES</w:t>
            </w:r>
          </w:p>
        </w:tc>
        <w:tc>
          <w:tcPr>
            <w:tcW w:w="0" w:type="auto"/>
            <w:tcBorders>
              <w:top w:val="nil"/>
              <w:left w:val="nil"/>
              <w:bottom w:val="nil"/>
              <w:right w:val="nil"/>
            </w:tcBorders>
            <w:noWrap w:val="0"/>
            <w:vAlign w:val="center"/>
          </w:tcPr>
          <w:p w14:paraId="41C35D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NO</w:t>
            </w:r>
          </w:p>
        </w:tc>
        <w:tc>
          <w:tcPr>
            <w:tcW w:w="0" w:type="auto"/>
            <w:tcBorders>
              <w:top w:val="nil"/>
              <w:left w:val="nil"/>
              <w:bottom w:val="nil"/>
              <w:right w:val="nil"/>
            </w:tcBorders>
            <w:noWrap w:val="0"/>
            <w:vAlign w:val="center"/>
          </w:tcPr>
          <w:p w14:paraId="68F753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YES</w:t>
            </w:r>
          </w:p>
        </w:tc>
      </w:tr>
      <w:tr w14:paraId="427BD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left w:val="nil"/>
              <w:bottom w:val="nil"/>
              <w:right w:val="nil"/>
            </w:tcBorders>
            <w:noWrap w:val="0"/>
            <w:vAlign w:val="center"/>
          </w:tcPr>
          <w:p w14:paraId="68C3DA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Observations</w:t>
            </w:r>
          </w:p>
        </w:tc>
        <w:tc>
          <w:tcPr>
            <w:tcW w:w="0" w:type="auto"/>
            <w:tcBorders>
              <w:top w:val="nil"/>
              <w:left w:val="nil"/>
              <w:bottom w:val="nil"/>
              <w:right w:val="nil"/>
            </w:tcBorders>
            <w:noWrap w:val="0"/>
            <w:vAlign w:val="center"/>
          </w:tcPr>
          <w:p w14:paraId="51AB25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270</w:t>
            </w:r>
          </w:p>
        </w:tc>
        <w:tc>
          <w:tcPr>
            <w:tcW w:w="0" w:type="auto"/>
            <w:tcBorders>
              <w:top w:val="nil"/>
              <w:left w:val="nil"/>
              <w:bottom w:val="nil"/>
              <w:right w:val="nil"/>
            </w:tcBorders>
            <w:noWrap w:val="0"/>
            <w:vAlign w:val="center"/>
          </w:tcPr>
          <w:p w14:paraId="374CB2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270</w:t>
            </w:r>
          </w:p>
        </w:tc>
        <w:tc>
          <w:tcPr>
            <w:tcW w:w="0" w:type="auto"/>
            <w:tcBorders>
              <w:top w:val="nil"/>
              <w:left w:val="nil"/>
              <w:bottom w:val="nil"/>
              <w:right w:val="nil"/>
            </w:tcBorders>
            <w:noWrap w:val="0"/>
            <w:vAlign w:val="center"/>
          </w:tcPr>
          <w:p w14:paraId="705452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270</w:t>
            </w:r>
          </w:p>
        </w:tc>
        <w:tc>
          <w:tcPr>
            <w:tcW w:w="0" w:type="auto"/>
            <w:tcBorders>
              <w:top w:val="nil"/>
              <w:left w:val="nil"/>
              <w:bottom w:val="nil"/>
              <w:right w:val="nil"/>
            </w:tcBorders>
            <w:noWrap w:val="0"/>
            <w:vAlign w:val="center"/>
          </w:tcPr>
          <w:p w14:paraId="1BA495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270</w:t>
            </w:r>
          </w:p>
        </w:tc>
      </w:tr>
      <w:tr w14:paraId="3A454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left w:val="nil"/>
              <w:bottom w:val="nil"/>
              <w:right w:val="nil"/>
            </w:tcBorders>
            <w:noWrap w:val="0"/>
            <w:vAlign w:val="center"/>
          </w:tcPr>
          <w:p w14:paraId="604E8A6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R</w:t>
            </w:r>
            <w:r>
              <w:rPr>
                <w:rFonts w:hint="eastAsia" w:ascii="Times New Roman" w:hAnsi="Times New Roman" w:eastAsia="宋体" w:cs="Times New Roman"/>
                <w:b w:val="0"/>
                <w:bCs w:val="0"/>
                <w:sz w:val="21"/>
                <w:szCs w:val="16"/>
                <w:lang w:val="en-US" w:eastAsia="zh-CN"/>
              </w:rPr>
              <w:t>－</w:t>
            </w:r>
            <w:r>
              <w:rPr>
                <w:rFonts w:hint="default" w:ascii="Times New Roman" w:hAnsi="Times New Roman" w:eastAsia="宋体" w:cs="Times New Roman"/>
                <w:b w:val="0"/>
                <w:bCs w:val="0"/>
                <w:sz w:val="21"/>
                <w:szCs w:val="16"/>
                <w:lang w:val="en-US" w:eastAsia="zh-CN"/>
              </w:rPr>
              <w:t>squared</w:t>
            </w:r>
          </w:p>
        </w:tc>
        <w:tc>
          <w:tcPr>
            <w:tcW w:w="0" w:type="auto"/>
            <w:tcBorders>
              <w:top w:val="nil"/>
              <w:left w:val="nil"/>
              <w:bottom w:val="nil"/>
              <w:right w:val="nil"/>
            </w:tcBorders>
            <w:noWrap w:val="0"/>
            <w:vAlign w:val="center"/>
          </w:tcPr>
          <w:p w14:paraId="37A0BC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0.113</w:t>
            </w:r>
          </w:p>
        </w:tc>
        <w:tc>
          <w:tcPr>
            <w:tcW w:w="0" w:type="auto"/>
            <w:tcBorders>
              <w:top w:val="nil"/>
              <w:left w:val="nil"/>
              <w:bottom w:val="nil"/>
              <w:right w:val="nil"/>
            </w:tcBorders>
            <w:noWrap w:val="0"/>
            <w:vAlign w:val="center"/>
          </w:tcPr>
          <w:p w14:paraId="6D30AF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0.074</w:t>
            </w:r>
          </w:p>
        </w:tc>
        <w:tc>
          <w:tcPr>
            <w:tcW w:w="0" w:type="auto"/>
            <w:tcBorders>
              <w:top w:val="nil"/>
              <w:left w:val="nil"/>
              <w:bottom w:val="nil"/>
              <w:right w:val="nil"/>
            </w:tcBorders>
            <w:noWrap w:val="0"/>
            <w:vAlign w:val="center"/>
          </w:tcPr>
          <w:p w14:paraId="799C1D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0.265</w:t>
            </w:r>
          </w:p>
        </w:tc>
        <w:tc>
          <w:tcPr>
            <w:tcW w:w="0" w:type="auto"/>
            <w:tcBorders>
              <w:top w:val="nil"/>
              <w:left w:val="nil"/>
              <w:bottom w:val="nil"/>
              <w:right w:val="nil"/>
            </w:tcBorders>
            <w:noWrap w:val="0"/>
            <w:vAlign w:val="center"/>
          </w:tcPr>
          <w:p w14:paraId="4C6D01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0.210</w:t>
            </w:r>
          </w:p>
        </w:tc>
      </w:tr>
      <w:tr w14:paraId="2B898659">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left w:val="nil"/>
              <w:bottom w:val="single" w:color="auto" w:sz="6" w:space="0"/>
              <w:right w:val="nil"/>
            </w:tcBorders>
            <w:noWrap w:val="0"/>
            <w:vAlign w:val="center"/>
          </w:tcPr>
          <w:p w14:paraId="25C93A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Number of idd</w:t>
            </w:r>
          </w:p>
        </w:tc>
        <w:tc>
          <w:tcPr>
            <w:tcW w:w="0" w:type="auto"/>
            <w:tcBorders>
              <w:top w:val="nil"/>
              <w:left w:val="nil"/>
              <w:bottom w:val="single" w:color="auto" w:sz="6" w:space="0"/>
              <w:right w:val="nil"/>
            </w:tcBorders>
            <w:noWrap w:val="0"/>
            <w:vAlign w:val="center"/>
          </w:tcPr>
          <w:p w14:paraId="68BD09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27</w:t>
            </w:r>
          </w:p>
        </w:tc>
        <w:tc>
          <w:tcPr>
            <w:tcW w:w="0" w:type="auto"/>
            <w:tcBorders>
              <w:top w:val="nil"/>
              <w:left w:val="nil"/>
              <w:bottom w:val="single" w:color="auto" w:sz="6" w:space="0"/>
              <w:right w:val="nil"/>
            </w:tcBorders>
            <w:noWrap w:val="0"/>
            <w:vAlign w:val="center"/>
          </w:tcPr>
          <w:p w14:paraId="33F47F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27</w:t>
            </w:r>
          </w:p>
        </w:tc>
        <w:tc>
          <w:tcPr>
            <w:tcW w:w="0" w:type="auto"/>
            <w:tcBorders>
              <w:top w:val="nil"/>
              <w:left w:val="nil"/>
              <w:bottom w:val="single" w:color="auto" w:sz="6" w:space="0"/>
              <w:right w:val="nil"/>
            </w:tcBorders>
            <w:noWrap w:val="0"/>
            <w:vAlign w:val="center"/>
          </w:tcPr>
          <w:p w14:paraId="1428A4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2</w:t>
            </w:r>
            <w:r>
              <w:rPr>
                <w:rFonts w:hint="default" w:ascii="Times New Roman" w:hAnsi="Times New Roman" w:eastAsia="宋体" w:cs="Times New Roman"/>
                <w:b w:val="0"/>
                <w:bCs w:val="0"/>
                <w:sz w:val="21"/>
                <w:szCs w:val="16"/>
                <w:lang w:val="en-US" w:eastAsia="zh-CN"/>
              </w:rPr>
              <w:t>7</w:t>
            </w:r>
          </w:p>
        </w:tc>
        <w:tc>
          <w:tcPr>
            <w:tcW w:w="0" w:type="auto"/>
            <w:tcBorders>
              <w:top w:val="nil"/>
              <w:left w:val="nil"/>
              <w:bottom w:val="single" w:color="auto" w:sz="6" w:space="0"/>
              <w:right w:val="nil"/>
            </w:tcBorders>
            <w:noWrap w:val="0"/>
            <w:vAlign w:val="center"/>
          </w:tcPr>
          <w:p w14:paraId="6D924A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default" w:ascii="Times New Roman" w:hAnsi="Times New Roman" w:eastAsia="宋体" w:cs="Times New Roman"/>
                <w:b w:val="0"/>
                <w:bCs w:val="0"/>
                <w:sz w:val="21"/>
                <w:szCs w:val="16"/>
                <w:lang w:val="en-US" w:eastAsia="zh-CN"/>
              </w:rPr>
              <w:t>27</w:t>
            </w:r>
          </w:p>
        </w:tc>
      </w:tr>
    </w:tbl>
    <w:p w14:paraId="550A11FB">
      <w:pPr>
        <w:pageBreakBefore w:val="0"/>
        <w:kinsoku/>
        <w:wordWrap/>
        <w:overflowPunct/>
        <w:topLinePunct w:val="0"/>
        <w:autoSpaceDE/>
        <w:autoSpaceDN/>
        <w:bidi w:val="0"/>
        <w:spacing w:line="300" w:lineRule="auto"/>
        <w:ind w:firstLine="420" w:firstLineChars="200"/>
        <w:jc w:val="center"/>
        <w:textAlignment w:val="auto"/>
        <w:rPr>
          <w:rFonts w:hint="default" w:ascii="Times New Roman" w:hAnsi="Times New Roman" w:eastAsia="宋体" w:cs="Times New Roman"/>
          <w:strike w:val="0"/>
          <w:sz w:val="24"/>
          <w:szCs w:val="24"/>
          <w:lang w:val="en-US" w:eastAsia="zh-CN"/>
        </w:rPr>
      </w:pPr>
      <w:r>
        <w:rPr>
          <w:rFonts w:hint="default" w:ascii="黑体" w:hAnsi="黑体" w:eastAsia="黑体" w:cs="黑体"/>
          <w:b w:val="0"/>
          <w:bCs w:val="0"/>
          <w:sz w:val="21"/>
          <w:szCs w:val="18"/>
          <w:lang w:val="en-US" w:eastAsia="zh-CN"/>
        </w:rPr>
        <w:t>表3 基准回归分析</w:t>
      </w:r>
    </w:p>
    <w:p w14:paraId="06E434D9">
      <w:pPr>
        <w:keepNext w:val="0"/>
        <w:keepLines w:val="0"/>
        <w:pageBreakBefore w:val="0"/>
        <w:widowControl w:val="0"/>
        <w:kinsoku/>
        <w:wordWrap/>
        <w:overflowPunct/>
        <w:topLinePunct w:val="0"/>
        <w:autoSpaceDE/>
        <w:autoSpaceDN/>
        <w:bidi w:val="0"/>
        <w:adjustRightInd/>
        <w:snapToGrid/>
        <w:spacing w:line="300" w:lineRule="auto"/>
        <w:ind w:firstLine="422" w:firstLineChars="200"/>
        <w:textAlignment w:val="auto"/>
        <w:rPr>
          <w:rFonts w:hint="default" w:ascii="Times New Roman" w:hAnsi="Times New Roman" w:eastAsia="宋体" w:cs="Times New Roman"/>
          <w:b/>
          <w:bCs/>
          <w:sz w:val="21"/>
          <w:szCs w:val="18"/>
        </w:rPr>
      </w:pPr>
      <w:r>
        <w:rPr>
          <w:rFonts w:hint="default" w:ascii="Times New Roman" w:hAnsi="Times New Roman" w:eastAsia="宋体" w:cs="Times New Roman"/>
          <w:b/>
          <w:bCs/>
          <w:sz w:val="21"/>
          <w:szCs w:val="18"/>
        </w:rPr>
        <w:t>注：括号里为标准误差，*表示</w:t>
      </w:r>
      <w:r>
        <w:rPr>
          <w:rFonts w:hint="default" w:ascii="Times New Roman" w:hAnsi="Times New Roman" w:eastAsia="宋体" w:cs="Times New Roman"/>
          <w:b/>
          <w:bCs/>
          <w:position w:val="-10"/>
          <w:sz w:val="21"/>
          <w:szCs w:val="30"/>
        </w:rPr>
        <w:object>
          <v:shape id="_x0000_i1029"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29" DrawAspect="Content" ObjectID="_1468075729" r:id="rId16">
            <o:LockedField>false</o:LockedField>
          </o:OLEObject>
        </w:object>
      </w:r>
      <w:r>
        <w:rPr>
          <w:rFonts w:hint="default" w:ascii="Times New Roman" w:hAnsi="Times New Roman" w:eastAsia="宋体" w:cs="Times New Roman"/>
          <w:b/>
          <w:bCs/>
          <w:sz w:val="21"/>
          <w:szCs w:val="18"/>
        </w:rPr>
        <w:t xml:space="preserve">&lt;0.1，**表示 </w:t>
      </w:r>
      <w:r>
        <w:rPr>
          <w:rFonts w:hint="default" w:ascii="Times New Roman" w:hAnsi="Times New Roman" w:eastAsia="宋体" w:cs="Times New Roman"/>
          <w:b/>
          <w:bCs/>
          <w:position w:val="-10"/>
          <w:sz w:val="21"/>
          <w:szCs w:val="30"/>
        </w:rPr>
        <w:object>
          <v:shape id="_x0000_i1030"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8">
            <o:LockedField>false</o:LockedField>
          </o:OLEObject>
        </w:object>
      </w:r>
      <w:r>
        <w:rPr>
          <w:rFonts w:hint="default" w:ascii="Times New Roman" w:hAnsi="Times New Roman" w:eastAsia="宋体" w:cs="Times New Roman"/>
          <w:b/>
          <w:bCs/>
          <w:sz w:val="21"/>
          <w:szCs w:val="18"/>
        </w:rPr>
        <w:t>&lt;0.05，***表示</w:t>
      </w:r>
      <w:r>
        <w:rPr>
          <w:rFonts w:hint="default" w:ascii="Times New Roman" w:hAnsi="Times New Roman" w:eastAsia="宋体" w:cs="Times New Roman"/>
          <w:b/>
          <w:bCs/>
          <w:position w:val="-10"/>
          <w:sz w:val="21"/>
          <w:szCs w:val="30"/>
        </w:rPr>
        <w:object>
          <v:shape id="_x0000_i1031"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31" DrawAspect="Content" ObjectID="_1468075731" r:id="rId19">
            <o:LockedField>false</o:LockedField>
          </o:OLEObject>
        </w:object>
      </w:r>
      <w:r>
        <w:rPr>
          <w:rFonts w:hint="default" w:ascii="Times New Roman" w:hAnsi="Times New Roman" w:eastAsia="宋体" w:cs="Times New Roman"/>
          <w:b/>
          <w:bCs/>
          <w:sz w:val="21"/>
          <w:szCs w:val="18"/>
        </w:rPr>
        <w:t>&lt;0.01。</w:t>
      </w:r>
    </w:p>
    <w:p w14:paraId="1D525E5A">
      <w:pPr>
        <w:bidi w:val="0"/>
        <w:rPr>
          <w:rFonts w:hint="default"/>
          <w:lang w:val="en-US" w:eastAsia="zh-CN"/>
        </w:rPr>
      </w:pPr>
      <w:r>
        <w:rPr>
          <w:rFonts w:hint="default"/>
          <w:lang w:val="en-US" w:eastAsia="zh-CN"/>
        </w:rPr>
        <w:t>其中列（1）为未加入控制变量且未控制个体与年份的回归结果，列（2）为未加入控制变量且控制个体与年份的回归结果，列（3</w:t>
      </w:r>
      <w:r>
        <w:rPr>
          <w:rFonts w:hint="eastAsia"/>
          <w:lang w:val="en-US" w:eastAsia="zh-CN"/>
        </w:rPr>
        <w:t>）为</w:t>
      </w:r>
      <w:r>
        <w:rPr>
          <w:rFonts w:hint="default"/>
          <w:lang w:val="en-US" w:eastAsia="zh-CN"/>
        </w:rPr>
        <w:t>加入控制变量且未控制个体与年份的回归结果，列（4）为加入控制变量且控制个体与年份的回归结果。数字化转型程度对银行信贷风险的系数均在 1% 的显著性水平上正相关，加入控制变量且未控制个体与年份的模型（3）的 R2最大，模型拟合效果最好。</w:t>
      </w:r>
    </w:p>
    <w:p w14:paraId="5DA9C1A2">
      <w:pPr>
        <w:bidi w:val="0"/>
        <w:rPr>
          <w:rFonts w:hint="default" w:ascii="Times New Roman" w:hAnsi="Times New Roman" w:eastAsia="宋体" w:cs="Times New Roman"/>
          <w:b/>
          <w:bCs/>
          <w:szCs w:val="18"/>
          <w:lang w:val="en-US" w:eastAsia="zh-CN"/>
        </w:rPr>
      </w:pPr>
      <w:r>
        <w:rPr>
          <w:rFonts w:hint="eastAsia"/>
          <w:lang w:val="en-US" w:eastAsia="zh-CN"/>
        </w:rPr>
        <w:t>以上变量</w:t>
      </w:r>
      <w:r>
        <w:rPr>
          <w:rFonts w:hint="default"/>
          <w:lang w:val="en-US" w:eastAsia="zh-CN"/>
        </w:rPr>
        <w:t>结果表明，数字化转型程度有助于</w:t>
      </w:r>
      <w:r>
        <w:rPr>
          <w:rFonts w:hint="eastAsia"/>
          <w:lang w:val="en-US" w:eastAsia="zh-CN"/>
        </w:rPr>
        <w:t>中小</w:t>
      </w:r>
      <w:r>
        <w:rPr>
          <w:rFonts w:hint="default"/>
          <w:lang w:val="en-US" w:eastAsia="zh-CN"/>
        </w:rPr>
        <w:t>银行信贷风险</w:t>
      </w:r>
      <w:r>
        <w:rPr>
          <w:rFonts w:hint="eastAsia"/>
          <w:lang w:val="en-US" w:eastAsia="zh-CN"/>
        </w:rPr>
        <w:t>水平</w:t>
      </w:r>
      <w:r>
        <w:rPr>
          <w:rFonts w:hint="default"/>
          <w:lang w:val="en-US" w:eastAsia="zh-CN"/>
        </w:rPr>
        <w:t>的管理与下降，假设H1得到验证。一方面，数字化转型程度的加深有助于银行得到技术的提升，获得更加完善的风控模型，强化风险识别能力，从而为</w:t>
      </w:r>
      <w:r>
        <w:rPr>
          <w:rFonts w:hint="eastAsia"/>
          <w:lang w:val="en-US" w:eastAsia="zh-CN"/>
        </w:rPr>
        <w:t>中小</w:t>
      </w:r>
      <w:r>
        <w:rPr>
          <w:rFonts w:hint="default"/>
          <w:lang w:val="en-US" w:eastAsia="zh-CN"/>
        </w:rPr>
        <w:t>银行降低信贷风险提供技术支持。另一方面，数字化转型程度的加深意味着</w:t>
      </w:r>
      <w:r>
        <w:rPr>
          <w:rFonts w:hint="eastAsia"/>
          <w:lang w:val="en-US" w:eastAsia="zh-CN"/>
        </w:rPr>
        <w:t>中小</w:t>
      </w:r>
      <w:r>
        <w:rPr>
          <w:rFonts w:hint="default"/>
          <w:lang w:val="en-US" w:eastAsia="zh-CN"/>
        </w:rPr>
        <w:t>银行可获取的信息更加全面，可以对</w:t>
      </w:r>
      <w:r>
        <w:rPr>
          <w:rFonts w:hint="eastAsia"/>
          <w:lang w:val="en-US" w:eastAsia="zh-CN"/>
        </w:rPr>
        <w:t>银行</w:t>
      </w:r>
      <w:r>
        <w:rPr>
          <w:rFonts w:hint="default"/>
          <w:lang w:val="en-US" w:eastAsia="zh-CN"/>
        </w:rPr>
        <w:t>信贷客户获取更多的</w:t>
      </w:r>
      <w:r>
        <w:rPr>
          <w:rFonts w:hint="default" w:ascii="Times New Roman" w:hAnsi="Times New Roman" w:eastAsia="宋体" w:cs="Times New Roman"/>
          <w:strike w:val="0"/>
          <w:szCs w:val="24"/>
          <w:lang w:val="en-US" w:eastAsia="zh-CN"/>
        </w:rPr>
        <w:t>了解，进而获得信息共享，从而为降低</w:t>
      </w:r>
      <w:r>
        <w:rPr>
          <w:rFonts w:hint="eastAsia" w:ascii="Times New Roman" w:hAnsi="Times New Roman" w:eastAsia="宋体" w:cs="Times New Roman"/>
          <w:strike w:val="0"/>
          <w:szCs w:val="24"/>
          <w:lang w:val="en-US" w:eastAsia="zh-CN"/>
        </w:rPr>
        <w:t>中小</w:t>
      </w:r>
      <w:r>
        <w:rPr>
          <w:rFonts w:hint="default" w:ascii="Times New Roman" w:hAnsi="Times New Roman" w:eastAsia="宋体" w:cs="Times New Roman"/>
          <w:strike w:val="0"/>
          <w:szCs w:val="24"/>
          <w:lang w:val="en-US" w:eastAsia="zh-CN"/>
        </w:rPr>
        <w:t>银行信贷风险</w:t>
      </w:r>
      <w:r>
        <w:rPr>
          <w:rFonts w:hint="eastAsia" w:ascii="Times New Roman" w:hAnsi="Times New Roman" w:eastAsia="宋体" w:cs="Times New Roman"/>
          <w:strike w:val="0"/>
          <w:szCs w:val="24"/>
          <w:lang w:val="en-US" w:eastAsia="zh-CN"/>
        </w:rPr>
        <w:t>水平</w:t>
      </w:r>
      <w:r>
        <w:rPr>
          <w:rFonts w:hint="default" w:ascii="Times New Roman" w:hAnsi="Times New Roman" w:eastAsia="宋体" w:cs="Times New Roman"/>
          <w:strike w:val="0"/>
          <w:szCs w:val="24"/>
          <w:lang w:val="en-US" w:eastAsia="zh-CN"/>
        </w:rPr>
        <w:t>提供信息支持。</w:t>
      </w:r>
    </w:p>
    <w:p w14:paraId="5B24114A">
      <w:pPr>
        <w:pStyle w:val="3"/>
        <w:bidi w:val="0"/>
        <w:rPr>
          <w:rFonts w:hint="default"/>
          <w:lang w:val="en-US" w:eastAsia="zh-CN"/>
        </w:rPr>
      </w:pPr>
      <w:bookmarkStart w:id="26" w:name="_Toc21336"/>
      <w:r>
        <w:rPr>
          <w:rFonts w:hint="eastAsia"/>
          <w:lang w:val="en-US" w:eastAsia="zh-CN"/>
        </w:rPr>
        <w:t>（二）</w:t>
      </w:r>
      <w:r>
        <w:rPr>
          <w:rFonts w:hint="default"/>
          <w:lang w:val="en-US" w:eastAsia="zh-CN"/>
        </w:rPr>
        <w:t>稳健性检验</w:t>
      </w:r>
      <w:bookmarkEnd w:id="26"/>
    </w:p>
    <w:p w14:paraId="5E889893">
      <w:pPr>
        <w:keepNext w:val="0"/>
        <w:keepLines w:val="0"/>
        <w:pageBreakBefore w:val="0"/>
        <w:widowControl w:val="0"/>
        <w:kinsoku/>
        <w:wordWrap/>
        <w:overflowPunct/>
        <w:topLinePunct w:val="0"/>
        <w:autoSpaceDE/>
        <w:autoSpaceDN/>
        <w:bidi w:val="0"/>
        <w:adjustRightInd/>
        <w:snapToGrid/>
        <w:spacing w:line="300" w:lineRule="auto"/>
        <w:ind w:firstLine="422" w:firstLineChars="200"/>
        <w:textAlignment w:val="auto"/>
        <w:rPr>
          <w:rFonts w:hint="default" w:ascii="Times New Roman" w:hAnsi="Times New Roman" w:eastAsia="宋体" w:cs="Times New Roman"/>
          <w:b/>
          <w:bCs/>
          <w:sz w:val="21"/>
          <w:lang w:val="en-US" w:eastAsia="zh-CN"/>
        </w:rPr>
      </w:pPr>
      <w:r>
        <w:rPr>
          <w:rFonts w:hint="default" w:ascii="Times New Roman" w:hAnsi="Times New Roman" w:eastAsia="宋体" w:cs="Times New Roman"/>
          <w:b/>
          <w:bCs/>
          <w:sz w:val="21"/>
          <w:lang w:val="en-US" w:eastAsia="zh-CN"/>
        </w:rPr>
        <w:t>1.剔除异常年份</w:t>
      </w:r>
    </w:p>
    <w:p w14:paraId="00EF64C5">
      <w:pPr>
        <w:bidi w:val="0"/>
        <w:rPr>
          <w:rFonts w:hint="default"/>
          <w:lang w:val="en-US" w:eastAsia="zh-CN"/>
        </w:rPr>
      </w:pPr>
      <w:r>
        <w:rPr>
          <w:rFonts w:hint="default"/>
          <w:lang w:val="en-US" w:eastAsia="zh-CN"/>
        </w:rPr>
        <w:t>由于医疗卫生突发事件期间会对商业银行经营</w:t>
      </w:r>
      <w:r>
        <w:rPr>
          <w:rFonts w:hint="eastAsia"/>
          <w:lang w:val="en-US" w:eastAsia="zh-CN"/>
        </w:rPr>
        <w:t>、</w:t>
      </w:r>
      <w:r>
        <w:rPr>
          <w:rFonts w:hint="default"/>
          <w:lang w:val="en-US" w:eastAsia="zh-CN"/>
        </w:rPr>
        <w:t>流动性、资产质量</w:t>
      </w:r>
      <w:r>
        <w:rPr>
          <w:rFonts w:hint="eastAsia"/>
          <w:lang w:val="en-US" w:eastAsia="zh-CN"/>
        </w:rPr>
        <w:t>以及</w:t>
      </w:r>
      <w:r>
        <w:rPr>
          <w:rFonts w:hint="default"/>
          <w:lang w:val="en-US" w:eastAsia="zh-CN"/>
        </w:rPr>
        <w:t>盈利能力等方面产生较大影响。故为了降低异常年份对研究结果的影响，本文剔除2020—2022年三年期间的数据并重新回归，结果如表4第（1）列所示。</w:t>
      </w:r>
    </w:p>
    <w:p w14:paraId="4683B507">
      <w:pPr>
        <w:bidi w:val="0"/>
        <w:rPr>
          <w:rFonts w:hint="default"/>
          <w:lang w:val="en-US" w:eastAsia="zh-CN"/>
        </w:rPr>
      </w:pPr>
      <w:r>
        <w:rPr>
          <w:rFonts w:hint="default"/>
          <w:lang w:val="en-US" w:eastAsia="zh-CN"/>
        </w:rPr>
        <w:t>可以看出，数字化转型程度（DTI）的回归系数依然在5%的水平上显著为正，说明剔除异常年份后，银行数字化转型抑制</w:t>
      </w:r>
      <w:r>
        <w:rPr>
          <w:rFonts w:hint="eastAsia"/>
          <w:lang w:val="en-US" w:eastAsia="zh-CN"/>
        </w:rPr>
        <w:t>中小银行</w:t>
      </w:r>
      <w:r>
        <w:rPr>
          <w:rFonts w:hint="default"/>
          <w:lang w:val="en-US" w:eastAsia="zh-CN"/>
        </w:rPr>
        <w:t>信贷风险水平的假设依然成立。</w:t>
      </w:r>
    </w:p>
    <w:p w14:paraId="0DA95FC9">
      <w:pPr>
        <w:keepNext w:val="0"/>
        <w:keepLines w:val="0"/>
        <w:pageBreakBefore w:val="0"/>
        <w:widowControl w:val="0"/>
        <w:kinsoku/>
        <w:wordWrap/>
        <w:overflowPunct/>
        <w:topLinePunct w:val="0"/>
        <w:autoSpaceDE/>
        <w:autoSpaceDN/>
        <w:bidi w:val="0"/>
        <w:adjustRightInd/>
        <w:snapToGrid/>
        <w:spacing w:line="300" w:lineRule="auto"/>
        <w:ind w:firstLine="422" w:firstLineChars="200"/>
        <w:textAlignment w:val="auto"/>
        <w:rPr>
          <w:rFonts w:hint="default" w:ascii="Times New Roman" w:hAnsi="Times New Roman" w:eastAsia="宋体" w:cs="Times New Roman"/>
          <w:b/>
          <w:bCs/>
          <w:sz w:val="21"/>
          <w:lang w:val="en-US" w:eastAsia="zh-CN"/>
        </w:rPr>
      </w:pPr>
      <w:r>
        <w:rPr>
          <w:rFonts w:hint="default" w:ascii="Times New Roman" w:hAnsi="Times New Roman" w:eastAsia="宋体" w:cs="Times New Roman"/>
          <w:b/>
          <w:bCs/>
          <w:sz w:val="21"/>
          <w:lang w:val="en-US" w:eastAsia="zh-CN"/>
        </w:rPr>
        <w:t>2.滞后性检验</w:t>
      </w:r>
    </w:p>
    <w:p w14:paraId="609B1613">
      <w:pPr>
        <w:bidi w:val="0"/>
        <w:rPr>
          <w:rFonts w:hint="default"/>
          <w:lang w:val="en-US" w:eastAsia="zh-CN"/>
        </w:rPr>
      </w:pPr>
      <w:r>
        <w:rPr>
          <w:rFonts w:hint="default"/>
          <w:lang w:val="en-US" w:eastAsia="zh-CN"/>
        </w:rPr>
        <w:t>因银行数字化转型程度与非息收入之间可能存在双向因果关系，可能会导致结果产生误差，本文选用滞后一期、滞后二期解释变量的方法来控制内生性，使用滞后一期、滞后二期的数字化转型指数作为解释变量的回归结果如表4中列（2）和列（3）所示。</w:t>
      </w:r>
    </w:p>
    <w:p w14:paraId="6708A9EA">
      <w:pPr>
        <w:pageBreakBefore w:val="0"/>
        <w:kinsoku/>
        <w:wordWrap/>
        <w:overflowPunct/>
        <w:topLinePunct w:val="0"/>
        <w:autoSpaceDE/>
        <w:autoSpaceDN/>
        <w:bidi w:val="0"/>
        <w:spacing w:line="300" w:lineRule="auto"/>
        <w:ind w:firstLine="420" w:firstLineChars="200"/>
        <w:jc w:val="center"/>
        <w:textAlignment w:val="auto"/>
        <w:rPr>
          <w:rFonts w:hint="default" w:ascii="黑体" w:hAnsi="黑体" w:eastAsia="黑体" w:cs="黑体"/>
          <w:b w:val="0"/>
          <w:bCs w:val="0"/>
          <w:sz w:val="21"/>
          <w:szCs w:val="18"/>
          <w:lang w:val="en-US" w:eastAsia="zh-CN"/>
        </w:rPr>
      </w:pPr>
      <w:r>
        <w:rPr>
          <w:rFonts w:hint="default" w:ascii="黑体" w:hAnsi="黑体" w:eastAsia="黑体" w:cs="黑体"/>
          <w:b w:val="0"/>
          <w:bCs w:val="0"/>
          <w:sz w:val="21"/>
          <w:szCs w:val="18"/>
          <w:lang w:val="en-US" w:eastAsia="zh-CN"/>
        </w:rPr>
        <w:t>表4 稳健性检验</w:t>
      </w:r>
    </w:p>
    <w:tbl>
      <w:tblPr>
        <w:tblStyle w:val="15"/>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79"/>
        <w:gridCol w:w="1336"/>
        <w:gridCol w:w="1452"/>
        <w:gridCol w:w="1452"/>
      </w:tblGrid>
      <w:tr w14:paraId="56812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restart"/>
            <w:tcBorders>
              <w:top w:val="single" w:color="auto" w:sz="6" w:space="0"/>
              <w:left w:val="nil"/>
              <w:right w:val="nil"/>
              <w:tl2br w:val="nil"/>
              <w:tr2bl w:val="nil"/>
            </w:tcBorders>
            <w:noWrap w:val="0"/>
            <w:vAlign w:val="center"/>
          </w:tcPr>
          <w:p w14:paraId="35DD19F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变量名称</w:t>
            </w:r>
          </w:p>
        </w:tc>
        <w:tc>
          <w:tcPr>
            <w:tcW w:w="784" w:type="pct"/>
            <w:tcBorders>
              <w:top w:val="single" w:color="auto" w:sz="6" w:space="0"/>
              <w:left w:val="nil"/>
              <w:bottom w:val="nil"/>
              <w:right w:val="nil"/>
              <w:tl2br w:val="nil"/>
              <w:tr2bl w:val="nil"/>
            </w:tcBorders>
            <w:noWrap w:val="0"/>
            <w:vAlign w:val="center"/>
          </w:tcPr>
          <w:p w14:paraId="5BA542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(1)</w:t>
            </w:r>
          </w:p>
        </w:tc>
        <w:tc>
          <w:tcPr>
            <w:tcW w:w="852" w:type="pct"/>
            <w:tcBorders>
              <w:top w:val="single" w:color="auto" w:sz="6" w:space="0"/>
              <w:left w:val="nil"/>
              <w:bottom w:val="nil"/>
              <w:right w:val="nil"/>
              <w:tl2br w:val="nil"/>
              <w:tr2bl w:val="nil"/>
            </w:tcBorders>
            <w:noWrap w:val="0"/>
            <w:vAlign w:val="center"/>
          </w:tcPr>
          <w:p w14:paraId="58151E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(2)</w:t>
            </w:r>
          </w:p>
        </w:tc>
        <w:tc>
          <w:tcPr>
            <w:tcW w:w="852" w:type="pct"/>
            <w:tcBorders>
              <w:top w:val="single" w:color="auto" w:sz="6" w:space="0"/>
              <w:left w:val="nil"/>
              <w:bottom w:val="nil"/>
              <w:right w:val="nil"/>
              <w:tl2br w:val="nil"/>
              <w:tr2bl w:val="nil"/>
            </w:tcBorders>
            <w:noWrap w:val="0"/>
            <w:vAlign w:val="center"/>
          </w:tcPr>
          <w:p w14:paraId="43EB16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(3)</w:t>
            </w:r>
          </w:p>
        </w:tc>
      </w:tr>
      <w:tr w14:paraId="36434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continue"/>
            <w:tcBorders>
              <w:left w:val="nil"/>
              <w:right w:val="nil"/>
              <w:tl2br w:val="nil"/>
              <w:tr2bl w:val="nil"/>
            </w:tcBorders>
            <w:noWrap w:val="0"/>
            <w:vAlign w:val="center"/>
          </w:tcPr>
          <w:p w14:paraId="28098DE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p>
        </w:tc>
        <w:tc>
          <w:tcPr>
            <w:tcW w:w="784" w:type="pct"/>
            <w:tcBorders>
              <w:top w:val="nil"/>
              <w:left w:val="nil"/>
              <w:bottom w:val="nil"/>
              <w:right w:val="nil"/>
              <w:tl2br w:val="nil"/>
              <w:tr2bl w:val="nil"/>
            </w:tcBorders>
            <w:noWrap w:val="0"/>
            <w:vAlign w:val="center"/>
          </w:tcPr>
          <w:p w14:paraId="3E8C043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a1</w:t>
            </w:r>
          </w:p>
        </w:tc>
        <w:tc>
          <w:tcPr>
            <w:tcW w:w="852" w:type="pct"/>
            <w:tcBorders>
              <w:top w:val="nil"/>
              <w:left w:val="nil"/>
              <w:bottom w:val="nil"/>
              <w:right w:val="nil"/>
              <w:tl2br w:val="nil"/>
              <w:tr2bl w:val="nil"/>
            </w:tcBorders>
            <w:noWrap w:val="0"/>
            <w:vAlign w:val="center"/>
          </w:tcPr>
          <w:p w14:paraId="5E5B017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a2</w:t>
            </w:r>
          </w:p>
        </w:tc>
        <w:tc>
          <w:tcPr>
            <w:tcW w:w="852" w:type="pct"/>
            <w:tcBorders>
              <w:top w:val="nil"/>
              <w:left w:val="nil"/>
              <w:bottom w:val="nil"/>
              <w:right w:val="nil"/>
              <w:tl2br w:val="nil"/>
              <w:tr2bl w:val="nil"/>
            </w:tcBorders>
            <w:noWrap w:val="0"/>
            <w:vAlign w:val="center"/>
          </w:tcPr>
          <w:p w14:paraId="74B475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a3</w:t>
            </w:r>
          </w:p>
        </w:tc>
      </w:tr>
      <w:tr w14:paraId="01DDC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continue"/>
            <w:tcBorders>
              <w:left w:val="nil"/>
              <w:bottom w:val="single" w:color="auto" w:sz="6" w:space="0"/>
              <w:right w:val="nil"/>
              <w:tl2br w:val="nil"/>
              <w:tr2bl w:val="nil"/>
            </w:tcBorders>
            <w:noWrap w:val="0"/>
            <w:vAlign w:val="center"/>
          </w:tcPr>
          <w:p w14:paraId="6B1805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p>
        </w:tc>
        <w:tc>
          <w:tcPr>
            <w:tcW w:w="784" w:type="pct"/>
            <w:tcBorders>
              <w:top w:val="nil"/>
              <w:left w:val="nil"/>
              <w:bottom w:val="single" w:color="auto" w:sz="6" w:space="0"/>
              <w:right w:val="nil"/>
              <w:tl2br w:val="nil"/>
              <w:tr2bl w:val="nil"/>
            </w:tcBorders>
            <w:noWrap w:val="0"/>
            <w:vAlign w:val="center"/>
          </w:tcPr>
          <w:p w14:paraId="53553A1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NPL</w:t>
            </w:r>
          </w:p>
        </w:tc>
        <w:tc>
          <w:tcPr>
            <w:tcW w:w="852" w:type="pct"/>
            <w:tcBorders>
              <w:top w:val="nil"/>
              <w:left w:val="nil"/>
              <w:bottom w:val="single" w:color="auto" w:sz="6" w:space="0"/>
              <w:right w:val="nil"/>
              <w:tl2br w:val="nil"/>
              <w:tr2bl w:val="nil"/>
            </w:tcBorders>
            <w:noWrap w:val="0"/>
            <w:vAlign w:val="center"/>
          </w:tcPr>
          <w:p w14:paraId="203758D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NPL</w:t>
            </w:r>
          </w:p>
        </w:tc>
        <w:tc>
          <w:tcPr>
            <w:tcW w:w="852" w:type="pct"/>
            <w:tcBorders>
              <w:top w:val="nil"/>
              <w:left w:val="nil"/>
              <w:bottom w:val="single" w:color="auto" w:sz="6" w:space="0"/>
              <w:right w:val="nil"/>
              <w:tl2br w:val="nil"/>
              <w:tr2bl w:val="nil"/>
            </w:tcBorders>
            <w:noWrap w:val="0"/>
            <w:vAlign w:val="center"/>
          </w:tcPr>
          <w:p w14:paraId="0A1CC9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NPL</w:t>
            </w:r>
          </w:p>
        </w:tc>
      </w:tr>
      <w:tr w14:paraId="28784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restart"/>
            <w:tcBorders>
              <w:top w:val="nil"/>
              <w:left w:val="nil"/>
              <w:right w:val="nil"/>
              <w:tl2br w:val="nil"/>
              <w:tr2bl w:val="nil"/>
            </w:tcBorders>
            <w:noWrap w:val="0"/>
            <w:vAlign w:val="center"/>
          </w:tcPr>
          <w:p w14:paraId="196757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数字化转型程度（</w:t>
            </w:r>
            <m:oMath>
              <m:r>
                <m:rPr>
                  <m:sty m:val="p"/>
                </m:rPr>
                <w:rPr>
                  <w:rFonts w:hint="default" w:ascii="Cambria Math" w:hAnsi="Cambria Math" w:eastAsia="宋体" w:cs="Times New Roman"/>
                  <w:sz w:val="21"/>
                  <w:szCs w:val="18"/>
                  <w:lang w:val="en-US" w:eastAsia="zh-CN"/>
                </w:rPr>
                <m:t>DTI</m:t>
              </m:r>
            </m:oMath>
            <w:r>
              <w:rPr>
                <w:rFonts w:hint="default" w:ascii="Times New Roman" w:hAnsi="Times New Roman" w:eastAsia="宋体" w:cs="Times New Roman"/>
                <w:sz w:val="21"/>
                <w:szCs w:val="18"/>
                <w:lang w:val="en-US" w:eastAsia="zh-CN" w:bidi="ar-SA"/>
              </w:rPr>
              <w:t>）</w:t>
            </w:r>
          </w:p>
        </w:tc>
        <w:tc>
          <w:tcPr>
            <w:tcW w:w="784" w:type="pct"/>
            <w:tcBorders>
              <w:top w:val="nil"/>
              <w:left w:val="nil"/>
              <w:bottom w:val="nil"/>
              <w:right w:val="nil"/>
              <w:tl2br w:val="nil"/>
              <w:tr2bl w:val="nil"/>
            </w:tcBorders>
            <w:noWrap w:val="0"/>
            <w:vAlign w:val="center"/>
          </w:tcPr>
          <w:p w14:paraId="18C2E8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0.335**</w:t>
            </w:r>
          </w:p>
        </w:tc>
        <w:tc>
          <w:tcPr>
            <w:tcW w:w="852" w:type="pct"/>
            <w:tcBorders>
              <w:top w:val="nil"/>
              <w:left w:val="nil"/>
              <w:bottom w:val="nil"/>
              <w:right w:val="nil"/>
              <w:tl2br w:val="nil"/>
              <w:tr2bl w:val="nil"/>
            </w:tcBorders>
            <w:noWrap w:val="0"/>
            <w:vAlign w:val="center"/>
          </w:tcPr>
          <w:p w14:paraId="5DF831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852" w:type="pct"/>
            <w:tcBorders>
              <w:top w:val="nil"/>
              <w:left w:val="nil"/>
              <w:bottom w:val="nil"/>
              <w:right w:val="nil"/>
              <w:tl2br w:val="nil"/>
              <w:tr2bl w:val="nil"/>
            </w:tcBorders>
            <w:noWrap w:val="0"/>
            <w:vAlign w:val="center"/>
          </w:tcPr>
          <w:p w14:paraId="100EC72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r>
      <w:tr w14:paraId="4FE99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continue"/>
            <w:tcBorders>
              <w:left w:val="nil"/>
              <w:bottom w:val="nil"/>
              <w:right w:val="nil"/>
              <w:tl2br w:val="nil"/>
              <w:tr2bl w:val="nil"/>
            </w:tcBorders>
            <w:noWrap w:val="0"/>
            <w:vAlign w:val="center"/>
          </w:tcPr>
          <w:p w14:paraId="668DCE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784" w:type="pct"/>
            <w:tcBorders>
              <w:top w:val="nil"/>
              <w:left w:val="nil"/>
              <w:bottom w:val="nil"/>
              <w:right w:val="nil"/>
              <w:tl2br w:val="nil"/>
              <w:tr2bl w:val="nil"/>
            </w:tcBorders>
            <w:noWrap w:val="0"/>
            <w:vAlign w:val="center"/>
          </w:tcPr>
          <w:p w14:paraId="41294F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2.535)</w:t>
            </w:r>
          </w:p>
        </w:tc>
        <w:tc>
          <w:tcPr>
            <w:tcW w:w="852" w:type="pct"/>
            <w:tcBorders>
              <w:top w:val="nil"/>
              <w:left w:val="nil"/>
              <w:bottom w:val="nil"/>
              <w:right w:val="nil"/>
              <w:tl2br w:val="nil"/>
              <w:tr2bl w:val="nil"/>
            </w:tcBorders>
            <w:noWrap w:val="0"/>
            <w:vAlign w:val="center"/>
          </w:tcPr>
          <w:p w14:paraId="70DCF9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852" w:type="pct"/>
            <w:tcBorders>
              <w:top w:val="nil"/>
              <w:left w:val="nil"/>
              <w:bottom w:val="nil"/>
              <w:right w:val="nil"/>
              <w:tl2br w:val="nil"/>
              <w:tr2bl w:val="nil"/>
            </w:tcBorders>
            <w:noWrap w:val="0"/>
            <w:vAlign w:val="center"/>
          </w:tcPr>
          <w:p w14:paraId="314E4F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r>
      <w:tr w14:paraId="2A3F9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restart"/>
            <w:tcBorders>
              <w:left w:val="nil"/>
              <w:right w:val="nil"/>
              <w:tl2br w:val="nil"/>
              <w:tr2bl w:val="nil"/>
            </w:tcBorders>
            <w:shd w:val="clear" w:color="auto" w:fill="auto"/>
            <w:noWrap w:val="0"/>
            <w:vAlign w:val="center"/>
          </w:tcPr>
          <w:p w14:paraId="2A6462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数字化转型程度（L.DTI）</w:t>
            </w:r>
          </w:p>
        </w:tc>
        <w:tc>
          <w:tcPr>
            <w:tcW w:w="784" w:type="pct"/>
            <w:tcBorders>
              <w:top w:val="nil"/>
              <w:left w:val="nil"/>
              <w:bottom w:val="nil"/>
              <w:right w:val="nil"/>
              <w:tl2br w:val="nil"/>
              <w:tr2bl w:val="nil"/>
            </w:tcBorders>
            <w:shd w:val="clear" w:color="auto" w:fill="auto"/>
            <w:noWrap w:val="0"/>
            <w:vAlign w:val="center"/>
          </w:tcPr>
          <w:p w14:paraId="6D89B95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852" w:type="pct"/>
            <w:tcBorders>
              <w:top w:val="nil"/>
              <w:left w:val="nil"/>
              <w:bottom w:val="nil"/>
              <w:right w:val="nil"/>
              <w:tl2br w:val="nil"/>
              <w:tr2bl w:val="nil"/>
            </w:tcBorders>
            <w:shd w:val="clear" w:color="auto" w:fill="auto"/>
            <w:noWrap w:val="0"/>
            <w:vAlign w:val="center"/>
          </w:tcPr>
          <w:p w14:paraId="598474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0.335***</w:t>
            </w:r>
          </w:p>
        </w:tc>
        <w:tc>
          <w:tcPr>
            <w:tcW w:w="852" w:type="pct"/>
            <w:tcBorders>
              <w:top w:val="nil"/>
              <w:left w:val="nil"/>
              <w:bottom w:val="nil"/>
              <w:right w:val="nil"/>
              <w:tl2br w:val="nil"/>
              <w:tr2bl w:val="nil"/>
            </w:tcBorders>
            <w:shd w:val="clear" w:color="auto" w:fill="auto"/>
            <w:noWrap w:val="0"/>
            <w:vAlign w:val="center"/>
          </w:tcPr>
          <w:p w14:paraId="4758511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r>
      <w:tr w14:paraId="3D39F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continue"/>
            <w:tcBorders>
              <w:left w:val="nil"/>
              <w:bottom w:val="nil"/>
              <w:right w:val="nil"/>
              <w:tl2br w:val="nil"/>
              <w:tr2bl w:val="nil"/>
            </w:tcBorders>
            <w:noWrap w:val="0"/>
            <w:vAlign w:val="center"/>
          </w:tcPr>
          <w:p w14:paraId="63B1AF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784" w:type="pct"/>
            <w:tcBorders>
              <w:top w:val="nil"/>
              <w:left w:val="nil"/>
              <w:bottom w:val="nil"/>
              <w:right w:val="nil"/>
              <w:tl2br w:val="nil"/>
              <w:tr2bl w:val="nil"/>
            </w:tcBorders>
            <w:shd w:val="clear" w:color="auto" w:fill="auto"/>
            <w:noWrap w:val="0"/>
            <w:vAlign w:val="center"/>
          </w:tcPr>
          <w:p w14:paraId="177CC49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852" w:type="pct"/>
            <w:tcBorders>
              <w:top w:val="nil"/>
              <w:left w:val="nil"/>
              <w:bottom w:val="nil"/>
              <w:right w:val="nil"/>
              <w:tl2br w:val="nil"/>
              <w:tr2bl w:val="nil"/>
            </w:tcBorders>
            <w:shd w:val="clear" w:color="auto" w:fill="auto"/>
            <w:noWrap w:val="0"/>
            <w:vAlign w:val="center"/>
          </w:tcPr>
          <w:p w14:paraId="7C3174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2.734)</w:t>
            </w:r>
          </w:p>
        </w:tc>
        <w:tc>
          <w:tcPr>
            <w:tcW w:w="852" w:type="pct"/>
            <w:tcBorders>
              <w:top w:val="nil"/>
              <w:left w:val="nil"/>
              <w:bottom w:val="nil"/>
              <w:right w:val="nil"/>
              <w:tl2br w:val="nil"/>
              <w:tr2bl w:val="nil"/>
            </w:tcBorders>
            <w:shd w:val="clear" w:color="auto" w:fill="auto"/>
            <w:noWrap w:val="0"/>
            <w:vAlign w:val="center"/>
          </w:tcPr>
          <w:p w14:paraId="309733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r>
      <w:tr w14:paraId="1385B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restart"/>
            <w:tcBorders>
              <w:left w:val="nil"/>
              <w:right w:val="nil"/>
              <w:tl2br w:val="nil"/>
              <w:tr2bl w:val="nil"/>
            </w:tcBorders>
            <w:shd w:val="clear" w:color="auto" w:fill="auto"/>
            <w:noWrap w:val="0"/>
            <w:vAlign w:val="center"/>
          </w:tcPr>
          <w:p w14:paraId="5568AA6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数字化转型程度（L2.DTI）</w:t>
            </w:r>
          </w:p>
        </w:tc>
        <w:tc>
          <w:tcPr>
            <w:tcW w:w="784" w:type="pct"/>
            <w:tcBorders>
              <w:top w:val="nil"/>
              <w:left w:val="nil"/>
              <w:bottom w:val="nil"/>
              <w:right w:val="nil"/>
              <w:tl2br w:val="nil"/>
              <w:tr2bl w:val="nil"/>
            </w:tcBorders>
            <w:shd w:val="clear" w:color="auto" w:fill="auto"/>
            <w:noWrap w:val="0"/>
            <w:vAlign w:val="center"/>
          </w:tcPr>
          <w:p w14:paraId="073DBA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852" w:type="pct"/>
            <w:tcBorders>
              <w:top w:val="nil"/>
              <w:left w:val="nil"/>
              <w:bottom w:val="nil"/>
              <w:right w:val="nil"/>
              <w:tl2br w:val="nil"/>
              <w:tr2bl w:val="nil"/>
            </w:tcBorders>
            <w:shd w:val="clear" w:color="auto" w:fill="auto"/>
            <w:noWrap w:val="0"/>
            <w:vAlign w:val="center"/>
          </w:tcPr>
          <w:p w14:paraId="1BECE7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852" w:type="pct"/>
            <w:tcBorders>
              <w:top w:val="nil"/>
              <w:left w:val="nil"/>
              <w:bottom w:val="nil"/>
              <w:right w:val="nil"/>
              <w:tl2br w:val="nil"/>
              <w:tr2bl w:val="nil"/>
            </w:tcBorders>
            <w:shd w:val="clear" w:color="auto" w:fill="auto"/>
            <w:noWrap w:val="0"/>
            <w:vAlign w:val="center"/>
          </w:tcPr>
          <w:p w14:paraId="3BBCC1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0.228*</w:t>
            </w:r>
          </w:p>
        </w:tc>
      </w:tr>
      <w:tr w14:paraId="54C45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continue"/>
            <w:tcBorders>
              <w:left w:val="nil"/>
              <w:bottom w:val="nil"/>
              <w:right w:val="nil"/>
              <w:tl2br w:val="nil"/>
              <w:tr2bl w:val="nil"/>
            </w:tcBorders>
            <w:noWrap w:val="0"/>
            <w:vAlign w:val="center"/>
          </w:tcPr>
          <w:p w14:paraId="21B94E5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784" w:type="pct"/>
            <w:tcBorders>
              <w:top w:val="nil"/>
              <w:left w:val="nil"/>
              <w:bottom w:val="nil"/>
              <w:right w:val="nil"/>
              <w:tl2br w:val="nil"/>
              <w:tr2bl w:val="nil"/>
            </w:tcBorders>
            <w:shd w:val="clear" w:color="auto" w:fill="auto"/>
            <w:noWrap w:val="0"/>
            <w:vAlign w:val="center"/>
          </w:tcPr>
          <w:p w14:paraId="01C336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852" w:type="pct"/>
            <w:tcBorders>
              <w:top w:val="nil"/>
              <w:left w:val="nil"/>
              <w:bottom w:val="nil"/>
              <w:right w:val="nil"/>
              <w:tl2br w:val="nil"/>
              <w:tr2bl w:val="nil"/>
            </w:tcBorders>
            <w:shd w:val="clear" w:color="auto" w:fill="auto"/>
            <w:noWrap w:val="0"/>
            <w:vAlign w:val="center"/>
          </w:tcPr>
          <w:p w14:paraId="7F963C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852" w:type="pct"/>
            <w:tcBorders>
              <w:top w:val="nil"/>
              <w:left w:val="nil"/>
              <w:bottom w:val="nil"/>
              <w:right w:val="nil"/>
              <w:tl2br w:val="nil"/>
              <w:tr2bl w:val="nil"/>
            </w:tcBorders>
            <w:shd w:val="clear" w:color="auto" w:fill="auto"/>
            <w:noWrap w:val="0"/>
            <w:vAlign w:val="center"/>
          </w:tcPr>
          <w:p w14:paraId="26AE7B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1.697)</w:t>
            </w:r>
          </w:p>
        </w:tc>
      </w:tr>
      <w:tr w14:paraId="3A02C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restart"/>
            <w:tcBorders>
              <w:top w:val="nil"/>
              <w:left w:val="nil"/>
              <w:right w:val="nil"/>
              <w:tl2br w:val="nil"/>
              <w:tr2bl w:val="nil"/>
            </w:tcBorders>
            <w:noWrap w:val="0"/>
            <w:vAlign w:val="center"/>
          </w:tcPr>
          <w:p w14:paraId="52D155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6"/>
                <w:lang w:val="en-US" w:eastAsia="zh-CN"/>
              </w:rPr>
              <w:t>净资产收益率（</w:t>
            </w:r>
            <w:r>
              <w:rPr>
                <w:rFonts w:hint="default" w:ascii="Times New Roman" w:hAnsi="Times New Roman" w:eastAsia="宋体" w:cs="Times New Roman"/>
                <w:sz w:val="21"/>
                <w:szCs w:val="16"/>
              </w:rPr>
              <w:t>ROE</w:t>
            </w:r>
            <w:r>
              <w:rPr>
                <w:rFonts w:hint="default" w:ascii="Times New Roman" w:hAnsi="Times New Roman" w:eastAsia="宋体" w:cs="Times New Roman"/>
                <w:sz w:val="21"/>
                <w:szCs w:val="16"/>
                <w:lang w:eastAsia="zh-CN"/>
              </w:rPr>
              <w:t>）</w:t>
            </w:r>
          </w:p>
        </w:tc>
        <w:tc>
          <w:tcPr>
            <w:tcW w:w="784" w:type="pct"/>
            <w:tcBorders>
              <w:top w:val="nil"/>
              <w:left w:val="nil"/>
              <w:bottom w:val="nil"/>
              <w:right w:val="nil"/>
              <w:tl2br w:val="nil"/>
              <w:tr2bl w:val="nil"/>
            </w:tcBorders>
            <w:noWrap w:val="0"/>
            <w:vAlign w:val="center"/>
          </w:tcPr>
          <w:p w14:paraId="76D18E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0.409***</w:t>
            </w:r>
          </w:p>
        </w:tc>
        <w:tc>
          <w:tcPr>
            <w:tcW w:w="852" w:type="pct"/>
            <w:tcBorders>
              <w:top w:val="nil"/>
              <w:left w:val="nil"/>
              <w:bottom w:val="nil"/>
              <w:right w:val="nil"/>
              <w:tl2br w:val="nil"/>
              <w:tr2bl w:val="nil"/>
            </w:tcBorders>
            <w:noWrap w:val="0"/>
            <w:vAlign w:val="center"/>
          </w:tcPr>
          <w:p w14:paraId="3F4A5F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0.364***</w:t>
            </w:r>
          </w:p>
        </w:tc>
        <w:tc>
          <w:tcPr>
            <w:tcW w:w="852" w:type="pct"/>
            <w:tcBorders>
              <w:top w:val="nil"/>
              <w:left w:val="nil"/>
              <w:bottom w:val="nil"/>
              <w:right w:val="nil"/>
              <w:tl2br w:val="nil"/>
              <w:tr2bl w:val="nil"/>
            </w:tcBorders>
            <w:noWrap w:val="0"/>
            <w:vAlign w:val="center"/>
          </w:tcPr>
          <w:p w14:paraId="426FF9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0.430***</w:t>
            </w:r>
          </w:p>
        </w:tc>
      </w:tr>
      <w:tr w14:paraId="471BA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continue"/>
            <w:tcBorders>
              <w:left w:val="nil"/>
              <w:bottom w:val="nil"/>
              <w:right w:val="nil"/>
              <w:tl2br w:val="nil"/>
              <w:tr2bl w:val="nil"/>
            </w:tcBorders>
            <w:noWrap w:val="0"/>
            <w:vAlign w:val="center"/>
          </w:tcPr>
          <w:p w14:paraId="56CE21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784" w:type="pct"/>
            <w:tcBorders>
              <w:top w:val="nil"/>
              <w:left w:val="nil"/>
              <w:bottom w:val="nil"/>
              <w:right w:val="nil"/>
              <w:tl2br w:val="nil"/>
              <w:tr2bl w:val="nil"/>
            </w:tcBorders>
            <w:noWrap w:val="0"/>
            <w:vAlign w:val="center"/>
          </w:tcPr>
          <w:p w14:paraId="6A4D3B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5.858)</w:t>
            </w:r>
          </w:p>
        </w:tc>
        <w:tc>
          <w:tcPr>
            <w:tcW w:w="852" w:type="pct"/>
            <w:tcBorders>
              <w:top w:val="nil"/>
              <w:left w:val="nil"/>
              <w:bottom w:val="nil"/>
              <w:right w:val="nil"/>
              <w:tl2br w:val="nil"/>
              <w:tr2bl w:val="nil"/>
            </w:tcBorders>
            <w:noWrap w:val="0"/>
            <w:vAlign w:val="center"/>
          </w:tcPr>
          <w:p w14:paraId="52F4D9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5.244)</w:t>
            </w:r>
          </w:p>
        </w:tc>
        <w:tc>
          <w:tcPr>
            <w:tcW w:w="852" w:type="pct"/>
            <w:tcBorders>
              <w:top w:val="nil"/>
              <w:left w:val="nil"/>
              <w:bottom w:val="nil"/>
              <w:right w:val="nil"/>
              <w:tl2br w:val="nil"/>
              <w:tr2bl w:val="nil"/>
            </w:tcBorders>
            <w:noWrap w:val="0"/>
            <w:vAlign w:val="center"/>
          </w:tcPr>
          <w:p w14:paraId="019337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5.458)</w:t>
            </w:r>
          </w:p>
        </w:tc>
      </w:tr>
      <w:tr w14:paraId="68DC8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restart"/>
            <w:tcBorders>
              <w:top w:val="nil"/>
              <w:left w:val="nil"/>
              <w:right w:val="nil"/>
              <w:tl2br w:val="nil"/>
              <w:tr2bl w:val="nil"/>
            </w:tcBorders>
            <w:noWrap w:val="0"/>
            <w:vAlign w:val="center"/>
          </w:tcPr>
          <w:p w14:paraId="7DF762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ESG表现（ESG）</w:t>
            </w:r>
          </w:p>
        </w:tc>
        <w:tc>
          <w:tcPr>
            <w:tcW w:w="784" w:type="pct"/>
            <w:tcBorders>
              <w:top w:val="nil"/>
              <w:left w:val="nil"/>
              <w:bottom w:val="nil"/>
              <w:right w:val="nil"/>
              <w:tl2br w:val="nil"/>
              <w:tr2bl w:val="nil"/>
            </w:tcBorders>
            <w:noWrap w:val="0"/>
            <w:vAlign w:val="center"/>
          </w:tcPr>
          <w:p w14:paraId="60F7B0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0.0979</w:t>
            </w:r>
          </w:p>
        </w:tc>
        <w:tc>
          <w:tcPr>
            <w:tcW w:w="852" w:type="pct"/>
            <w:tcBorders>
              <w:top w:val="nil"/>
              <w:left w:val="nil"/>
              <w:bottom w:val="nil"/>
              <w:right w:val="nil"/>
              <w:tl2br w:val="nil"/>
              <w:tr2bl w:val="nil"/>
            </w:tcBorders>
            <w:noWrap w:val="0"/>
            <w:vAlign w:val="center"/>
          </w:tcPr>
          <w:p w14:paraId="03D1A7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0.0121</w:t>
            </w:r>
          </w:p>
        </w:tc>
        <w:tc>
          <w:tcPr>
            <w:tcW w:w="852" w:type="pct"/>
            <w:tcBorders>
              <w:top w:val="nil"/>
              <w:left w:val="nil"/>
              <w:bottom w:val="nil"/>
              <w:right w:val="nil"/>
              <w:tl2br w:val="nil"/>
              <w:tr2bl w:val="nil"/>
            </w:tcBorders>
            <w:noWrap w:val="0"/>
            <w:vAlign w:val="center"/>
          </w:tcPr>
          <w:p w14:paraId="25427B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0.0818</w:t>
            </w:r>
          </w:p>
        </w:tc>
      </w:tr>
      <w:tr w14:paraId="53EE9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continue"/>
            <w:tcBorders>
              <w:left w:val="nil"/>
              <w:bottom w:val="nil"/>
              <w:right w:val="nil"/>
              <w:tl2br w:val="nil"/>
              <w:tr2bl w:val="nil"/>
            </w:tcBorders>
            <w:noWrap w:val="0"/>
            <w:vAlign w:val="center"/>
          </w:tcPr>
          <w:p w14:paraId="75B795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784" w:type="pct"/>
            <w:tcBorders>
              <w:top w:val="nil"/>
              <w:left w:val="nil"/>
              <w:bottom w:val="nil"/>
              <w:right w:val="nil"/>
              <w:tl2br w:val="nil"/>
              <w:tr2bl w:val="nil"/>
            </w:tcBorders>
            <w:noWrap w:val="0"/>
            <w:vAlign w:val="center"/>
          </w:tcPr>
          <w:p w14:paraId="6EF084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(0.732)</w:t>
            </w:r>
          </w:p>
        </w:tc>
        <w:tc>
          <w:tcPr>
            <w:tcW w:w="852" w:type="pct"/>
            <w:tcBorders>
              <w:top w:val="nil"/>
              <w:left w:val="nil"/>
              <w:bottom w:val="nil"/>
              <w:right w:val="nil"/>
              <w:tl2br w:val="nil"/>
              <w:tr2bl w:val="nil"/>
            </w:tcBorders>
            <w:noWrap w:val="0"/>
            <w:vAlign w:val="center"/>
          </w:tcPr>
          <w:p w14:paraId="589CE2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(0.111)</w:t>
            </w:r>
          </w:p>
        </w:tc>
        <w:tc>
          <w:tcPr>
            <w:tcW w:w="852" w:type="pct"/>
            <w:tcBorders>
              <w:top w:val="nil"/>
              <w:left w:val="nil"/>
              <w:bottom w:val="nil"/>
              <w:right w:val="nil"/>
              <w:tl2br w:val="nil"/>
              <w:tr2bl w:val="nil"/>
            </w:tcBorders>
            <w:noWrap w:val="0"/>
            <w:vAlign w:val="center"/>
          </w:tcPr>
          <w:p w14:paraId="37266B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0.766)</w:t>
            </w:r>
          </w:p>
        </w:tc>
      </w:tr>
      <w:tr w14:paraId="53A87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restart"/>
            <w:tcBorders>
              <w:top w:val="nil"/>
              <w:left w:val="nil"/>
              <w:right w:val="nil"/>
              <w:tl2br w:val="nil"/>
              <w:tr2bl w:val="nil"/>
            </w:tcBorders>
            <w:noWrap w:val="0"/>
            <w:vAlign w:val="center"/>
          </w:tcPr>
          <w:p w14:paraId="5D3EE2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GDP累计同比增长率(GDP_Growth)</w:t>
            </w:r>
          </w:p>
        </w:tc>
        <w:tc>
          <w:tcPr>
            <w:tcW w:w="784" w:type="pct"/>
            <w:tcBorders>
              <w:top w:val="nil"/>
              <w:left w:val="nil"/>
              <w:bottom w:val="nil"/>
              <w:right w:val="nil"/>
              <w:tl2br w:val="nil"/>
              <w:tr2bl w:val="nil"/>
            </w:tcBorders>
            <w:noWrap w:val="0"/>
            <w:vAlign w:val="center"/>
          </w:tcPr>
          <w:p w14:paraId="181E12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0.356***</w:t>
            </w:r>
          </w:p>
        </w:tc>
        <w:tc>
          <w:tcPr>
            <w:tcW w:w="852" w:type="pct"/>
            <w:tcBorders>
              <w:top w:val="nil"/>
              <w:left w:val="nil"/>
              <w:bottom w:val="nil"/>
              <w:right w:val="nil"/>
              <w:tl2br w:val="nil"/>
              <w:tr2bl w:val="nil"/>
            </w:tcBorders>
            <w:noWrap w:val="0"/>
            <w:vAlign w:val="center"/>
          </w:tcPr>
          <w:p w14:paraId="58586D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0.102***</w:t>
            </w:r>
          </w:p>
        </w:tc>
        <w:tc>
          <w:tcPr>
            <w:tcW w:w="852" w:type="pct"/>
            <w:tcBorders>
              <w:top w:val="nil"/>
              <w:left w:val="nil"/>
              <w:bottom w:val="nil"/>
              <w:right w:val="nil"/>
              <w:tl2br w:val="nil"/>
              <w:tr2bl w:val="nil"/>
            </w:tcBorders>
            <w:noWrap w:val="0"/>
            <w:vAlign w:val="center"/>
          </w:tcPr>
          <w:p w14:paraId="618413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0.104***</w:t>
            </w:r>
          </w:p>
        </w:tc>
      </w:tr>
      <w:tr w14:paraId="1AF79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continue"/>
            <w:tcBorders>
              <w:left w:val="nil"/>
              <w:bottom w:val="nil"/>
              <w:right w:val="nil"/>
              <w:tl2br w:val="nil"/>
              <w:tr2bl w:val="nil"/>
            </w:tcBorders>
            <w:noWrap w:val="0"/>
            <w:vAlign w:val="center"/>
          </w:tcPr>
          <w:p w14:paraId="76D01B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784" w:type="pct"/>
            <w:tcBorders>
              <w:top w:val="nil"/>
              <w:left w:val="nil"/>
              <w:bottom w:val="nil"/>
              <w:right w:val="nil"/>
              <w:tl2br w:val="nil"/>
              <w:tr2bl w:val="nil"/>
            </w:tcBorders>
            <w:noWrap w:val="0"/>
            <w:vAlign w:val="center"/>
          </w:tcPr>
          <w:p w14:paraId="001D8B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(7.393)</w:t>
            </w:r>
          </w:p>
        </w:tc>
        <w:tc>
          <w:tcPr>
            <w:tcW w:w="852" w:type="pct"/>
            <w:tcBorders>
              <w:top w:val="nil"/>
              <w:left w:val="nil"/>
              <w:bottom w:val="nil"/>
              <w:right w:val="nil"/>
              <w:tl2br w:val="nil"/>
              <w:tr2bl w:val="nil"/>
            </w:tcBorders>
            <w:noWrap w:val="0"/>
            <w:vAlign w:val="center"/>
          </w:tcPr>
          <w:p w14:paraId="416FEF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(3.877)</w:t>
            </w:r>
          </w:p>
        </w:tc>
        <w:tc>
          <w:tcPr>
            <w:tcW w:w="852" w:type="pct"/>
            <w:tcBorders>
              <w:top w:val="nil"/>
              <w:left w:val="nil"/>
              <w:bottom w:val="nil"/>
              <w:right w:val="nil"/>
              <w:tl2br w:val="nil"/>
              <w:tr2bl w:val="nil"/>
            </w:tcBorders>
            <w:noWrap w:val="0"/>
            <w:vAlign w:val="center"/>
          </w:tcPr>
          <w:p w14:paraId="7113C8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(4.061)</w:t>
            </w:r>
          </w:p>
        </w:tc>
      </w:tr>
      <w:tr w14:paraId="34A92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restart"/>
            <w:tcBorders>
              <w:top w:val="nil"/>
              <w:left w:val="nil"/>
              <w:right w:val="nil"/>
              <w:tl2br w:val="nil"/>
              <w:tr2bl w:val="nil"/>
            </w:tcBorders>
            <w:noWrap w:val="0"/>
            <w:vAlign w:val="center"/>
          </w:tcPr>
          <w:p w14:paraId="4E70797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资本资产率（CAR）</w:t>
            </w:r>
          </w:p>
        </w:tc>
        <w:tc>
          <w:tcPr>
            <w:tcW w:w="784" w:type="pct"/>
            <w:tcBorders>
              <w:top w:val="nil"/>
              <w:left w:val="nil"/>
              <w:bottom w:val="nil"/>
              <w:right w:val="nil"/>
              <w:tl2br w:val="nil"/>
              <w:tr2bl w:val="nil"/>
            </w:tcBorders>
            <w:noWrap w:val="0"/>
            <w:vAlign w:val="center"/>
          </w:tcPr>
          <w:p w14:paraId="227830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0.0272</w:t>
            </w:r>
          </w:p>
        </w:tc>
        <w:tc>
          <w:tcPr>
            <w:tcW w:w="852" w:type="pct"/>
            <w:tcBorders>
              <w:top w:val="nil"/>
              <w:left w:val="nil"/>
              <w:bottom w:val="nil"/>
              <w:right w:val="nil"/>
              <w:tl2br w:val="nil"/>
              <w:tr2bl w:val="nil"/>
            </w:tcBorders>
            <w:noWrap w:val="0"/>
            <w:vAlign w:val="center"/>
          </w:tcPr>
          <w:p w14:paraId="6FBEE7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0.517***</w:t>
            </w:r>
          </w:p>
        </w:tc>
        <w:tc>
          <w:tcPr>
            <w:tcW w:w="852" w:type="pct"/>
            <w:tcBorders>
              <w:top w:val="nil"/>
              <w:left w:val="nil"/>
              <w:bottom w:val="nil"/>
              <w:right w:val="nil"/>
              <w:tl2br w:val="nil"/>
              <w:tr2bl w:val="nil"/>
            </w:tcBorders>
            <w:noWrap w:val="0"/>
            <w:vAlign w:val="center"/>
          </w:tcPr>
          <w:p w14:paraId="42BD5B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0.539***</w:t>
            </w:r>
          </w:p>
        </w:tc>
      </w:tr>
      <w:tr w14:paraId="49B7A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continue"/>
            <w:tcBorders>
              <w:left w:val="nil"/>
              <w:bottom w:val="single" w:color="auto" w:sz="6" w:space="0"/>
              <w:right w:val="nil"/>
              <w:tl2br w:val="nil"/>
              <w:tr2bl w:val="nil"/>
            </w:tcBorders>
            <w:noWrap w:val="0"/>
            <w:vAlign w:val="center"/>
          </w:tcPr>
          <w:p w14:paraId="10E9ACE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784" w:type="pct"/>
            <w:tcBorders>
              <w:top w:val="nil"/>
              <w:left w:val="nil"/>
              <w:bottom w:val="single" w:color="auto" w:sz="6" w:space="0"/>
              <w:right w:val="nil"/>
              <w:tl2br w:val="nil"/>
              <w:tr2bl w:val="nil"/>
            </w:tcBorders>
            <w:noWrap w:val="0"/>
            <w:vAlign w:val="center"/>
          </w:tcPr>
          <w:p w14:paraId="17FF9F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0.195)</w:t>
            </w:r>
          </w:p>
        </w:tc>
        <w:tc>
          <w:tcPr>
            <w:tcW w:w="852" w:type="pct"/>
            <w:tcBorders>
              <w:top w:val="nil"/>
              <w:left w:val="nil"/>
              <w:bottom w:val="single" w:color="auto" w:sz="6" w:space="0"/>
              <w:right w:val="nil"/>
              <w:tl2br w:val="nil"/>
              <w:tr2bl w:val="nil"/>
            </w:tcBorders>
            <w:noWrap w:val="0"/>
            <w:vAlign w:val="center"/>
          </w:tcPr>
          <w:p w14:paraId="40A253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3.910)</w:t>
            </w:r>
          </w:p>
        </w:tc>
        <w:tc>
          <w:tcPr>
            <w:tcW w:w="852" w:type="pct"/>
            <w:tcBorders>
              <w:top w:val="nil"/>
              <w:left w:val="nil"/>
              <w:bottom w:val="single" w:color="auto" w:sz="6" w:space="0"/>
              <w:right w:val="nil"/>
              <w:tl2br w:val="nil"/>
              <w:tr2bl w:val="nil"/>
            </w:tcBorders>
            <w:noWrap w:val="0"/>
            <w:vAlign w:val="center"/>
          </w:tcPr>
          <w:p w14:paraId="7E55B7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3.797)</w:t>
            </w:r>
          </w:p>
        </w:tc>
      </w:tr>
      <w:tr w14:paraId="4BA8D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restart"/>
            <w:tcBorders>
              <w:top w:val="single" w:color="auto" w:sz="6" w:space="0"/>
              <w:left w:val="nil"/>
              <w:bottom w:val="nil"/>
              <w:right w:val="nil"/>
            </w:tcBorders>
            <w:noWrap w:val="0"/>
            <w:vAlign w:val="center"/>
          </w:tcPr>
          <w:p w14:paraId="5686F4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Constant</w:t>
            </w:r>
          </w:p>
        </w:tc>
        <w:tc>
          <w:tcPr>
            <w:tcW w:w="784" w:type="pct"/>
            <w:tcBorders>
              <w:top w:val="single" w:color="auto" w:sz="6" w:space="0"/>
              <w:left w:val="nil"/>
              <w:bottom w:val="nil"/>
              <w:right w:val="nil"/>
            </w:tcBorders>
            <w:noWrap w:val="0"/>
            <w:vAlign w:val="center"/>
          </w:tcPr>
          <w:p w14:paraId="08E3F8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0.0286</w:t>
            </w:r>
          </w:p>
        </w:tc>
        <w:tc>
          <w:tcPr>
            <w:tcW w:w="852" w:type="pct"/>
            <w:tcBorders>
              <w:top w:val="single" w:color="auto" w:sz="6" w:space="0"/>
              <w:left w:val="nil"/>
              <w:bottom w:val="nil"/>
              <w:right w:val="nil"/>
            </w:tcBorders>
            <w:noWrap w:val="0"/>
            <w:vAlign w:val="center"/>
          </w:tcPr>
          <w:p w14:paraId="05A481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0.0497***</w:t>
            </w:r>
          </w:p>
        </w:tc>
        <w:tc>
          <w:tcPr>
            <w:tcW w:w="852" w:type="pct"/>
            <w:tcBorders>
              <w:top w:val="single" w:color="auto" w:sz="6" w:space="0"/>
              <w:left w:val="nil"/>
              <w:bottom w:val="nil"/>
              <w:right w:val="nil"/>
            </w:tcBorders>
            <w:noWrap w:val="0"/>
            <w:vAlign w:val="center"/>
          </w:tcPr>
          <w:p w14:paraId="284894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0.0668***</w:t>
            </w:r>
          </w:p>
        </w:tc>
      </w:tr>
      <w:tr w14:paraId="694FD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vMerge w:val="continue"/>
            <w:tcBorders>
              <w:top w:val="nil"/>
              <w:left w:val="nil"/>
              <w:bottom w:val="nil"/>
              <w:right w:val="nil"/>
            </w:tcBorders>
            <w:noWrap w:val="0"/>
            <w:vAlign w:val="center"/>
          </w:tcPr>
          <w:p w14:paraId="3E73F7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784" w:type="pct"/>
            <w:tcBorders>
              <w:top w:val="nil"/>
              <w:left w:val="nil"/>
              <w:bottom w:val="nil"/>
              <w:right w:val="nil"/>
            </w:tcBorders>
            <w:noWrap w:val="0"/>
            <w:vAlign w:val="center"/>
          </w:tcPr>
          <w:p w14:paraId="2EB454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1.554)</w:t>
            </w:r>
          </w:p>
        </w:tc>
        <w:tc>
          <w:tcPr>
            <w:tcW w:w="852" w:type="pct"/>
            <w:tcBorders>
              <w:top w:val="nil"/>
              <w:left w:val="nil"/>
              <w:bottom w:val="nil"/>
              <w:right w:val="nil"/>
            </w:tcBorders>
            <w:noWrap w:val="0"/>
            <w:vAlign w:val="center"/>
          </w:tcPr>
          <w:p w14:paraId="5D000F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3.266)</w:t>
            </w:r>
          </w:p>
        </w:tc>
        <w:tc>
          <w:tcPr>
            <w:tcW w:w="852" w:type="pct"/>
            <w:tcBorders>
              <w:top w:val="nil"/>
              <w:left w:val="nil"/>
              <w:bottom w:val="nil"/>
              <w:right w:val="nil"/>
            </w:tcBorders>
            <w:noWrap w:val="0"/>
            <w:vAlign w:val="center"/>
          </w:tcPr>
          <w:p w14:paraId="26D428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4.122)</w:t>
            </w:r>
          </w:p>
        </w:tc>
      </w:tr>
      <w:tr w14:paraId="68061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tcBorders>
              <w:top w:val="nil"/>
              <w:left w:val="nil"/>
              <w:bottom w:val="nil"/>
              <w:right w:val="nil"/>
            </w:tcBorders>
            <w:noWrap w:val="0"/>
            <w:vAlign w:val="center"/>
          </w:tcPr>
          <w:p w14:paraId="665E24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Observations</w:t>
            </w:r>
          </w:p>
        </w:tc>
        <w:tc>
          <w:tcPr>
            <w:tcW w:w="784" w:type="pct"/>
            <w:tcBorders>
              <w:top w:val="nil"/>
              <w:left w:val="nil"/>
              <w:bottom w:val="nil"/>
              <w:right w:val="nil"/>
            </w:tcBorders>
            <w:noWrap w:val="0"/>
            <w:vAlign w:val="center"/>
          </w:tcPr>
          <w:p w14:paraId="38A3A9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189</w:t>
            </w:r>
          </w:p>
        </w:tc>
        <w:tc>
          <w:tcPr>
            <w:tcW w:w="852" w:type="pct"/>
            <w:tcBorders>
              <w:top w:val="nil"/>
              <w:left w:val="nil"/>
              <w:bottom w:val="nil"/>
              <w:right w:val="nil"/>
            </w:tcBorders>
            <w:noWrap w:val="0"/>
            <w:vAlign w:val="center"/>
          </w:tcPr>
          <w:p w14:paraId="24DD6E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243</w:t>
            </w:r>
          </w:p>
        </w:tc>
        <w:tc>
          <w:tcPr>
            <w:tcW w:w="852" w:type="pct"/>
            <w:tcBorders>
              <w:top w:val="nil"/>
              <w:left w:val="nil"/>
              <w:bottom w:val="nil"/>
              <w:right w:val="nil"/>
            </w:tcBorders>
            <w:noWrap w:val="0"/>
            <w:vAlign w:val="center"/>
          </w:tcPr>
          <w:p w14:paraId="5E1AA6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216</w:t>
            </w:r>
          </w:p>
        </w:tc>
      </w:tr>
      <w:tr w14:paraId="3EE47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tcBorders>
              <w:top w:val="nil"/>
              <w:left w:val="nil"/>
              <w:bottom w:val="nil"/>
              <w:right w:val="nil"/>
            </w:tcBorders>
            <w:noWrap w:val="0"/>
            <w:vAlign w:val="center"/>
          </w:tcPr>
          <w:p w14:paraId="5A60B3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R</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squared</w:t>
            </w:r>
          </w:p>
        </w:tc>
        <w:tc>
          <w:tcPr>
            <w:tcW w:w="784" w:type="pct"/>
            <w:tcBorders>
              <w:top w:val="nil"/>
              <w:left w:val="nil"/>
              <w:bottom w:val="nil"/>
              <w:right w:val="nil"/>
            </w:tcBorders>
            <w:noWrap w:val="0"/>
            <w:vAlign w:val="center"/>
          </w:tcPr>
          <w:p w14:paraId="5A4C4E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0.370</w:t>
            </w:r>
          </w:p>
        </w:tc>
        <w:tc>
          <w:tcPr>
            <w:tcW w:w="852" w:type="pct"/>
            <w:tcBorders>
              <w:top w:val="nil"/>
              <w:left w:val="nil"/>
              <w:bottom w:val="nil"/>
              <w:right w:val="nil"/>
            </w:tcBorders>
            <w:noWrap w:val="0"/>
            <w:vAlign w:val="center"/>
          </w:tcPr>
          <w:p w14:paraId="7C83BE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0.213</w:t>
            </w:r>
          </w:p>
        </w:tc>
        <w:tc>
          <w:tcPr>
            <w:tcW w:w="852" w:type="pct"/>
            <w:tcBorders>
              <w:top w:val="nil"/>
              <w:left w:val="nil"/>
              <w:bottom w:val="nil"/>
              <w:right w:val="nil"/>
            </w:tcBorders>
            <w:noWrap w:val="0"/>
            <w:vAlign w:val="center"/>
          </w:tcPr>
          <w:p w14:paraId="2E243C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0.230</w:t>
            </w:r>
          </w:p>
        </w:tc>
      </w:tr>
      <w:tr w14:paraId="1E7AE895">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11" w:type="pct"/>
            <w:tcBorders>
              <w:top w:val="nil"/>
              <w:left w:val="nil"/>
              <w:bottom w:val="single" w:color="auto" w:sz="6" w:space="0"/>
              <w:right w:val="nil"/>
            </w:tcBorders>
            <w:noWrap w:val="0"/>
            <w:vAlign w:val="center"/>
          </w:tcPr>
          <w:p w14:paraId="05F37B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Number of idd</w:t>
            </w:r>
          </w:p>
        </w:tc>
        <w:tc>
          <w:tcPr>
            <w:tcW w:w="784" w:type="pct"/>
            <w:tcBorders>
              <w:top w:val="nil"/>
              <w:left w:val="nil"/>
              <w:bottom w:val="single" w:color="auto" w:sz="6" w:space="0"/>
              <w:right w:val="nil"/>
            </w:tcBorders>
            <w:noWrap w:val="0"/>
            <w:vAlign w:val="center"/>
          </w:tcPr>
          <w:p w14:paraId="7FEEEE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27</w:t>
            </w:r>
          </w:p>
        </w:tc>
        <w:tc>
          <w:tcPr>
            <w:tcW w:w="852" w:type="pct"/>
            <w:tcBorders>
              <w:top w:val="nil"/>
              <w:left w:val="nil"/>
              <w:bottom w:val="single" w:color="auto" w:sz="6" w:space="0"/>
              <w:right w:val="nil"/>
            </w:tcBorders>
            <w:noWrap w:val="0"/>
            <w:vAlign w:val="center"/>
          </w:tcPr>
          <w:p w14:paraId="36DD2E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27</w:t>
            </w:r>
          </w:p>
        </w:tc>
        <w:tc>
          <w:tcPr>
            <w:tcW w:w="852" w:type="pct"/>
            <w:tcBorders>
              <w:top w:val="nil"/>
              <w:left w:val="nil"/>
              <w:bottom w:val="single" w:color="auto" w:sz="6" w:space="0"/>
              <w:right w:val="nil"/>
            </w:tcBorders>
            <w:noWrap w:val="0"/>
            <w:vAlign w:val="center"/>
          </w:tcPr>
          <w:p w14:paraId="0EB26E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27</w:t>
            </w:r>
          </w:p>
        </w:tc>
      </w:tr>
    </w:tbl>
    <w:p w14:paraId="7A3B3AF3">
      <w:pPr>
        <w:pageBreakBefore w:val="0"/>
        <w:kinsoku/>
        <w:wordWrap/>
        <w:overflowPunct/>
        <w:topLinePunct w:val="0"/>
        <w:autoSpaceDE/>
        <w:autoSpaceDN/>
        <w:bidi w:val="0"/>
        <w:spacing w:line="300" w:lineRule="auto"/>
        <w:ind w:firstLine="422" w:firstLineChars="200"/>
        <w:textAlignment w:val="auto"/>
        <w:rPr>
          <w:rFonts w:hint="default" w:ascii="Times New Roman" w:hAnsi="Times New Roman" w:eastAsia="宋体" w:cs="Times New Roman"/>
          <w:b/>
          <w:bCs/>
          <w:sz w:val="21"/>
          <w:szCs w:val="18"/>
        </w:rPr>
      </w:pPr>
      <w:r>
        <w:rPr>
          <w:rFonts w:hint="default" w:ascii="Times New Roman" w:hAnsi="Times New Roman" w:eastAsia="宋体" w:cs="Times New Roman"/>
          <w:b/>
          <w:bCs/>
          <w:sz w:val="21"/>
          <w:szCs w:val="18"/>
        </w:rPr>
        <w:t>注：括号里为标准误差，*表示</w:t>
      </w:r>
      <w:r>
        <w:rPr>
          <w:rFonts w:hint="default" w:ascii="Times New Roman" w:hAnsi="Times New Roman" w:eastAsia="宋体" w:cs="Times New Roman"/>
          <w:b/>
          <w:bCs/>
          <w:position w:val="-10"/>
          <w:sz w:val="21"/>
          <w:szCs w:val="30"/>
        </w:rPr>
        <w:object>
          <v:shape id="_x0000_i1032"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32" DrawAspect="Content" ObjectID="_1468075732" r:id="rId20">
            <o:LockedField>false</o:LockedField>
          </o:OLEObject>
        </w:object>
      </w:r>
      <w:r>
        <w:rPr>
          <w:rFonts w:hint="default" w:ascii="Times New Roman" w:hAnsi="Times New Roman" w:eastAsia="宋体" w:cs="Times New Roman"/>
          <w:b/>
          <w:bCs/>
          <w:sz w:val="21"/>
          <w:szCs w:val="18"/>
        </w:rPr>
        <w:t xml:space="preserve">&lt;0.1，**表示 </w:t>
      </w:r>
      <w:r>
        <w:rPr>
          <w:rFonts w:hint="default" w:ascii="Times New Roman" w:hAnsi="Times New Roman" w:eastAsia="宋体" w:cs="Times New Roman"/>
          <w:b/>
          <w:bCs/>
          <w:position w:val="-10"/>
          <w:sz w:val="21"/>
          <w:szCs w:val="30"/>
        </w:rPr>
        <w:object>
          <v:shape id="_x0000_i1033"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33" DrawAspect="Content" ObjectID="_1468075733" r:id="rId21">
            <o:LockedField>false</o:LockedField>
          </o:OLEObject>
        </w:object>
      </w:r>
      <w:r>
        <w:rPr>
          <w:rFonts w:hint="default" w:ascii="Times New Roman" w:hAnsi="Times New Roman" w:eastAsia="宋体" w:cs="Times New Roman"/>
          <w:b/>
          <w:bCs/>
          <w:sz w:val="21"/>
          <w:szCs w:val="18"/>
        </w:rPr>
        <w:t>&lt;0.05，***表示</w:t>
      </w:r>
      <w:r>
        <w:rPr>
          <w:rFonts w:hint="default" w:ascii="Times New Roman" w:hAnsi="Times New Roman" w:eastAsia="宋体" w:cs="Times New Roman"/>
          <w:b/>
          <w:bCs/>
          <w:position w:val="-10"/>
          <w:sz w:val="21"/>
          <w:szCs w:val="30"/>
        </w:rPr>
        <w:object>
          <v:shape id="_x0000_i1034"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34" DrawAspect="Content" ObjectID="_1468075734" r:id="rId22">
            <o:LockedField>false</o:LockedField>
          </o:OLEObject>
        </w:object>
      </w:r>
      <w:r>
        <w:rPr>
          <w:rFonts w:hint="default" w:ascii="Times New Roman" w:hAnsi="Times New Roman" w:eastAsia="宋体" w:cs="Times New Roman"/>
          <w:b/>
          <w:bCs/>
          <w:sz w:val="21"/>
          <w:szCs w:val="18"/>
        </w:rPr>
        <w:t>&lt;0.01。</w:t>
      </w:r>
    </w:p>
    <w:p w14:paraId="0A10954C">
      <w:pPr>
        <w:bidi w:val="0"/>
        <w:rPr>
          <w:rFonts w:hint="default"/>
          <w:lang w:val="en-US" w:eastAsia="zh-CN"/>
        </w:rPr>
      </w:pPr>
      <w:r>
        <w:rPr>
          <w:rFonts w:hint="default"/>
          <w:lang w:val="en-US" w:eastAsia="zh-CN"/>
        </w:rPr>
        <w:t>由回归模型结果可以看出，使用滞后一期、滞后二期的解释变量后，数字化转型变量的系数仍为负，且在1%和10%的显著性水平下显著，在考虑内生性问题后，数字化转型抑制</w:t>
      </w:r>
      <w:r>
        <w:rPr>
          <w:rFonts w:hint="eastAsia"/>
          <w:lang w:val="en-US" w:eastAsia="zh-CN"/>
        </w:rPr>
        <w:t>中小银行</w:t>
      </w:r>
      <w:r>
        <w:rPr>
          <w:rFonts w:hint="default"/>
          <w:lang w:val="en-US" w:eastAsia="zh-CN"/>
        </w:rPr>
        <w:t>信贷风险水平的结论仍然成立。</w:t>
      </w:r>
    </w:p>
    <w:p w14:paraId="1D0064A3">
      <w:pPr>
        <w:pStyle w:val="3"/>
        <w:bidi w:val="0"/>
        <w:rPr>
          <w:rFonts w:hint="default"/>
          <w:lang w:val="en-US" w:eastAsia="zh-CN"/>
        </w:rPr>
      </w:pPr>
      <w:bookmarkStart w:id="27" w:name="_Toc22219"/>
      <w:r>
        <w:rPr>
          <w:rFonts w:hint="eastAsia"/>
          <w:lang w:val="en-US" w:eastAsia="zh-CN"/>
        </w:rPr>
        <w:t>（三）</w:t>
      </w:r>
      <w:r>
        <w:rPr>
          <w:rFonts w:hint="default"/>
          <w:lang w:val="en-US" w:eastAsia="zh-CN"/>
        </w:rPr>
        <w:t>内生性检验</w:t>
      </w:r>
      <w:bookmarkEnd w:id="27"/>
    </w:p>
    <w:p w14:paraId="19B69838">
      <w:pPr>
        <w:bidi w:val="0"/>
        <w:rPr>
          <w:rFonts w:hint="default" w:ascii="Times New Roman" w:hAnsi="Times New Roman" w:eastAsia="宋体" w:cs="Times New Roman"/>
          <w:strike w:val="0"/>
          <w:szCs w:val="24"/>
          <w:lang w:val="en-US" w:eastAsia="zh-CN"/>
        </w:rPr>
      </w:pPr>
      <w:r>
        <w:rPr>
          <w:rFonts w:hint="default"/>
          <w:lang w:val="en-US" w:eastAsia="zh-CN"/>
        </w:rPr>
        <w:t>基准回归中可能存在反向因果和遗漏变量问题，本文采用工具变量回归缓解潜在的内生性困扰，</w:t>
      </w:r>
      <w:r>
        <w:rPr>
          <w:rFonts w:hint="eastAsia"/>
          <w:lang w:val="en-US" w:eastAsia="zh-CN"/>
        </w:rPr>
        <w:t>本文</w:t>
      </w:r>
      <w:r>
        <w:rPr>
          <w:rFonts w:hint="default"/>
          <w:lang w:val="en-US" w:eastAsia="zh-CN"/>
        </w:rPr>
        <w:t>参考相关研究的做法</w:t>
      </w:r>
      <w:r>
        <w:rPr>
          <w:rStyle w:val="19"/>
          <w:rFonts w:hint="default" w:ascii="Times New Roman" w:hAnsi="Times New Roman" w:eastAsia="宋体" w:cs="Times New Roman"/>
          <w:strike w:val="0"/>
          <w:szCs w:val="24"/>
          <w:lang w:val="en-US" w:eastAsia="zh-CN"/>
        </w:rPr>
        <w:t>[</w:t>
      </w:r>
      <w:r>
        <w:rPr>
          <w:rStyle w:val="19"/>
          <w:rFonts w:hint="default" w:ascii="Times New Roman" w:hAnsi="Times New Roman" w:eastAsia="宋体" w:cs="Times New Roman"/>
          <w:strike w:val="0"/>
          <w:szCs w:val="24"/>
          <w:lang w:val="en-US" w:eastAsia="zh-CN"/>
        </w:rPr>
        <w:endnoteReference w:id="40"/>
      </w:r>
      <w:r>
        <w:rPr>
          <w:rStyle w:val="19"/>
          <w:rFonts w:hint="default" w:ascii="Times New Roman" w:hAnsi="Times New Roman" w:eastAsia="宋体" w:cs="Times New Roman"/>
          <w:strike w:val="0"/>
          <w:szCs w:val="24"/>
          <w:lang w:val="en-US" w:eastAsia="zh-CN"/>
        </w:rPr>
        <w:t>]</w:t>
      </w:r>
      <w:r>
        <w:rPr>
          <w:rFonts w:hint="default"/>
          <w:lang w:val="en-US" w:eastAsia="zh-CN"/>
        </w:rPr>
        <w:t>，采用</w:t>
      </w:r>
      <w:r>
        <w:rPr>
          <w:rFonts w:hint="eastAsia"/>
          <w:lang w:val="en-US" w:eastAsia="zh-CN"/>
        </w:rPr>
        <w:t>“</w:t>
      </w:r>
      <w:r>
        <w:rPr>
          <w:rFonts w:hint="default"/>
          <w:lang w:val="en-US" w:eastAsia="zh-CN"/>
        </w:rPr>
        <w:t>数字化转型程度的滞后一阶（L.DTI）</w:t>
      </w:r>
      <w:r>
        <w:rPr>
          <w:rFonts w:hint="eastAsia"/>
          <w:lang w:val="en-US" w:eastAsia="zh-CN"/>
        </w:rPr>
        <w:t>”</w:t>
      </w:r>
      <w:r>
        <w:rPr>
          <w:rFonts w:hint="default"/>
          <w:lang w:val="en-US" w:eastAsia="zh-CN"/>
        </w:rPr>
        <w:t>作为工具变量，运用两阶段最小二乘法（2SLS）进行回归检验。表5列（1）和列（2）为采用两阶段最小二乘法（2SLS）进行工具变量回归的结果。</w:t>
      </w:r>
    </w:p>
    <w:p w14:paraId="57B9FC89">
      <w:pPr>
        <w:pageBreakBefore w:val="0"/>
        <w:kinsoku/>
        <w:wordWrap/>
        <w:overflowPunct/>
        <w:topLinePunct w:val="0"/>
        <w:autoSpaceDE/>
        <w:autoSpaceDN/>
        <w:bidi w:val="0"/>
        <w:spacing w:line="300" w:lineRule="auto"/>
        <w:ind w:firstLine="420" w:firstLineChars="200"/>
        <w:jc w:val="center"/>
        <w:textAlignment w:val="auto"/>
        <w:rPr>
          <w:rFonts w:hint="default" w:ascii="Times New Roman" w:hAnsi="Times New Roman" w:eastAsia="宋体" w:cs="Times New Roman"/>
          <w:b/>
          <w:bCs/>
          <w:sz w:val="21"/>
          <w:szCs w:val="18"/>
          <w:lang w:val="en-US" w:eastAsia="zh-CN"/>
        </w:rPr>
      </w:pPr>
      <w:r>
        <w:rPr>
          <w:rFonts w:hint="default" w:ascii="黑体" w:hAnsi="黑体" w:eastAsia="黑体" w:cs="黑体"/>
          <w:b w:val="0"/>
          <w:bCs w:val="0"/>
          <w:sz w:val="21"/>
          <w:szCs w:val="18"/>
          <w:lang w:val="en-US" w:eastAsia="zh-CN"/>
        </w:rPr>
        <w:t>表5</w:t>
      </w:r>
      <w:r>
        <w:rPr>
          <w:rFonts w:hint="eastAsia" w:ascii="黑体" w:hAnsi="黑体" w:eastAsia="黑体" w:cs="黑体"/>
          <w:b w:val="0"/>
          <w:bCs w:val="0"/>
          <w:sz w:val="21"/>
          <w:szCs w:val="18"/>
          <w:lang w:val="en-US" w:eastAsia="zh-CN"/>
        </w:rPr>
        <w:t xml:space="preserve"> </w:t>
      </w:r>
      <w:r>
        <w:rPr>
          <w:rFonts w:hint="default" w:ascii="黑体" w:hAnsi="黑体" w:eastAsia="黑体" w:cs="黑体"/>
          <w:b w:val="0"/>
          <w:bCs w:val="0"/>
          <w:sz w:val="21"/>
          <w:szCs w:val="18"/>
          <w:lang w:val="en-US" w:eastAsia="zh-CN"/>
        </w:rPr>
        <w:t>内生性检验</w:t>
      </w:r>
    </w:p>
    <w:tbl>
      <w:tblPr>
        <w:tblStyle w:val="15"/>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6"/>
        <w:gridCol w:w="2288"/>
        <w:gridCol w:w="2796"/>
      </w:tblGrid>
      <w:tr w14:paraId="6F918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restart"/>
            <w:tcBorders>
              <w:top w:val="single" w:color="auto" w:sz="6" w:space="0"/>
              <w:left w:val="nil"/>
              <w:right w:val="nil"/>
              <w:tl2br w:val="nil"/>
              <w:tr2bl w:val="nil"/>
            </w:tcBorders>
            <w:noWrap w:val="0"/>
            <w:vAlign w:val="center"/>
          </w:tcPr>
          <w:p w14:paraId="6EC319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变量名称</w:t>
            </w:r>
          </w:p>
        </w:tc>
        <w:tc>
          <w:tcPr>
            <w:tcW w:w="1342" w:type="pct"/>
            <w:tcBorders>
              <w:top w:val="single" w:color="auto" w:sz="6" w:space="0"/>
              <w:left w:val="nil"/>
              <w:bottom w:val="nil"/>
              <w:right w:val="nil"/>
              <w:tl2br w:val="nil"/>
              <w:tr2bl w:val="nil"/>
            </w:tcBorders>
            <w:noWrap w:val="0"/>
            <w:vAlign w:val="center"/>
          </w:tcPr>
          <w:p w14:paraId="1909F9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(1)</w:t>
            </w:r>
          </w:p>
        </w:tc>
        <w:tc>
          <w:tcPr>
            <w:tcW w:w="1640" w:type="pct"/>
            <w:tcBorders>
              <w:top w:val="single" w:color="auto" w:sz="6" w:space="0"/>
              <w:left w:val="nil"/>
              <w:bottom w:val="nil"/>
              <w:right w:val="nil"/>
              <w:tl2br w:val="nil"/>
              <w:tr2bl w:val="nil"/>
            </w:tcBorders>
            <w:noWrap w:val="0"/>
            <w:vAlign w:val="center"/>
          </w:tcPr>
          <w:p w14:paraId="7A12DA4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(2)</w:t>
            </w:r>
          </w:p>
        </w:tc>
      </w:tr>
      <w:tr w14:paraId="2A5E3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continue"/>
            <w:tcBorders>
              <w:left w:val="nil"/>
              <w:right w:val="nil"/>
              <w:tl2br w:val="nil"/>
              <w:tr2bl w:val="nil"/>
            </w:tcBorders>
            <w:noWrap w:val="0"/>
            <w:vAlign w:val="center"/>
          </w:tcPr>
          <w:p w14:paraId="7C5CB8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p>
        </w:tc>
        <w:tc>
          <w:tcPr>
            <w:tcW w:w="1342" w:type="pct"/>
            <w:tcBorders>
              <w:top w:val="nil"/>
              <w:left w:val="nil"/>
              <w:bottom w:val="nil"/>
              <w:right w:val="nil"/>
              <w:tl2br w:val="nil"/>
              <w:tr2bl w:val="nil"/>
            </w:tcBorders>
            <w:noWrap w:val="0"/>
            <w:vAlign w:val="center"/>
          </w:tcPr>
          <w:p w14:paraId="38089D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a1</w:t>
            </w:r>
          </w:p>
        </w:tc>
        <w:tc>
          <w:tcPr>
            <w:tcW w:w="1640" w:type="pct"/>
            <w:tcBorders>
              <w:top w:val="nil"/>
              <w:left w:val="nil"/>
              <w:bottom w:val="nil"/>
              <w:right w:val="nil"/>
              <w:tl2br w:val="nil"/>
              <w:tr2bl w:val="nil"/>
            </w:tcBorders>
            <w:noWrap w:val="0"/>
            <w:vAlign w:val="center"/>
          </w:tcPr>
          <w:p w14:paraId="3E7983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a2</w:t>
            </w:r>
          </w:p>
        </w:tc>
      </w:tr>
      <w:tr w14:paraId="23D3B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continue"/>
            <w:tcBorders>
              <w:left w:val="nil"/>
              <w:bottom w:val="single" w:color="auto" w:sz="6" w:space="0"/>
              <w:right w:val="nil"/>
              <w:tl2br w:val="nil"/>
              <w:tr2bl w:val="nil"/>
            </w:tcBorders>
            <w:noWrap w:val="0"/>
            <w:vAlign w:val="center"/>
          </w:tcPr>
          <w:p w14:paraId="3937D0D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p>
        </w:tc>
        <w:tc>
          <w:tcPr>
            <w:tcW w:w="1342" w:type="pct"/>
            <w:tcBorders>
              <w:top w:val="nil"/>
              <w:left w:val="nil"/>
              <w:bottom w:val="single" w:color="auto" w:sz="6" w:space="0"/>
              <w:right w:val="nil"/>
              <w:tl2br w:val="nil"/>
              <w:tr2bl w:val="nil"/>
            </w:tcBorders>
            <w:noWrap w:val="0"/>
            <w:vAlign w:val="center"/>
          </w:tcPr>
          <w:p w14:paraId="582946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DTI</w:t>
            </w:r>
          </w:p>
        </w:tc>
        <w:tc>
          <w:tcPr>
            <w:tcW w:w="1640" w:type="pct"/>
            <w:tcBorders>
              <w:top w:val="nil"/>
              <w:left w:val="nil"/>
              <w:bottom w:val="single" w:color="auto" w:sz="6" w:space="0"/>
              <w:right w:val="nil"/>
              <w:tl2br w:val="nil"/>
              <w:tr2bl w:val="nil"/>
            </w:tcBorders>
            <w:noWrap w:val="0"/>
            <w:vAlign w:val="center"/>
          </w:tcPr>
          <w:p w14:paraId="34F164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NPL</w:t>
            </w:r>
          </w:p>
        </w:tc>
      </w:tr>
      <w:tr w14:paraId="79900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restart"/>
            <w:tcBorders>
              <w:top w:val="nil"/>
              <w:left w:val="nil"/>
              <w:right w:val="nil"/>
              <w:tl2br w:val="nil"/>
              <w:tr2bl w:val="nil"/>
            </w:tcBorders>
            <w:noWrap w:val="0"/>
            <w:vAlign w:val="center"/>
          </w:tcPr>
          <w:p w14:paraId="2B330E9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L.DTI</w:t>
            </w:r>
          </w:p>
        </w:tc>
        <w:tc>
          <w:tcPr>
            <w:tcW w:w="1342" w:type="pct"/>
            <w:tcBorders>
              <w:top w:val="nil"/>
              <w:left w:val="nil"/>
              <w:bottom w:val="nil"/>
              <w:right w:val="nil"/>
              <w:tl2br w:val="nil"/>
              <w:tr2bl w:val="nil"/>
            </w:tcBorders>
            <w:noWrap w:val="0"/>
            <w:vAlign w:val="center"/>
          </w:tcPr>
          <w:p w14:paraId="3A5561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0.852***</w:t>
            </w:r>
          </w:p>
        </w:tc>
        <w:tc>
          <w:tcPr>
            <w:tcW w:w="1640" w:type="pct"/>
            <w:tcBorders>
              <w:top w:val="nil"/>
              <w:left w:val="nil"/>
              <w:bottom w:val="nil"/>
              <w:right w:val="nil"/>
              <w:tl2br w:val="nil"/>
              <w:tr2bl w:val="nil"/>
            </w:tcBorders>
            <w:noWrap w:val="0"/>
            <w:vAlign w:val="center"/>
          </w:tcPr>
          <w:p w14:paraId="094D072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p>
        </w:tc>
      </w:tr>
      <w:tr w14:paraId="4AB58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continue"/>
            <w:tcBorders>
              <w:left w:val="nil"/>
              <w:bottom w:val="nil"/>
              <w:right w:val="nil"/>
              <w:tl2br w:val="nil"/>
              <w:tr2bl w:val="nil"/>
            </w:tcBorders>
            <w:noWrap w:val="0"/>
            <w:vAlign w:val="center"/>
          </w:tcPr>
          <w:p w14:paraId="5C6204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p>
        </w:tc>
        <w:tc>
          <w:tcPr>
            <w:tcW w:w="1342" w:type="pct"/>
            <w:tcBorders>
              <w:top w:val="nil"/>
              <w:left w:val="nil"/>
              <w:bottom w:val="nil"/>
              <w:right w:val="nil"/>
              <w:tl2br w:val="nil"/>
              <w:tr2bl w:val="nil"/>
            </w:tcBorders>
            <w:noWrap w:val="0"/>
            <w:vAlign w:val="center"/>
          </w:tcPr>
          <w:p w14:paraId="0A4824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(21.83)</w:t>
            </w:r>
          </w:p>
        </w:tc>
        <w:tc>
          <w:tcPr>
            <w:tcW w:w="1640" w:type="pct"/>
            <w:tcBorders>
              <w:top w:val="nil"/>
              <w:left w:val="nil"/>
              <w:bottom w:val="nil"/>
              <w:right w:val="nil"/>
              <w:tl2br w:val="nil"/>
              <w:tr2bl w:val="nil"/>
            </w:tcBorders>
            <w:noWrap w:val="0"/>
            <w:vAlign w:val="center"/>
          </w:tcPr>
          <w:p w14:paraId="7CA4B8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p>
        </w:tc>
      </w:tr>
      <w:tr w14:paraId="71D83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restart"/>
            <w:tcBorders>
              <w:top w:val="nil"/>
              <w:left w:val="nil"/>
              <w:right w:val="nil"/>
              <w:tl2br w:val="nil"/>
              <w:tr2bl w:val="nil"/>
            </w:tcBorders>
            <w:shd w:val="clear" w:color="auto" w:fill="auto"/>
            <w:noWrap w:val="0"/>
            <w:vAlign w:val="center"/>
          </w:tcPr>
          <w:p w14:paraId="586454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DTI</w:t>
            </w:r>
          </w:p>
        </w:tc>
        <w:tc>
          <w:tcPr>
            <w:tcW w:w="1342" w:type="pct"/>
            <w:tcBorders>
              <w:top w:val="nil"/>
              <w:left w:val="nil"/>
              <w:bottom w:val="nil"/>
              <w:right w:val="nil"/>
              <w:tl2br w:val="nil"/>
              <w:tr2bl w:val="nil"/>
            </w:tcBorders>
            <w:shd w:val="clear" w:color="auto" w:fill="auto"/>
            <w:noWrap w:val="0"/>
            <w:vAlign w:val="center"/>
          </w:tcPr>
          <w:p w14:paraId="00067E5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p>
        </w:tc>
        <w:tc>
          <w:tcPr>
            <w:tcW w:w="1640" w:type="pct"/>
            <w:tcBorders>
              <w:top w:val="nil"/>
              <w:left w:val="nil"/>
              <w:bottom w:val="nil"/>
              <w:right w:val="nil"/>
              <w:tl2br w:val="nil"/>
              <w:tr2bl w:val="nil"/>
            </w:tcBorders>
            <w:shd w:val="clear" w:color="auto" w:fill="auto"/>
            <w:noWrap w:val="0"/>
            <w:vAlign w:val="center"/>
          </w:tcPr>
          <w:p w14:paraId="10F264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0.503***</w:t>
            </w:r>
          </w:p>
        </w:tc>
      </w:tr>
      <w:tr w14:paraId="3F372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continue"/>
            <w:tcBorders>
              <w:left w:val="nil"/>
              <w:bottom w:val="nil"/>
              <w:right w:val="nil"/>
              <w:tl2br w:val="nil"/>
              <w:tr2bl w:val="nil"/>
            </w:tcBorders>
            <w:shd w:val="clear" w:color="auto" w:fill="auto"/>
            <w:noWrap w:val="0"/>
            <w:vAlign w:val="center"/>
          </w:tcPr>
          <w:p w14:paraId="1C0A46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p>
        </w:tc>
        <w:tc>
          <w:tcPr>
            <w:tcW w:w="1342" w:type="pct"/>
            <w:tcBorders>
              <w:top w:val="nil"/>
              <w:left w:val="nil"/>
              <w:bottom w:val="nil"/>
              <w:right w:val="nil"/>
              <w:tl2br w:val="nil"/>
              <w:tr2bl w:val="nil"/>
            </w:tcBorders>
            <w:shd w:val="clear" w:color="auto" w:fill="auto"/>
            <w:noWrap w:val="0"/>
            <w:vAlign w:val="center"/>
          </w:tcPr>
          <w:p w14:paraId="552DBD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p>
        </w:tc>
        <w:tc>
          <w:tcPr>
            <w:tcW w:w="1640" w:type="pct"/>
            <w:tcBorders>
              <w:top w:val="nil"/>
              <w:left w:val="nil"/>
              <w:bottom w:val="nil"/>
              <w:right w:val="nil"/>
              <w:tl2br w:val="nil"/>
              <w:tr2bl w:val="nil"/>
            </w:tcBorders>
            <w:shd w:val="clear" w:color="auto" w:fill="auto"/>
            <w:noWrap w:val="0"/>
            <w:vAlign w:val="center"/>
          </w:tcPr>
          <w:p w14:paraId="3BF25B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w:t>
            </w: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5.038)</w:t>
            </w:r>
          </w:p>
        </w:tc>
      </w:tr>
      <w:tr w14:paraId="44F289E1">
        <w:tblPrEx>
          <w:tblCellMar>
            <w:top w:w="0" w:type="dxa"/>
            <w:left w:w="108" w:type="dxa"/>
            <w:bottom w:w="0" w:type="dxa"/>
            <w:right w:w="108" w:type="dxa"/>
          </w:tblCellMar>
        </w:tblPrEx>
        <w:trPr>
          <w:jc w:val="center"/>
        </w:trPr>
        <w:tc>
          <w:tcPr>
            <w:tcW w:w="2016" w:type="pct"/>
            <w:vMerge w:val="restart"/>
            <w:tcBorders>
              <w:top w:val="nil"/>
              <w:left w:val="nil"/>
              <w:right w:val="nil"/>
              <w:tl2br w:val="nil"/>
              <w:tr2bl w:val="nil"/>
            </w:tcBorders>
            <w:noWrap w:val="0"/>
            <w:vAlign w:val="center"/>
          </w:tcPr>
          <w:p w14:paraId="30E95D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净资产收益率（ROE）</w:t>
            </w:r>
          </w:p>
        </w:tc>
        <w:tc>
          <w:tcPr>
            <w:tcW w:w="1342" w:type="pct"/>
            <w:tcBorders>
              <w:top w:val="nil"/>
              <w:left w:val="nil"/>
              <w:bottom w:val="nil"/>
              <w:right w:val="nil"/>
              <w:tl2br w:val="nil"/>
              <w:tr2bl w:val="nil"/>
            </w:tcBorders>
            <w:noWrap w:val="0"/>
            <w:vAlign w:val="center"/>
          </w:tcPr>
          <w:p w14:paraId="667ED3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0.0172</w:t>
            </w:r>
          </w:p>
        </w:tc>
        <w:tc>
          <w:tcPr>
            <w:tcW w:w="1640" w:type="pct"/>
            <w:tcBorders>
              <w:top w:val="nil"/>
              <w:left w:val="nil"/>
              <w:bottom w:val="nil"/>
              <w:right w:val="nil"/>
              <w:tl2br w:val="nil"/>
              <w:tr2bl w:val="nil"/>
            </w:tcBorders>
            <w:noWrap w:val="0"/>
            <w:vAlign w:val="center"/>
          </w:tcPr>
          <w:p w14:paraId="1F5B95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0.465***</w:t>
            </w:r>
          </w:p>
        </w:tc>
      </w:tr>
      <w:tr w14:paraId="1D5E3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16" w:type="pct"/>
            <w:vMerge w:val="continue"/>
            <w:tcBorders>
              <w:left w:val="nil"/>
              <w:bottom w:val="nil"/>
              <w:right w:val="nil"/>
              <w:tl2br w:val="nil"/>
              <w:tr2bl w:val="nil"/>
            </w:tcBorders>
            <w:noWrap w:val="0"/>
            <w:vAlign w:val="center"/>
          </w:tcPr>
          <w:p w14:paraId="580EBFE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p>
        </w:tc>
        <w:tc>
          <w:tcPr>
            <w:tcW w:w="1342" w:type="pct"/>
            <w:tcBorders>
              <w:top w:val="nil"/>
              <w:left w:val="nil"/>
              <w:bottom w:val="nil"/>
              <w:right w:val="nil"/>
              <w:tl2br w:val="nil"/>
              <w:tr2bl w:val="nil"/>
            </w:tcBorders>
            <w:noWrap w:val="0"/>
            <w:vAlign w:val="center"/>
          </w:tcPr>
          <w:p w14:paraId="276C06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(0.562)</w:t>
            </w:r>
          </w:p>
        </w:tc>
        <w:tc>
          <w:tcPr>
            <w:tcW w:w="1640" w:type="pct"/>
            <w:tcBorders>
              <w:top w:val="nil"/>
              <w:left w:val="nil"/>
              <w:bottom w:val="nil"/>
              <w:right w:val="nil"/>
              <w:tl2br w:val="nil"/>
              <w:tr2bl w:val="nil"/>
            </w:tcBorders>
            <w:noWrap w:val="0"/>
            <w:vAlign w:val="center"/>
          </w:tcPr>
          <w:p w14:paraId="411383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w:t>
            </w: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6.974)</w:t>
            </w:r>
          </w:p>
        </w:tc>
      </w:tr>
      <w:tr w14:paraId="1FA05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restart"/>
            <w:tcBorders>
              <w:top w:val="nil"/>
              <w:left w:val="nil"/>
              <w:right w:val="nil"/>
              <w:tl2br w:val="nil"/>
              <w:tr2bl w:val="nil"/>
            </w:tcBorders>
            <w:noWrap w:val="0"/>
            <w:vAlign w:val="center"/>
          </w:tcPr>
          <w:p w14:paraId="78B97D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ESG表现（ESG）</w:t>
            </w:r>
          </w:p>
        </w:tc>
        <w:tc>
          <w:tcPr>
            <w:tcW w:w="1342" w:type="pct"/>
            <w:tcBorders>
              <w:top w:val="nil"/>
              <w:left w:val="nil"/>
              <w:bottom w:val="nil"/>
              <w:right w:val="nil"/>
              <w:tl2br w:val="nil"/>
              <w:tr2bl w:val="nil"/>
            </w:tcBorders>
            <w:noWrap w:val="0"/>
            <w:vAlign w:val="center"/>
          </w:tcPr>
          <w:p w14:paraId="510CB7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0.106**</w:t>
            </w:r>
          </w:p>
        </w:tc>
        <w:tc>
          <w:tcPr>
            <w:tcW w:w="1640" w:type="pct"/>
            <w:tcBorders>
              <w:top w:val="nil"/>
              <w:left w:val="nil"/>
              <w:bottom w:val="nil"/>
              <w:right w:val="nil"/>
              <w:tl2br w:val="nil"/>
              <w:tr2bl w:val="nil"/>
            </w:tcBorders>
            <w:noWrap w:val="0"/>
            <w:vAlign w:val="center"/>
          </w:tcPr>
          <w:p w14:paraId="1A39DA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0.188</w:t>
            </w:r>
          </w:p>
        </w:tc>
      </w:tr>
      <w:tr w14:paraId="7349E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continue"/>
            <w:tcBorders>
              <w:left w:val="nil"/>
              <w:bottom w:val="nil"/>
              <w:right w:val="nil"/>
              <w:tl2br w:val="nil"/>
              <w:tr2bl w:val="nil"/>
            </w:tcBorders>
            <w:noWrap w:val="0"/>
            <w:vAlign w:val="center"/>
          </w:tcPr>
          <w:p w14:paraId="193516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p>
        </w:tc>
        <w:tc>
          <w:tcPr>
            <w:tcW w:w="1342" w:type="pct"/>
            <w:tcBorders>
              <w:top w:val="nil"/>
              <w:left w:val="nil"/>
              <w:bottom w:val="nil"/>
              <w:right w:val="nil"/>
              <w:tl2br w:val="nil"/>
              <w:tr2bl w:val="nil"/>
            </w:tcBorders>
            <w:noWrap w:val="0"/>
            <w:vAlign w:val="center"/>
          </w:tcPr>
          <w:p w14:paraId="552D54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w:t>
            </w: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1.980)</w:t>
            </w:r>
          </w:p>
        </w:tc>
        <w:tc>
          <w:tcPr>
            <w:tcW w:w="1640" w:type="pct"/>
            <w:tcBorders>
              <w:top w:val="nil"/>
              <w:left w:val="nil"/>
              <w:bottom w:val="nil"/>
              <w:right w:val="nil"/>
              <w:tl2br w:val="nil"/>
              <w:tr2bl w:val="nil"/>
            </w:tcBorders>
            <w:noWrap w:val="0"/>
            <w:vAlign w:val="center"/>
          </w:tcPr>
          <w:p w14:paraId="284E9E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w:t>
            </w: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1.599)</w:t>
            </w:r>
          </w:p>
        </w:tc>
      </w:tr>
      <w:tr w14:paraId="46686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restart"/>
            <w:tcBorders>
              <w:top w:val="nil"/>
              <w:left w:val="nil"/>
              <w:right w:val="nil"/>
              <w:tl2br w:val="nil"/>
              <w:tr2bl w:val="nil"/>
            </w:tcBorders>
            <w:noWrap w:val="0"/>
            <w:vAlign w:val="center"/>
          </w:tcPr>
          <w:p w14:paraId="4CC6A1E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GDP累计同比增长率(GDP_Growth)</w:t>
            </w:r>
          </w:p>
        </w:tc>
        <w:tc>
          <w:tcPr>
            <w:tcW w:w="1342" w:type="pct"/>
            <w:tcBorders>
              <w:top w:val="nil"/>
              <w:left w:val="nil"/>
              <w:bottom w:val="nil"/>
              <w:right w:val="nil"/>
              <w:tl2br w:val="nil"/>
              <w:tr2bl w:val="nil"/>
            </w:tcBorders>
            <w:noWrap w:val="0"/>
            <w:vAlign w:val="center"/>
          </w:tcPr>
          <w:p w14:paraId="5CBD83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0.0323**</w:t>
            </w:r>
          </w:p>
        </w:tc>
        <w:tc>
          <w:tcPr>
            <w:tcW w:w="1640" w:type="pct"/>
            <w:tcBorders>
              <w:top w:val="nil"/>
              <w:left w:val="nil"/>
              <w:bottom w:val="nil"/>
              <w:right w:val="nil"/>
              <w:tl2br w:val="nil"/>
              <w:tr2bl w:val="nil"/>
            </w:tcBorders>
            <w:noWrap w:val="0"/>
            <w:vAlign w:val="center"/>
          </w:tcPr>
          <w:p w14:paraId="1D8DC5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0.128***</w:t>
            </w:r>
          </w:p>
        </w:tc>
      </w:tr>
      <w:tr w14:paraId="542BD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continue"/>
            <w:tcBorders>
              <w:left w:val="nil"/>
              <w:bottom w:val="nil"/>
              <w:right w:val="nil"/>
              <w:tl2br w:val="nil"/>
              <w:tr2bl w:val="nil"/>
            </w:tcBorders>
            <w:noWrap w:val="0"/>
            <w:vAlign w:val="center"/>
          </w:tcPr>
          <w:p w14:paraId="27FD0A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p>
        </w:tc>
        <w:tc>
          <w:tcPr>
            <w:tcW w:w="1342" w:type="pct"/>
            <w:tcBorders>
              <w:top w:val="nil"/>
              <w:left w:val="nil"/>
              <w:bottom w:val="nil"/>
              <w:right w:val="nil"/>
              <w:tl2br w:val="nil"/>
              <w:tr2bl w:val="nil"/>
            </w:tcBorders>
            <w:noWrap w:val="0"/>
            <w:vAlign w:val="center"/>
          </w:tcPr>
          <w:p w14:paraId="011F7E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(2.153)</w:t>
            </w:r>
          </w:p>
        </w:tc>
        <w:tc>
          <w:tcPr>
            <w:tcW w:w="1640" w:type="pct"/>
            <w:tcBorders>
              <w:top w:val="nil"/>
              <w:left w:val="nil"/>
              <w:bottom w:val="nil"/>
              <w:right w:val="nil"/>
              <w:tl2br w:val="nil"/>
              <w:tr2bl w:val="nil"/>
            </w:tcBorders>
            <w:noWrap w:val="0"/>
            <w:vAlign w:val="center"/>
          </w:tcPr>
          <w:p w14:paraId="7A8780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(3.953)</w:t>
            </w:r>
          </w:p>
        </w:tc>
      </w:tr>
      <w:tr w14:paraId="5FAE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restart"/>
            <w:tcBorders>
              <w:top w:val="nil"/>
              <w:left w:val="nil"/>
              <w:right w:val="nil"/>
              <w:tl2br w:val="nil"/>
              <w:tr2bl w:val="nil"/>
            </w:tcBorders>
            <w:noWrap w:val="0"/>
            <w:vAlign w:val="center"/>
          </w:tcPr>
          <w:p w14:paraId="655976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资本资产率（CAR）</w:t>
            </w:r>
          </w:p>
        </w:tc>
        <w:tc>
          <w:tcPr>
            <w:tcW w:w="1342" w:type="pct"/>
            <w:tcBorders>
              <w:top w:val="nil"/>
              <w:left w:val="nil"/>
              <w:bottom w:val="nil"/>
              <w:right w:val="nil"/>
              <w:tl2br w:val="nil"/>
              <w:tr2bl w:val="nil"/>
            </w:tcBorders>
            <w:noWrap w:val="0"/>
            <w:vAlign w:val="center"/>
          </w:tcPr>
          <w:p w14:paraId="22F6A6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0.0608</w:t>
            </w:r>
          </w:p>
        </w:tc>
        <w:tc>
          <w:tcPr>
            <w:tcW w:w="1640" w:type="pct"/>
            <w:tcBorders>
              <w:top w:val="nil"/>
              <w:left w:val="nil"/>
              <w:bottom w:val="nil"/>
              <w:right w:val="nil"/>
              <w:tl2br w:val="nil"/>
              <w:tr2bl w:val="nil"/>
            </w:tcBorders>
            <w:noWrap w:val="0"/>
            <w:vAlign w:val="center"/>
          </w:tcPr>
          <w:p w14:paraId="1EA2AE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0.429***</w:t>
            </w:r>
          </w:p>
        </w:tc>
      </w:tr>
      <w:tr w14:paraId="23594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continue"/>
            <w:tcBorders>
              <w:left w:val="nil"/>
              <w:bottom w:val="nil"/>
              <w:right w:val="nil"/>
              <w:tl2br w:val="nil"/>
              <w:tr2bl w:val="nil"/>
            </w:tcBorders>
            <w:noWrap w:val="0"/>
            <w:vAlign w:val="center"/>
          </w:tcPr>
          <w:p w14:paraId="0B55BE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p>
        </w:tc>
        <w:tc>
          <w:tcPr>
            <w:tcW w:w="1342" w:type="pct"/>
            <w:tcBorders>
              <w:top w:val="nil"/>
              <w:left w:val="nil"/>
              <w:bottom w:val="nil"/>
              <w:right w:val="nil"/>
              <w:tl2br w:val="nil"/>
              <w:tr2bl w:val="nil"/>
            </w:tcBorders>
            <w:noWrap w:val="0"/>
            <w:vAlign w:val="center"/>
          </w:tcPr>
          <w:p w14:paraId="780DE6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w:t>
            </w: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1.141)</w:t>
            </w:r>
          </w:p>
        </w:tc>
        <w:tc>
          <w:tcPr>
            <w:tcW w:w="1640" w:type="pct"/>
            <w:tcBorders>
              <w:top w:val="nil"/>
              <w:left w:val="nil"/>
              <w:bottom w:val="nil"/>
              <w:right w:val="nil"/>
              <w:tl2br w:val="nil"/>
              <w:tr2bl w:val="nil"/>
            </w:tcBorders>
            <w:noWrap w:val="0"/>
            <w:vAlign w:val="center"/>
          </w:tcPr>
          <w:p w14:paraId="5BF067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w:t>
            </w: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3.667)</w:t>
            </w:r>
          </w:p>
        </w:tc>
      </w:tr>
      <w:tr w14:paraId="6F6B7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restart"/>
            <w:tcBorders>
              <w:top w:val="nil"/>
              <w:left w:val="nil"/>
              <w:right w:val="nil"/>
              <w:tl2br w:val="nil"/>
              <w:tr2bl w:val="nil"/>
            </w:tcBorders>
            <w:noWrap w:val="0"/>
            <w:vAlign w:val="center"/>
          </w:tcPr>
          <w:p w14:paraId="5F02F61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Constant</w:t>
            </w:r>
          </w:p>
        </w:tc>
        <w:tc>
          <w:tcPr>
            <w:tcW w:w="1342" w:type="pct"/>
            <w:tcBorders>
              <w:top w:val="nil"/>
              <w:left w:val="nil"/>
              <w:bottom w:val="nil"/>
              <w:right w:val="nil"/>
              <w:tl2br w:val="nil"/>
              <w:tr2bl w:val="nil"/>
            </w:tcBorders>
            <w:noWrap w:val="0"/>
            <w:vAlign w:val="center"/>
          </w:tcPr>
          <w:p w14:paraId="559BA8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0.0118</w:t>
            </w:r>
          </w:p>
        </w:tc>
        <w:tc>
          <w:tcPr>
            <w:tcW w:w="1640" w:type="pct"/>
            <w:tcBorders>
              <w:top w:val="nil"/>
              <w:left w:val="nil"/>
              <w:bottom w:val="nil"/>
              <w:right w:val="nil"/>
              <w:tl2br w:val="nil"/>
              <w:tr2bl w:val="nil"/>
            </w:tcBorders>
            <w:noWrap w:val="0"/>
            <w:vAlign w:val="center"/>
          </w:tcPr>
          <w:p w14:paraId="10042B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0.0721***</w:t>
            </w:r>
          </w:p>
        </w:tc>
      </w:tr>
      <w:tr w14:paraId="2A4D0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vMerge w:val="continue"/>
            <w:tcBorders>
              <w:left w:val="nil"/>
              <w:bottom w:val="nil"/>
              <w:right w:val="nil"/>
              <w:tl2br w:val="nil"/>
              <w:tr2bl w:val="nil"/>
            </w:tcBorders>
            <w:noWrap w:val="0"/>
            <w:vAlign w:val="center"/>
          </w:tcPr>
          <w:p w14:paraId="05F34D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p>
        </w:tc>
        <w:tc>
          <w:tcPr>
            <w:tcW w:w="1342" w:type="pct"/>
            <w:tcBorders>
              <w:top w:val="nil"/>
              <w:left w:val="nil"/>
              <w:bottom w:val="nil"/>
              <w:right w:val="nil"/>
              <w:tl2br w:val="nil"/>
              <w:tr2bl w:val="nil"/>
            </w:tcBorders>
            <w:noWrap w:val="0"/>
            <w:vAlign w:val="center"/>
          </w:tcPr>
          <w:p w14:paraId="009DFC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w:t>
            </w: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1.531)</w:t>
            </w:r>
          </w:p>
        </w:tc>
        <w:tc>
          <w:tcPr>
            <w:tcW w:w="1640" w:type="pct"/>
            <w:tcBorders>
              <w:top w:val="nil"/>
              <w:left w:val="nil"/>
              <w:bottom w:val="nil"/>
              <w:right w:val="nil"/>
              <w:tl2br w:val="nil"/>
              <w:tr2bl w:val="nil"/>
            </w:tcBorders>
            <w:noWrap w:val="0"/>
            <w:vAlign w:val="center"/>
          </w:tcPr>
          <w:p w14:paraId="76151D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w:t>
            </w: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4.186)</w:t>
            </w:r>
          </w:p>
        </w:tc>
      </w:tr>
      <w:tr w14:paraId="4F618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tcBorders>
              <w:top w:val="nil"/>
              <w:left w:val="nil"/>
              <w:bottom w:val="nil"/>
              <w:right w:val="nil"/>
              <w:tl2br w:val="nil"/>
              <w:tr2bl w:val="nil"/>
            </w:tcBorders>
            <w:noWrap w:val="0"/>
            <w:vAlign w:val="center"/>
          </w:tcPr>
          <w:p w14:paraId="3EFDE7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Observations</w:t>
            </w:r>
          </w:p>
        </w:tc>
        <w:tc>
          <w:tcPr>
            <w:tcW w:w="1342" w:type="pct"/>
            <w:tcBorders>
              <w:top w:val="nil"/>
              <w:left w:val="nil"/>
              <w:bottom w:val="nil"/>
              <w:right w:val="nil"/>
              <w:tl2br w:val="nil"/>
              <w:tr2bl w:val="nil"/>
            </w:tcBorders>
            <w:noWrap w:val="0"/>
            <w:vAlign w:val="center"/>
          </w:tcPr>
          <w:p w14:paraId="74E562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243</w:t>
            </w:r>
          </w:p>
        </w:tc>
        <w:tc>
          <w:tcPr>
            <w:tcW w:w="1640" w:type="pct"/>
            <w:tcBorders>
              <w:top w:val="nil"/>
              <w:left w:val="nil"/>
              <w:bottom w:val="nil"/>
              <w:right w:val="nil"/>
              <w:tl2br w:val="nil"/>
              <w:tr2bl w:val="nil"/>
            </w:tcBorders>
            <w:noWrap w:val="0"/>
            <w:vAlign w:val="center"/>
          </w:tcPr>
          <w:p w14:paraId="7B8A93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243</w:t>
            </w:r>
          </w:p>
        </w:tc>
      </w:tr>
      <w:tr w14:paraId="0EF1961D">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6" w:type="pct"/>
            <w:tcBorders>
              <w:top w:val="nil"/>
              <w:left w:val="nil"/>
              <w:bottom w:val="single" w:color="auto" w:sz="6" w:space="0"/>
              <w:right w:val="nil"/>
              <w:tl2br w:val="nil"/>
              <w:tr2bl w:val="nil"/>
            </w:tcBorders>
            <w:noWrap w:val="0"/>
            <w:vAlign w:val="center"/>
          </w:tcPr>
          <w:p w14:paraId="68B353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R</w:t>
            </w:r>
            <w:r>
              <w:rPr>
                <w:rFonts w:hint="eastAsia" w:ascii="Times New Roman" w:hAnsi="Times New Roman" w:eastAsia="宋体" w:cs="Times New Roman"/>
                <w:b w:val="0"/>
                <w:bCs w:val="0"/>
                <w:sz w:val="21"/>
                <w:szCs w:val="18"/>
                <w:lang w:val="en-US" w:eastAsia="zh-CN" w:bidi="ar-SA"/>
              </w:rPr>
              <w:t>－</w:t>
            </w:r>
            <w:r>
              <w:rPr>
                <w:rFonts w:hint="default" w:ascii="Times New Roman" w:hAnsi="Times New Roman" w:eastAsia="宋体" w:cs="Times New Roman"/>
                <w:b w:val="0"/>
                <w:bCs w:val="0"/>
                <w:sz w:val="21"/>
                <w:szCs w:val="18"/>
                <w:lang w:val="en-US" w:eastAsia="zh-CN" w:bidi="ar-SA"/>
              </w:rPr>
              <w:t>squared</w:t>
            </w:r>
          </w:p>
        </w:tc>
        <w:tc>
          <w:tcPr>
            <w:tcW w:w="1342" w:type="pct"/>
            <w:tcBorders>
              <w:top w:val="nil"/>
              <w:left w:val="nil"/>
              <w:bottom w:val="single" w:color="auto" w:sz="6" w:space="0"/>
              <w:right w:val="nil"/>
              <w:tl2br w:val="nil"/>
              <w:tr2bl w:val="nil"/>
            </w:tcBorders>
            <w:noWrap w:val="0"/>
            <w:vAlign w:val="center"/>
          </w:tcPr>
          <w:p w14:paraId="510ECF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0.687</w:t>
            </w:r>
          </w:p>
        </w:tc>
        <w:tc>
          <w:tcPr>
            <w:tcW w:w="1640" w:type="pct"/>
            <w:tcBorders>
              <w:top w:val="nil"/>
              <w:left w:val="nil"/>
              <w:bottom w:val="single" w:color="auto" w:sz="6" w:space="0"/>
              <w:right w:val="nil"/>
              <w:tl2br w:val="nil"/>
              <w:tr2bl w:val="nil"/>
            </w:tcBorders>
            <w:noWrap w:val="0"/>
            <w:vAlign w:val="center"/>
          </w:tcPr>
          <w:p w14:paraId="7D62CD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8"/>
                <w:lang w:val="en-US" w:eastAsia="zh-CN" w:bidi="ar-SA"/>
              </w:rPr>
            </w:pPr>
            <w:r>
              <w:rPr>
                <w:rFonts w:hint="default" w:ascii="Times New Roman" w:hAnsi="Times New Roman" w:eastAsia="宋体" w:cs="Times New Roman"/>
                <w:b w:val="0"/>
                <w:bCs w:val="0"/>
                <w:sz w:val="21"/>
                <w:szCs w:val="18"/>
                <w:lang w:val="en-US" w:eastAsia="zh-CN" w:bidi="ar-SA"/>
              </w:rPr>
              <w:t>0.289</w:t>
            </w:r>
          </w:p>
        </w:tc>
      </w:tr>
    </w:tbl>
    <w:p w14:paraId="43DD1C90">
      <w:pPr>
        <w:pageBreakBefore w:val="0"/>
        <w:kinsoku/>
        <w:wordWrap/>
        <w:overflowPunct/>
        <w:topLinePunct w:val="0"/>
        <w:autoSpaceDE/>
        <w:autoSpaceDN/>
        <w:bidi w:val="0"/>
        <w:spacing w:line="300" w:lineRule="auto"/>
        <w:textAlignment w:val="auto"/>
        <w:rPr>
          <w:rFonts w:hint="default" w:ascii="Times New Roman" w:hAnsi="Times New Roman" w:eastAsia="宋体" w:cs="Times New Roman"/>
          <w:b/>
          <w:bCs/>
          <w:sz w:val="21"/>
          <w:szCs w:val="18"/>
        </w:rPr>
      </w:pPr>
      <w:r>
        <w:rPr>
          <w:rFonts w:hint="default" w:ascii="Times New Roman" w:hAnsi="Times New Roman" w:eastAsia="宋体" w:cs="Times New Roman"/>
          <w:b/>
          <w:bCs/>
          <w:sz w:val="21"/>
          <w:szCs w:val="18"/>
        </w:rPr>
        <w:t>注：括号里为标准误差，*表示</w:t>
      </w:r>
      <w:r>
        <w:rPr>
          <w:rFonts w:hint="default" w:ascii="Times New Roman" w:hAnsi="Times New Roman" w:eastAsia="宋体" w:cs="Times New Roman"/>
          <w:b/>
          <w:bCs/>
          <w:position w:val="-10"/>
          <w:sz w:val="21"/>
          <w:szCs w:val="30"/>
        </w:rPr>
        <w:object>
          <v:shape id="_x0000_i1035"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35" DrawAspect="Content" ObjectID="_1468075735" r:id="rId23">
            <o:LockedField>false</o:LockedField>
          </o:OLEObject>
        </w:object>
      </w:r>
      <w:r>
        <w:rPr>
          <w:rFonts w:hint="default" w:ascii="Times New Roman" w:hAnsi="Times New Roman" w:eastAsia="宋体" w:cs="Times New Roman"/>
          <w:b/>
          <w:bCs/>
          <w:sz w:val="21"/>
          <w:szCs w:val="18"/>
        </w:rPr>
        <w:t xml:space="preserve">&lt;0.1，**表示 </w:t>
      </w:r>
      <w:r>
        <w:rPr>
          <w:rFonts w:hint="default" w:ascii="Times New Roman" w:hAnsi="Times New Roman" w:eastAsia="宋体" w:cs="Times New Roman"/>
          <w:b/>
          <w:bCs/>
          <w:position w:val="-10"/>
          <w:sz w:val="21"/>
          <w:szCs w:val="30"/>
        </w:rPr>
        <w:object>
          <v:shape id="_x0000_i1036"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36" DrawAspect="Content" ObjectID="_1468075736" r:id="rId24">
            <o:LockedField>false</o:LockedField>
          </o:OLEObject>
        </w:object>
      </w:r>
      <w:r>
        <w:rPr>
          <w:rFonts w:hint="default" w:ascii="Times New Roman" w:hAnsi="Times New Roman" w:eastAsia="宋体" w:cs="Times New Roman"/>
          <w:b/>
          <w:bCs/>
          <w:sz w:val="21"/>
          <w:szCs w:val="18"/>
        </w:rPr>
        <w:t>&lt;0.05，***表示</w:t>
      </w:r>
      <w:r>
        <w:rPr>
          <w:rFonts w:hint="default" w:ascii="Times New Roman" w:hAnsi="Times New Roman" w:eastAsia="宋体" w:cs="Times New Roman"/>
          <w:b/>
          <w:bCs/>
          <w:position w:val="-10"/>
          <w:sz w:val="21"/>
          <w:szCs w:val="30"/>
        </w:rPr>
        <w:object>
          <v:shape id="_x0000_i1037"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37" DrawAspect="Content" ObjectID="_1468075737" r:id="rId25">
            <o:LockedField>false</o:LockedField>
          </o:OLEObject>
        </w:object>
      </w:r>
      <w:r>
        <w:rPr>
          <w:rFonts w:hint="default" w:ascii="Times New Roman" w:hAnsi="Times New Roman" w:eastAsia="宋体" w:cs="Times New Roman"/>
          <w:b/>
          <w:bCs/>
          <w:sz w:val="21"/>
          <w:szCs w:val="18"/>
        </w:rPr>
        <w:t>&lt;0.01。</w:t>
      </w:r>
    </w:p>
    <w:p w14:paraId="23F9F61D">
      <w:pPr>
        <w:bidi w:val="0"/>
        <w:rPr>
          <w:rFonts w:hint="default"/>
          <w:lang w:val="en-US" w:eastAsia="zh-CN"/>
        </w:rPr>
      </w:pPr>
      <w:r>
        <w:rPr>
          <w:rFonts w:hint="default"/>
          <w:lang w:val="en-US" w:eastAsia="zh-CN"/>
        </w:rPr>
        <w:t>从第一阶段回归结果（表5列1）可知，滞后一期的数字化转型变量（L.DTI）在1%显著性水平下显著为正（系数为0.852，t值为21.83），表明该工具变量与当前数字化转型水平具有较强的解释力，不存在弱工具变量问题，满足相关性要求</w:t>
      </w:r>
      <w:r>
        <w:rPr>
          <w:rFonts w:hint="eastAsia"/>
          <w:lang w:val="en-US" w:eastAsia="zh-CN"/>
        </w:rPr>
        <w:t>，同时工具变量的相关性体现在数字化转型可能存在一定的滞后性，可能当前进行的数字化投入后在之后的几年内体现，故工具变量选择相对合理</w:t>
      </w:r>
      <w:r>
        <w:rPr>
          <w:rFonts w:hint="default"/>
          <w:lang w:val="en-US" w:eastAsia="zh-CN"/>
        </w:rPr>
        <w:t>。</w:t>
      </w:r>
    </w:p>
    <w:p w14:paraId="7E809EF7">
      <w:pPr>
        <w:bidi w:val="0"/>
        <w:rPr>
          <w:rFonts w:hint="default" w:ascii="Times New Roman" w:hAnsi="Times New Roman" w:eastAsia="宋体" w:cs="Times New Roman"/>
          <w:strike w:val="0"/>
          <w:szCs w:val="24"/>
          <w:lang w:val="en-US" w:eastAsia="zh-CN"/>
        </w:rPr>
      </w:pPr>
      <w:r>
        <w:rPr>
          <w:rFonts w:hint="default"/>
          <w:lang w:val="en-US" w:eastAsia="zh-CN"/>
        </w:rPr>
        <w:t>第二阶段回归结果（表</w:t>
      </w:r>
      <w:r>
        <w:rPr>
          <w:rFonts w:hint="eastAsia"/>
          <w:lang w:val="en-US" w:eastAsia="zh-CN"/>
        </w:rPr>
        <w:t>5中</w:t>
      </w:r>
      <w:r>
        <w:rPr>
          <w:rFonts w:hint="default"/>
          <w:lang w:val="en-US" w:eastAsia="zh-CN"/>
        </w:rPr>
        <w:t>列2）显示，工具变量回归预测值所代表的数字化转型（DTI）对信贷风险（NPL）的影响显著为负（系数为</w:t>
      </w:r>
      <w:r>
        <w:rPr>
          <w:rFonts w:hint="eastAsia"/>
          <w:lang w:val="en-US" w:eastAsia="zh-CN"/>
        </w:rPr>
        <w:t>－</w:t>
      </w:r>
      <w:r>
        <w:rPr>
          <w:rFonts w:hint="default"/>
          <w:lang w:val="en-US" w:eastAsia="zh-CN"/>
        </w:rPr>
        <w:t>0.503，t值为</w:t>
      </w:r>
      <w:r>
        <w:rPr>
          <w:rFonts w:hint="eastAsia"/>
          <w:lang w:val="en-US" w:eastAsia="zh-CN"/>
        </w:rPr>
        <w:t>－</w:t>
      </w:r>
      <w:r>
        <w:rPr>
          <w:rFonts w:hint="default"/>
          <w:lang w:val="en-US" w:eastAsia="zh-CN"/>
        </w:rPr>
        <w:t>5.038），且在1%的显著性水平下成立。这说明即使在考虑内生性问题的情况下，数字化转型程度的加深对信贷风险</w:t>
      </w:r>
      <w:r>
        <w:rPr>
          <w:rFonts w:hint="eastAsia"/>
          <w:lang w:val="en-US" w:eastAsia="zh-CN"/>
        </w:rPr>
        <w:t>呈</w:t>
      </w:r>
      <w:r>
        <w:rPr>
          <w:rFonts w:hint="default"/>
          <w:lang w:val="en-US" w:eastAsia="zh-CN"/>
        </w:rPr>
        <w:t>抑制性，验证了主回归结论的稳健性。</w:t>
      </w:r>
    </w:p>
    <w:p w14:paraId="35CCBA41">
      <w:pPr>
        <w:pStyle w:val="3"/>
        <w:bidi w:val="0"/>
        <w:rPr>
          <w:rFonts w:hint="default"/>
          <w:lang w:val="en-US" w:eastAsia="zh-CN"/>
        </w:rPr>
      </w:pPr>
      <w:bookmarkStart w:id="28" w:name="_Toc31297"/>
      <w:r>
        <w:rPr>
          <w:rFonts w:hint="eastAsia"/>
          <w:lang w:val="en-US" w:eastAsia="zh-CN"/>
        </w:rPr>
        <w:t>（四）</w:t>
      </w:r>
      <w:r>
        <w:rPr>
          <w:rFonts w:hint="default"/>
          <w:lang w:val="en-US" w:eastAsia="zh-CN"/>
        </w:rPr>
        <w:t>中介效应检验</w:t>
      </w:r>
      <w:bookmarkEnd w:id="28"/>
    </w:p>
    <w:p w14:paraId="67A19798">
      <w:pPr>
        <w:bidi w:val="0"/>
        <w:rPr>
          <w:rFonts w:hint="default" w:ascii="Times New Roman" w:hAnsi="Times New Roman" w:eastAsia="宋体" w:cs="Times New Roman"/>
          <w:b/>
          <w:bCs/>
          <w:sz w:val="21"/>
          <w:szCs w:val="18"/>
          <w:lang w:val="en-US" w:eastAsia="zh-CN"/>
        </w:rPr>
      </w:pPr>
      <w:r>
        <w:rPr>
          <w:rFonts w:hint="default"/>
          <w:lang w:val="en-US" w:eastAsia="zh-CN"/>
        </w:rPr>
        <w:t>研究假设H1－H3的回归结果如表6所示。</w:t>
      </w:r>
    </w:p>
    <w:p w14:paraId="686F4164">
      <w:pPr>
        <w:pageBreakBefore w:val="0"/>
        <w:kinsoku/>
        <w:wordWrap/>
        <w:overflowPunct/>
        <w:topLinePunct w:val="0"/>
        <w:autoSpaceDE/>
        <w:autoSpaceDN/>
        <w:bidi w:val="0"/>
        <w:spacing w:line="300" w:lineRule="auto"/>
        <w:ind w:firstLine="420" w:firstLineChars="200"/>
        <w:jc w:val="center"/>
        <w:textAlignment w:val="auto"/>
        <w:rPr>
          <w:rFonts w:hint="default" w:ascii="黑体" w:hAnsi="黑体" w:eastAsia="黑体" w:cs="黑体"/>
          <w:b w:val="0"/>
          <w:bCs w:val="0"/>
          <w:sz w:val="21"/>
          <w:szCs w:val="18"/>
          <w:lang w:val="en-US" w:eastAsia="zh-CN"/>
        </w:rPr>
      </w:pPr>
      <w:r>
        <w:rPr>
          <w:rFonts w:hint="default" w:ascii="黑体" w:hAnsi="黑体" w:eastAsia="黑体" w:cs="黑体"/>
          <w:b w:val="0"/>
          <w:bCs w:val="0"/>
          <w:sz w:val="21"/>
          <w:szCs w:val="18"/>
          <w:lang w:val="en-US" w:eastAsia="zh-CN"/>
        </w:rPr>
        <w:t>表6 中介效应检验</w:t>
      </w:r>
    </w:p>
    <w:tbl>
      <w:tblPr>
        <w:tblStyle w:val="15"/>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94"/>
        <w:gridCol w:w="1558"/>
        <w:gridCol w:w="1434"/>
        <w:gridCol w:w="1434"/>
      </w:tblGrid>
      <w:tr w14:paraId="4BAEF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restart"/>
            <w:tcBorders>
              <w:top w:val="single" w:color="auto" w:sz="6" w:space="0"/>
              <w:left w:val="nil"/>
              <w:right w:val="nil"/>
              <w:tl2br w:val="nil"/>
              <w:tr2bl w:val="nil"/>
            </w:tcBorders>
            <w:noWrap w:val="0"/>
            <w:vAlign w:val="center"/>
          </w:tcPr>
          <w:p w14:paraId="1D0643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eastAsia="zh-CN"/>
              </w:rPr>
            </w:pPr>
            <w:r>
              <w:rPr>
                <w:rFonts w:hint="default" w:ascii="Times New Roman" w:hAnsi="Times New Roman" w:eastAsia="宋体" w:cs="Times New Roman"/>
                <w:b/>
                <w:bCs/>
                <w:sz w:val="21"/>
                <w:szCs w:val="16"/>
                <w:lang w:val="en-US" w:eastAsia="zh-CN"/>
              </w:rPr>
              <w:t>变量名称</w:t>
            </w:r>
          </w:p>
        </w:tc>
        <w:tc>
          <w:tcPr>
            <w:tcW w:w="914" w:type="pct"/>
            <w:tcBorders>
              <w:top w:val="single" w:color="auto" w:sz="6" w:space="0"/>
              <w:left w:val="nil"/>
              <w:bottom w:val="nil"/>
              <w:right w:val="nil"/>
              <w:tl2br w:val="nil"/>
              <w:tr2bl w:val="nil"/>
            </w:tcBorders>
            <w:noWrap w:val="0"/>
            <w:vAlign w:val="center"/>
          </w:tcPr>
          <w:p w14:paraId="29D19D4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z w:val="21"/>
                <w:szCs w:val="16"/>
              </w:rPr>
            </w:pPr>
            <w:r>
              <w:rPr>
                <w:rFonts w:hint="default" w:ascii="Times New Roman" w:hAnsi="Times New Roman" w:eastAsia="宋体" w:cs="Times New Roman"/>
                <w:b/>
                <w:bCs/>
                <w:sz w:val="21"/>
                <w:szCs w:val="16"/>
              </w:rPr>
              <w:t>(1)</w:t>
            </w:r>
          </w:p>
        </w:tc>
        <w:tc>
          <w:tcPr>
            <w:tcW w:w="841" w:type="pct"/>
            <w:tcBorders>
              <w:top w:val="single" w:color="auto" w:sz="6" w:space="0"/>
              <w:left w:val="nil"/>
              <w:bottom w:val="nil"/>
              <w:right w:val="nil"/>
              <w:tl2br w:val="nil"/>
              <w:tr2bl w:val="nil"/>
            </w:tcBorders>
            <w:noWrap w:val="0"/>
            <w:vAlign w:val="center"/>
          </w:tcPr>
          <w:p w14:paraId="347293A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z w:val="21"/>
                <w:szCs w:val="16"/>
              </w:rPr>
            </w:pPr>
            <w:r>
              <w:rPr>
                <w:rFonts w:hint="default" w:ascii="Times New Roman" w:hAnsi="Times New Roman" w:eastAsia="宋体" w:cs="Times New Roman"/>
                <w:b/>
                <w:bCs/>
                <w:sz w:val="21"/>
                <w:szCs w:val="16"/>
              </w:rPr>
              <w:t>(2)</w:t>
            </w:r>
          </w:p>
        </w:tc>
        <w:tc>
          <w:tcPr>
            <w:tcW w:w="841" w:type="pct"/>
            <w:tcBorders>
              <w:top w:val="single" w:color="auto" w:sz="6" w:space="0"/>
              <w:left w:val="nil"/>
              <w:bottom w:val="nil"/>
              <w:right w:val="nil"/>
              <w:tl2br w:val="nil"/>
              <w:tr2bl w:val="nil"/>
            </w:tcBorders>
            <w:noWrap w:val="0"/>
            <w:vAlign w:val="center"/>
          </w:tcPr>
          <w:p w14:paraId="069AC70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z w:val="21"/>
                <w:szCs w:val="16"/>
              </w:rPr>
            </w:pPr>
            <w:r>
              <w:rPr>
                <w:rFonts w:hint="default" w:ascii="Times New Roman" w:hAnsi="Times New Roman" w:eastAsia="宋体" w:cs="Times New Roman"/>
                <w:b/>
                <w:bCs/>
                <w:sz w:val="21"/>
                <w:szCs w:val="16"/>
              </w:rPr>
              <w:t>(3)</w:t>
            </w:r>
          </w:p>
        </w:tc>
      </w:tr>
      <w:tr w14:paraId="5845F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continue"/>
            <w:tcBorders>
              <w:left w:val="nil"/>
              <w:right w:val="nil"/>
              <w:tl2br w:val="nil"/>
              <w:tr2bl w:val="nil"/>
            </w:tcBorders>
            <w:noWrap w:val="0"/>
            <w:vAlign w:val="center"/>
          </w:tcPr>
          <w:p w14:paraId="72C3E6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rPr>
            </w:pPr>
          </w:p>
        </w:tc>
        <w:tc>
          <w:tcPr>
            <w:tcW w:w="914" w:type="pct"/>
            <w:tcBorders>
              <w:top w:val="nil"/>
              <w:left w:val="nil"/>
              <w:bottom w:val="nil"/>
              <w:right w:val="nil"/>
              <w:tl2br w:val="nil"/>
              <w:tr2bl w:val="nil"/>
            </w:tcBorders>
            <w:noWrap w:val="0"/>
            <w:vAlign w:val="center"/>
          </w:tcPr>
          <w:p w14:paraId="39C061D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z w:val="21"/>
                <w:szCs w:val="16"/>
              </w:rPr>
            </w:pPr>
            <w:r>
              <w:rPr>
                <w:rFonts w:hint="default" w:ascii="Times New Roman" w:hAnsi="Times New Roman" w:eastAsia="宋体" w:cs="Times New Roman"/>
                <w:b/>
                <w:bCs/>
                <w:sz w:val="21"/>
                <w:szCs w:val="16"/>
              </w:rPr>
              <w:t>a1</w:t>
            </w:r>
          </w:p>
        </w:tc>
        <w:tc>
          <w:tcPr>
            <w:tcW w:w="841" w:type="pct"/>
            <w:tcBorders>
              <w:top w:val="nil"/>
              <w:left w:val="nil"/>
              <w:bottom w:val="nil"/>
              <w:right w:val="nil"/>
              <w:tl2br w:val="nil"/>
              <w:tr2bl w:val="nil"/>
            </w:tcBorders>
            <w:noWrap w:val="0"/>
            <w:vAlign w:val="center"/>
          </w:tcPr>
          <w:p w14:paraId="1416675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z w:val="21"/>
                <w:szCs w:val="16"/>
              </w:rPr>
            </w:pPr>
            <w:r>
              <w:rPr>
                <w:rFonts w:hint="default" w:ascii="Times New Roman" w:hAnsi="Times New Roman" w:eastAsia="宋体" w:cs="Times New Roman"/>
                <w:b/>
                <w:bCs/>
                <w:sz w:val="21"/>
                <w:szCs w:val="16"/>
              </w:rPr>
              <w:t>a2</w:t>
            </w:r>
          </w:p>
        </w:tc>
        <w:tc>
          <w:tcPr>
            <w:tcW w:w="841" w:type="pct"/>
            <w:tcBorders>
              <w:top w:val="nil"/>
              <w:left w:val="nil"/>
              <w:bottom w:val="nil"/>
              <w:right w:val="nil"/>
              <w:tl2br w:val="nil"/>
              <w:tr2bl w:val="nil"/>
            </w:tcBorders>
            <w:noWrap w:val="0"/>
            <w:vAlign w:val="center"/>
          </w:tcPr>
          <w:p w14:paraId="2D89C14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z w:val="21"/>
                <w:szCs w:val="16"/>
              </w:rPr>
            </w:pPr>
            <w:r>
              <w:rPr>
                <w:rFonts w:hint="default" w:ascii="Times New Roman" w:hAnsi="Times New Roman" w:eastAsia="宋体" w:cs="Times New Roman"/>
                <w:b/>
                <w:bCs/>
                <w:sz w:val="21"/>
                <w:szCs w:val="16"/>
              </w:rPr>
              <w:t>a3</w:t>
            </w:r>
          </w:p>
        </w:tc>
      </w:tr>
      <w:tr w14:paraId="127EC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continue"/>
            <w:tcBorders>
              <w:left w:val="nil"/>
              <w:bottom w:val="single" w:color="auto" w:sz="6" w:space="0"/>
              <w:right w:val="nil"/>
              <w:tl2br w:val="nil"/>
              <w:tr2bl w:val="nil"/>
            </w:tcBorders>
            <w:noWrap w:val="0"/>
            <w:vAlign w:val="center"/>
          </w:tcPr>
          <w:p w14:paraId="265E008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6"/>
                <w:lang w:eastAsia="zh-CN"/>
              </w:rPr>
            </w:pPr>
          </w:p>
        </w:tc>
        <w:tc>
          <w:tcPr>
            <w:tcW w:w="914" w:type="pct"/>
            <w:tcBorders>
              <w:top w:val="nil"/>
              <w:left w:val="nil"/>
              <w:bottom w:val="single" w:color="auto" w:sz="6" w:space="0"/>
              <w:right w:val="nil"/>
              <w:tl2br w:val="nil"/>
              <w:tr2bl w:val="nil"/>
            </w:tcBorders>
            <w:noWrap w:val="0"/>
            <w:vAlign w:val="center"/>
          </w:tcPr>
          <w:p w14:paraId="6F50BD9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z w:val="21"/>
                <w:szCs w:val="16"/>
              </w:rPr>
            </w:pPr>
            <w:r>
              <w:rPr>
                <w:rFonts w:hint="default" w:ascii="Times New Roman" w:hAnsi="Times New Roman" w:eastAsia="宋体" w:cs="Times New Roman"/>
                <w:b/>
                <w:bCs/>
                <w:sz w:val="21"/>
                <w:szCs w:val="16"/>
              </w:rPr>
              <w:t>NPL</w:t>
            </w:r>
          </w:p>
        </w:tc>
        <w:tc>
          <w:tcPr>
            <w:tcW w:w="841" w:type="pct"/>
            <w:tcBorders>
              <w:top w:val="nil"/>
              <w:left w:val="nil"/>
              <w:bottom w:val="single" w:color="auto" w:sz="6" w:space="0"/>
              <w:right w:val="nil"/>
              <w:tl2br w:val="nil"/>
              <w:tr2bl w:val="nil"/>
            </w:tcBorders>
            <w:noWrap w:val="0"/>
            <w:vAlign w:val="center"/>
          </w:tcPr>
          <w:p w14:paraId="2E28862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z w:val="21"/>
                <w:szCs w:val="16"/>
              </w:rPr>
            </w:pPr>
            <w:r>
              <w:rPr>
                <w:rFonts w:hint="default" w:ascii="Times New Roman" w:hAnsi="Times New Roman" w:eastAsia="宋体" w:cs="Times New Roman"/>
                <w:b/>
                <w:bCs/>
                <w:sz w:val="21"/>
                <w:szCs w:val="16"/>
              </w:rPr>
              <w:t>NIR</w:t>
            </w:r>
          </w:p>
        </w:tc>
        <w:tc>
          <w:tcPr>
            <w:tcW w:w="841" w:type="pct"/>
            <w:tcBorders>
              <w:top w:val="nil"/>
              <w:left w:val="nil"/>
              <w:bottom w:val="single" w:color="auto" w:sz="6" w:space="0"/>
              <w:right w:val="nil"/>
              <w:tl2br w:val="nil"/>
              <w:tr2bl w:val="nil"/>
            </w:tcBorders>
            <w:noWrap w:val="0"/>
            <w:vAlign w:val="center"/>
          </w:tcPr>
          <w:p w14:paraId="79298589">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z w:val="21"/>
                <w:szCs w:val="16"/>
              </w:rPr>
            </w:pPr>
            <w:r>
              <w:rPr>
                <w:rFonts w:hint="default" w:ascii="Times New Roman" w:hAnsi="Times New Roman" w:eastAsia="宋体" w:cs="Times New Roman"/>
                <w:b/>
                <w:bCs/>
                <w:sz w:val="21"/>
                <w:szCs w:val="16"/>
              </w:rPr>
              <w:t>NPL</w:t>
            </w:r>
          </w:p>
        </w:tc>
      </w:tr>
      <w:tr w14:paraId="7E3EE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jc w:val="center"/>
        </w:trPr>
        <w:tc>
          <w:tcPr>
            <w:tcW w:w="2402" w:type="pct"/>
            <w:vMerge w:val="restart"/>
            <w:tcBorders>
              <w:top w:val="nil"/>
              <w:left w:val="nil"/>
              <w:right w:val="nil"/>
              <w:tl2br w:val="nil"/>
              <w:tr2bl w:val="nil"/>
            </w:tcBorders>
            <w:noWrap w:val="0"/>
            <w:vAlign w:val="center"/>
          </w:tcPr>
          <w:p w14:paraId="1D9C128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8"/>
                <w:lang w:val="en-US" w:eastAsia="zh-CN"/>
              </w:rPr>
              <w:t>非息收入</w:t>
            </w:r>
            <w:r>
              <w:rPr>
                <w:rFonts w:hint="default" w:ascii="Times New Roman" w:hAnsi="Times New Roman" w:eastAsia="宋体" w:cs="Times New Roman"/>
                <w:sz w:val="21"/>
                <w:szCs w:val="18"/>
                <w:lang w:eastAsia="zh-CN"/>
              </w:rPr>
              <w:t>（</w:t>
            </w:r>
            <w:r>
              <w:rPr>
                <w:rFonts w:hint="default" w:ascii="Times New Roman" w:hAnsi="Times New Roman" w:eastAsia="宋体" w:cs="Times New Roman"/>
                <w:sz w:val="21"/>
                <w:szCs w:val="18"/>
              </w:rPr>
              <w:t>NIR</w:t>
            </w:r>
            <w:r>
              <w:rPr>
                <w:rFonts w:hint="default" w:ascii="Times New Roman" w:hAnsi="Times New Roman" w:eastAsia="宋体" w:cs="Times New Roman"/>
                <w:sz w:val="21"/>
                <w:szCs w:val="18"/>
                <w:lang w:eastAsia="zh-CN"/>
              </w:rPr>
              <w:t>）</w:t>
            </w:r>
          </w:p>
        </w:tc>
        <w:tc>
          <w:tcPr>
            <w:tcW w:w="914" w:type="pct"/>
            <w:tcBorders>
              <w:top w:val="nil"/>
              <w:left w:val="nil"/>
              <w:bottom w:val="nil"/>
              <w:right w:val="nil"/>
              <w:tl2br w:val="nil"/>
              <w:tr2bl w:val="nil"/>
            </w:tcBorders>
            <w:shd w:val="clear" w:color="auto" w:fill="auto"/>
            <w:noWrap w:val="0"/>
            <w:vAlign w:val="center"/>
          </w:tcPr>
          <w:p w14:paraId="2A72DF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p>
        </w:tc>
        <w:tc>
          <w:tcPr>
            <w:tcW w:w="841" w:type="pct"/>
            <w:tcBorders>
              <w:top w:val="nil"/>
              <w:left w:val="nil"/>
              <w:bottom w:val="nil"/>
              <w:right w:val="nil"/>
              <w:tl2br w:val="nil"/>
              <w:tr2bl w:val="nil"/>
            </w:tcBorders>
            <w:shd w:val="clear" w:color="auto" w:fill="auto"/>
            <w:noWrap w:val="0"/>
            <w:vAlign w:val="center"/>
          </w:tcPr>
          <w:p w14:paraId="0F1CCFE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p>
        </w:tc>
        <w:tc>
          <w:tcPr>
            <w:tcW w:w="841" w:type="pct"/>
            <w:tcBorders>
              <w:top w:val="nil"/>
              <w:left w:val="nil"/>
              <w:bottom w:val="nil"/>
              <w:right w:val="nil"/>
              <w:tl2br w:val="nil"/>
              <w:tr2bl w:val="nil"/>
            </w:tcBorders>
            <w:shd w:val="clear" w:color="auto" w:fill="auto"/>
            <w:noWrap w:val="0"/>
            <w:vAlign w:val="center"/>
          </w:tcPr>
          <w:p w14:paraId="6CE55E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0.152***</w:t>
            </w:r>
          </w:p>
        </w:tc>
      </w:tr>
      <w:tr w14:paraId="22A00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continue"/>
            <w:tcBorders>
              <w:left w:val="nil"/>
              <w:bottom w:val="nil"/>
              <w:right w:val="nil"/>
              <w:tl2br w:val="nil"/>
              <w:tr2bl w:val="nil"/>
            </w:tcBorders>
            <w:noWrap w:val="0"/>
            <w:vAlign w:val="center"/>
          </w:tcPr>
          <w:p w14:paraId="2B8CCF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p>
        </w:tc>
        <w:tc>
          <w:tcPr>
            <w:tcW w:w="914" w:type="pct"/>
            <w:tcBorders>
              <w:top w:val="nil"/>
              <w:left w:val="nil"/>
              <w:bottom w:val="nil"/>
              <w:right w:val="nil"/>
              <w:tl2br w:val="nil"/>
              <w:tr2bl w:val="nil"/>
            </w:tcBorders>
            <w:shd w:val="clear" w:color="auto" w:fill="auto"/>
            <w:noWrap w:val="0"/>
            <w:vAlign w:val="center"/>
          </w:tcPr>
          <w:p w14:paraId="0C7BFD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p>
        </w:tc>
        <w:tc>
          <w:tcPr>
            <w:tcW w:w="841" w:type="pct"/>
            <w:tcBorders>
              <w:top w:val="nil"/>
              <w:left w:val="nil"/>
              <w:bottom w:val="nil"/>
              <w:right w:val="nil"/>
              <w:tl2br w:val="nil"/>
              <w:tr2bl w:val="nil"/>
            </w:tcBorders>
            <w:shd w:val="clear" w:color="auto" w:fill="auto"/>
            <w:noWrap w:val="0"/>
            <w:vAlign w:val="center"/>
          </w:tcPr>
          <w:p w14:paraId="58D6996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p>
        </w:tc>
        <w:tc>
          <w:tcPr>
            <w:tcW w:w="841" w:type="pct"/>
            <w:tcBorders>
              <w:top w:val="nil"/>
              <w:left w:val="nil"/>
              <w:bottom w:val="nil"/>
              <w:right w:val="nil"/>
              <w:tl2br w:val="nil"/>
              <w:tr2bl w:val="nil"/>
            </w:tcBorders>
            <w:shd w:val="clear" w:color="auto" w:fill="auto"/>
            <w:noWrap w:val="0"/>
            <w:vAlign w:val="center"/>
          </w:tcPr>
          <w:p w14:paraId="40B6FE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7.309)</w:t>
            </w:r>
          </w:p>
        </w:tc>
      </w:tr>
      <w:tr w14:paraId="256D4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402" w:type="pct"/>
            <w:vMerge w:val="restart"/>
            <w:tcBorders>
              <w:top w:val="nil"/>
              <w:left w:val="nil"/>
              <w:right w:val="nil"/>
              <w:tl2br w:val="nil"/>
              <w:tr2bl w:val="nil"/>
            </w:tcBorders>
            <w:noWrap w:val="0"/>
            <w:vAlign w:val="center"/>
          </w:tcPr>
          <w:p w14:paraId="629311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8"/>
                <w:lang w:val="en-US" w:eastAsia="zh-CN"/>
              </w:rPr>
              <w:t>数字化转型程度（</w:t>
            </w:r>
            <m:oMath>
              <m:r>
                <m:rPr>
                  <m:sty m:val="p"/>
                </m:rPr>
                <w:rPr>
                  <w:rFonts w:hint="default" w:ascii="Cambria Math" w:hAnsi="Cambria Math" w:eastAsia="宋体" w:cs="Times New Roman"/>
                  <w:sz w:val="21"/>
                  <w:szCs w:val="18"/>
                  <w:lang w:val="en-US" w:eastAsia="zh-CN"/>
                </w:rPr>
                <m:t>DTI</m:t>
              </m:r>
            </m:oMath>
            <w:r>
              <w:rPr>
                <w:rFonts w:hint="default" w:ascii="Times New Roman" w:hAnsi="Times New Roman" w:eastAsia="宋体" w:cs="Times New Roman"/>
                <w:sz w:val="21"/>
                <w:szCs w:val="18"/>
                <w:lang w:val="en-US" w:eastAsia="zh-CN"/>
              </w:rPr>
              <w:t>）</w:t>
            </w:r>
          </w:p>
        </w:tc>
        <w:tc>
          <w:tcPr>
            <w:tcW w:w="914" w:type="pct"/>
            <w:tcBorders>
              <w:top w:val="nil"/>
              <w:left w:val="nil"/>
              <w:bottom w:val="nil"/>
              <w:right w:val="nil"/>
              <w:tl2br w:val="nil"/>
              <w:tr2bl w:val="nil"/>
            </w:tcBorders>
            <w:shd w:val="clear" w:color="auto" w:fill="auto"/>
            <w:noWrap w:val="0"/>
            <w:vAlign w:val="center"/>
          </w:tcPr>
          <w:p w14:paraId="455C1B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0.475***</w:t>
            </w:r>
          </w:p>
        </w:tc>
        <w:tc>
          <w:tcPr>
            <w:tcW w:w="841" w:type="pct"/>
            <w:tcBorders>
              <w:top w:val="nil"/>
              <w:left w:val="nil"/>
              <w:bottom w:val="nil"/>
              <w:right w:val="nil"/>
              <w:tl2br w:val="nil"/>
              <w:tr2bl w:val="nil"/>
            </w:tcBorders>
            <w:shd w:val="clear" w:color="auto" w:fill="auto"/>
            <w:noWrap w:val="0"/>
            <w:vAlign w:val="center"/>
          </w:tcPr>
          <w:p w14:paraId="01AB40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1.312***</w:t>
            </w:r>
          </w:p>
        </w:tc>
        <w:tc>
          <w:tcPr>
            <w:tcW w:w="841" w:type="pct"/>
            <w:tcBorders>
              <w:top w:val="nil"/>
              <w:left w:val="nil"/>
              <w:bottom w:val="nil"/>
              <w:right w:val="nil"/>
              <w:tl2br w:val="nil"/>
              <w:tr2bl w:val="nil"/>
            </w:tcBorders>
            <w:shd w:val="clear" w:color="auto" w:fill="auto"/>
            <w:noWrap w:val="0"/>
            <w:vAlign w:val="center"/>
          </w:tcPr>
          <w:p w14:paraId="6A49FE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0.275***</w:t>
            </w:r>
          </w:p>
        </w:tc>
      </w:tr>
      <w:tr w14:paraId="01F39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continue"/>
            <w:tcBorders>
              <w:left w:val="nil"/>
              <w:bottom w:val="nil"/>
              <w:right w:val="nil"/>
              <w:tl2br w:val="nil"/>
              <w:tr2bl w:val="nil"/>
            </w:tcBorders>
            <w:noWrap w:val="0"/>
            <w:vAlign w:val="center"/>
          </w:tcPr>
          <w:p w14:paraId="1B834D3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p>
        </w:tc>
        <w:tc>
          <w:tcPr>
            <w:tcW w:w="914" w:type="pct"/>
            <w:tcBorders>
              <w:top w:val="nil"/>
              <w:left w:val="nil"/>
              <w:bottom w:val="nil"/>
              <w:right w:val="nil"/>
              <w:tl2br w:val="nil"/>
              <w:tr2bl w:val="nil"/>
            </w:tcBorders>
            <w:shd w:val="clear" w:color="auto" w:fill="auto"/>
            <w:noWrap w:val="0"/>
            <w:vAlign w:val="center"/>
          </w:tcPr>
          <w:p w14:paraId="78C214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4.231)</w:t>
            </w:r>
          </w:p>
        </w:tc>
        <w:tc>
          <w:tcPr>
            <w:tcW w:w="841" w:type="pct"/>
            <w:tcBorders>
              <w:top w:val="nil"/>
              <w:left w:val="nil"/>
              <w:bottom w:val="nil"/>
              <w:right w:val="nil"/>
              <w:tl2br w:val="nil"/>
              <w:tr2bl w:val="nil"/>
            </w:tcBorders>
            <w:shd w:val="clear" w:color="auto" w:fill="auto"/>
            <w:noWrap w:val="0"/>
            <w:vAlign w:val="center"/>
          </w:tcPr>
          <w:p w14:paraId="5D889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(4.155)</w:t>
            </w:r>
          </w:p>
        </w:tc>
        <w:tc>
          <w:tcPr>
            <w:tcW w:w="841" w:type="pct"/>
            <w:tcBorders>
              <w:top w:val="nil"/>
              <w:left w:val="nil"/>
              <w:bottom w:val="nil"/>
              <w:right w:val="nil"/>
              <w:tl2br w:val="nil"/>
              <w:tr2bl w:val="nil"/>
            </w:tcBorders>
            <w:shd w:val="clear" w:color="auto" w:fill="auto"/>
            <w:noWrap w:val="0"/>
            <w:vAlign w:val="center"/>
          </w:tcPr>
          <w:p w14:paraId="311328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2.612)</w:t>
            </w:r>
          </w:p>
        </w:tc>
      </w:tr>
      <w:tr w14:paraId="14E81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restart"/>
            <w:tcBorders>
              <w:top w:val="nil"/>
              <w:left w:val="nil"/>
              <w:right w:val="nil"/>
              <w:tl2br w:val="nil"/>
              <w:tr2bl w:val="nil"/>
            </w:tcBorders>
            <w:noWrap w:val="0"/>
            <w:vAlign w:val="center"/>
          </w:tcPr>
          <w:p w14:paraId="0A04CD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lang w:val="en-US" w:eastAsia="zh-CN"/>
              </w:rPr>
              <w:t>净资产收益率（</w:t>
            </w:r>
            <w:r>
              <w:rPr>
                <w:rFonts w:hint="default" w:ascii="Times New Roman" w:hAnsi="Times New Roman" w:eastAsia="宋体" w:cs="Times New Roman"/>
                <w:sz w:val="21"/>
                <w:szCs w:val="16"/>
              </w:rPr>
              <w:t>ROE</w:t>
            </w:r>
            <w:r>
              <w:rPr>
                <w:rFonts w:hint="default" w:ascii="Times New Roman" w:hAnsi="Times New Roman" w:eastAsia="宋体" w:cs="Times New Roman"/>
                <w:sz w:val="21"/>
                <w:szCs w:val="16"/>
                <w:lang w:eastAsia="zh-CN"/>
              </w:rPr>
              <w:t>）</w:t>
            </w:r>
          </w:p>
        </w:tc>
        <w:tc>
          <w:tcPr>
            <w:tcW w:w="914" w:type="pct"/>
            <w:tcBorders>
              <w:top w:val="nil"/>
              <w:left w:val="nil"/>
              <w:bottom w:val="nil"/>
              <w:right w:val="nil"/>
              <w:tl2br w:val="nil"/>
              <w:tr2bl w:val="nil"/>
            </w:tcBorders>
            <w:shd w:val="clear" w:color="auto" w:fill="auto"/>
            <w:noWrap w:val="0"/>
            <w:vAlign w:val="center"/>
          </w:tcPr>
          <w:p w14:paraId="554E96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0.333***</w:t>
            </w:r>
          </w:p>
        </w:tc>
        <w:tc>
          <w:tcPr>
            <w:tcW w:w="841" w:type="pct"/>
            <w:tcBorders>
              <w:top w:val="nil"/>
              <w:left w:val="nil"/>
              <w:bottom w:val="nil"/>
              <w:right w:val="nil"/>
              <w:tl2br w:val="nil"/>
              <w:tr2bl w:val="nil"/>
            </w:tcBorders>
            <w:shd w:val="clear" w:color="auto" w:fill="auto"/>
            <w:noWrap w:val="0"/>
            <w:vAlign w:val="center"/>
          </w:tcPr>
          <w:p w14:paraId="7A65E2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1.247***</w:t>
            </w:r>
          </w:p>
        </w:tc>
        <w:tc>
          <w:tcPr>
            <w:tcW w:w="841" w:type="pct"/>
            <w:tcBorders>
              <w:top w:val="nil"/>
              <w:left w:val="nil"/>
              <w:bottom w:val="nil"/>
              <w:right w:val="nil"/>
              <w:tl2br w:val="nil"/>
              <w:tr2bl w:val="nil"/>
            </w:tcBorders>
            <w:shd w:val="clear" w:color="auto" w:fill="auto"/>
            <w:noWrap w:val="0"/>
            <w:vAlign w:val="center"/>
          </w:tcPr>
          <w:p w14:paraId="03C97C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0.523***</w:t>
            </w:r>
          </w:p>
        </w:tc>
      </w:tr>
      <w:tr w14:paraId="4C944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402" w:type="pct"/>
            <w:vMerge w:val="continue"/>
            <w:tcBorders>
              <w:left w:val="nil"/>
              <w:bottom w:val="nil"/>
              <w:right w:val="nil"/>
              <w:tl2br w:val="nil"/>
              <w:tr2bl w:val="nil"/>
            </w:tcBorders>
            <w:noWrap w:val="0"/>
            <w:vAlign w:val="center"/>
          </w:tcPr>
          <w:p w14:paraId="576417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p>
        </w:tc>
        <w:tc>
          <w:tcPr>
            <w:tcW w:w="914" w:type="pct"/>
            <w:tcBorders>
              <w:top w:val="nil"/>
              <w:left w:val="nil"/>
              <w:bottom w:val="nil"/>
              <w:right w:val="nil"/>
              <w:tl2br w:val="nil"/>
              <w:tr2bl w:val="nil"/>
            </w:tcBorders>
            <w:shd w:val="clear" w:color="auto" w:fill="auto"/>
            <w:noWrap w:val="0"/>
            <w:vAlign w:val="center"/>
          </w:tcPr>
          <w:p w14:paraId="27D4FF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5.275)</w:t>
            </w:r>
          </w:p>
        </w:tc>
        <w:tc>
          <w:tcPr>
            <w:tcW w:w="841" w:type="pct"/>
            <w:tcBorders>
              <w:top w:val="nil"/>
              <w:left w:val="nil"/>
              <w:bottom w:val="nil"/>
              <w:right w:val="nil"/>
              <w:tl2br w:val="nil"/>
              <w:tr2bl w:val="nil"/>
            </w:tcBorders>
            <w:shd w:val="clear" w:color="auto" w:fill="auto"/>
            <w:noWrap w:val="0"/>
            <w:vAlign w:val="center"/>
          </w:tcPr>
          <w:p w14:paraId="0BCC37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7.014)</w:t>
            </w:r>
          </w:p>
        </w:tc>
        <w:tc>
          <w:tcPr>
            <w:tcW w:w="841" w:type="pct"/>
            <w:tcBorders>
              <w:top w:val="nil"/>
              <w:left w:val="nil"/>
              <w:bottom w:val="nil"/>
              <w:right w:val="nil"/>
              <w:tl2br w:val="nil"/>
              <w:tr2bl w:val="nil"/>
            </w:tcBorders>
            <w:shd w:val="clear" w:color="auto" w:fill="auto"/>
            <w:noWrap w:val="0"/>
            <w:vAlign w:val="center"/>
          </w:tcPr>
          <w:p w14:paraId="046058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8.330)</w:t>
            </w:r>
          </w:p>
        </w:tc>
      </w:tr>
      <w:tr w14:paraId="7B6D4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restart"/>
            <w:tcBorders>
              <w:top w:val="nil"/>
              <w:left w:val="nil"/>
              <w:right w:val="nil"/>
              <w:tl2br w:val="nil"/>
              <w:tr2bl w:val="nil"/>
            </w:tcBorders>
            <w:noWrap w:val="0"/>
            <w:vAlign w:val="center"/>
          </w:tcPr>
          <w:p w14:paraId="76AFAC2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8"/>
                <w:lang w:val="en-US" w:eastAsia="zh-CN"/>
              </w:rPr>
              <w:t>ESG表现（ESG）</w:t>
            </w:r>
          </w:p>
        </w:tc>
        <w:tc>
          <w:tcPr>
            <w:tcW w:w="914" w:type="pct"/>
            <w:tcBorders>
              <w:top w:val="nil"/>
              <w:left w:val="nil"/>
              <w:bottom w:val="nil"/>
              <w:right w:val="nil"/>
              <w:tl2br w:val="nil"/>
              <w:tr2bl w:val="nil"/>
            </w:tcBorders>
            <w:shd w:val="clear" w:color="auto" w:fill="auto"/>
            <w:noWrap w:val="0"/>
            <w:vAlign w:val="center"/>
          </w:tcPr>
          <w:p w14:paraId="130E85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0.0122</w:t>
            </w:r>
          </w:p>
        </w:tc>
        <w:tc>
          <w:tcPr>
            <w:tcW w:w="841" w:type="pct"/>
            <w:tcBorders>
              <w:top w:val="nil"/>
              <w:left w:val="nil"/>
              <w:bottom w:val="nil"/>
              <w:right w:val="nil"/>
              <w:tl2br w:val="nil"/>
              <w:tr2bl w:val="nil"/>
            </w:tcBorders>
            <w:shd w:val="clear" w:color="auto" w:fill="auto"/>
            <w:noWrap w:val="0"/>
            <w:vAlign w:val="center"/>
          </w:tcPr>
          <w:p w14:paraId="726020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0.313</w:t>
            </w:r>
          </w:p>
        </w:tc>
        <w:tc>
          <w:tcPr>
            <w:tcW w:w="841" w:type="pct"/>
            <w:tcBorders>
              <w:top w:val="nil"/>
              <w:left w:val="nil"/>
              <w:bottom w:val="nil"/>
              <w:right w:val="nil"/>
              <w:tl2br w:val="nil"/>
              <w:tr2bl w:val="nil"/>
            </w:tcBorders>
            <w:shd w:val="clear" w:color="auto" w:fill="auto"/>
            <w:noWrap w:val="0"/>
            <w:vAlign w:val="center"/>
          </w:tcPr>
          <w:p w14:paraId="0AEC27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0.0356</w:t>
            </w:r>
          </w:p>
        </w:tc>
      </w:tr>
      <w:tr w14:paraId="0D491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continue"/>
            <w:tcBorders>
              <w:left w:val="nil"/>
              <w:bottom w:val="nil"/>
              <w:right w:val="nil"/>
              <w:tl2br w:val="nil"/>
              <w:tr2bl w:val="nil"/>
            </w:tcBorders>
            <w:noWrap w:val="0"/>
            <w:vAlign w:val="center"/>
          </w:tcPr>
          <w:p w14:paraId="4D2290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p>
        </w:tc>
        <w:tc>
          <w:tcPr>
            <w:tcW w:w="914" w:type="pct"/>
            <w:tcBorders>
              <w:top w:val="nil"/>
              <w:left w:val="nil"/>
              <w:bottom w:val="nil"/>
              <w:right w:val="nil"/>
              <w:tl2br w:val="nil"/>
              <w:tr2bl w:val="nil"/>
            </w:tcBorders>
            <w:shd w:val="clear" w:color="auto" w:fill="auto"/>
            <w:noWrap w:val="0"/>
            <w:vAlign w:val="center"/>
          </w:tcPr>
          <w:p w14:paraId="2DAFC0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(0.105)</w:t>
            </w:r>
          </w:p>
        </w:tc>
        <w:tc>
          <w:tcPr>
            <w:tcW w:w="841" w:type="pct"/>
            <w:tcBorders>
              <w:top w:val="nil"/>
              <w:left w:val="nil"/>
              <w:bottom w:val="nil"/>
              <w:right w:val="nil"/>
              <w:tl2br w:val="nil"/>
              <w:tr2bl w:val="nil"/>
            </w:tcBorders>
            <w:shd w:val="clear" w:color="auto" w:fill="auto"/>
            <w:noWrap w:val="0"/>
            <w:vAlign w:val="center"/>
          </w:tcPr>
          <w:p w14:paraId="1D276D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0.964)</w:t>
            </w:r>
          </w:p>
        </w:tc>
        <w:tc>
          <w:tcPr>
            <w:tcW w:w="841" w:type="pct"/>
            <w:tcBorders>
              <w:top w:val="nil"/>
              <w:left w:val="nil"/>
              <w:bottom w:val="nil"/>
              <w:right w:val="nil"/>
              <w:tl2br w:val="nil"/>
              <w:tr2bl w:val="nil"/>
            </w:tcBorders>
            <w:shd w:val="clear" w:color="auto" w:fill="auto"/>
            <w:noWrap w:val="0"/>
            <w:vAlign w:val="center"/>
          </w:tcPr>
          <w:p w14:paraId="32380F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0.340)</w:t>
            </w:r>
          </w:p>
        </w:tc>
      </w:tr>
      <w:tr w14:paraId="7C920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restart"/>
            <w:tcBorders>
              <w:top w:val="nil"/>
              <w:left w:val="nil"/>
              <w:right w:val="nil"/>
              <w:tl2br w:val="nil"/>
              <w:tr2bl w:val="nil"/>
            </w:tcBorders>
            <w:noWrap w:val="0"/>
            <w:vAlign w:val="center"/>
          </w:tcPr>
          <w:p w14:paraId="172851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8"/>
                <w:lang w:val="en-US" w:eastAsia="zh-CN"/>
              </w:rPr>
              <w:t>GDP累计同比增长率(GDP_Growth)</w:t>
            </w:r>
          </w:p>
        </w:tc>
        <w:tc>
          <w:tcPr>
            <w:tcW w:w="914" w:type="pct"/>
            <w:tcBorders>
              <w:top w:val="nil"/>
              <w:left w:val="nil"/>
              <w:bottom w:val="nil"/>
              <w:right w:val="nil"/>
              <w:tl2br w:val="nil"/>
              <w:tr2bl w:val="nil"/>
            </w:tcBorders>
            <w:shd w:val="clear" w:color="auto" w:fill="auto"/>
            <w:noWrap w:val="0"/>
            <w:vAlign w:val="center"/>
          </w:tcPr>
          <w:p w14:paraId="3C51CA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0.125***</w:t>
            </w:r>
          </w:p>
        </w:tc>
        <w:tc>
          <w:tcPr>
            <w:tcW w:w="841" w:type="pct"/>
            <w:tcBorders>
              <w:top w:val="nil"/>
              <w:left w:val="nil"/>
              <w:bottom w:val="nil"/>
              <w:right w:val="nil"/>
              <w:tl2br w:val="nil"/>
              <w:tr2bl w:val="nil"/>
            </w:tcBorders>
            <w:shd w:val="clear" w:color="auto" w:fill="auto"/>
            <w:noWrap w:val="0"/>
            <w:vAlign w:val="center"/>
          </w:tcPr>
          <w:p w14:paraId="7D971E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0.230***</w:t>
            </w:r>
          </w:p>
        </w:tc>
        <w:tc>
          <w:tcPr>
            <w:tcW w:w="841" w:type="pct"/>
            <w:tcBorders>
              <w:top w:val="nil"/>
              <w:left w:val="nil"/>
              <w:bottom w:val="nil"/>
              <w:right w:val="nil"/>
              <w:tl2br w:val="nil"/>
              <w:tr2bl w:val="nil"/>
            </w:tcBorders>
            <w:shd w:val="clear" w:color="auto" w:fill="auto"/>
            <w:noWrap w:val="0"/>
            <w:vAlign w:val="center"/>
          </w:tcPr>
          <w:p w14:paraId="44494B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0.0904***</w:t>
            </w:r>
          </w:p>
        </w:tc>
      </w:tr>
      <w:tr w14:paraId="2C59C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continue"/>
            <w:tcBorders>
              <w:left w:val="nil"/>
              <w:bottom w:val="nil"/>
              <w:right w:val="nil"/>
              <w:tl2br w:val="nil"/>
              <w:tr2bl w:val="nil"/>
            </w:tcBorders>
            <w:noWrap w:val="0"/>
            <w:vAlign w:val="center"/>
          </w:tcPr>
          <w:p w14:paraId="13570C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p>
        </w:tc>
        <w:tc>
          <w:tcPr>
            <w:tcW w:w="914" w:type="pct"/>
            <w:tcBorders>
              <w:top w:val="nil"/>
              <w:left w:val="nil"/>
              <w:bottom w:val="nil"/>
              <w:right w:val="nil"/>
              <w:tl2br w:val="nil"/>
              <w:tr2bl w:val="nil"/>
            </w:tcBorders>
            <w:shd w:val="clear" w:color="auto" w:fill="auto"/>
            <w:noWrap w:val="0"/>
            <w:vAlign w:val="center"/>
          </w:tcPr>
          <w:p w14:paraId="689DCC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(4.500)</w:t>
            </w:r>
          </w:p>
        </w:tc>
        <w:tc>
          <w:tcPr>
            <w:tcW w:w="841" w:type="pct"/>
            <w:tcBorders>
              <w:top w:val="nil"/>
              <w:left w:val="nil"/>
              <w:bottom w:val="nil"/>
              <w:right w:val="nil"/>
              <w:tl2br w:val="nil"/>
              <w:tr2bl w:val="nil"/>
            </w:tcBorders>
            <w:shd w:val="clear" w:color="auto" w:fill="auto"/>
            <w:noWrap w:val="0"/>
            <w:vAlign w:val="center"/>
          </w:tcPr>
          <w:p w14:paraId="3E56CC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2.931)</w:t>
            </w:r>
          </w:p>
        </w:tc>
        <w:tc>
          <w:tcPr>
            <w:tcW w:w="841" w:type="pct"/>
            <w:tcBorders>
              <w:top w:val="nil"/>
              <w:left w:val="nil"/>
              <w:bottom w:val="nil"/>
              <w:right w:val="nil"/>
              <w:tl2br w:val="nil"/>
              <w:tr2bl w:val="nil"/>
            </w:tcBorders>
            <w:shd w:val="clear" w:color="auto" w:fill="auto"/>
            <w:noWrap w:val="0"/>
            <w:vAlign w:val="center"/>
          </w:tcPr>
          <w:p w14:paraId="495A29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(3.519)</w:t>
            </w:r>
          </w:p>
        </w:tc>
      </w:tr>
      <w:tr w14:paraId="46408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restart"/>
            <w:tcBorders>
              <w:top w:val="nil"/>
              <w:left w:val="nil"/>
              <w:right w:val="nil"/>
              <w:tl2br w:val="nil"/>
              <w:tr2bl w:val="nil"/>
            </w:tcBorders>
            <w:noWrap w:val="0"/>
            <w:vAlign w:val="center"/>
          </w:tcPr>
          <w:p w14:paraId="519E9A0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8"/>
                <w:lang w:val="en-US" w:eastAsia="zh-CN"/>
              </w:rPr>
              <w:t>资本资产率（CAR）</w:t>
            </w:r>
          </w:p>
        </w:tc>
        <w:tc>
          <w:tcPr>
            <w:tcW w:w="914" w:type="pct"/>
            <w:tcBorders>
              <w:top w:val="nil"/>
              <w:left w:val="nil"/>
              <w:bottom w:val="nil"/>
              <w:right w:val="nil"/>
              <w:tl2br w:val="nil"/>
              <w:tr2bl w:val="nil"/>
            </w:tcBorders>
            <w:shd w:val="clear" w:color="auto" w:fill="auto"/>
            <w:noWrap w:val="0"/>
            <w:vAlign w:val="center"/>
          </w:tcPr>
          <w:p w14:paraId="4C3E3F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0.258**</w:t>
            </w:r>
          </w:p>
        </w:tc>
        <w:tc>
          <w:tcPr>
            <w:tcW w:w="841" w:type="pct"/>
            <w:tcBorders>
              <w:top w:val="nil"/>
              <w:left w:val="nil"/>
              <w:bottom w:val="nil"/>
              <w:right w:val="nil"/>
              <w:tl2br w:val="nil"/>
              <w:tr2bl w:val="nil"/>
            </w:tcBorders>
            <w:shd w:val="clear" w:color="auto" w:fill="auto"/>
            <w:noWrap w:val="0"/>
            <w:vAlign w:val="center"/>
          </w:tcPr>
          <w:p w14:paraId="1595E7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0.946***</w:t>
            </w:r>
          </w:p>
        </w:tc>
        <w:tc>
          <w:tcPr>
            <w:tcW w:w="841" w:type="pct"/>
            <w:tcBorders>
              <w:top w:val="nil"/>
              <w:left w:val="nil"/>
              <w:bottom w:val="nil"/>
              <w:right w:val="nil"/>
              <w:tl2br w:val="nil"/>
              <w:tr2bl w:val="nil"/>
            </w:tcBorders>
            <w:shd w:val="clear" w:color="auto" w:fill="auto"/>
            <w:noWrap w:val="0"/>
            <w:vAlign w:val="center"/>
          </w:tcPr>
          <w:p w14:paraId="495BC1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0.114</w:t>
            </w:r>
          </w:p>
        </w:tc>
      </w:tr>
      <w:tr w14:paraId="62741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continue"/>
            <w:tcBorders>
              <w:left w:val="nil"/>
              <w:bottom w:val="nil"/>
              <w:right w:val="nil"/>
              <w:tl2br w:val="nil"/>
              <w:tr2bl w:val="nil"/>
            </w:tcBorders>
            <w:noWrap w:val="0"/>
            <w:vAlign w:val="center"/>
          </w:tcPr>
          <w:p w14:paraId="2DA2B36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p>
        </w:tc>
        <w:tc>
          <w:tcPr>
            <w:tcW w:w="914" w:type="pct"/>
            <w:tcBorders>
              <w:top w:val="nil"/>
              <w:left w:val="nil"/>
              <w:bottom w:val="nil"/>
              <w:right w:val="nil"/>
              <w:tl2br w:val="nil"/>
              <w:tr2bl w:val="nil"/>
            </w:tcBorders>
            <w:shd w:val="clear" w:color="auto" w:fill="auto"/>
            <w:noWrap w:val="0"/>
            <w:vAlign w:val="center"/>
          </w:tcPr>
          <w:p w14:paraId="3BA68A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2.019)</w:t>
            </w:r>
          </w:p>
        </w:tc>
        <w:tc>
          <w:tcPr>
            <w:tcW w:w="841" w:type="pct"/>
            <w:tcBorders>
              <w:top w:val="nil"/>
              <w:left w:val="nil"/>
              <w:bottom w:val="nil"/>
              <w:right w:val="nil"/>
              <w:tl2br w:val="nil"/>
              <w:tr2bl w:val="nil"/>
            </w:tcBorders>
            <w:shd w:val="clear" w:color="auto" w:fill="auto"/>
            <w:noWrap w:val="0"/>
            <w:vAlign w:val="center"/>
          </w:tcPr>
          <w:p w14:paraId="6CD191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(2.634)</w:t>
            </w:r>
          </w:p>
        </w:tc>
        <w:tc>
          <w:tcPr>
            <w:tcW w:w="841" w:type="pct"/>
            <w:tcBorders>
              <w:top w:val="nil"/>
              <w:left w:val="nil"/>
              <w:bottom w:val="nil"/>
              <w:right w:val="nil"/>
              <w:tl2br w:val="nil"/>
              <w:tr2bl w:val="nil"/>
            </w:tcBorders>
            <w:shd w:val="clear" w:color="auto" w:fill="auto"/>
            <w:noWrap w:val="0"/>
            <w:vAlign w:val="center"/>
          </w:tcPr>
          <w:p w14:paraId="1B26C5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0.968)</w:t>
            </w:r>
          </w:p>
        </w:tc>
      </w:tr>
      <w:tr w14:paraId="2882F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restart"/>
            <w:tcBorders>
              <w:top w:val="nil"/>
              <w:left w:val="nil"/>
              <w:right w:val="nil"/>
              <w:tl2br w:val="nil"/>
              <w:tr2bl w:val="nil"/>
            </w:tcBorders>
            <w:noWrap w:val="0"/>
            <w:vAlign w:val="center"/>
          </w:tcPr>
          <w:p w14:paraId="19946B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Constant</w:t>
            </w:r>
          </w:p>
        </w:tc>
        <w:tc>
          <w:tcPr>
            <w:tcW w:w="914" w:type="pct"/>
            <w:tcBorders>
              <w:top w:val="nil"/>
              <w:left w:val="nil"/>
              <w:bottom w:val="nil"/>
              <w:right w:val="nil"/>
              <w:tl2br w:val="nil"/>
              <w:tr2bl w:val="nil"/>
            </w:tcBorders>
            <w:shd w:val="clear" w:color="auto" w:fill="auto"/>
            <w:noWrap w:val="0"/>
            <w:vAlign w:val="center"/>
          </w:tcPr>
          <w:p w14:paraId="6223E5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0.0624***</w:t>
            </w:r>
          </w:p>
        </w:tc>
        <w:tc>
          <w:tcPr>
            <w:tcW w:w="841" w:type="pct"/>
            <w:tcBorders>
              <w:top w:val="nil"/>
              <w:left w:val="nil"/>
              <w:bottom w:val="nil"/>
              <w:right w:val="nil"/>
              <w:tl2br w:val="nil"/>
              <w:tr2bl w:val="nil"/>
            </w:tcBorders>
            <w:shd w:val="clear" w:color="auto" w:fill="auto"/>
            <w:noWrap w:val="0"/>
            <w:vAlign w:val="center"/>
          </w:tcPr>
          <w:p w14:paraId="246CB3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1.182***</w:t>
            </w:r>
          </w:p>
        </w:tc>
        <w:tc>
          <w:tcPr>
            <w:tcW w:w="841" w:type="pct"/>
            <w:tcBorders>
              <w:top w:val="nil"/>
              <w:left w:val="nil"/>
              <w:bottom w:val="nil"/>
              <w:right w:val="nil"/>
              <w:tl2br w:val="nil"/>
              <w:tr2bl w:val="nil"/>
            </w:tcBorders>
            <w:shd w:val="clear" w:color="auto" w:fill="auto"/>
            <w:noWrap w:val="0"/>
            <w:vAlign w:val="center"/>
          </w:tcPr>
          <w:p w14:paraId="792E2F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0.243***</w:t>
            </w:r>
          </w:p>
        </w:tc>
      </w:tr>
      <w:tr w14:paraId="73B8F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vMerge w:val="continue"/>
            <w:tcBorders>
              <w:left w:val="nil"/>
              <w:bottom w:val="single" w:color="auto" w:sz="4" w:space="0"/>
              <w:right w:val="nil"/>
              <w:tl2br w:val="nil"/>
              <w:tr2bl w:val="nil"/>
            </w:tcBorders>
            <w:noWrap w:val="0"/>
            <w:vAlign w:val="center"/>
          </w:tcPr>
          <w:p w14:paraId="44DB44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p>
        </w:tc>
        <w:tc>
          <w:tcPr>
            <w:tcW w:w="914" w:type="pct"/>
            <w:tcBorders>
              <w:top w:val="nil"/>
              <w:left w:val="nil"/>
              <w:bottom w:val="single" w:color="auto" w:sz="4" w:space="0"/>
              <w:right w:val="nil"/>
              <w:tl2br w:val="nil"/>
              <w:tr2bl w:val="nil"/>
            </w:tcBorders>
            <w:shd w:val="clear" w:color="auto" w:fill="auto"/>
            <w:noWrap w:val="0"/>
            <w:vAlign w:val="center"/>
          </w:tcPr>
          <w:p w14:paraId="480CC3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4.106)</w:t>
            </w:r>
          </w:p>
        </w:tc>
        <w:tc>
          <w:tcPr>
            <w:tcW w:w="841" w:type="pct"/>
            <w:tcBorders>
              <w:top w:val="nil"/>
              <w:left w:val="nil"/>
              <w:bottom w:val="single" w:color="auto" w:sz="4" w:space="0"/>
              <w:right w:val="nil"/>
              <w:tl2br w:val="nil"/>
              <w:tr2bl w:val="nil"/>
            </w:tcBorders>
            <w:shd w:val="clear" w:color="auto" w:fill="auto"/>
            <w:noWrap w:val="0"/>
            <w:vAlign w:val="center"/>
          </w:tcPr>
          <w:p w14:paraId="6F0FB3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27.66)</w:t>
            </w:r>
          </w:p>
        </w:tc>
        <w:tc>
          <w:tcPr>
            <w:tcW w:w="841" w:type="pct"/>
            <w:tcBorders>
              <w:top w:val="nil"/>
              <w:left w:val="nil"/>
              <w:bottom w:val="single" w:color="auto" w:sz="4" w:space="0"/>
              <w:right w:val="nil"/>
              <w:tl2br w:val="nil"/>
              <w:tr2bl w:val="nil"/>
            </w:tcBorders>
            <w:shd w:val="clear" w:color="auto" w:fill="auto"/>
            <w:noWrap w:val="0"/>
            <w:vAlign w:val="center"/>
          </w:tcPr>
          <w:p w14:paraId="514D30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rPr>
              <w:t>(</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8.593)</w:t>
            </w:r>
          </w:p>
        </w:tc>
      </w:tr>
      <w:tr w14:paraId="5D6AB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tcBorders>
              <w:top w:val="single" w:color="auto" w:sz="4" w:space="0"/>
              <w:left w:val="nil"/>
              <w:bottom w:val="nil"/>
              <w:right w:val="nil"/>
              <w:tl2br w:val="nil"/>
              <w:tr2bl w:val="nil"/>
            </w:tcBorders>
            <w:noWrap w:val="0"/>
            <w:vAlign w:val="center"/>
          </w:tcPr>
          <w:p w14:paraId="5BA976A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Observations</w:t>
            </w:r>
          </w:p>
        </w:tc>
        <w:tc>
          <w:tcPr>
            <w:tcW w:w="914" w:type="pct"/>
            <w:tcBorders>
              <w:top w:val="single" w:color="auto" w:sz="4" w:space="0"/>
              <w:left w:val="nil"/>
              <w:bottom w:val="nil"/>
              <w:right w:val="nil"/>
              <w:tl2br w:val="nil"/>
              <w:tr2bl w:val="nil"/>
            </w:tcBorders>
            <w:noWrap w:val="0"/>
            <w:vAlign w:val="center"/>
          </w:tcPr>
          <w:p w14:paraId="66C8A2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420</w:t>
            </w:r>
          </w:p>
        </w:tc>
        <w:tc>
          <w:tcPr>
            <w:tcW w:w="841" w:type="pct"/>
            <w:tcBorders>
              <w:top w:val="single" w:color="auto" w:sz="4" w:space="0"/>
              <w:left w:val="nil"/>
              <w:bottom w:val="nil"/>
              <w:right w:val="nil"/>
              <w:tl2br w:val="nil"/>
              <w:tr2bl w:val="nil"/>
            </w:tcBorders>
            <w:noWrap w:val="0"/>
            <w:vAlign w:val="center"/>
          </w:tcPr>
          <w:p w14:paraId="726A48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420</w:t>
            </w:r>
          </w:p>
        </w:tc>
        <w:tc>
          <w:tcPr>
            <w:tcW w:w="841" w:type="pct"/>
            <w:tcBorders>
              <w:top w:val="single" w:color="auto" w:sz="4" w:space="0"/>
              <w:left w:val="nil"/>
              <w:bottom w:val="nil"/>
              <w:right w:val="nil"/>
              <w:tl2br w:val="nil"/>
              <w:tr2bl w:val="nil"/>
            </w:tcBorders>
            <w:noWrap w:val="0"/>
            <w:vAlign w:val="center"/>
          </w:tcPr>
          <w:p w14:paraId="38C3CD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420</w:t>
            </w:r>
          </w:p>
        </w:tc>
      </w:tr>
      <w:tr w14:paraId="203F3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tcBorders>
              <w:top w:val="nil"/>
              <w:left w:val="nil"/>
              <w:bottom w:val="nil"/>
              <w:right w:val="nil"/>
              <w:tl2br w:val="nil"/>
              <w:tr2bl w:val="nil"/>
            </w:tcBorders>
            <w:noWrap w:val="0"/>
            <w:vAlign w:val="center"/>
          </w:tcPr>
          <w:p w14:paraId="1993C69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R</w:t>
            </w:r>
            <w:r>
              <w:rPr>
                <w:rFonts w:hint="eastAsia" w:ascii="Times New Roman" w:hAnsi="Times New Roman" w:eastAsia="宋体" w:cs="Times New Roman"/>
                <w:sz w:val="21"/>
                <w:szCs w:val="16"/>
                <w:lang w:eastAsia="zh-CN"/>
              </w:rPr>
              <w:t>－</w:t>
            </w:r>
            <w:r>
              <w:rPr>
                <w:rFonts w:hint="default" w:ascii="Times New Roman" w:hAnsi="Times New Roman" w:eastAsia="宋体" w:cs="Times New Roman"/>
                <w:sz w:val="21"/>
                <w:szCs w:val="16"/>
              </w:rPr>
              <w:t>squared</w:t>
            </w:r>
          </w:p>
        </w:tc>
        <w:tc>
          <w:tcPr>
            <w:tcW w:w="914" w:type="pct"/>
            <w:tcBorders>
              <w:top w:val="nil"/>
              <w:left w:val="nil"/>
              <w:bottom w:val="nil"/>
              <w:right w:val="nil"/>
              <w:tl2br w:val="nil"/>
              <w:tr2bl w:val="nil"/>
            </w:tcBorders>
            <w:noWrap w:val="0"/>
            <w:vAlign w:val="center"/>
          </w:tcPr>
          <w:p w14:paraId="43B87D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0.163</w:t>
            </w:r>
          </w:p>
        </w:tc>
        <w:tc>
          <w:tcPr>
            <w:tcW w:w="841" w:type="pct"/>
            <w:tcBorders>
              <w:top w:val="nil"/>
              <w:left w:val="nil"/>
              <w:bottom w:val="nil"/>
              <w:right w:val="nil"/>
              <w:tl2br w:val="nil"/>
              <w:tr2bl w:val="nil"/>
            </w:tcBorders>
            <w:noWrap w:val="0"/>
            <w:vAlign w:val="center"/>
          </w:tcPr>
          <w:p w14:paraId="0082F8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0.324</w:t>
            </w:r>
          </w:p>
        </w:tc>
        <w:tc>
          <w:tcPr>
            <w:tcW w:w="841" w:type="pct"/>
            <w:tcBorders>
              <w:top w:val="nil"/>
              <w:left w:val="nil"/>
              <w:bottom w:val="nil"/>
              <w:right w:val="nil"/>
              <w:tl2br w:val="nil"/>
              <w:tr2bl w:val="nil"/>
            </w:tcBorders>
            <w:noWrap w:val="0"/>
            <w:vAlign w:val="center"/>
          </w:tcPr>
          <w:p w14:paraId="7C604B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0.257</w:t>
            </w:r>
          </w:p>
        </w:tc>
      </w:tr>
      <w:tr w14:paraId="0BFD0E16">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2" w:type="pct"/>
            <w:tcBorders>
              <w:top w:val="nil"/>
              <w:left w:val="nil"/>
              <w:bottom w:val="single" w:color="auto" w:sz="6" w:space="0"/>
              <w:right w:val="nil"/>
              <w:tl2br w:val="nil"/>
              <w:tr2bl w:val="nil"/>
            </w:tcBorders>
            <w:noWrap w:val="0"/>
            <w:vAlign w:val="center"/>
          </w:tcPr>
          <w:p w14:paraId="570FC3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Number of idd</w:t>
            </w:r>
          </w:p>
        </w:tc>
        <w:tc>
          <w:tcPr>
            <w:tcW w:w="914" w:type="pct"/>
            <w:tcBorders>
              <w:top w:val="nil"/>
              <w:left w:val="nil"/>
              <w:bottom w:val="single" w:color="auto" w:sz="6" w:space="0"/>
              <w:right w:val="nil"/>
              <w:tl2br w:val="nil"/>
              <w:tr2bl w:val="nil"/>
            </w:tcBorders>
            <w:noWrap w:val="0"/>
            <w:vAlign w:val="center"/>
          </w:tcPr>
          <w:p w14:paraId="7C9CF9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42</w:t>
            </w:r>
          </w:p>
        </w:tc>
        <w:tc>
          <w:tcPr>
            <w:tcW w:w="841" w:type="pct"/>
            <w:tcBorders>
              <w:top w:val="nil"/>
              <w:left w:val="nil"/>
              <w:bottom w:val="single" w:color="auto" w:sz="6" w:space="0"/>
              <w:right w:val="nil"/>
              <w:tl2br w:val="nil"/>
              <w:tr2bl w:val="nil"/>
            </w:tcBorders>
            <w:noWrap w:val="0"/>
            <w:vAlign w:val="center"/>
          </w:tcPr>
          <w:p w14:paraId="6F8307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42</w:t>
            </w:r>
          </w:p>
        </w:tc>
        <w:tc>
          <w:tcPr>
            <w:tcW w:w="841" w:type="pct"/>
            <w:tcBorders>
              <w:top w:val="nil"/>
              <w:left w:val="nil"/>
              <w:bottom w:val="single" w:color="auto" w:sz="6" w:space="0"/>
              <w:right w:val="nil"/>
              <w:tl2br w:val="nil"/>
              <w:tr2bl w:val="nil"/>
            </w:tcBorders>
            <w:noWrap w:val="0"/>
            <w:vAlign w:val="center"/>
          </w:tcPr>
          <w:p w14:paraId="681D30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16"/>
              </w:rPr>
            </w:pPr>
            <w:r>
              <w:rPr>
                <w:rFonts w:hint="default" w:ascii="Times New Roman" w:hAnsi="Times New Roman" w:eastAsia="宋体" w:cs="Times New Roman"/>
                <w:sz w:val="21"/>
                <w:szCs w:val="16"/>
              </w:rPr>
              <w:t>42</w:t>
            </w:r>
          </w:p>
        </w:tc>
      </w:tr>
    </w:tbl>
    <w:p w14:paraId="2628484C">
      <w:pPr>
        <w:pageBreakBefore w:val="0"/>
        <w:kinsoku/>
        <w:wordWrap/>
        <w:overflowPunct/>
        <w:topLinePunct w:val="0"/>
        <w:autoSpaceDE/>
        <w:autoSpaceDN/>
        <w:bidi w:val="0"/>
        <w:spacing w:line="300" w:lineRule="auto"/>
        <w:textAlignment w:val="auto"/>
        <w:rPr>
          <w:rFonts w:hint="default" w:ascii="Times New Roman" w:hAnsi="Times New Roman" w:eastAsia="宋体" w:cs="Times New Roman"/>
          <w:b/>
          <w:bCs/>
          <w:sz w:val="21"/>
          <w:szCs w:val="18"/>
        </w:rPr>
      </w:pPr>
      <w:r>
        <w:rPr>
          <w:rFonts w:hint="default" w:ascii="Times New Roman" w:hAnsi="Times New Roman" w:eastAsia="宋体" w:cs="Times New Roman"/>
          <w:b/>
          <w:bCs/>
          <w:sz w:val="21"/>
          <w:szCs w:val="18"/>
        </w:rPr>
        <w:t>注：括号里为标准误差，*表示</w:t>
      </w:r>
      <w:r>
        <w:rPr>
          <w:rFonts w:hint="default" w:ascii="Times New Roman" w:hAnsi="Times New Roman" w:eastAsia="宋体" w:cs="Times New Roman"/>
          <w:b/>
          <w:bCs/>
          <w:position w:val="-10"/>
          <w:sz w:val="21"/>
          <w:szCs w:val="30"/>
        </w:rPr>
        <w:object>
          <v:shape id="_x0000_i1038"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38" DrawAspect="Content" ObjectID="_1468075738" r:id="rId26">
            <o:LockedField>false</o:LockedField>
          </o:OLEObject>
        </w:object>
      </w:r>
      <w:r>
        <w:rPr>
          <w:rFonts w:hint="default" w:ascii="Times New Roman" w:hAnsi="Times New Roman" w:eastAsia="宋体" w:cs="Times New Roman"/>
          <w:b/>
          <w:bCs/>
          <w:sz w:val="21"/>
          <w:szCs w:val="18"/>
        </w:rPr>
        <w:t xml:space="preserve">&lt;0.1，**表示 </w:t>
      </w:r>
      <w:r>
        <w:rPr>
          <w:rFonts w:hint="default" w:ascii="Times New Roman" w:hAnsi="Times New Roman" w:eastAsia="宋体" w:cs="Times New Roman"/>
          <w:b/>
          <w:bCs/>
          <w:position w:val="-10"/>
          <w:sz w:val="21"/>
          <w:szCs w:val="30"/>
        </w:rPr>
        <w:object>
          <v:shape id="_x0000_i1039"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39" DrawAspect="Content" ObjectID="_1468075739" r:id="rId27">
            <o:LockedField>false</o:LockedField>
          </o:OLEObject>
        </w:object>
      </w:r>
      <w:r>
        <w:rPr>
          <w:rFonts w:hint="default" w:ascii="Times New Roman" w:hAnsi="Times New Roman" w:eastAsia="宋体" w:cs="Times New Roman"/>
          <w:b/>
          <w:bCs/>
          <w:sz w:val="21"/>
          <w:szCs w:val="18"/>
        </w:rPr>
        <w:t>&lt;0.05，***表示</w:t>
      </w:r>
      <w:r>
        <w:rPr>
          <w:rFonts w:hint="default" w:ascii="Times New Roman" w:hAnsi="Times New Roman" w:eastAsia="宋体" w:cs="Times New Roman"/>
          <w:b/>
          <w:bCs/>
          <w:position w:val="-10"/>
          <w:sz w:val="21"/>
          <w:szCs w:val="30"/>
        </w:rPr>
        <w:object>
          <v:shape id="_x0000_i1040"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40" DrawAspect="Content" ObjectID="_1468075740" r:id="rId28">
            <o:LockedField>false</o:LockedField>
          </o:OLEObject>
        </w:object>
      </w:r>
      <w:r>
        <w:rPr>
          <w:rFonts w:hint="default" w:ascii="Times New Roman" w:hAnsi="Times New Roman" w:eastAsia="宋体" w:cs="Times New Roman"/>
          <w:b/>
          <w:bCs/>
          <w:sz w:val="21"/>
          <w:szCs w:val="18"/>
        </w:rPr>
        <w:t>&lt;0.01。</w:t>
      </w:r>
    </w:p>
    <w:p w14:paraId="1F6EE717">
      <w:pPr>
        <w:pStyle w:val="4"/>
        <w:bidi w:val="0"/>
        <w:rPr>
          <w:rFonts w:hint="default"/>
          <w:lang w:val="en-US" w:eastAsia="zh-CN"/>
        </w:rPr>
      </w:pPr>
      <w:bookmarkStart w:id="29" w:name="_Toc26720"/>
      <w:r>
        <w:rPr>
          <w:rFonts w:hint="default"/>
          <w:lang w:val="en-US" w:eastAsia="zh-CN"/>
        </w:rPr>
        <w:t>1.假设验证情况</w:t>
      </w:r>
      <w:bookmarkEnd w:id="29"/>
    </w:p>
    <w:p w14:paraId="33D391DB">
      <w:pPr>
        <w:bidi w:val="0"/>
        <w:rPr>
          <w:rFonts w:hint="default"/>
          <w:lang w:val="en-US" w:eastAsia="zh-CN"/>
        </w:rPr>
      </w:pPr>
      <w:r>
        <w:rPr>
          <w:rFonts w:hint="eastAsia"/>
          <w:lang w:val="en-US" w:eastAsia="zh-CN"/>
        </w:rPr>
        <w:t>1）</w:t>
      </w:r>
      <w:r>
        <w:rPr>
          <w:rFonts w:hint="default"/>
          <w:lang w:val="en-US" w:eastAsia="zh-CN"/>
        </w:rPr>
        <w:t>假设</w:t>
      </w:r>
      <w:r>
        <w:rPr>
          <w:rFonts w:hint="default" w:ascii="Times New Roman" w:hAnsi="Times New Roman" w:eastAsia="宋体" w:cs="Times New Roman"/>
          <w:b/>
          <w:bCs/>
          <w:szCs w:val="24"/>
          <w:lang w:val="en-US" w:eastAsia="zh-CN"/>
        </w:rPr>
        <w:object>
          <v:shape id="_x0000_i1041" o:spt="75" type="#_x0000_t75" style="height:17pt;width:16pt;" o:ole="t" filled="f" o:preferrelative="t" stroked="f" coordsize="21600,21600">
            <v:path/>
            <v:fill on="f" focussize="0,0"/>
            <v:stroke on="f"/>
            <v:imagedata r:id="rId30" o:title=""/>
            <o:lock v:ext="edit" aspectratio="t"/>
            <w10:wrap type="none"/>
            <w10:anchorlock/>
          </v:shape>
          <o:OLEObject Type="Embed" ProgID="Equation.KSEE3" ShapeID="_x0000_i1041" DrawAspect="Content" ObjectID="_1468075741" r:id="rId29">
            <o:LockedField>false</o:LockedField>
          </o:OLEObject>
        </w:object>
      </w:r>
      <w:r>
        <w:rPr>
          <w:rFonts w:hint="default"/>
          <w:lang w:val="en-US" w:eastAsia="zh-CN"/>
        </w:rPr>
        <w:t>验证情况</w:t>
      </w:r>
      <w:r>
        <w:rPr>
          <w:rFonts w:hint="eastAsia"/>
          <w:lang w:val="en-US" w:eastAsia="zh-CN"/>
        </w:rPr>
        <w:t>。</w:t>
      </w:r>
      <w:r>
        <w:rPr>
          <w:rFonts w:hint="default"/>
          <w:lang w:val="en-US" w:eastAsia="zh-CN"/>
        </w:rPr>
        <w:t>列（1）是指解释变量数字化转型程度对被解释变量</w:t>
      </w:r>
      <w:r>
        <w:rPr>
          <w:rFonts w:hint="eastAsia"/>
          <w:lang w:val="en-US" w:eastAsia="zh-CN"/>
        </w:rPr>
        <w:t>中小</w:t>
      </w:r>
      <w:r>
        <w:rPr>
          <w:rFonts w:hint="default"/>
          <w:lang w:val="en-US" w:eastAsia="zh-CN"/>
        </w:rPr>
        <w:t>银行信贷风险</w:t>
      </w:r>
      <w:r>
        <w:rPr>
          <w:rFonts w:hint="eastAsia"/>
          <w:lang w:val="en-US" w:eastAsia="zh-CN"/>
        </w:rPr>
        <w:t>水平</w:t>
      </w:r>
      <w:r>
        <w:rPr>
          <w:rFonts w:hint="default"/>
          <w:lang w:val="en-US" w:eastAsia="zh-CN"/>
        </w:rPr>
        <w:t>的影响关系，结果显示：α1=</w:t>
      </w:r>
      <w:r>
        <w:rPr>
          <w:rFonts w:hint="eastAsia"/>
          <w:lang w:val="en-US" w:eastAsia="zh-CN"/>
        </w:rPr>
        <w:t>－</w:t>
      </w:r>
      <w:r>
        <w:rPr>
          <w:rFonts w:hint="default"/>
          <w:lang w:val="en-US" w:eastAsia="zh-CN"/>
        </w:rPr>
        <w:t>0.475</w:t>
      </w:r>
      <w:r>
        <w:rPr>
          <w:rFonts w:hint="eastAsia"/>
          <w:lang w:val="en-US" w:eastAsia="zh-CN"/>
        </w:rPr>
        <w:t>，</w:t>
      </w:r>
      <w:r>
        <w:rPr>
          <w:rFonts w:hint="default"/>
          <w:lang w:val="en-US" w:eastAsia="zh-CN"/>
        </w:rPr>
        <w:t>即：数字化转型程度每变动一单位，银行非息收入水平会反向变动0.475倍，且效应是在1%的水平上显著，说明数字化程度对</w:t>
      </w:r>
      <w:r>
        <w:rPr>
          <w:rFonts w:hint="eastAsia"/>
          <w:lang w:val="en-US" w:eastAsia="zh-CN"/>
        </w:rPr>
        <w:t>中小银行信贷风险水平</w:t>
      </w:r>
      <w:r>
        <w:rPr>
          <w:rFonts w:hint="default"/>
          <w:lang w:val="en-US" w:eastAsia="zh-CN"/>
        </w:rPr>
        <w:t>有十分显著的抑制影响。</w:t>
      </w:r>
    </w:p>
    <w:p w14:paraId="5336BE7A">
      <w:pPr>
        <w:bidi w:val="0"/>
        <w:rPr>
          <w:rFonts w:hint="default"/>
          <w:lang w:val="en-US" w:eastAsia="zh-CN"/>
        </w:rPr>
      </w:pPr>
      <w:r>
        <w:rPr>
          <w:rFonts w:hint="default"/>
          <w:lang w:val="en-US" w:eastAsia="zh-CN"/>
        </w:rPr>
        <w:t>由此可见，研究假设</w:t>
      </w:r>
      <w:r>
        <w:rPr>
          <w:rFonts w:hint="default" w:ascii="Times New Roman" w:hAnsi="Times New Roman" w:eastAsia="宋体" w:cs="Times New Roman"/>
          <w:strike w:val="0"/>
          <w:szCs w:val="24"/>
          <w:lang w:val="en-US" w:eastAsia="zh-CN"/>
        </w:rPr>
        <w:object>
          <v:shape id="_x0000_i1042" o:spt="75" type="#_x0000_t75" style="height:17pt;width:16pt;" o:ole="t" filled="f" o:preferrelative="t" stroked="f" coordsize="21600,21600">
            <v:path/>
            <v:fill on="f" focussize="0,0"/>
            <v:stroke on="f"/>
            <v:imagedata r:id="rId30" o:title=""/>
            <o:lock v:ext="edit" aspectratio="t"/>
            <w10:wrap type="none"/>
            <w10:anchorlock/>
          </v:shape>
          <o:OLEObject Type="Embed" ProgID="Equation.KSEE3" ShapeID="_x0000_i1042" DrawAspect="Content" ObjectID="_1468075742" r:id="rId31">
            <o:LockedField>false</o:LockedField>
          </o:OLEObject>
        </w:object>
      </w:r>
      <w:r>
        <w:rPr>
          <w:rFonts w:hint="default"/>
          <w:lang w:val="en-US" w:eastAsia="zh-CN"/>
        </w:rPr>
        <w:t>得到验证，即数字化转型程度的增强，可以有效抑制</w:t>
      </w:r>
      <w:r>
        <w:rPr>
          <w:rFonts w:hint="eastAsia"/>
          <w:lang w:val="en-US" w:eastAsia="zh-CN"/>
        </w:rPr>
        <w:t>中小银行</w:t>
      </w:r>
      <w:r>
        <w:rPr>
          <w:rFonts w:hint="default"/>
          <w:lang w:val="en-US" w:eastAsia="zh-CN"/>
        </w:rPr>
        <w:t>信贷风险水平。</w:t>
      </w:r>
    </w:p>
    <w:p w14:paraId="2C0EB332">
      <w:pPr>
        <w:bidi w:val="0"/>
        <w:rPr>
          <w:rFonts w:hint="default"/>
          <w:lang w:val="en-US" w:eastAsia="zh-CN"/>
        </w:rPr>
      </w:pPr>
      <w:r>
        <w:rPr>
          <w:rFonts w:hint="default"/>
          <w:lang w:val="en-US" w:eastAsia="zh-CN"/>
        </w:rPr>
        <w:t>2.假设</w:t>
      </w:r>
      <w:r>
        <w:rPr>
          <w:rFonts w:hint="default" w:ascii="Times New Roman" w:hAnsi="Times New Roman" w:eastAsia="宋体" w:cs="Times New Roman"/>
          <w:b/>
          <w:bCs/>
          <w:szCs w:val="24"/>
          <w:lang w:val="en-US" w:eastAsia="zh-CN"/>
        </w:rPr>
        <w:object>
          <v:shape id="_x0000_i1043" o:spt="75" type="#_x0000_t75" style="height:17pt;width:18pt;" o:ole="t" filled="f" o:preferrelative="t" stroked="f" coordsize="21600,21600">
            <v:path/>
            <v:fill on="f" focussize="0,0"/>
            <v:stroke on="f"/>
            <v:imagedata r:id="rId33" o:title=""/>
            <o:lock v:ext="edit" aspectratio="t"/>
            <w10:wrap type="none"/>
            <w10:anchorlock/>
          </v:shape>
          <o:OLEObject Type="Embed" ProgID="Equation.KSEE3" ShapeID="_x0000_i1043" DrawAspect="Content" ObjectID="_1468075743" r:id="rId32">
            <o:LockedField>false</o:LockedField>
          </o:OLEObject>
        </w:object>
      </w:r>
      <w:r>
        <w:rPr>
          <w:rFonts w:hint="default"/>
          <w:lang w:val="en-US" w:eastAsia="zh-CN"/>
        </w:rPr>
        <w:t>验证情况</w:t>
      </w:r>
      <w:r>
        <w:rPr>
          <w:rFonts w:hint="eastAsia"/>
          <w:lang w:val="en-US" w:eastAsia="zh-CN"/>
        </w:rPr>
        <w:t>。</w:t>
      </w:r>
      <w:r>
        <w:rPr>
          <w:rFonts w:hint="default"/>
          <w:lang w:val="en-US" w:eastAsia="zh-CN"/>
        </w:rPr>
        <w:t>列（2）是指解释变量数字化转型程度对中介变量非息收入的影响，结果显示：β1=1.312，即数字化转型程度每变动一单位，非息收入水平会正向变动1.312倍，且效应是在1%的水平上显著，说明数字化转型程度对银行非息收入水平有较显著的</w:t>
      </w:r>
      <w:r>
        <w:rPr>
          <w:rFonts w:hint="eastAsia"/>
          <w:lang w:val="en-US" w:eastAsia="zh-CN"/>
        </w:rPr>
        <w:t>正向性</w:t>
      </w:r>
      <w:r>
        <w:rPr>
          <w:rFonts w:hint="default"/>
          <w:lang w:val="en-US" w:eastAsia="zh-CN"/>
        </w:rPr>
        <w:t>影响。</w:t>
      </w:r>
    </w:p>
    <w:p w14:paraId="77237025">
      <w:pPr>
        <w:bidi w:val="0"/>
        <w:rPr>
          <w:rFonts w:hint="default"/>
          <w:lang w:val="en-US" w:eastAsia="zh-CN"/>
        </w:rPr>
      </w:pPr>
      <w:r>
        <w:rPr>
          <w:rFonts w:hint="default"/>
          <w:lang w:val="en-US" w:eastAsia="zh-CN"/>
        </w:rPr>
        <w:t>由此可见，研究假设</w:t>
      </w:r>
      <w:r>
        <w:rPr>
          <w:rFonts w:hint="default" w:ascii="Times New Roman" w:hAnsi="Times New Roman" w:eastAsia="宋体" w:cs="Times New Roman"/>
          <w:strike w:val="0"/>
          <w:szCs w:val="24"/>
          <w:lang w:val="en-US" w:eastAsia="zh-CN"/>
        </w:rPr>
        <w:object>
          <v:shape id="_x0000_i1044" o:spt="75" type="#_x0000_t75" style="height:17pt;width:18pt;" o:ole="t" filled="f" o:preferrelative="t" stroked="f" coordsize="21600,21600">
            <v:path/>
            <v:fill on="f" focussize="0,0"/>
            <v:stroke on="f"/>
            <v:imagedata r:id="rId33" o:title=""/>
            <o:lock v:ext="edit" aspectratio="t"/>
            <w10:wrap type="none"/>
            <w10:anchorlock/>
          </v:shape>
          <o:OLEObject Type="Embed" ProgID="Equation.KSEE3" ShapeID="_x0000_i1044" DrawAspect="Content" ObjectID="_1468075744" r:id="rId34">
            <o:LockedField>false</o:LockedField>
          </o:OLEObject>
        </w:object>
      </w:r>
      <w:r>
        <w:rPr>
          <w:rFonts w:hint="default"/>
          <w:lang w:val="en-US" w:eastAsia="zh-CN"/>
        </w:rPr>
        <w:t>得到验证，即银行数字化转型程度越高，非息收入水平越高。</w:t>
      </w:r>
    </w:p>
    <w:p w14:paraId="6AB76749">
      <w:pPr>
        <w:bidi w:val="0"/>
        <w:rPr>
          <w:rFonts w:hint="default"/>
          <w:lang w:val="en-US" w:eastAsia="zh-CN"/>
        </w:rPr>
      </w:pPr>
      <w:r>
        <w:rPr>
          <w:rFonts w:hint="default"/>
          <w:lang w:val="en-US" w:eastAsia="zh-CN"/>
        </w:rPr>
        <w:t>3.假设</w:t>
      </w:r>
      <w:r>
        <w:rPr>
          <w:rFonts w:hint="default" w:ascii="Times New Roman" w:hAnsi="Times New Roman" w:eastAsia="宋体" w:cs="Times New Roman"/>
          <w:b/>
          <w:bCs/>
          <w:szCs w:val="24"/>
          <w:lang w:val="en-US" w:eastAsia="zh-CN"/>
        </w:rPr>
        <w:object>
          <v:shape id="_x0000_i1045" o:spt="75" type="#_x0000_t75" style="height:18pt;width:17pt;" o:ole="t" filled="f" o:preferrelative="t" stroked="f" coordsize="21600,21600">
            <v:path/>
            <v:fill on="f" focussize="0,0"/>
            <v:stroke on="f"/>
            <v:imagedata r:id="rId36" o:title=""/>
            <o:lock v:ext="edit" aspectratio="t"/>
            <w10:wrap type="none"/>
            <w10:anchorlock/>
          </v:shape>
          <o:OLEObject Type="Embed" ProgID="Equation.KSEE3" ShapeID="_x0000_i1045" DrawAspect="Content" ObjectID="_1468075745" r:id="rId35">
            <o:LockedField>false</o:LockedField>
          </o:OLEObject>
        </w:object>
      </w:r>
      <w:r>
        <w:rPr>
          <w:rFonts w:hint="default"/>
          <w:lang w:val="en-US" w:eastAsia="zh-CN"/>
        </w:rPr>
        <w:t>验证情况</w:t>
      </w:r>
      <w:r>
        <w:rPr>
          <w:rFonts w:hint="eastAsia"/>
          <w:lang w:val="en-US" w:eastAsia="zh-CN"/>
        </w:rPr>
        <w:t>。</w:t>
      </w:r>
      <w:r>
        <w:rPr>
          <w:rFonts w:hint="default"/>
          <w:lang w:val="en-US" w:eastAsia="zh-CN"/>
        </w:rPr>
        <w:t>列（3）是指解释变量数字化转型程度通过中介变量非息收入对被解释变量银行信贷风险的影响，结果显示：γ1=</w:t>
      </w:r>
      <w:r>
        <w:rPr>
          <w:rFonts w:hint="eastAsia"/>
          <w:lang w:val="en-US" w:eastAsia="zh-CN"/>
        </w:rPr>
        <w:t>－</w:t>
      </w:r>
      <w:r>
        <w:rPr>
          <w:rFonts w:hint="default"/>
          <w:lang w:val="en-US" w:eastAsia="zh-CN"/>
        </w:rPr>
        <w:t>0.152，γ2=</w:t>
      </w:r>
      <w:r>
        <w:rPr>
          <w:rFonts w:hint="eastAsia"/>
          <w:lang w:val="en-US" w:eastAsia="zh-CN"/>
        </w:rPr>
        <w:t>－</w:t>
      </w:r>
      <w:r>
        <w:rPr>
          <w:rFonts w:hint="default"/>
          <w:lang w:val="en-US" w:eastAsia="zh-CN"/>
        </w:rPr>
        <w:t>0.275，即银行非息收入水平每变动一单位，</w:t>
      </w:r>
      <w:r>
        <w:rPr>
          <w:rFonts w:hint="eastAsia"/>
          <w:lang w:val="en-US" w:eastAsia="zh-CN"/>
        </w:rPr>
        <w:t>中小银行信贷风险水平</w:t>
      </w:r>
      <w:r>
        <w:rPr>
          <w:rFonts w:hint="default"/>
          <w:lang w:val="en-US" w:eastAsia="zh-CN"/>
        </w:rPr>
        <w:t>会下降0.152倍，且中介效应是在1%的水平上显著。同时对比列（1）与列（3），数字化转型系数从</w:t>
      </w:r>
      <w:r>
        <w:rPr>
          <w:rFonts w:hint="eastAsia"/>
          <w:lang w:val="en-US" w:eastAsia="zh-CN"/>
        </w:rPr>
        <w:t>－</w:t>
      </w:r>
      <w:r>
        <w:rPr>
          <w:rFonts w:hint="default"/>
          <w:lang w:val="en-US" w:eastAsia="zh-CN"/>
        </w:rPr>
        <w:t>0.475减弱至</w:t>
      </w:r>
      <w:r>
        <w:rPr>
          <w:rFonts w:hint="eastAsia"/>
          <w:lang w:val="en-US" w:eastAsia="zh-CN"/>
        </w:rPr>
        <w:t>－</w:t>
      </w:r>
      <w:r>
        <w:rPr>
          <w:rFonts w:hint="default"/>
          <w:lang w:val="en-US" w:eastAsia="zh-CN"/>
        </w:rPr>
        <w:t>0.275，说明非息收入部分中介数字化转型对</w:t>
      </w:r>
      <w:r>
        <w:rPr>
          <w:rFonts w:hint="eastAsia"/>
          <w:lang w:val="en-US" w:eastAsia="zh-CN"/>
        </w:rPr>
        <w:t>中小银行信贷风险水平</w:t>
      </w:r>
      <w:r>
        <w:rPr>
          <w:rFonts w:hint="default"/>
          <w:lang w:val="en-US" w:eastAsia="zh-CN"/>
        </w:rPr>
        <w:t>的降低作用。</w:t>
      </w:r>
    </w:p>
    <w:p w14:paraId="27EC14E4">
      <w:pPr>
        <w:bidi w:val="0"/>
        <w:rPr>
          <w:rFonts w:hint="default"/>
          <w:lang w:val="en-US" w:eastAsia="zh-CN"/>
        </w:rPr>
      </w:pPr>
      <w:r>
        <w:rPr>
          <w:rFonts w:hint="default"/>
          <w:lang w:val="en-US" w:eastAsia="zh-CN"/>
        </w:rPr>
        <w:t>由此可见，研究假设</w:t>
      </w:r>
      <w:r>
        <w:rPr>
          <w:rFonts w:hint="default" w:ascii="Times New Roman" w:hAnsi="Times New Roman" w:eastAsia="宋体" w:cs="Times New Roman"/>
          <w:strike w:val="0"/>
          <w:szCs w:val="24"/>
          <w:lang w:val="en-US" w:eastAsia="zh-CN"/>
        </w:rPr>
        <w:object>
          <v:shape id="_x0000_i1046" o:spt="75" type="#_x0000_t75" style="height:18pt;width:17pt;" o:ole="t" filled="f" o:preferrelative="t" stroked="f" coordsize="21600,21600">
            <v:path/>
            <v:fill on="f" focussize="0,0"/>
            <v:stroke on="f"/>
            <v:imagedata r:id="rId36" o:title=""/>
            <o:lock v:ext="edit" aspectratio="t"/>
            <w10:wrap type="none"/>
            <w10:anchorlock/>
          </v:shape>
          <o:OLEObject Type="Embed" ProgID="Equation.KSEE3" ShapeID="_x0000_i1046" DrawAspect="Content" ObjectID="_1468075746" r:id="rId37">
            <o:LockedField>false</o:LockedField>
          </o:OLEObject>
        </w:object>
      </w:r>
      <w:r>
        <w:rPr>
          <w:rFonts w:hint="default"/>
          <w:lang w:val="en-US" w:eastAsia="zh-CN"/>
        </w:rPr>
        <w:t>得到验证，即银行数字化转型程度增强后，随着非息收入水平的提升，能够显著抑制</w:t>
      </w:r>
      <w:r>
        <w:rPr>
          <w:rFonts w:hint="eastAsia"/>
          <w:lang w:val="en-US" w:eastAsia="zh-CN"/>
        </w:rPr>
        <w:t>中小银行</w:t>
      </w:r>
      <w:r>
        <w:rPr>
          <w:rFonts w:hint="default"/>
          <w:lang w:val="en-US" w:eastAsia="zh-CN"/>
        </w:rPr>
        <w:t>信贷风险水平的假设得到验证。</w:t>
      </w:r>
    </w:p>
    <w:p w14:paraId="23D56447">
      <w:pPr>
        <w:pStyle w:val="4"/>
        <w:bidi w:val="0"/>
        <w:rPr>
          <w:rFonts w:hint="default"/>
          <w:lang w:val="en-US" w:eastAsia="zh-CN"/>
        </w:rPr>
      </w:pPr>
      <w:bookmarkStart w:id="30" w:name="_Toc11951"/>
      <w:r>
        <w:rPr>
          <w:rFonts w:hint="eastAsia"/>
          <w:lang w:val="en-US" w:eastAsia="zh-CN"/>
        </w:rPr>
        <w:t>2</w:t>
      </w:r>
      <w:r>
        <w:rPr>
          <w:rFonts w:hint="default"/>
          <w:lang w:val="en-US" w:eastAsia="zh-CN"/>
        </w:rPr>
        <w:t>.控制变量</w:t>
      </w:r>
      <w:r>
        <w:rPr>
          <w:rFonts w:hint="eastAsia"/>
          <w:lang w:val="en-US" w:eastAsia="zh-CN"/>
        </w:rPr>
        <w:t>特征分析</w:t>
      </w:r>
      <w:bookmarkEnd w:id="30"/>
    </w:p>
    <w:p w14:paraId="7DF7F289">
      <w:pPr>
        <w:bidi w:val="0"/>
        <w:rPr>
          <w:rFonts w:hint="default" w:ascii="Times New Roman" w:hAnsi="Times New Roman" w:eastAsia="宋体" w:cs="Times New Roman"/>
          <w:strike w:val="0"/>
          <w:szCs w:val="24"/>
          <w:lang w:val="en-US" w:eastAsia="zh-CN"/>
        </w:rPr>
      </w:pPr>
      <w:r>
        <w:rPr>
          <w:rFonts w:hint="default"/>
          <w:lang w:val="en-US" w:eastAsia="zh-CN"/>
        </w:rPr>
        <w:t>通过上述回归过程，可以看出ROE、资本资产率均对</w:t>
      </w:r>
      <w:r>
        <w:rPr>
          <w:rFonts w:hint="eastAsia"/>
          <w:lang w:val="en-US" w:eastAsia="zh-CN"/>
        </w:rPr>
        <w:t>中小</w:t>
      </w:r>
      <w:r>
        <w:rPr>
          <w:rFonts w:hint="default"/>
          <w:lang w:val="en-US" w:eastAsia="zh-CN"/>
        </w:rPr>
        <w:t>银行信贷风险</w:t>
      </w:r>
      <w:r>
        <w:rPr>
          <w:rFonts w:hint="eastAsia"/>
          <w:lang w:val="en-US" w:eastAsia="zh-CN"/>
        </w:rPr>
        <w:t>水平</w:t>
      </w:r>
      <w:r>
        <w:rPr>
          <w:rFonts w:hint="default"/>
          <w:lang w:val="en-US" w:eastAsia="zh-CN"/>
        </w:rPr>
        <w:t>产生显著抑制作用。从ROE来看，高净资产收益率的</w:t>
      </w:r>
      <w:r>
        <w:rPr>
          <w:rFonts w:hint="eastAsia"/>
          <w:lang w:val="en-US" w:eastAsia="zh-CN"/>
        </w:rPr>
        <w:t>中小</w:t>
      </w:r>
      <w:r>
        <w:rPr>
          <w:rFonts w:hint="default"/>
          <w:lang w:val="en-US" w:eastAsia="zh-CN"/>
        </w:rPr>
        <w:t>银行具有更高的盈利能力，可以通过留存收益补充更多的资本金，从而增强风险承担能力，从而抑制信贷风险；从资本资产率来看，高资本资产率可以提升抗风险能力以及减小意外损失对</w:t>
      </w:r>
      <w:r>
        <w:rPr>
          <w:rFonts w:hint="eastAsia"/>
          <w:lang w:val="en-US" w:eastAsia="zh-CN"/>
        </w:rPr>
        <w:t>中小银行</w:t>
      </w:r>
      <w:r>
        <w:rPr>
          <w:rFonts w:hint="default"/>
          <w:lang w:val="en-US" w:eastAsia="zh-CN"/>
        </w:rPr>
        <w:t>的冲击，从而降低了</w:t>
      </w:r>
      <w:r>
        <w:rPr>
          <w:rFonts w:hint="eastAsia"/>
          <w:lang w:val="en-US" w:eastAsia="zh-CN"/>
        </w:rPr>
        <w:t>中小银行</w:t>
      </w:r>
      <w:r>
        <w:rPr>
          <w:rFonts w:hint="default"/>
          <w:lang w:val="en-US" w:eastAsia="zh-CN"/>
        </w:rPr>
        <w:t>信贷风险的影响。</w:t>
      </w:r>
    </w:p>
    <w:p w14:paraId="1E5A3F61">
      <w:pPr>
        <w:pStyle w:val="4"/>
        <w:bidi w:val="0"/>
        <w:rPr>
          <w:rFonts w:hint="eastAsia"/>
          <w:lang w:val="en-US" w:eastAsia="zh-CN"/>
        </w:rPr>
      </w:pPr>
      <w:bookmarkStart w:id="31" w:name="_Toc6955"/>
      <w:r>
        <w:rPr>
          <w:rFonts w:hint="eastAsia"/>
          <w:lang w:val="en-US" w:eastAsia="zh-CN"/>
        </w:rPr>
        <w:t>3.Bootstrap检验</w:t>
      </w:r>
      <w:bookmarkEnd w:id="31"/>
    </w:p>
    <w:p w14:paraId="26EC4D60">
      <w:pPr>
        <w:bidi w:val="0"/>
        <w:rPr>
          <w:rFonts w:hint="default"/>
          <w:lang w:val="en-US" w:eastAsia="zh-CN"/>
        </w:rPr>
      </w:pPr>
      <w:r>
        <w:rPr>
          <w:rFonts w:hint="default"/>
          <w:lang w:val="en-US" w:eastAsia="zh-CN"/>
        </w:rPr>
        <w:t>Bootstrap方法是一种非参数重抽样技术，能够在不依赖正态分布假设的前提下，对中介效应的显著性和置信区间进行更稳健的估计，从而提高中介分析结果的可信度。具体做法是通过重复抽样估计中介效应的标准误和置信区间，若置信区间不包含 0，则认为中介效应显著成立。</w:t>
      </w:r>
      <w:r>
        <w:rPr>
          <w:rFonts w:hint="eastAsia"/>
          <w:lang w:val="en-US" w:eastAsia="zh-CN"/>
        </w:rPr>
        <w:t>为使得上述中介机制的传导路径真实可靠，本文采用</w:t>
      </w:r>
      <w:r>
        <w:rPr>
          <w:rFonts w:hint="default"/>
          <w:lang w:val="en-US" w:eastAsia="zh-CN"/>
        </w:rPr>
        <w:t>Bootstrap检验法对中介效应进行验证，设置Bootstrap次数为1000，置信区间为95%</w:t>
      </w:r>
      <w:r>
        <w:rPr>
          <w:rFonts w:hint="eastAsia"/>
          <w:lang w:val="en-US" w:eastAsia="zh-CN"/>
        </w:rPr>
        <w:t>，</w:t>
      </w:r>
      <w:r>
        <w:rPr>
          <w:rFonts w:hint="default"/>
          <w:lang w:val="en-US" w:eastAsia="zh-CN"/>
        </w:rPr>
        <w:t>检验结果如表</w:t>
      </w:r>
      <w:r>
        <w:rPr>
          <w:rFonts w:hint="eastAsia"/>
          <w:lang w:val="en-US" w:eastAsia="zh-CN"/>
        </w:rPr>
        <w:t>7</w:t>
      </w:r>
      <w:r>
        <w:rPr>
          <w:rFonts w:hint="default"/>
          <w:lang w:val="en-US" w:eastAsia="zh-CN"/>
        </w:rPr>
        <w:t>所示。</w:t>
      </w:r>
    </w:p>
    <w:p w14:paraId="2148981F">
      <w:pPr>
        <w:pageBreakBefore w:val="0"/>
        <w:kinsoku/>
        <w:wordWrap/>
        <w:overflowPunct/>
        <w:topLinePunct w:val="0"/>
        <w:autoSpaceDE/>
        <w:autoSpaceDN/>
        <w:bidi w:val="0"/>
        <w:spacing w:line="300" w:lineRule="auto"/>
        <w:ind w:firstLine="420" w:firstLineChars="200"/>
        <w:jc w:val="center"/>
        <w:textAlignment w:val="auto"/>
        <w:rPr>
          <w:rFonts w:hint="default" w:ascii="黑体" w:hAnsi="黑体" w:eastAsia="黑体" w:cs="黑体"/>
          <w:b w:val="0"/>
          <w:bCs w:val="0"/>
          <w:sz w:val="21"/>
          <w:szCs w:val="18"/>
          <w:lang w:val="en-US" w:eastAsia="zh-CN"/>
        </w:rPr>
      </w:pPr>
      <w:r>
        <w:rPr>
          <w:rFonts w:hint="eastAsia" w:ascii="黑体" w:hAnsi="黑体" w:eastAsia="黑体" w:cs="黑体"/>
          <w:b w:val="0"/>
          <w:bCs w:val="0"/>
          <w:sz w:val="21"/>
          <w:szCs w:val="18"/>
          <w:lang w:val="en-US" w:eastAsia="zh-CN"/>
        </w:rPr>
        <w:t xml:space="preserve">表7 </w:t>
      </w:r>
      <w:r>
        <w:rPr>
          <w:rFonts w:hint="default" w:ascii="黑体" w:hAnsi="黑体" w:eastAsia="黑体" w:cs="黑体"/>
          <w:b w:val="0"/>
          <w:bCs w:val="0"/>
          <w:sz w:val="21"/>
          <w:szCs w:val="18"/>
          <w:lang w:val="en-US" w:eastAsia="zh-CN"/>
        </w:rPr>
        <w:t>Bootstrap</w:t>
      </w:r>
      <w:r>
        <w:rPr>
          <w:rFonts w:hint="eastAsia" w:ascii="黑体" w:hAnsi="黑体" w:eastAsia="黑体" w:cs="黑体"/>
          <w:b w:val="0"/>
          <w:bCs w:val="0"/>
          <w:sz w:val="21"/>
          <w:szCs w:val="18"/>
          <w:lang w:val="en-US" w:eastAsia="zh-CN"/>
        </w:rPr>
        <w:t>检验</w:t>
      </w:r>
    </w:p>
    <w:tbl>
      <w:tblPr>
        <w:tblStyle w:val="16"/>
        <w:tblW w:w="4998" w:type="pct"/>
        <w:jc w:val="center"/>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23"/>
        <w:gridCol w:w="1279"/>
        <w:gridCol w:w="1095"/>
        <w:gridCol w:w="890"/>
        <w:gridCol w:w="772"/>
        <w:gridCol w:w="1279"/>
        <w:gridCol w:w="1281"/>
      </w:tblGrid>
      <w:tr w14:paraId="3A175880">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79" w:hRule="atLeast"/>
          <w:jc w:val="center"/>
        </w:trPr>
        <w:tc>
          <w:tcPr>
            <w:tcW w:w="1128" w:type="pct"/>
            <w:tcBorders>
              <w:bottom w:val="single" w:color="000000" w:sz="0" w:space="0"/>
            </w:tcBorders>
            <w:vAlign w:val="center"/>
          </w:tcPr>
          <w:p w14:paraId="6BCF1E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bCs/>
                <w:sz w:val="21"/>
                <w:szCs w:val="16"/>
                <w:lang w:val="en-US" w:eastAsia="zh-CN"/>
              </w:rPr>
            </w:pPr>
            <w:r>
              <w:rPr>
                <w:rFonts w:hint="eastAsia" w:ascii="Times New Roman" w:hAnsi="Times New Roman" w:eastAsia="宋体" w:cs="Times New Roman"/>
                <w:b/>
                <w:bCs/>
                <w:sz w:val="21"/>
                <w:szCs w:val="16"/>
                <w:lang w:val="en-US" w:eastAsia="zh-CN"/>
              </w:rPr>
              <w:t>效应</w:t>
            </w:r>
          </w:p>
        </w:tc>
        <w:tc>
          <w:tcPr>
            <w:tcW w:w="750" w:type="pct"/>
            <w:tcBorders>
              <w:bottom w:val="single" w:color="000000" w:sz="0" w:space="0"/>
            </w:tcBorders>
            <w:vAlign w:val="center"/>
          </w:tcPr>
          <w:p w14:paraId="0982F4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bCs w:val="0"/>
                <w:i/>
                <w:iCs/>
                <w:sz w:val="21"/>
                <w:szCs w:val="16"/>
                <w:lang w:val="en-US" w:eastAsia="zh-CN"/>
              </w:rPr>
            </w:pPr>
            <w:r>
              <w:rPr>
                <w:rFonts w:hint="default" w:ascii="Times New Roman" w:hAnsi="Times New Roman" w:eastAsia="宋体" w:cs="Times New Roman"/>
                <w:b w:val="0"/>
                <w:bCs w:val="0"/>
                <w:i/>
                <w:iCs/>
                <w:sz w:val="21"/>
                <w:szCs w:val="16"/>
                <w:lang w:val="en-US" w:eastAsia="zh-CN"/>
              </w:rPr>
              <w:t>Obs</w:t>
            </w:r>
            <w:r>
              <w:rPr>
                <w:rFonts w:hint="eastAsia" w:ascii="Times New Roman" w:hAnsi="Times New Roman" w:eastAsia="宋体" w:cs="Times New Roman"/>
                <w:b w:val="0"/>
                <w:bCs w:val="0"/>
                <w:i/>
                <w:iCs/>
                <w:sz w:val="21"/>
                <w:szCs w:val="16"/>
                <w:lang w:val="en-US" w:eastAsia="zh-CN"/>
              </w:rPr>
              <w:t>erved</w:t>
            </w:r>
          </w:p>
          <w:p w14:paraId="3CAE5C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i/>
                <w:iCs/>
                <w:sz w:val="21"/>
                <w:szCs w:val="16"/>
                <w:lang w:val="en-US" w:eastAsia="zh-CN"/>
              </w:rPr>
            </w:pPr>
            <w:r>
              <w:rPr>
                <w:rFonts w:hint="eastAsia" w:ascii="Times New Roman" w:hAnsi="Times New Roman" w:eastAsia="宋体" w:cs="Times New Roman"/>
                <w:b w:val="0"/>
                <w:bCs w:val="0"/>
                <w:i/>
                <w:iCs/>
                <w:sz w:val="21"/>
                <w:szCs w:val="16"/>
                <w:lang w:val="en-US" w:eastAsia="zh-CN"/>
              </w:rPr>
              <w:t>coefficient</w:t>
            </w:r>
          </w:p>
        </w:tc>
        <w:tc>
          <w:tcPr>
            <w:tcW w:w="642" w:type="pct"/>
            <w:tcBorders>
              <w:bottom w:val="single" w:color="000000" w:sz="0" w:space="0"/>
            </w:tcBorders>
            <w:vAlign w:val="center"/>
          </w:tcPr>
          <w:p w14:paraId="7087AC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bCs w:val="0"/>
                <w:i/>
                <w:iCs/>
                <w:sz w:val="21"/>
                <w:szCs w:val="16"/>
                <w:lang w:val="en-US" w:eastAsia="zh-CN"/>
              </w:rPr>
            </w:pPr>
            <w:r>
              <w:rPr>
                <w:rFonts w:hint="eastAsia" w:ascii="Times New Roman" w:hAnsi="Times New Roman" w:eastAsia="宋体" w:cs="Times New Roman"/>
                <w:b w:val="0"/>
                <w:bCs w:val="0"/>
                <w:i/>
                <w:iCs/>
                <w:sz w:val="21"/>
                <w:szCs w:val="16"/>
                <w:lang w:val="en-US" w:eastAsia="zh-CN"/>
              </w:rPr>
              <w:t>Bootsrap</w:t>
            </w:r>
          </w:p>
          <w:p w14:paraId="693ADF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i/>
                <w:iCs/>
                <w:sz w:val="21"/>
                <w:szCs w:val="16"/>
                <w:lang w:val="en-US" w:eastAsia="zh-CN"/>
              </w:rPr>
            </w:pPr>
            <w:r>
              <w:rPr>
                <w:rFonts w:hint="eastAsia" w:ascii="Times New Roman" w:hAnsi="Times New Roman" w:eastAsia="宋体" w:cs="Times New Roman"/>
                <w:b w:val="0"/>
                <w:bCs w:val="0"/>
                <w:i/>
                <w:iCs/>
                <w:sz w:val="21"/>
                <w:szCs w:val="16"/>
                <w:lang w:val="en-US" w:eastAsia="zh-CN"/>
              </w:rPr>
              <w:t>Std. Err.</w:t>
            </w:r>
          </w:p>
        </w:tc>
        <w:tc>
          <w:tcPr>
            <w:tcW w:w="522" w:type="pct"/>
            <w:tcBorders>
              <w:bottom w:val="single" w:color="000000" w:sz="0" w:space="0"/>
            </w:tcBorders>
            <w:vAlign w:val="center"/>
          </w:tcPr>
          <w:p w14:paraId="1307D5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bCs w:val="0"/>
                <w:i/>
                <w:iCs/>
                <w:sz w:val="21"/>
                <w:szCs w:val="16"/>
                <w:lang w:val="en-US" w:eastAsia="zh-CN"/>
              </w:rPr>
            </w:pPr>
            <w:r>
              <w:rPr>
                <w:rFonts w:hint="eastAsia" w:ascii="Times New Roman" w:hAnsi="Times New Roman" w:eastAsia="宋体" w:cs="Times New Roman"/>
                <w:b w:val="0"/>
                <w:bCs w:val="0"/>
                <w:i/>
                <w:iCs/>
                <w:sz w:val="21"/>
                <w:szCs w:val="16"/>
                <w:lang w:val="en-US" w:eastAsia="zh-CN"/>
              </w:rPr>
              <w:t>z</w:t>
            </w:r>
          </w:p>
        </w:tc>
        <w:tc>
          <w:tcPr>
            <w:tcW w:w="453" w:type="pct"/>
            <w:tcBorders>
              <w:bottom w:val="single" w:color="000000" w:sz="0" w:space="0"/>
            </w:tcBorders>
            <w:vAlign w:val="center"/>
          </w:tcPr>
          <w:p w14:paraId="3DE038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i/>
                <w:iCs/>
                <w:sz w:val="21"/>
                <w:szCs w:val="16"/>
                <w:lang w:val="en-US" w:eastAsia="zh-CN"/>
              </w:rPr>
            </w:pPr>
            <w:r>
              <w:rPr>
                <w:rFonts w:hint="eastAsia" w:ascii="Times New Roman" w:hAnsi="Times New Roman" w:eastAsia="宋体" w:cs="Times New Roman"/>
                <w:b w:val="0"/>
                <w:bCs w:val="0"/>
                <w:i/>
                <w:iCs/>
                <w:sz w:val="21"/>
                <w:szCs w:val="16"/>
                <w:lang w:val="en-US" w:eastAsia="zh-CN"/>
              </w:rPr>
              <w:t>P&gt;|z|</w:t>
            </w:r>
          </w:p>
        </w:tc>
        <w:tc>
          <w:tcPr>
            <w:tcW w:w="1501" w:type="pct"/>
            <w:gridSpan w:val="2"/>
            <w:tcBorders>
              <w:bottom w:val="single" w:color="000000" w:sz="0" w:space="0"/>
            </w:tcBorders>
            <w:vAlign w:val="center"/>
          </w:tcPr>
          <w:p w14:paraId="6EC825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b w:val="0"/>
                <w:bCs w:val="0"/>
                <w:i/>
                <w:iCs/>
                <w:sz w:val="21"/>
                <w:szCs w:val="16"/>
                <w:lang w:val="en-US" w:eastAsia="zh-CN"/>
              </w:rPr>
            </w:pPr>
            <w:r>
              <w:rPr>
                <w:rFonts w:hint="eastAsia" w:ascii="Times New Roman" w:hAnsi="Times New Roman" w:eastAsia="宋体" w:cs="Times New Roman"/>
                <w:b w:val="0"/>
                <w:bCs w:val="0"/>
                <w:i/>
                <w:iCs/>
                <w:sz w:val="21"/>
                <w:szCs w:val="16"/>
                <w:lang w:val="en-US" w:eastAsia="zh-CN"/>
              </w:rPr>
              <w:t>Normal－based</w:t>
            </w:r>
          </w:p>
          <w:p w14:paraId="3BAEE0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i/>
                <w:iCs/>
                <w:sz w:val="21"/>
                <w:szCs w:val="16"/>
                <w:lang w:val="en-US" w:eastAsia="zh-CN"/>
              </w:rPr>
            </w:pPr>
            <w:r>
              <w:rPr>
                <w:rFonts w:hint="eastAsia" w:ascii="Times New Roman" w:hAnsi="Times New Roman" w:eastAsia="宋体" w:cs="Times New Roman"/>
                <w:b w:val="0"/>
                <w:bCs w:val="0"/>
                <w:i/>
                <w:iCs/>
                <w:sz w:val="21"/>
                <w:szCs w:val="16"/>
                <w:lang w:val="en-US" w:eastAsia="zh-CN"/>
              </w:rPr>
              <w:t>[95% conf. interval]</w:t>
            </w:r>
          </w:p>
        </w:tc>
      </w:tr>
      <w:tr w14:paraId="4F610888">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79" w:hRule="atLeast"/>
          <w:jc w:val="center"/>
        </w:trPr>
        <w:tc>
          <w:tcPr>
            <w:tcW w:w="1128" w:type="pct"/>
            <w:tcBorders>
              <w:top w:val="single" w:color="000000" w:sz="0" w:space="0"/>
            </w:tcBorders>
            <w:vAlign w:val="center"/>
          </w:tcPr>
          <w:p w14:paraId="748B25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bCs/>
                <w:sz w:val="21"/>
                <w:szCs w:val="16"/>
                <w:lang w:val="en-US" w:eastAsia="zh-CN"/>
              </w:rPr>
            </w:pPr>
            <w:r>
              <w:rPr>
                <w:rFonts w:hint="eastAsia" w:ascii="Times New Roman" w:hAnsi="Times New Roman" w:eastAsia="宋体" w:cs="Times New Roman"/>
                <w:b/>
                <w:bCs/>
                <w:sz w:val="21"/>
                <w:szCs w:val="16"/>
                <w:lang w:val="en-US" w:eastAsia="zh-CN"/>
              </w:rPr>
              <w:t>中介效应(_bs_1)</w:t>
            </w:r>
          </w:p>
        </w:tc>
        <w:tc>
          <w:tcPr>
            <w:tcW w:w="750" w:type="pct"/>
            <w:tcBorders>
              <w:top w:val="single" w:color="000000" w:sz="0" w:space="0"/>
            </w:tcBorders>
            <w:vAlign w:val="center"/>
          </w:tcPr>
          <w:p w14:paraId="25BF84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－0.1862</w:t>
            </w:r>
            <w:r>
              <w:rPr>
                <w:rFonts w:hint="eastAsia" w:ascii="微软雅黑" w:hAnsi="微软雅黑" w:eastAsia="微软雅黑" w:cs="微软雅黑"/>
                <w:kern w:val="0"/>
                <w:sz w:val="21"/>
                <w:szCs w:val="21"/>
                <w:vertAlign w:val="superscript"/>
              </w:rPr>
              <w:t>①</w:t>
            </w:r>
          </w:p>
        </w:tc>
        <w:tc>
          <w:tcPr>
            <w:tcW w:w="642" w:type="pct"/>
            <w:tcBorders>
              <w:top w:val="single" w:color="000000" w:sz="0" w:space="0"/>
            </w:tcBorders>
            <w:vAlign w:val="center"/>
          </w:tcPr>
          <w:p w14:paraId="0C8618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0.0418</w:t>
            </w:r>
            <w:r>
              <w:rPr>
                <w:rFonts w:hint="eastAsia" w:ascii="微软雅黑" w:hAnsi="微软雅黑" w:eastAsia="微软雅黑" w:cs="微软雅黑"/>
                <w:b w:val="0"/>
                <w:bCs w:val="0"/>
                <w:sz w:val="21"/>
                <w:szCs w:val="16"/>
                <w:vertAlign w:val="superscript"/>
                <w:lang w:val="en-US" w:eastAsia="zh-CN"/>
              </w:rPr>
              <w:t>②</w:t>
            </w:r>
          </w:p>
        </w:tc>
        <w:tc>
          <w:tcPr>
            <w:tcW w:w="522" w:type="pct"/>
            <w:tcBorders>
              <w:top w:val="single" w:color="000000" w:sz="0" w:space="0"/>
            </w:tcBorders>
            <w:vAlign w:val="center"/>
          </w:tcPr>
          <w:p w14:paraId="2BEE3D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－4.45</w:t>
            </w:r>
          </w:p>
        </w:tc>
        <w:tc>
          <w:tcPr>
            <w:tcW w:w="453" w:type="pct"/>
            <w:tcBorders>
              <w:top w:val="single" w:color="000000" w:sz="0" w:space="0"/>
            </w:tcBorders>
            <w:vAlign w:val="center"/>
          </w:tcPr>
          <w:p w14:paraId="2E06FD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0.000</w:t>
            </w:r>
          </w:p>
        </w:tc>
        <w:tc>
          <w:tcPr>
            <w:tcW w:w="750" w:type="pct"/>
            <w:tcBorders>
              <w:top w:val="single" w:color="000000" w:sz="0" w:space="0"/>
            </w:tcBorders>
            <w:vAlign w:val="center"/>
          </w:tcPr>
          <w:p w14:paraId="41C5F0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－0.2682</w:t>
            </w:r>
            <w:r>
              <w:rPr>
                <w:rFonts w:hint="eastAsia" w:ascii="微软雅黑" w:hAnsi="微软雅黑" w:eastAsia="微软雅黑" w:cs="微软雅黑"/>
                <w:b w:val="0"/>
                <w:bCs w:val="0"/>
                <w:sz w:val="21"/>
                <w:szCs w:val="16"/>
                <w:vertAlign w:val="superscript"/>
                <w:lang w:val="en-US" w:eastAsia="zh-CN"/>
              </w:rPr>
              <w:t>③</w:t>
            </w:r>
          </w:p>
        </w:tc>
        <w:tc>
          <w:tcPr>
            <w:tcW w:w="751" w:type="pct"/>
            <w:tcBorders>
              <w:top w:val="single" w:color="000000" w:sz="0" w:space="0"/>
            </w:tcBorders>
            <w:vAlign w:val="center"/>
          </w:tcPr>
          <w:p w14:paraId="6298D7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－0.1042</w:t>
            </w:r>
            <w:r>
              <w:rPr>
                <w:rFonts w:hint="eastAsia" w:ascii="微软雅黑" w:hAnsi="微软雅黑" w:eastAsia="微软雅黑" w:cs="微软雅黑"/>
                <w:b w:val="0"/>
                <w:bCs w:val="0"/>
                <w:sz w:val="21"/>
                <w:szCs w:val="16"/>
                <w:vertAlign w:val="superscript"/>
                <w:lang w:val="en-US" w:eastAsia="zh-CN"/>
              </w:rPr>
              <w:t>④</w:t>
            </w:r>
          </w:p>
        </w:tc>
      </w:tr>
      <w:tr w14:paraId="02E235E1">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75" w:hRule="atLeast"/>
          <w:jc w:val="center"/>
        </w:trPr>
        <w:tc>
          <w:tcPr>
            <w:tcW w:w="1128" w:type="pct"/>
            <w:vAlign w:val="center"/>
          </w:tcPr>
          <w:p w14:paraId="466F52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bCs/>
                <w:sz w:val="21"/>
                <w:szCs w:val="16"/>
                <w:lang w:val="en-US" w:eastAsia="zh-CN"/>
              </w:rPr>
            </w:pPr>
            <w:r>
              <w:rPr>
                <w:rFonts w:hint="eastAsia" w:ascii="Times New Roman" w:hAnsi="Times New Roman" w:eastAsia="宋体" w:cs="Times New Roman"/>
                <w:b/>
                <w:bCs/>
                <w:sz w:val="21"/>
                <w:szCs w:val="16"/>
                <w:lang w:val="en-US" w:eastAsia="zh-CN"/>
              </w:rPr>
              <w:t>直接效应(_bs_1)</w:t>
            </w:r>
          </w:p>
        </w:tc>
        <w:tc>
          <w:tcPr>
            <w:tcW w:w="750" w:type="pct"/>
            <w:vAlign w:val="center"/>
          </w:tcPr>
          <w:p w14:paraId="269179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－0.2891</w:t>
            </w:r>
            <w:r>
              <w:rPr>
                <w:rFonts w:hint="eastAsia" w:ascii="微软雅黑" w:hAnsi="微软雅黑" w:eastAsia="微软雅黑" w:cs="微软雅黑"/>
                <w:b w:val="0"/>
                <w:bCs w:val="0"/>
                <w:sz w:val="21"/>
                <w:szCs w:val="16"/>
                <w:vertAlign w:val="superscript"/>
                <w:lang w:val="en-US" w:eastAsia="zh-CN"/>
              </w:rPr>
              <w:t>⑤</w:t>
            </w:r>
          </w:p>
        </w:tc>
        <w:tc>
          <w:tcPr>
            <w:tcW w:w="642" w:type="pct"/>
            <w:vAlign w:val="center"/>
          </w:tcPr>
          <w:p w14:paraId="5821EE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0.0808</w:t>
            </w:r>
            <w:r>
              <w:rPr>
                <w:rFonts w:hint="eastAsia" w:ascii="微软雅黑" w:hAnsi="微软雅黑" w:eastAsia="微软雅黑" w:cs="微软雅黑"/>
                <w:b w:val="0"/>
                <w:bCs w:val="0"/>
                <w:sz w:val="21"/>
                <w:szCs w:val="16"/>
                <w:vertAlign w:val="superscript"/>
                <w:lang w:val="en-US" w:eastAsia="zh-CN"/>
              </w:rPr>
              <w:t>⑥</w:t>
            </w:r>
          </w:p>
        </w:tc>
        <w:tc>
          <w:tcPr>
            <w:tcW w:w="522" w:type="pct"/>
            <w:vAlign w:val="center"/>
          </w:tcPr>
          <w:p w14:paraId="174199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－3.58</w:t>
            </w:r>
          </w:p>
        </w:tc>
        <w:tc>
          <w:tcPr>
            <w:tcW w:w="453" w:type="pct"/>
            <w:vAlign w:val="center"/>
          </w:tcPr>
          <w:p w14:paraId="6B5D29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0.000</w:t>
            </w:r>
          </w:p>
        </w:tc>
        <w:tc>
          <w:tcPr>
            <w:tcW w:w="750" w:type="pct"/>
            <w:vAlign w:val="center"/>
          </w:tcPr>
          <w:p w14:paraId="2C4B52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－0.4475</w:t>
            </w:r>
            <w:r>
              <w:rPr>
                <w:rFonts w:hint="eastAsia" w:ascii="微软雅黑" w:hAnsi="微软雅黑" w:eastAsia="微软雅黑" w:cs="微软雅黑"/>
                <w:b w:val="0"/>
                <w:bCs w:val="0"/>
                <w:sz w:val="21"/>
                <w:szCs w:val="16"/>
                <w:vertAlign w:val="superscript"/>
                <w:lang w:val="en-US" w:eastAsia="zh-CN"/>
              </w:rPr>
              <w:t>⑦</w:t>
            </w:r>
          </w:p>
        </w:tc>
        <w:tc>
          <w:tcPr>
            <w:tcW w:w="751" w:type="pct"/>
            <w:vAlign w:val="center"/>
          </w:tcPr>
          <w:p w14:paraId="15148D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val="0"/>
                <w:bCs w:val="0"/>
                <w:sz w:val="21"/>
                <w:szCs w:val="16"/>
                <w:lang w:val="en-US" w:eastAsia="zh-CN"/>
              </w:rPr>
            </w:pPr>
            <w:r>
              <w:rPr>
                <w:rFonts w:hint="eastAsia" w:ascii="Times New Roman" w:hAnsi="Times New Roman" w:eastAsia="宋体" w:cs="Times New Roman"/>
                <w:b w:val="0"/>
                <w:bCs w:val="0"/>
                <w:sz w:val="21"/>
                <w:szCs w:val="16"/>
                <w:lang w:val="en-US" w:eastAsia="zh-CN"/>
              </w:rPr>
              <w:t>－0.1307</w:t>
            </w:r>
            <w:r>
              <w:rPr>
                <w:rFonts w:hint="eastAsia" w:ascii="微软雅黑" w:hAnsi="微软雅黑" w:eastAsia="微软雅黑" w:cs="微软雅黑"/>
                <w:b w:val="0"/>
                <w:bCs w:val="0"/>
                <w:sz w:val="21"/>
                <w:szCs w:val="16"/>
                <w:vertAlign w:val="superscript"/>
                <w:lang w:val="en-US" w:eastAsia="zh-CN"/>
              </w:rPr>
              <w:t>⑧</w:t>
            </w:r>
          </w:p>
        </w:tc>
      </w:tr>
    </w:tbl>
    <w:p w14:paraId="3D6C1148">
      <w:pPr>
        <w:widowControl/>
        <w:snapToGrid w:val="0"/>
        <w:spacing w:line="240" w:lineRule="atLeast"/>
        <w:ind w:firstLine="360" w:firstLineChars="200"/>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lang w:val="en-US" w:eastAsia="zh-CN"/>
        </w:rPr>
        <w:t>注：</w:t>
      </w:r>
      <w:r>
        <w:rPr>
          <w:rFonts w:hint="eastAsia" w:ascii="Times New Roman" w:hAnsi="Times New Roman" w:eastAsia="宋体" w:cs="Times New Roman"/>
          <w:sz w:val="18"/>
          <w:szCs w:val="18"/>
        </w:rPr>
        <w:t>①该数值保留四位小数，原值为</w:t>
      </w:r>
      <w:r>
        <w:rPr>
          <w:rFonts w:hint="eastAsia" w:ascii="Times New Roman" w:hAnsi="Times New Roman" w:eastAsia="宋体" w:cs="Times New Roman"/>
          <w:sz w:val="18"/>
          <w:szCs w:val="18"/>
          <w:lang w:val="en-US" w:eastAsia="zh-CN"/>
        </w:rPr>
        <w:t>－0.1862119</w:t>
      </w:r>
      <w:r>
        <w:rPr>
          <w:rFonts w:hint="eastAsia" w:ascii="Times New Roman" w:hAnsi="Times New Roman" w:eastAsia="宋体" w:cs="Times New Roman"/>
          <w:sz w:val="18"/>
          <w:szCs w:val="18"/>
        </w:rPr>
        <w:t>。</w:t>
      </w:r>
    </w:p>
    <w:p w14:paraId="76130D91">
      <w:pPr>
        <w:widowControl/>
        <w:snapToGrid w:val="0"/>
        <w:spacing w:line="240" w:lineRule="atLeast"/>
        <w:ind w:firstLine="360" w:firstLineChars="200"/>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lang w:val="en-US" w:eastAsia="zh-CN"/>
        </w:rPr>
        <w:t>②</w:t>
      </w:r>
      <w:r>
        <w:rPr>
          <w:rFonts w:hint="eastAsia" w:ascii="Times New Roman" w:hAnsi="Times New Roman" w:eastAsia="宋体" w:cs="Times New Roman"/>
          <w:sz w:val="18"/>
          <w:szCs w:val="18"/>
        </w:rPr>
        <w:t>该数值保留四位小数，原值为</w:t>
      </w:r>
      <w:r>
        <w:rPr>
          <w:rFonts w:hint="eastAsia" w:ascii="Times New Roman" w:hAnsi="Times New Roman" w:eastAsia="宋体" w:cs="Times New Roman"/>
          <w:sz w:val="18"/>
          <w:szCs w:val="18"/>
          <w:lang w:val="en-US" w:eastAsia="zh-CN"/>
        </w:rPr>
        <w:t>0.0418349</w:t>
      </w:r>
      <w:r>
        <w:rPr>
          <w:rFonts w:hint="eastAsia" w:ascii="Times New Roman" w:hAnsi="Times New Roman" w:eastAsia="宋体" w:cs="Times New Roman"/>
          <w:sz w:val="18"/>
          <w:szCs w:val="18"/>
        </w:rPr>
        <w:t>。</w:t>
      </w:r>
    </w:p>
    <w:p w14:paraId="696EB3B5">
      <w:pPr>
        <w:widowControl/>
        <w:snapToGrid w:val="0"/>
        <w:spacing w:line="240" w:lineRule="atLeast"/>
        <w:ind w:firstLine="360" w:firstLineChars="200"/>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lang w:val="en-US" w:eastAsia="zh-CN"/>
        </w:rPr>
        <w:t>③</w:t>
      </w:r>
      <w:r>
        <w:rPr>
          <w:rFonts w:hint="eastAsia" w:ascii="Times New Roman" w:hAnsi="Times New Roman" w:eastAsia="宋体" w:cs="Times New Roman"/>
          <w:sz w:val="18"/>
          <w:szCs w:val="18"/>
        </w:rPr>
        <w:t>该数值保留四位小数，原值为</w:t>
      </w:r>
      <w:r>
        <w:rPr>
          <w:rFonts w:hint="eastAsia" w:ascii="Times New Roman" w:hAnsi="Times New Roman" w:eastAsia="宋体" w:cs="Times New Roman"/>
          <w:sz w:val="18"/>
          <w:szCs w:val="18"/>
          <w:lang w:val="en-US" w:eastAsia="zh-CN"/>
        </w:rPr>
        <w:t>－0.2682068</w:t>
      </w:r>
      <w:r>
        <w:rPr>
          <w:rFonts w:hint="eastAsia" w:ascii="Times New Roman" w:hAnsi="Times New Roman" w:eastAsia="宋体" w:cs="Times New Roman"/>
          <w:sz w:val="18"/>
          <w:szCs w:val="18"/>
        </w:rPr>
        <w:t>。</w:t>
      </w:r>
    </w:p>
    <w:p w14:paraId="455AC0FF">
      <w:pPr>
        <w:widowControl/>
        <w:snapToGrid w:val="0"/>
        <w:spacing w:line="240" w:lineRule="atLeast"/>
        <w:ind w:firstLine="360" w:firstLineChars="200"/>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lang w:val="en-US" w:eastAsia="zh-CN"/>
        </w:rPr>
        <w:t>④</w:t>
      </w:r>
      <w:r>
        <w:rPr>
          <w:rFonts w:hint="eastAsia" w:ascii="Times New Roman" w:hAnsi="Times New Roman" w:eastAsia="宋体" w:cs="Times New Roman"/>
          <w:sz w:val="18"/>
          <w:szCs w:val="18"/>
        </w:rPr>
        <w:t>该数值保留四位小数，原值为</w:t>
      </w:r>
      <w:r>
        <w:rPr>
          <w:rFonts w:hint="eastAsia" w:ascii="Times New Roman" w:hAnsi="Times New Roman" w:eastAsia="宋体" w:cs="Times New Roman"/>
          <w:sz w:val="18"/>
          <w:szCs w:val="18"/>
          <w:lang w:val="en-US" w:eastAsia="zh-CN"/>
        </w:rPr>
        <w:t>－0.104217</w:t>
      </w:r>
      <w:r>
        <w:rPr>
          <w:rFonts w:hint="eastAsia" w:ascii="Times New Roman" w:hAnsi="Times New Roman" w:eastAsia="宋体" w:cs="Times New Roman"/>
          <w:sz w:val="18"/>
          <w:szCs w:val="18"/>
        </w:rPr>
        <w:t>。</w:t>
      </w:r>
    </w:p>
    <w:p w14:paraId="1675D5E5">
      <w:pPr>
        <w:widowControl/>
        <w:snapToGrid w:val="0"/>
        <w:spacing w:line="240" w:lineRule="atLeast"/>
        <w:ind w:firstLine="360" w:firstLineChars="200"/>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lang w:val="en-US" w:eastAsia="zh-CN"/>
        </w:rPr>
        <w:t>⑤</w:t>
      </w:r>
      <w:r>
        <w:rPr>
          <w:rFonts w:hint="eastAsia" w:ascii="Times New Roman" w:hAnsi="Times New Roman" w:eastAsia="宋体" w:cs="Times New Roman"/>
          <w:sz w:val="18"/>
          <w:szCs w:val="18"/>
        </w:rPr>
        <w:t>该数值保留四位小数，原值为</w:t>
      </w:r>
      <w:r>
        <w:rPr>
          <w:rFonts w:hint="eastAsia" w:ascii="Times New Roman" w:hAnsi="Times New Roman" w:eastAsia="宋体" w:cs="Times New Roman"/>
          <w:sz w:val="18"/>
          <w:szCs w:val="18"/>
          <w:lang w:val="en-US" w:eastAsia="zh-CN"/>
        </w:rPr>
        <w:t>－0.2891338</w:t>
      </w:r>
      <w:r>
        <w:rPr>
          <w:rFonts w:hint="eastAsia" w:ascii="Times New Roman" w:hAnsi="Times New Roman" w:eastAsia="宋体" w:cs="Times New Roman"/>
          <w:sz w:val="18"/>
          <w:szCs w:val="18"/>
        </w:rPr>
        <w:t>。</w:t>
      </w:r>
    </w:p>
    <w:p w14:paraId="27CA9359">
      <w:pPr>
        <w:widowControl/>
        <w:snapToGrid w:val="0"/>
        <w:spacing w:line="240" w:lineRule="atLeast"/>
        <w:ind w:firstLine="360" w:firstLineChars="200"/>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lang w:val="en-US" w:eastAsia="zh-CN"/>
        </w:rPr>
        <w:t>⑥</w:t>
      </w:r>
      <w:r>
        <w:rPr>
          <w:rFonts w:hint="eastAsia" w:ascii="Times New Roman" w:hAnsi="Times New Roman" w:eastAsia="宋体" w:cs="Times New Roman"/>
          <w:sz w:val="18"/>
          <w:szCs w:val="18"/>
        </w:rPr>
        <w:t>该数值保留四位小数，原值为</w:t>
      </w:r>
      <w:r>
        <w:rPr>
          <w:rFonts w:hint="eastAsia" w:ascii="Times New Roman" w:hAnsi="Times New Roman" w:eastAsia="宋体" w:cs="Times New Roman"/>
          <w:sz w:val="18"/>
          <w:szCs w:val="18"/>
          <w:lang w:val="en-US" w:eastAsia="zh-CN"/>
        </w:rPr>
        <w:t>0.0808234</w:t>
      </w:r>
      <w:r>
        <w:rPr>
          <w:rFonts w:hint="eastAsia" w:ascii="Times New Roman" w:hAnsi="Times New Roman" w:eastAsia="宋体" w:cs="Times New Roman"/>
          <w:sz w:val="18"/>
          <w:szCs w:val="18"/>
        </w:rPr>
        <w:t>。</w:t>
      </w:r>
    </w:p>
    <w:p w14:paraId="609A1990">
      <w:pPr>
        <w:widowControl/>
        <w:snapToGrid w:val="0"/>
        <w:spacing w:line="240" w:lineRule="atLeast"/>
        <w:ind w:firstLine="360" w:firstLineChars="200"/>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lang w:val="en-US" w:eastAsia="zh-CN"/>
        </w:rPr>
        <w:t>⑦</w:t>
      </w:r>
      <w:r>
        <w:rPr>
          <w:rFonts w:hint="eastAsia" w:ascii="Times New Roman" w:hAnsi="Times New Roman" w:eastAsia="宋体" w:cs="Times New Roman"/>
          <w:sz w:val="18"/>
          <w:szCs w:val="18"/>
        </w:rPr>
        <w:t>该数值保留四位小数，原值为</w:t>
      </w:r>
      <w:r>
        <w:rPr>
          <w:rFonts w:hint="eastAsia" w:ascii="Times New Roman" w:hAnsi="Times New Roman" w:eastAsia="宋体" w:cs="Times New Roman"/>
          <w:sz w:val="18"/>
          <w:szCs w:val="18"/>
          <w:lang w:val="en-US" w:eastAsia="zh-CN"/>
        </w:rPr>
        <w:t>－0.4475449</w:t>
      </w:r>
      <w:r>
        <w:rPr>
          <w:rFonts w:hint="eastAsia" w:ascii="Times New Roman" w:hAnsi="Times New Roman" w:eastAsia="宋体" w:cs="Times New Roman"/>
          <w:sz w:val="18"/>
          <w:szCs w:val="18"/>
        </w:rPr>
        <w:t>。</w:t>
      </w:r>
    </w:p>
    <w:p w14:paraId="6C145D30">
      <w:pPr>
        <w:widowControl/>
        <w:snapToGrid w:val="0"/>
        <w:spacing w:line="240" w:lineRule="atLeast"/>
        <w:ind w:firstLine="360" w:firstLineChars="200"/>
        <w:jc w:val="left"/>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⑧</w:t>
      </w:r>
      <w:r>
        <w:rPr>
          <w:rFonts w:hint="eastAsia" w:ascii="Times New Roman" w:hAnsi="Times New Roman" w:eastAsia="宋体" w:cs="Times New Roman"/>
          <w:sz w:val="18"/>
          <w:szCs w:val="18"/>
        </w:rPr>
        <w:t>该数值保留四位小数，原值为</w:t>
      </w:r>
      <w:r>
        <w:rPr>
          <w:rFonts w:hint="eastAsia" w:ascii="Times New Roman" w:hAnsi="Times New Roman" w:eastAsia="宋体" w:cs="Times New Roman"/>
          <w:sz w:val="18"/>
          <w:szCs w:val="18"/>
          <w:lang w:val="en-US" w:eastAsia="zh-CN"/>
        </w:rPr>
        <w:t>－0.1307228</w:t>
      </w:r>
      <w:r>
        <w:rPr>
          <w:rFonts w:hint="eastAsia" w:ascii="Times New Roman" w:hAnsi="Times New Roman" w:eastAsia="宋体" w:cs="Times New Roman"/>
          <w:sz w:val="18"/>
          <w:szCs w:val="18"/>
        </w:rPr>
        <w:t>。</w:t>
      </w:r>
    </w:p>
    <w:p w14:paraId="3E52B5FA">
      <w:pPr>
        <w:bidi w:val="0"/>
        <w:rPr>
          <w:rFonts w:hint="default"/>
          <w:lang w:val="en-US" w:eastAsia="zh-CN"/>
        </w:rPr>
      </w:pPr>
      <w:r>
        <w:rPr>
          <w:rFonts w:hint="eastAsia"/>
          <w:lang w:val="en-US" w:eastAsia="zh-CN"/>
        </w:rPr>
        <w:t>由表7可知，非息收入</w:t>
      </w:r>
      <w:r>
        <w:rPr>
          <w:rFonts w:hint="default"/>
          <w:lang w:val="en-US" w:eastAsia="zh-CN"/>
        </w:rPr>
        <w:t>的间接效应相关系数为</w:t>
      </w:r>
      <w:r>
        <w:rPr>
          <w:rFonts w:hint="eastAsia"/>
          <w:lang w:val="en-US" w:eastAsia="zh-CN"/>
        </w:rPr>
        <w:t>－</w:t>
      </w:r>
      <w:r>
        <w:rPr>
          <w:rFonts w:hint="default"/>
          <w:lang w:val="en-US" w:eastAsia="zh-CN"/>
        </w:rPr>
        <w:t>0.</w:t>
      </w:r>
      <w:r>
        <w:rPr>
          <w:rFonts w:hint="eastAsia"/>
          <w:lang w:val="en-US" w:eastAsia="zh-CN"/>
        </w:rPr>
        <w:t>186</w:t>
      </w:r>
      <w:r>
        <w:rPr>
          <w:rFonts w:hint="default"/>
          <w:lang w:val="en-US" w:eastAsia="zh-CN"/>
        </w:rPr>
        <w:t>，置信区间为（</w:t>
      </w:r>
      <w:r>
        <w:rPr>
          <w:rFonts w:hint="eastAsia"/>
          <w:lang w:val="en-US" w:eastAsia="zh-CN"/>
        </w:rPr>
        <w:t>－</w:t>
      </w:r>
      <w:r>
        <w:rPr>
          <w:rFonts w:hint="default"/>
          <w:lang w:val="en-US" w:eastAsia="zh-CN"/>
        </w:rPr>
        <w:t>0.</w:t>
      </w:r>
      <w:r>
        <w:rPr>
          <w:rFonts w:hint="eastAsia"/>
          <w:lang w:val="en-US" w:eastAsia="zh-CN"/>
        </w:rPr>
        <w:t>268</w:t>
      </w:r>
      <w:r>
        <w:rPr>
          <w:rFonts w:hint="default"/>
          <w:lang w:val="en-US" w:eastAsia="zh-CN"/>
        </w:rPr>
        <w:t>，</w:t>
      </w:r>
      <w:r>
        <w:rPr>
          <w:rFonts w:hint="eastAsia"/>
          <w:lang w:val="en-US" w:eastAsia="zh-CN"/>
        </w:rPr>
        <w:t>－</w:t>
      </w:r>
      <w:r>
        <w:rPr>
          <w:rFonts w:hint="default"/>
          <w:lang w:val="en-US" w:eastAsia="zh-CN"/>
        </w:rPr>
        <w:t>0.</w:t>
      </w:r>
      <w:r>
        <w:rPr>
          <w:rFonts w:hint="eastAsia"/>
          <w:lang w:val="en-US" w:eastAsia="zh-CN"/>
        </w:rPr>
        <w:t>104），</w:t>
      </w:r>
      <w:r>
        <w:rPr>
          <w:rFonts w:hint="default"/>
          <w:lang w:val="en-US" w:eastAsia="zh-CN"/>
        </w:rPr>
        <w:t>不包含0；直接效应相关系数为</w:t>
      </w:r>
      <w:r>
        <w:rPr>
          <w:rFonts w:hint="eastAsia"/>
          <w:lang w:val="en-US" w:eastAsia="zh-CN"/>
        </w:rPr>
        <w:t>－0.289</w:t>
      </w:r>
      <w:r>
        <w:rPr>
          <w:rFonts w:hint="default"/>
          <w:lang w:val="en-US" w:eastAsia="zh-CN"/>
        </w:rPr>
        <w:t>，置信区间为（</w:t>
      </w:r>
      <w:r>
        <w:rPr>
          <w:rFonts w:hint="eastAsia"/>
          <w:lang w:val="en-US" w:eastAsia="zh-CN"/>
        </w:rPr>
        <w:t>－</w:t>
      </w:r>
      <w:r>
        <w:rPr>
          <w:rFonts w:hint="default"/>
          <w:lang w:val="en-US" w:eastAsia="zh-CN"/>
        </w:rPr>
        <w:t>0.</w:t>
      </w:r>
      <w:r>
        <w:rPr>
          <w:rFonts w:hint="eastAsia"/>
          <w:lang w:val="en-US" w:eastAsia="zh-CN"/>
        </w:rPr>
        <w:t>448</w:t>
      </w:r>
      <w:r>
        <w:rPr>
          <w:rFonts w:hint="default"/>
          <w:lang w:val="en-US" w:eastAsia="zh-CN"/>
        </w:rPr>
        <w:t>，</w:t>
      </w:r>
      <w:r>
        <w:rPr>
          <w:rFonts w:hint="eastAsia"/>
          <w:lang w:val="en-US" w:eastAsia="zh-CN"/>
        </w:rPr>
        <w:t>－</w:t>
      </w:r>
      <w:r>
        <w:rPr>
          <w:rFonts w:hint="default"/>
          <w:lang w:val="en-US" w:eastAsia="zh-CN"/>
        </w:rPr>
        <w:t>0.</w:t>
      </w:r>
      <w:r>
        <w:rPr>
          <w:rFonts w:hint="eastAsia"/>
          <w:lang w:val="en-US" w:eastAsia="zh-CN"/>
        </w:rPr>
        <w:t>131</w:t>
      </w:r>
      <w:r>
        <w:rPr>
          <w:rFonts w:hint="default"/>
          <w:lang w:val="en-US" w:eastAsia="zh-CN"/>
        </w:rPr>
        <w:t>），</w:t>
      </w:r>
      <w:r>
        <w:rPr>
          <w:rFonts w:hint="eastAsia"/>
          <w:lang w:val="en-US" w:eastAsia="zh-CN"/>
        </w:rPr>
        <w:t>亦</w:t>
      </w:r>
      <w:r>
        <w:rPr>
          <w:rFonts w:hint="default"/>
          <w:lang w:val="en-US" w:eastAsia="zh-CN"/>
        </w:rPr>
        <w:t>不包含0，</w:t>
      </w:r>
      <w:r>
        <w:rPr>
          <w:rFonts w:hint="eastAsia"/>
          <w:lang w:val="en-US" w:eastAsia="zh-CN"/>
        </w:rPr>
        <w:t>这</w:t>
      </w:r>
      <w:r>
        <w:rPr>
          <w:rFonts w:hint="default"/>
          <w:lang w:val="en-US" w:eastAsia="zh-CN"/>
        </w:rPr>
        <w:t>表明</w:t>
      </w:r>
      <w:r>
        <w:rPr>
          <w:rFonts w:hint="eastAsia"/>
          <w:lang w:val="en-US" w:eastAsia="zh-CN"/>
        </w:rPr>
        <w:t>银行</w:t>
      </w:r>
      <w:r>
        <w:rPr>
          <w:rFonts w:hint="default"/>
          <w:lang w:val="en-US" w:eastAsia="zh-CN"/>
        </w:rPr>
        <w:t>数字化转型对</w:t>
      </w:r>
      <w:r>
        <w:rPr>
          <w:rFonts w:hint="eastAsia"/>
          <w:lang w:val="en-US" w:eastAsia="zh-CN"/>
        </w:rPr>
        <w:t>中小银行信贷风险</w:t>
      </w:r>
      <w:r>
        <w:rPr>
          <w:rFonts w:hint="default"/>
          <w:lang w:val="en-US" w:eastAsia="zh-CN"/>
        </w:rPr>
        <w:t>的影响路径中，既包含直接效应也包含间接效应，</w:t>
      </w:r>
      <w:r>
        <w:rPr>
          <w:rFonts w:hint="eastAsia"/>
          <w:lang w:val="en-US" w:eastAsia="zh-CN"/>
        </w:rPr>
        <w:t>非息收入</w:t>
      </w:r>
      <w:r>
        <w:rPr>
          <w:rFonts w:hint="default"/>
          <w:lang w:val="en-US" w:eastAsia="zh-CN"/>
        </w:rPr>
        <w:t>的部分中介作用再次得到了验证</w:t>
      </w:r>
      <w:r>
        <w:rPr>
          <w:rFonts w:hint="eastAsia"/>
          <w:lang w:val="en-US" w:eastAsia="zh-CN"/>
        </w:rPr>
        <w:t>，证实了银行数字化转型可以通过非息收入这条路径对信贷风险产生抑制效果。一方面，银行数字化转型可以增加非息收入占比，降低银行对利差收入的依赖性，从而实现收入的稳固性，增强抵御风险的能力，从而信贷风险；另一方面，数字化转型可以实时监控企业在银行的非息业务，可以实时监控贷款企业经营数据，对有异常的企业可以提前关注，提前采取措施，从而降低信贷风险；最后，数字化转型可以优化非息收入结构，促进银行收入结构的多元性，从而提高银行信贷风险的承担能力。</w:t>
      </w:r>
    </w:p>
    <w:p w14:paraId="3B40C6D3">
      <w:pPr>
        <w:pStyle w:val="3"/>
        <w:bidi w:val="0"/>
        <w:rPr>
          <w:rFonts w:hint="default"/>
          <w:lang w:val="en-US" w:eastAsia="zh-CN"/>
        </w:rPr>
      </w:pPr>
      <w:bookmarkStart w:id="32" w:name="_Toc818"/>
      <w:r>
        <w:rPr>
          <w:rFonts w:hint="eastAsia"/>
          <w:lang w:val="en-US" w:eastAsia="zh-CN"/>
        </w:rPr>
        <w:t>（五）</w:t>
      </w:r>
      <w:r>
        <w:rPr>
          <w:rFonts w:hint="default"/>
          <w:lang w:val="en-US" w:eastAsia="zh-CN"/>
        </w:rPr>
        <w:t>异质性检验</w:t>
      </w:r>
      <w:bookmarkEnd w:id="32"/>
    </w:p>
    <w:p w14:paraId="41CB4FE2">
      <w:pPr>
        <w:bidi w:val="0"/>
        <w:rPr>
          <w:rFonts w:hint="default"/>
          <w:lang w:val="en-US" w:eastAsia="zh-CN"/>
        </w:rPr>
      </w:pPr>
      <w:r>
        <w:rPr>
          <w:rFonts w:hint="default"/>
          <w:lang w:val="en-US" w:eastAsia="zh-CN"/>
        </w:rPr>
        <w:t>上述检验基本明确了银行数字化转型可以抑制</w:t>
      </w:r>
      <w:r>
        <w:rPr>
          <w:rFonts w:hint="eastAsia"/>
          <w:lang w:val="en-US" w:eastAsia="zh-CN"/>
        </w:rPr>
        <w:t>中小银行</w:t>
      </w:r>
      <w:r>
        <w:rPr>
          <w:rFonts w:hint="default"/>
          <w:lang w:val="en-US" w:eastAsia="zh-CN"/>
        </w:rPr>
        <w:t>信贷风险水平，并且通过非息收入这一传导的抑制作用也是显著的。但具体对于不同性质的银行影响究竟如何，还需进一步探究。</w:t>
      </w:r>
    </w:p>
    <w:p w14:paraId="3590481E">
      <w:pPr>
        <w:bidi w:val="0"/>
        <w:rPr>
          <w:rFonts w:hint="default"/>
          <w:lang w:val="en-US" w:eastAsia="zh-CN"/>
        </w:rPr>
      </w:pPr>
      <w:r>
        <w:rPr>
          <w:rFonts w:hint="default"/>
          <w:lang w:val="en-US" w:eastAsia="zh-CN"/>
        </w:rPr>
        <w:t>本文特别针对不同性质的银行进行异质性检验，将银行样本划分为城商银行和农商银行两类</w:t>
      </w:r>
      <w:r>
        <w:rPr>
          <w:rFonts w:hint="eastAsia"/>
          <w:lang w:val="en-US" w:eastAsia="zh-CN"/>
        </w:rPr>
        <w:t>。同时，因银行资产规模不同，推进数字化转型时的侧重点与速度不同所带来的对信贷风险的影响也不同</w:t>
      </w:r>
      <w:r>
        <w:rPr>
          <w:rFonts w:hint="eastAsia"/>
          <w:vertAlign w:val="superscript"/>
          <w:lang w:val="en-US" w:eastAsia="zh-CN"/>
        </w:rPr>
        <w:t>[</w:t>
      </w:r>
      <w:r>
        <w:rPr>
          <w:rFonts w:hint="eastAsia"/>
          <w:vertAlign w:val="superscript"/>
          <w:lang w:val="en-US" w:eastAsia="zh-CN"/>
        </w:rPr>
        <w:fldChar w:fldCharType="begin"/>
      </w:r>
      <w:r>
        <w:rPr>
          <w:rFonts w:hint="eastAsia"/>
          <w:vertAlign w:val="superscript"/>
          <w:lang w:val="en-US" w:eastAsia="zh-CN"/>
        </w:rPr>
        <w:instrText xml:space="preserve"> NOTEREF _Ref16744 \f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vertAlign w:val="superscript"/>
          <w:lang w:val="en-US" w:eastAsia="zh-CN"/>
        </w:rPr>
        <w:t>]</w:t>
      </w:r>
      <w:r>
        <w:rPr>
          <w:rFonts w:hint="eastAsia"/>
          <w:lang w:val="en-US" w:eastAsia="zh-CN"/>
        </w:rPr>
        <w:t>，故本文</w:t>
      </w:r>
      <w:r>
        <w:rPr>
          <w:rFonts w:hint="default"/>
          <w:lang w:val="en-US" w:eastAsia="zh-CN"/>
        </w:rPr>
        <w:t>以样本银行资产均值</w:t>
      </w:r>
      <w:r>
        <w:rPr>
          <w:rFonts w:hint="eastAsia"/>
          <w:lang w:val="en-US" w:eastAsia="zh-CN"/>
        </w:rPr>
        <w:t>的数据</w:t>
      </w:r>
      <w:r>
        <w:rPr>
          <w:rFonts w:hint="default"/>
          <w:lang w:val="en-US" w:eastAsia="zh-CN"/>
        </w:rPr>
        <w:t>作</w:t>
      </w:r>
      <w:r>
        <w:rPr>
          <w:rFonts w:hint="eastAsia"/>
          <w:lang w:val="en-US" w:eastAsia="zh-CN"/>
        </w:rPr>
        <w:t>划分为为</w:t>
      </w:r>
      <w:r>
        <w:rPr>
          <w:rFonts w:hint="default"/>
          <w:lang w:val="en-US" w:eastAsia="zh-CN"/>
        </w:rPr>
        <w:t>大规模银行与小规模银行</w:t>
      </w:r>
      <w:r>
        <w:rPr>
          <w:rFonts w:hint="eastAsia"/>
          <w:lang w:val="en-US" w:eastAsia="zh-CN"/>
        </w:rPr>
        <w:t>进行分组回归</w:t>
      </w:r>
      <w:r>
        <w:rPr>
          <w:rFonts w:hint="eastAsia"/>
          <w:vertAlign w:val="superscript"/>
          <w:lang w:val="en-US" w:eastAsia="zh-CN"/>
        </w:rPr>
        <w:t>[</w:t>
      </w:r>
      <w:r>
        <w:rPr>
          <w:rFonts w:hint="eastAsia"/>
          <w:vertAlign w:val="superscript"/>
          <w:lang w:val="en-US" w:eastAsia="zh-CN"/>
        </w:rPr>
        <w:fldChar w:fldCharType="begin"/>
      </w:r>
      <w:r>
        <w:rPr>
          <w:rFonts w:hint="eastAsia"/>
          <w:vertAlign w:val="superscript"/>
          <w:lang w:val="en-US" w:eastAsia="zh-CN"/>
        </w:rPr>
        <w:instrText xml:space="preserve"> NOTEREF _Ref3782 \f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vertAlign w:val="superscript"/>
          <w:lang w:val="en-US" w:eastAsia="zh-CN"/>
        </w:rPr>
        <w:t>]</w:t>
      </w:r>
      <w:r>
        <w:rPr>
          <w:rFonts w:hint="default"/>
          <w:lang w:val="en-US" w:eastAsia="zh-CN"/>
        </w:rPr>
        <w:t>。检验结果如表</w:t>
      </w:r>
      <w:r>
        <w:rPr>
          <w:rFonts w:hint="eastAsia"/>
          <w:lang w:val="en-US" w:eastAsia="zh-CN"/>
        </w:rPr>
        <w:t>8</w:t>
      </w:r>
      <w:r>
        <w:rPr>
          <w:rFonts w:hint="default"/>
          <w:lang w:val="en-US" w:eastAsia="zh-CN"/>
        </w:rPr>
        <w:t>所示。</w:t>
      </w:r>
    </w:p>
    <w:p w14:paraId="774D7371">
      <w:pPr>
        <w:pageBreakBefore w:val="0"/>
        <w:kinsoku/>
        <w:wordWrap/>
        <w:overflowPunct/>
        <w:topLinePunct w:val="0"/>
        <w:autoSpaceDE/>
        <w:autoSpaceDN/>
        <w:bidi w:val="0"/>
        <w:spacing w:line="300" w:lineRule="auto"/>
        <w:ind w:firstLine="420" w:firstLineChars="200"/>
        <w:jc w:val="center"/>
        <w:textAlignment w:val="auto"/>
        <w:rPr>
          <w:rFonts w:hint="default" w:ascii="Times New Roman" w:hAnsi="Times New Roman" w:eastAsia="宋体" w:cs="Times New Roman"/>
          <w:b/>
          <w:bCs/>
          <w:strike w:val="0"/>
          <w:dstrike w:val="0"/>
          <w:sz w:val="21"/>
          <w:szCs w:val="18"/>
          <w:lang w:val="en-US" w:eastAsia="zh-CN"/>
        </w:rPr>
      </w:pPr>
      <w:r>
        <w:rPr>
          <w:rFonts w:hint="default" w:ascii="黑体" w:hAnsi="黑体" w:eastAsia="黑体" w:cs="黑体"/>
          <w:b w:val="0"/>
          <w:bCs w:val="0"/>
          <w:sz w:val="21"/>
          <w:szCs w:val="18"/>
          <w:lang w:val="en-US" w:eastAsia="zh-CN"/>
        </w:rPr>
        <w:t>表</w:t>
      </w:r>
      <w:r>
        <w:rPr>
          <w:rFonts w:hint="eastAsia" w:ascii="黑体" w:hAnsi="黑体" w:eastAsia="黑体" w:cs="黑体"/>
          <w:b w:val="0"/>
          <w:bCs w:val="0"/>
          <w:sz w:val="21"/>
          <w:szCs w:val="18"/>
          <w:lang w:val="en-US" w:eastAsia="zh-CN"/>
        </w:rPr>
        <w:t>8</w:t>
      </w:r>
      <w:r>
        <w:rPr>
          <w:rFonts w:hint="default" w:ascii="黑体" w:hAnsi="黑体" w:eastAsia="黑体" w:cs="黑体"/>
          <w:b w:val="0"/>
          <w:bCs w:val="0"/>
          <w:sz w:val="21"/>
          <w:szCs w:val="18"/>
          <w:lang w:val="en-US" w:eastAsia="zh-CN"/>
        </w:rPr>
        <w:t xml:space="preserve"> 异质性检验</w:t>
      </w:r>
    </w:p>
    <w:tbl>
      <w:tblPr>
        <w:tblStyle w:val="15"/>
        <w:tblW w:w="4903"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9"/>
        <w:gridCol w:w="1749"/>
        <w:gridCol w:w="1433"/>
        <w:gridCol w:w="1433"/>
        <w:gridCol w:w="1433"/>
      </w:tblGrid>
      <w:tr w14:paraId="6B363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restart"/>
            <w:tcBorders>
              <w:top w:val="single" w:color="auto" w:sz="6" w:space="0"/>
              <w:left w:val="nil"/>
              <w:right w:val="nil"/>
              <w:tl2br w:val="nil"/>
              <w:tr2bl w:val="nil"/>
            </w:tcBorders>
            <w:noWrap w:val="0"/>
            <w:vAlign w:val="center"/>
          </w:tcPr>
          <w:p w14:paraId="526E6A6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变量名称</w:t>
            </w:r>
          </w:p>
        </w:tc>
        <w:tc>
          <w:tcPr>
            <w:tcW w:w="1046" w:type="pct"/>
            <w:tcBorders>
              <w:top w:val="single" w:color="auto" w:sz="6" w:space="0"/>
              <w:left w:val="nil"/>
              <w:bottom w:val="nil"/>
              <w:right w:val="nil"/>
              <w:tl2br w:val="nil"/>
              <w:tr2bl w:val="nil"/>
            </w:tcBorders>
            <w:noWrap w:val="0"/>
            <w:vAlign w:val="top"/>
          </w:tcPr>
          <w:p w14:paraId="5A1360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(1)</w:t>
            </w:r>
          </w:p>
        </w:tc>
        <w:tc>
          <w:tcPr>
            <w:tcW w:w="857" w:type="pct"/>
            <w:tcBorders>
              <w:top w:val="single" w:color="auto" w:sz="6" w:space="0"/>
              <w:left w:val="nil"/>
              <w:bottom w:val="nil"/>
              <w:right w:val="nil"/>
              <w:tl2br w:val="nil"/>
              <w:tr2bl w:val="nil"/>
            </w:tcBorders>
            <w:noWrap w:val="0"/>
            <w:vAlign w:val="top"/>
          </w:tcPr>
          <w:p w14:paraId="515B030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(2)</w:t>
            </w:r>
          </w:p>
        </w:tc>
        <w:tc>
          <w:tcPr>
            <w:tcW w:w="857" w:type="pct"/>
            <w:tcBorders>
              <w:top w:val="single" w:color="auto" w:sz="6" w:space="0"/>
              <w:left w:val="nil"/>
              <w:bottom w:val="nil"/>
              <w:right w:val="nil"/>
              <w:tl2br w:val="nil"/>
              <w:tr2bl w:val="nil"/>
            </w:tcBorders>
            <w:noWrap w:val="0"/>
            <w:vAlign w:val="top"/>
          </w:tcPr>
          <w:p w14:paraId="4933A8B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(3)</w:t>
            </w:r>
          </w:p>
        </w:tc>
        <w:tc>
          <w:tcPr>
            <w:tcW w:w="857" w:type="pct"/>
            <w:tcBorders>
              <w:top w:val="single" w:color="auto" w:sz="6" w:space="0"/>
              <w:left w:val="nil"/>
              <w:bottom w:val="nil"/>
              <w:right w:val="nil"/>
              <w:tl2br w:val="nil"/>
              <w:tr2bl w:val="nil"/>
            </w:tcBorders>
            <w:noWrap w:val="0"/>
            <w:vAlign w:val="top"/>
          </w:tcPr>
          <w:p w14:paraId="2534D2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(4)</w:t>
            </w:r>
          </w:p>
        </w:tc>
      </w:tr>
      <w:tr w14:paraId="73AF7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continue"/>
            <w:tcBorders>
              <w:left w:val="nil"/>
              <w:right w:val="nil"/>
              <w:tl2br w:val="nil"/>
              <w:tr2bl w:val="nil"/>
            </w:tcBorders>
            <w:noWrap w:val="0"/>
            <w:vAlign w:val="top"/>
          </w:tcPr>
          <w:p w14:paraId="77E830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p>
        </w:tc>
        <w:tc>
          <w:tcPr>
            <w:tcW w:w="1046" w:type="pct"/>
            <w:tcBorders>
              <w:top w:val="nil"/>
              <w:left w:val="nil"/>
              <w:bottom w:val="nil"/>
              <w:right w:val="nil"/>
              <w:tl2br w:val="nil"/>
              <w:tr2bl w:val="nil"/>
            </w:tcBorders>
            <w:noWrap w:val="0"/>
            <w:vAlign w:val="top"/>
          </w:tcPr>
          <w:p w14:paraId="2CE81C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城商银行</w:t>
            </w:r>
          </w:p>
        </w:tc>
        <w:tc>
          <w:tcPr>
            <w:tcW w:w="857" w:type="pct"/>
            <w:tcBorders>
              <w:top w:val="nil"/>
              <w:left w:val="nil"/>
              <w:bottom w:val="nil"/>
              <w:right w:val="nil"/>
              <w:tl2br w:val="nil"/>
              <w:tr2bl w:val="nil"/>
            </w:tcBorders>
            <w:noWrap w:val="0"/>
            <w:vAlign w:val="top"/>
          </w:tcPr>
          <w:p w14:paraId="314A0A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农商银行</w:t>
            </w:r>
          </w:p>
        </w:tc>
        <w:tc>
          <w:tcPr>
            <w:tcW w:w="857" w:type="pct"/>
            <w:tcBorders>
              <w:top w:val="nil"/>
              <w:left w:val="nil"/>
              <w:bottom w:val="nil"/>
              <w:right w:val="nil"/>
              <w:tl2br w:val="nil"/>
              <w:tr2bl w:val="nil"/>
            </w:tcBorders>
            <w:noWrap w:val="0"/>
            <w:vAlign w:val="top"/>
          </w:tcPr>
          <w:p w14:paraId="022C25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大规模银行</w:t>
            </w:r>
          </w:p>
        </w:tc>
        <w:tc>
          <w:tcPr>
            <w:tcW w:w="857" w:type="pct"/>
            <w:tcBorders>
              <w:top w:val="nil"/>
              <w:left w:val="nil"/>
              <w:bottom w:val="nil"/>
              <w:right w:val="nil"/>
              <w:tl2br w:val="nil"/>
              <w:tr2bl w:val="nil"/>
            </w:tcBorders>
            <w:noWrap w:val="0"/>
            <w:vAlign w:val="top"/>
          </w:tcPr>
          <w:p w14:paraId="6783C2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小规模银行</w:t>
            </w:r>
          </w:p>
        </w:tc>
      </w:tr>
      <w:tr w14:paraId="73A21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continue"/>
            <w:tcBorders>
              <w:left w:val="nil"/>
              <w:bottom w:val="single" w:color="auto" w:sz="6" w:space="0"/>
              <w:right w:val="nil"/>
              <w:tl2br w:val="nil"/>
              <w:tr2bl w:val="nil"/>
            </w:tcBorders>
            <w:noWrap w:val="0"/>
            <w:vAlign w:val="top"/>
          </w:tcPr>
          <w:p w14:paraId="6D7382F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p>
        </w:tc>
        <w:tc>
          <w:tcPr>
            <w:tcW w:w="1046" w:type="pct"/>
            <w:tcBorders>
              <w:top w:val="nil"/>
              <w:left w:val="nil"/>
              <w:bottom w:val="single" w:color="auto" w:sz="6" w:space="0"/>
              <w:right w:val="nil"/>
              <w:tl2br w:val="nil"/>
              <w:tr2bl w:val="nil"/>
            </w:tcBorders>
            <w:noWrap w:val="0"/>
            <w:vAlign w:val="top"/>
          </w:tcPr>
          <w:p w14:paraId="1E2931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NPL</w:t>
            </w:r>
          </w:p>
        </w:tc>
        <w:tc>
          <w:tcPr>
            <w:tcW w:w="857" w:type="pct"/>
            <w:tcBorders>
              <w:top w:val="nil"/>
              <w:left w:val="nil"/>
              <w:bottom w:val="single" w:color="auto" w:sz="6" w:space="0"/>
              <w:right w:val="nil"/>
              <w:tl2br w:val="nil"/>
              <w:tr2bl w:val="nil"/>
            </w:tcBorders>
            <w:noWrap w:val="0"/>
            <w:vAlign w:val="top"/>
          </w:tcPr>
          <w:p w14:paraId="7C3B86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NPL</w:t>
            </w:r>
          </w:p>
        </w:tc>
        <w:tc>
          <w:tcPr>
            <w:tcW w:w="857" w:type="pct"/>
            <w:tcBorders>
              <w:top w:val="nil"/>
              <w:left w:val="nil"/>
              <w:bottom w:val="single" w:color="auto" w:sz="6" w:space="0"/>
              <w:right w:val="nil"/>
              <w:tl2br w:val="nil"/>
              <w:tr2bl w:val="nil"/>
            </w:tcBorders>
            <w:noWrap w:val="0"/>
            <w:vAlign w:val="top"/>
          </w:tcPr>
          <w:p w14:paraId="674B8F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NPL</w:t>
            </w:r>
          </w:p>
        </w:tc>
        <w:tc>
          <w:tcPr>
            <w:tcW w:w="857" w:type="pct"/>
            <w:tcBorders>
              <w:top w:val="nil"/>
              <w:left w:val="nil"/>
              <w:bottom w:val="single" w:color="auto" w:sz="6" w:space="0"/>
              <w:right w:val="nil"/>
              <w:tl2br w:val="nil"/>
              <w:tr2bl w:val="nil"/>
            </w:tcBorders>
            <w:noWrap w:val="0"/>
            <w:vAlign w:val="top"/>
          </w:tcPr>
          <w:p w14:paraId="3D67DC0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21"/>
                <w:szCs w:val="18"/>
                <w:lang w:val="en-US" w:eastAsia="zh-CN" w:bidi="ar-SA"/>
              </w:rPr>
            </w:pPr>
            <w:r>
              <w:rPr>
                <w:rFonts w:hint="default" w:ascii="Times New Roman" w:hAnsi="Times New Roman" w:eastAsia="宋体" w:cs="Times New Roman"/>
                <w:b/>
                <w:bCs/>
                <w:sz w:val="21"/>
                <w:szCs w:val="18"/>
                <w:lang w:val="en-US" w:eastAsia="zh-CN" w:bidi="ar-SA"/>
              </w:rPr>
              <w:t>NPL</w:t>
            </w:r>
          </w:p>
        </w:tc>
      </w:tr>
      <w:tr w14:paraId="18E99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restart"/>
            <w:tcBorders>
              <w:top w:val="nil"/>
              <w:left w:val="nil"/>
              <w:right w:val="nil"/>
              <w:tl2br w:val="nil"/>
              <w:tr2bl w:val="nil"/>
            </w:tcBorders>
            <w:noWrap w:val="0"/>
            <w:vAlign w:val="center"/>
          </w:tcPr>
          <w:p w14:paraId="2070383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数字化转型程度（</w:t>
            </w:r>
            <m:oMath>
              <m:r>
                <m:rPr>
                  <m:sty m:val="p"/>
                </m:rPr>
                <w:rPr>
                  <w:rFonts w:hint="default" w:ascii="Cambria Math" w:hAnsi="Cambria Math" w:eastAsia="宋体" w:cs="Times New Roman"/>
                  <w:sz w:val="21"/>
                  <w:szCs w:val="18"/>
                  <w:lang w:val="en-US" w:eastAsia="zh-CN"/>
                </w:rPr>
                <m:t>DTI</m:t>
              </m:r>
            </m:oMath>
            <w:r>
              <w:rPr>
                <w:rFonts w:hint="default" w:ascii="Times New Roman" w:hAnsi="Times New Roman" w:eastAsia="宋体" w:cs="Times New Roman"/>
                <w:sz w:val="21"/>
                <w:szCs w:val="18"/>
                <w:lang w:val="en-US" w:eastAsia="zh-CN" w:bidi="ar-SA"/>
              </w:rPr>
              <w:t>）</w:t>
            </w:r>
          </w:p>
        </w:tc>
        <w:tc>
          <w:tcPr>
            <w:tcW w:w="1749" w:type="dxa"/>
            <w:tcBorders>
              <w:top w:val="nil"/>
              <w:left w:val="nil"/>
              <w:bottom w:val="nil"/>
              <w:right w:val="nil"/>
              <w:tl2br w:val="nil"/>
              <w:tr2bl w:val="nil"/>
            </w:tcBorders>
            <w:noWrap w:val="0"/>
            <w:vAlign w:val="top"/>
          </w:tcPr>
          <w:p w14:paraId="3505D3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0.442***</w:t>
            </w:r>
          </w:p>
        </w:tc>
        <w:tc>
          <w:tcPr>
            <w:tcW w:w="1433" w:type="dxa"/>
            <w:tcBorders>
              <w:top w:val="nil"/>
              <w:left w:val="nil"/>
              <w:bottom w:val="nil"/>
              <w:right w:val="nil"/>
              <w:tl2br w:val="nil"/>
              <w:tr2bl w:val="nil"/>
            </w:tcBorders>
            <w:noWrap w:val="0"/>
            <w:vAlign w:val="top"/>
          </w:tcPr>
          <w:p w14:paraId="5888C08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0.757***</w:t>
            </w:r>
          </w:p>
        </w:tc>
        <w:tc>
          <w:tcPr>
            <w:tcW w:w="1433" w:type="dxa"/>
            <w:tcBorders>
              <w:top w:val="nil"/>
              <w:left w:val="nil"/>
              <w:bottom w:val="nil"/>
              <w:right w:val="nil"/>
              <w:tl2br w:val="nil"/>
              <w:tr2bl w:val="nil"/>
            </w:tcBorders>
            <w:noWrap w:val="0"/>
            <w:vAlign w:val="top"/>
          </w:tcPr>
          <w:p w14:paraId="09386B1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0.191</w:t>
            </w:r>
          </w:p>
        </w:tc>
        <w:tc>
          <w:tcPr>
            <w:tcW w:w="1433" w:type="dxa"/>
            <w:tcBorders>
              <w:top w:val="nil"/>
              <w:left w:val="nil"/>
              <w:bottom w:val="nil"/>
              <w:right w:val="nil"/>
              <w:tl2br w:val="nil"/>
              <w:tr2bl w:val="nil"/>
            </w:tcBorders>
            <w:noWrap w:val="0"/>
            <w:vAlign w:val="top"/>
          </w:tcPr>
          <w:p w14:paraId="26CB5B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0.446***</w:t>
            </w:r>
          </w:p>
        </w:tc>
      </w:tr>
      <w:tr w14:paraId="50A96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continue"/>
            <w:tcBorders>
              <w:left w:val="nil"/>
              <w:bottom w:val="nil"/>
              <w:right w:val="nil"/>
              <w:tl2br w:val="nil"/>
              <w:tr2bl w:val="nil"/>
            </w:tcBorders>
            <w:noWrap w:val="0"/>
            <w:vAlign w:val="top"/>
          </w:tcPr>
          <w:p w14:paraId="29534E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1749" w:type="dxa"/>
            <w:tcBorders>
              <w:top w:val="nil"/>
              <w:left w:val="nil"/>
              <w:bottom w:val="nil"/>
              <w:right w:val="nil"/>
              <w:tl2br w:val="nil"/>
              <w:tr2bl w:val="nil"/>
            </w:tcBorders>
            <w:noWrap w:val="0"/>
            <w:vAlign w:val="top"/>
          </w:tcPr>
          <w:p w14:paraId="6B6903E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4.214)</w:t>
            </w:r>
          </w:p>
        </w:tc>
        <w:tc>
          <w:tcPr>
            <w:tcW w:w="1433" w:type="dxa"/>
            <w:tcBorders>
              <w:top w:val="nil"/>
              <w:left w:val="nil"/>
              <w:bottom w:val="nil"/>
              <w:right w:val="nil"/>
              <w:tl2br w:val="nil"/>
              <w:tr2bl w:val="nil"/>
            </w:tcBorders>
            <w:noWrap w:val="0"/>
            <w:vAlign w:val="top"/>
          </w:tcPr>
          <w:p w14:paraId="024B6B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4.911)</w:t>
            </w:r>
          </w:p>
        </w:tc>
        <w:tc>
          <w:tcPr>
            <w:tcW w:w="1433" w:type="dxa"/>
            <w:tcBorders>
              <w:top w:val="nil"/>
              <w:left w:val="nil"/>
              <w:bottom w:val="nil"/>
              <w:right w:val="nil"/>
              <w:tl2br w:val="nil"/>
              <w:tr2bl w:val="nil"/>
            </w:tcBorders>
            <w:noWrap w:val="0"/>
            <w:vAlign w:val="top"/>
          </w:tcPr>
          <w:p w14:paraId="7B05DE9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1.440)</w:t>
            </w:r>
          </w:p>
        </w:tc>
        <w:tc>
          <w:tcPr>
            <w:tcW w:w="1433" w:type="dxa"/>
            <w:tcBorders>
              <w:top w:val="nil"/>
              <w:left w:val="nil"/>
              <w:bottom w:val="nil"/>
              <w:right w:val="nil"/>
              <w:tl2br w:val="nil"/>
              <w:tr2bl w:val="nil"/>
            </w:tcBorders>
            <w:noWrap w:val="0"/>
            <w:vAlign w:val="top"/>
          </w:tcPr>
          <w:p w14:paraId="6CBDBA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4.458)</w:t>
            </w:r>
          </w:p>
        </w:tc>
      </w:tr>
      <w:tr w14:paraId="6C7AE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restart"/>
            <w:tcBorders>
              <w:top w:val="nil"/>
              <w:left w:val="nil"/>
              <w:right w:val="nil"/>
              <w:tl2br w:val="nil"/>
              <w:tr2bl w:val="nil"/>
            </w:tcBorders>
            <w:noWrap w:val="0"/>
            <w:vAlign w:val="center"/>
          </w:tcPr>
          <w:p w14:paraId="74828D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6"/>
                <w:lang w:val="en-US" w:eastAsia="zh-CN"/>
              </w:rPr>
              <w:t>净资产收益率（</w:t>
            </w:r>
            <w:r>
              <w:rPr>
                <w:rFonts w:hint="default" w:ascii="Times New Roman" w:hAnsi="Times New Roman" w:eastAsia="宋体" w:cs="Times New Roman"/>
                <w:sz w:val="21"/>
                <w:szCs w:val="16"/>
              </w:rPr>
              <w:t>ROE</w:t>
            </w:r>
            <w:r>
              <w:rPr>
                <w:rFonts w:hint="default" w:ascii="Times New Roman" w:hAnsi="Times New Roman" w:eastAsia="宋体" w:cs="Times New Roman"/>
                <w:sz w:val="21"/>
                <w:szCs w:val="16"/>
                <w:lang w:eastAsia="zh-CN"/>
              </w:rPr>
              <w:t>）</w:t>
            </w:r>
          </w:p>
        </w:tc>
        <w:tc>
          <w:tcPr>
            <w:tcW w:w="1749" w:type="dxa"/>
            <w:tcBorders>
              <w:top w:val="nil"/>
              <w:left w:val="nil"/>
              <w:bottom w:val="nil"/>
              <w:right w:val="nil"/>
              <w:tl2br w:val="nil"/>
              <w:tr2bl w:val="nil"/>
            </w:tcBorders>
            <w:noWrap w:val="0"/>
            <w:vAlign w:val="top"/>
          </w:tcPr>
          <w:p w14:paraId="403562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0.415***</w:t>
            </w:r>
          </w:p>
        </w:tc>
        <w:tc>
          <w:tcPr>
            <w:tcW w:w="1433" w:type="dxa"/>
            <w:tcBorders>
              <w:top w:val="nil"/>
              <w:left w:val="nil"/>
              <w:bottom w:val="nil"/>
              <w:right w:val="nil"/>
              <w:tl2br w:val="nil"/>
              <w:tr2bl w:val="nil"/>
            </w:tcBorders>
            <w:noWrap w:val="0"/>
            <w:vAlign w:val="top"/>
          </w:tcPr>
          <w:p w14:paraId="185F82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0.337</w:t>
            </w:r>
          </w:p>
        </w:tc>
        <w:tc>
          <w:tcPr>
            <w:tcW w:w="1433" w:type="dxa"/>
            <w:tcBorders>
              <w:top w:val="nil"/>
              <w:left w:val="nil"/>
              <w:bottom w:val="nil"/>
              <w:right w:val="nil"/>
              <w:tl2br w:val="nil"/>
              <w:tr2bl w:val="nil"/>
            </w:tcBorders>
            <w:noWrap w:val="0"/>
            <w:vAlign w:val="top"/>
          </w:tcPr>
          <w:p w14:paraId="0957D23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0.713***</w:t>
            </w:r>
          </w:p>
        </w:tc>
        <w:tc>
          <w:tcPr>
            <w:tcW w:w="1433" w:type="dxa"/>
            <w:tcBorders>
              <w:top w:val="nil"/>
              <w:left w:val="nil"/>
              <w:bottom w:val="nil"/>
              <w:right w:val="nil"/>
              <w:tl2br w:val="nil"/>
              <w:tr2bl w:val="nil"/>
            </w:tcBorders>
            <w:noWrap w:val="0"/>
            <w:vAlign w:val="top"/>
          </w:tcPr>
          <w:p w14:paraId="38B662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0.308***</w:t>
            </w:r>
          </w:p>
        </w:tc>
      </w:tr>
      <w:tr w14:paraId="20682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continue"/>
            <w:tcBorders>
              <w:left w:val="nil"/>
              <w:bottom w:val="nil"/>
              <w:right w:val="nil"/>
              <w:tl2br w:val="nil"/>
              <w:tr2bl w:val="nil"/>
            </w:tcBorders>
            <w:noWrap w:val="0"/>
            <w:vAlign w:val="top"/>
          </w:tcPr>
          <w:p w14:paraId="5495E3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1749" w:type="dxa"/>
            <w:tcBorders>
              <w:top w:val="nil"/>
              <w:left w:val="nil"/>
              <w:bottom w:val="nil"/>
              <w:right w:val="nil"/>
              <w:tl2br w:val="nil"/>
              <w:tr2bl w:val="nil"/>
            </w:tcBorders>
            <w:noWrap w:val="0"/>
            <w:vAlign w:val="top"/>
          </w:tcPr>
          <w:p w14:paraId="3BDC01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5.911)</w:t>
            </w:r>
          </w:p>
        </w:tc>
        <w:tc>
          <w:tcPr>
            <w:tcW w:w="1433" w:type="dxa"/>
            <w:tcBorders>
              <w:top w:val="nil"/>
              <w:left w:val="nil"/>
              <w:bottom w:val="nil"/>
              <w:right w:val="nil"/>
              <w:tl2br w:val="nil"/>
              <w:tr2bl w:val="nil"/>
            </w:tcBorders>
            <w:noWrap w:val="0"/>
            <w:vAlign w:val="top"/>
          </w:tcPr>
          <w:p w14:paraId="76DA55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1.382)</w:t>
            </w:r>
          </w:p>
        </w:tc>
        <w:tc>
          <w:tcPr>
            <w:tcW w:w="1433" w:type="dxa"/>
            <w:tcBorders>
              <w:top w:val="nil"/>
              <w:left w:val="nil"/>
              <w:bottom w:val="nil"/>
              <w:right w:val="nil"/>
              <w:tl2br w:val="nil"/>
              <w:tr2bl w:val="nil"/>
            </w:tcBorders>
            <w:noWrap w:val="0"/>
            <w:vAlign w:val="top"/>
          </w:tcPr>
          <w:p w14:paraId="58301C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6.914)</w:t>
            </w:r>
          </w:p>
        </w:tc>
        <w:tc>
          <w:tcPr>
            <w:tcW w:w="1433" w:type="dxa"/>
            <w:tcBorders>
              <w:top w:val="nil"/>
              <w:left w:val="nil"/>
              <w:bottom w:val="nil"/>
              <w:right w:val="nil"/>
              <w:tl2br w:val="nil"/>
              <w:tr2bl w:val="nil"/>
            </w:tcBorders>
            <w:noWrap w:val="0"/>
            <w:vAlign w:val="top"/>
          </w:tcPr>
          <w:p w14:paraId="01821E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3.398)</w:t>
            </w:r>
          </w:p>
        </w:tc>
      </w:tr>
      <w:tr w14:paraId="32252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restart"/>
            <w:tcBorders>
              <w:top w:val="nil"/>
              <w:left w:val="nil"/>
              <w:right w:val="nil"/>
              <w:tl2br w:val="nil"/>
              <w:tr2bl w:val="nil"/>
            </w:tcBorders>
            <w:noWrap w:val="0"/>
            <w:vAlign w:val="center"/>
          </w:tcPr>
          <w:p w14:paraId="75F691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ESG表现（ESG）</w:t>
            </w:r>
          </w:p>
        </w:tc>
        <w:tc>
          <w:tcPr>
            <w:tcW w:w="1749" w:type="dxa"/>
            <w:tcBorders>
              <w:top w:val="nil"/>
              <w:left w:val="nil"/>
              <w:bottom w:val="nil"/>
              <w:right w:val="nil"/>
              <w:tl2br w:val="nil"/>
              <w:tr2bl w:val="nil"/>
            </w:tcBorders>
            <w:noWrap w:val="0"/>
            <w:vAlign w:val="top"/>
          </w:tcPr>
          <w:p w14:paraId="713278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0.0288</w:t>
            </w:r>
          </w:p>
        </w:tc>
        <w:tc>
          <w:tcPr>
            <w:tcW w:w="1433" w:type="dxa"/>
            <w:tcBorders>
              <w:top w:val="nil"/>
              <w:left w:val="nil"/>
              <w:bottom w:val="nil"/>
              <w:right w:val="nil"/>
              <w:tl2br w:val="nil"/>
              <w:tr2bl w:val="nil"/>
            </w:tcBorders>
            <w:noWrap w:val="0"/>
            <w:vAlign w:val="top"/>
          </w:tcPr>
          <w:p w14:paraId="1D368C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0.491***</w:t>
            </w:r>
          </w:p>
        </w:tc>
        <w:tc>
          <w:tcPr>
            <w:tcW w:w="1433" w:type="dxa"/>
            <w:tcBorders>
              <w:top w:val="nil"/>
              <w:left w:val="nil"/>
              <w:bottom w:val="nil"/>
              <w:right w:val="nil"/>
              <w:tl2br w:val="nil"/>
              <w:tr2bl w:val="nil"/>
            </w:tcBorders>
            <w:noWrap w:val="0"/>
            <w:vAlign w:val="top"/>
          </w:tcPr>
          <w:p w14:paraId="39FF8D0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0.162</w:t>
            </w:r>
          </w:p>
        </w:tc>
        <w:tc>
          <w:tcPr>
            <w:tcW w:w="1433" w:type="dxa"/>
            <w:tcBorders>
              <w:top w:val="nil"/>
              <w:left w:val="nil"/>
              <w:bottom w:val="nil"/>
              <w:right w:val="nil"/>
              <w:tl2br w:val="nil"/>
              <w:tr2bl w:val="nil"/>
            </w:tcBorders>
            <w:noWrap w:val="0"/>
            <w:vAlign w:val="top"/>
          </w:tcPr>
          <w:p w14:paraId="2F0E06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0.329***</w:t>
            </w:r>
          </w:p>
        </w:tc>
      </w:tr>
      <w:tr w14:paraId="3B20E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continue"/>
            <w:tcBorders>
              <w:left w:val="nil"/>
              <w:bottom w:val="nil"/>
              <w:right w:val="nil"/>
              <w:tl2br w:val="nil"/>
              <w:tr2bl w:val="nil"/>
            </w:tcBorders>
            <w:noWrap w:val="0"/>
            <w:vAlign w:val="top"/>
          </w:tcPr>
          <w:p w14:paraId="711BD83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1749" w:type="dxa"/>
            <w:tcBorders>
              <w:top w:val="nil"/>
              <w:left w:val="nil"/>
              <w:bottom w:val="nil"/>
              <w:right w:val="nil"/>
              <w:tl2br w:val="nil"/>
              <w:tr2bl w:val="nil"/>
            </w:tcBorders>
            <w:noWrap w:val="0"/>
            <w:vAlign w:val="top"/>
          </w:tcPr>
          <w:p w14:paraId="3E7772B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0.228)</w:t>
            </w:r>
          </w:p>
        </w:tc>
        <w:tc>
          <w:tcPr>
            <w:tcW w:w="1433" w:type="dxa"/>
            <w:tcBorders>
              <w:top w:val="nil"/>
              <w:left w:val="nil"/>
              <w:bottom w:val="nil"/>
              <w:right w:val="nil"/>
              <w:tl2br w:val="nil"/>
              <w:tr2bl w:val="nil"/>
            </w:tcBorders>
            <w:noWrap w:val="0"/>
            <w:vAlign w:val="top"/>
          </w:tcPr>
          <w:p w14:paraId="210BFD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2.717)</w:t>
            </w:r>
          </w:p>
        </w:tc>
        <w:tc>
          <w:tcPr>
            <w:tcW w:w="1433" w:type="dxa"/>
            <w:tcBorders>
              <w:top w:val="nil"/>
              <w:left w:val="nil"/>
              <w:bottom w:val="nil"/>
              <w:right w:val="nil"/>
              <w:tl2br w:val="nil"/>
              <w:tr2bl w:val="nil"/>
            </w:tcBorders>
            <w:noWrap w:val="0"/>
            <w:vAlign w:val="top"/>
          </w:tcPr>
          <w:p w14:paraId="69ACFA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(1.128)</w:t>
            </w:r>
          </w:p>
        </w:tc>
        <w:tc>
          <w:tcPr>
            <w:tcW w:w="1433" w:type="dxa"/>
            <w:tcBorders>
              <w:top w:val="nil"/>
              <w:left w:val="nil"/>
              <w:bottom w:val="nil"/>
              <w:right w:val="nil"/>
              <w:tl2br w:val="nil"/>
              <w:tr2bl w:val="nil"/>
            </w:tcBorders>
            <w:noWrap w:val="0"/>
            <w:vAlign w:val="top"/>
          </w:tcPr>
          <w:p w14:paraId="6C5D51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2.814)</w:t>
            </w:r>
          </w:p>
        </w:tc>
      </w:tr>
      <w:tr w14:paraId="650F6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restart"/>
            <w:tcBorders>
              <w:top w:val="nil"/>
              <w:left w:val="nil"/>
              <w:right w:val="nil"/>
              <w:tl2br w:val="nil"/>
              <w:tr2bl w:val="nil"/>
            </w:tcBorders>
            <w:noWrap w:val="0"/>
            <w:vAlign w:val="center"/>
          </w:tcPr>
          <w:p w14:paraId="3437DB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GDP累计同比增长率(GDP_Growth)</w:t>
            </w:r>
          </w:p>
        </w:tc>
        <w:tc>
          <w:tcPr>
            <w:tcW w:w="1749" w:type="dxa"/>
            <w:tcBorders>
              <w:top w:val="nil"/>
              <w:left w:val="nil"/>
              <w:bottom w:val="nil"/>
              <w:right w:val="nil"/>
              <w:tl2br w:val="nil"/>
              <w:tr2bl w:val="nil"/>
            </w:tcBorders>
            <w:noWrap w:val="0"/>
            <w:vAlign w:val="top"/>
          </w:tcPr>
          <w:p w14:paraId="7FC59A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0.117***</w:t>
            </w:r>
          </w:p>
        </w:tc>
        <w:tc>
          <w:tcPr>
            <w:tcW w:w="1433" w:type="dxa"/>
            <w:tcBorders>
              <w:top w:val="nil"/>
              <w:left w:val="nil"/>
              <w:bottom w:val="nil"/>
              <w:right w:val="nil"/>
              <w:tl2br w:val="nil"/>
              <w:tr2bl w:val="nil"/>
            </w:tcBorders>
            <w:noWrap w:val="0"/>
            <w:vAlign w:val="top"/>
          </w:tcPr>
          <w:p w14:paraId="24CD64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0.158***</w:t>
            </w:r>
          </w:p>
        </w:tc>
        <w:tc>
          <w:tcPr>
            <w:tcW w:w="1433" w:type="dxa"/>
            <w:tcBorders>
              <w:top w:val="nil"/>
              <w:left w:val="nil"/>
              <w:bottom w:val="nil"/>
              <w:right w:val="nil"/>
              <w:tl2br w:val="nil"/>
              <w:tr2bl w:val="nil"/>
            </w:tcBorders>
            <w:noWrap w:val="0"/>
            <w:vAlign w:val="top"/>
          </w:tcPr>
          <w:p w14:paraId="7F0E95A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0.127**</w:t>
            </w:r>
          </w:p>
        </w:tc>
        <w:tc>
          <w:tcPr>
            <w:tcW w:w="1433" w:type="dxa"/>
            <w:tcBorders>
              <w:top w:val="nil"/>
              <w:left w:val="nil"/>
              <w:bottom w:val="nil"/>
              <w:right w:val="nil"/>
              <w:tl2br w:val="nil"/>
              <w:tr2bl w:val="nil"/>
            </w:tcBorders>
            <w:noWrap w:val="0"/>
            <w:vAlign w:val="top"/>
          </w:tcPr>
          <w:p w14:paraId="791F89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0.130***</w:t>
            </w:r>
          </w:p>
        </w:tc>
      </w:tr>
      <w:tr w14:paraId="221A1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continue"/>
            <w:tcBorders>
              <w:left w:val="nil"/>
              <w:bottom w:val="nil"/>
              <w:right w:val="nil"/>
              <w:tl2br w:val="nil"/>
              <w:tr2bl w:val="nil"/>
            </w:tcBorders>
            <w:noWrap w:val="0"/>
            <w:vAlign w:val="top"/>
          </w:tcPr>
          <w:p w14:paraId="46E6C1A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1749" w:type="dxa"/>
            <w:tcBorders>
              <w:top w:val="nil"/>
              <w:left w:val="nil"/>
              <w:bottom w:val="nil"/>
              <w:right w:val="nil"/>
              <w:tl2br w:val="nil"/>
              <w:tr2bl w:val="nil"/>
            </w:tcBorders>
            <w:noWrap w:val="0"/>
            <w:vAlign w:val="top"/>
          </w:tcPr>
          <w:p w14:paraId="22D232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(2.952)</w:t>
            </w:r>
          </w:p>
        </w:tc>
        <w:tc>
          <w:tcPr>
            <w:tcW w:w="1433" w:type="dxa"/>
            <w:tcBorders>
              <w:top w:val="nil"/>
              <w:left w:val="nil"/>
              <w:bottom w:val="nil"/>
              <w:right w:val="nil"/>
              <w:tl2br w:val="nil"/>
              <w:tr2bl w:val="nil"/>
            </w:tcBorders>
            <w:noWrap w:val="0"/>
            <w:vAlign w:val="top"/>
          </w:tcPr>
          <w:p w14:paraId="14EEC40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(3.099)</w:t>
            </w:r>
          </w:p>
        </w:tc>
        <w:tc>
          <w:tcPr>
            <w:tcW w:w="1433" w:type="dxa"/>
            <w:tcBorders>
              <w:top w:val="nil"/>
              <w:left w:val="nil"/>
              <w:bottom w:val="nil"/>
              <w:right w:val="nil"/>
              <w:tl2br w:val="nil"/>
              <w:tr2bl w:val="nil"/>
            </w:tcBorders>
            <w:noWrap w:val="0"/>
            <w:vAlign w:val="top"/>
          </w:tcPr>
          <w:p w14:paraId="63C746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(2.271)</w:t>
            </w:r>
          </w:p>
        </w:tc>
        <w:tc>
          <w:tcPr>
            <w:tcW w:w="1433" w:type="dxa"/>
            <w:tcBorders>
              <w:top w:val="nil"/>
              <w:left w:val="nil"/>
              <w:bottom w:val="nil"/>
              <w:right w:val="nil"/>
              <w:tl2br w:val="nil"/>
              <w:tr2bl w:val="nil"/>
            </w:tcBorders>
            <w:noWrap w:val="0"/>
            <w:vAlign w:val="top"/>
          </w:tcPr>
          <w:p w14:paraId="6A5318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(3.544)</w:t>
            </w:r>
          </w:p>
        </w:tc>
      </w:tr>
      <w:tr w14:paraId="38A70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restart"/>
            <w:tcBorders>
              <w:top w:val="nil"/>
              <w:left w:val="nil"/>
              <w:right w:val="nil"/>
              <w:tl2br w:val="nil"/>
              <w:tr2bl w:val="nil"/>
            </w:tcBorders>
            <w:noWrap w:val="0"/>
            <w:vAlign w:val="center"/>
          </w:tcPr>
          <w:p w14:paraId="576402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资本资产率（CAR）</w:t>
            </w:r>
          </w:p>
        </w:tc>
        <w:tc>
          <w:tcPr>
            <w:tcW w:w="1749" w:type="dxa"/>
            <w:tcBorders>
              <w:top w:val="nil"/>
              <w:left w:val="nil"/>
              <w:bottom w:val="nil"/>
              <w:right w:val="nil"/>
              <w:tl2br w:val="nil"/>
              <w:tr2bl w:val="nil"/>
            </w:tcBorders>
            <w:noWrap w:val="0"/>
            <w:vAlign w:val="top"/>
          </w:tcPr>
          <w:p w14:paraId="4037A7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0.149</w:t>
            </w:r>
          </w:p>
        </w:tc>
        <w:tc>
          <w:tcPr>
            <w:tcW w:w="1433" w:type="dxa"/>
            <w:tcBorders>
              <w:top w:val="nil"/>
              <w:left w:val="nil"/>
              <w:bottom w:val="nil"/>
              <w:right w:val="nil"/>
              <w:tl2br w:val="nil"/>
              <w:tr2bl w:val="nil"/>
            </w:tcBorders>
            <w:noWrap w:val="0"/>
            <w:vAlign w:val="top"/>
          </w:tcPr>
          <w:p w14:paraId="2D5CFD5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0.264</w:t>
            </w:r>
          </w:p>
        </w:tc>
        <w:tc>
          <w:tcPr>
            <w:tcW w:w="1433" w:type="dxa"/>
            <w:tcBorders>
              <w:top w:val="nil"/>
              <w:left w:val="nil"/>
              <w:bottom w:val="nil"/>
              <w:right w:val="nil"/>
              <w:tl2br w:val="nil"/>
              <w:tr2bl w:val="nil"/>
            </w:tcBorders>
            <w:noWrap w:val="0"/>
            <w:vAlign w:val="top"/>
          </w:tcPr>
          <w:p w14:paraId="28598BF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0.402**</w:t>
            </w:r>
          </w:p>
        </w:tc>
        <w:tc>
          <w:tcPr>
            <w:tcW w:w="1433" w:type="dxa"/>
            <w:tcBorders>
              <w:top w:val="nil"/>
              <w:left w:val="nil"/>
              <w:bottom w:val="nil"/>
              <w:right w:val="nil"/>
              <w:tl2br w:val="nil"/>
              <w:tr2bl w:val="nil"/>
            </w:tcBorders>
            <w:noWrap w:val="0"/>
            <w:vAlign w:val="top"/>
          </w:tcPr>
          <w:p w14:paraId="4C5047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0.179</w:t>
            </w:r>
          </w:p>
        </w:tc>
      </w:tr>
      <w:tr w14:paraId="19172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continue"/>
            <w:tcBorders>
              <w:left w:val="nil"/>
              <w:bottom w:val="single" w:color="auto" w:sz="6" w:space="0"/>
              <w:right w:val="nil"/>
              <w:tl2br w:val="nil"/>
              <w:tr2bl w:val="nil"/>
            </w:tcBorders>
            <w:noWrap w:val="0"/>
            <w:vAlign w:val="top"/>
          </w:tcPr>
          <w:p w14:paraId="6E4A8C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1749" w:type="dxa"/>
            <w:tcBorders>
              <w:top w:val="nil"/>
              <w:left w:val="nil"/>
              <w:bottom w:val="single" w:color="auto" w:sz="6" w:space="0"/>
              <w:right w:val="nil"/>
              <w:tl2br w:val="nil"/>
              <w:tr2bl w:val="nil"/>
            </w:tcBorders>
            <w:noWrap w:val="0"/>
            <w:vAlign w:val="top"/>
          </w:tcPr>
          <w:p w14:paraId="22921BC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1.376)</w:t>
            </w:r>
          </w:p>
        </w:tc>
        <w:tc>
          <w:tcPr>
            <w:tcW w:w="1433" w:type="dxa"/>
            <w:tcBorders>
              <w:top w:val="nil"/>
              <w:left w:val="nil"/>
              <w:bottom w:val="single" w:color="auto" w:sz="6" w:space="0"/>
              <w:right w:val="nil"/>
              <w:tl2br w:val="nil"/>
              <w:tr2bl w:val="nil"/>
            </w:tcBorders>
            <w:noWrap w:val="0"/>
            <w:vAlign w:val="top"/>
          </w:tcPr>
          <w:p w14:paraId="476C82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1.099)</w:t>
            </w:r>
          </w:p>
        </w:tc>
        <w:tc>
          <w:tcPr>
            <w:tcW w:w="1433" w:type="dxa"/>
            <w:tcBorders>
              <w:top w:val="nil"/>
              <w:left w:val="nil"/>
              <w:bottom w:val="single" w:color="auto" w:sz="6" w:space="0"/>
              <w:right w:val="nil"/>
              <w:tl2br w:val="nil"/>
              <w:tr2bl w:val="nil"/>
            </w:tcBorders>
            <w:noWrap w:val="0"/>
            <w:vAlign w:val="top"/>
          </w:tcPr>
          <w:p w14:paraId="4D6ECB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2.591)</w:t>
            </w:r>
          </w:p>
        </w:tc>
        <w:tc>
          <w:tcPr>
            <w:tcW w:w="1433" w:type="dxa"/>
            <w:tcBorders>
              <w:top w:val="nil"/>
              <w:left w:val="nil"/>
              <w:bottom w:val="single" w:color="auto" w:sz="6" w:space="0"/>
              <w:right w:val="nil"/>
              <w:tl2br w:val="nil"/>
              <w:tr2bl w:val="nil"/>
            </w:tcBorders>
            <w:noWrap w:val="0"/>
            <w:vAlign w:val="top"/>
          </w:tcPr>
          <w:p w14:paraId="04DF1DE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1.296)</w:t>
            </w:r>
          </w:p>
        </w:tc>
      </w:tr>
      <w:tr w14:paraId="19134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restart"/>
            <w:tcBorders>
              <w:top w:val="single" w:color="auto" w:sz="6" w:space="0"/>
              <w:left w:val="nil"/>
              <w:right w:val="nil"/>
            </w:tcBorders>
            <w:noWrap w:val="0"/>
            <w:vAlign w:val="center"/>
          </w:tcPr>
          <w:p w14:paraId="7462A42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Constant</w:t>
            </w:r>
          </w:p>
        </w:tc>
        <w:tc>
          <w:tcPr>
            <w:tcW w:w="1749" w:type="dxa"/>
            <w:tcBorders>
              <w:top w:val="single" w:color="auto" w:sz="6" w:space="0"/>
              <w:left w:val="nil"/>
              <w:bottom w:val="nil"/>
              <w:right w:val="nil"/>
            </w:tcBorders>
            <w:noWrap w:val="0"/>
            <w:vAlign w:val="top"/>
          </w:tcPr>
          <w:p w14:paraId="00D091B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0.0483***</w:t>
            </w:r>
          </w:p>
        </w:tc>
        <w:tc>
          <w:tcPr>
            <w:tcW w:w="1433" w:type="dxa"/>
            <w:tcBorders>
              <w:top w:val="single" w:color="auto" w:sz="6" w:space="0"/>
              <w:left w:val="nil"/>
              <w:bottom w:val="nil"/>
              <w:right w:val="nil"/>
            </w:tcBorders>
            <w:noWrap w:val="0"/>
            <w:vAlign w:val="top"/>
          </w:tcPr>
          <w:p w14:paraId="351EB6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0.149***</w:t>
            </w:r>
          </w:p>
        </w:tc>
        <w:tc>
          <w:tcPr>
            <w:tcW w:w="1433" w:type="dxa"/>
            <w:tcBorders>
              <w:top w:val="single" w:color="auto" w:sz="6" w:space="0"/>
              <w:left w:val="nil"/>
              <w:bottom w:val="nil"/>
              <w:right w:val="nil"/>
            </w:tcBorders>
            <w:noWrap w:val="0"/>
            <w:vAlign w:val="top"/>
          </w:tcPr>
          <w:p w14:paraId="55C36A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0.119***</w:t>
            </w:r>
          </w:p>
        </w:tc>
        <w:tc>
          <w:tcPr>
            <w:tcW w:w="1433" w:type="dxa"/>
            <w:tcBorders>
              <w:top w:val="single" w:color="auto" w:sz="6" w:space="0"/>
              <w:left w:val="nil"/>
              <w:bottom w:val="nil"/>
              <w:right w:val="nil"/>
            </w:tcBorders>
            <w:noWrap w:val="0"/>
            <w:vAlign w:val="top"/>
          </w:tcPr>
          <w:p w14:paraId="7F63BF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0.0458**</w:t>
            </w:r>
          </w:p>
        </w:tc>
      </w:tr>
      <w:tr w14:paraId="6C2D2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vMerge w:val="continue"/>
            <w:tcBorders>
              <w:left w:val="nil"/>
              <w:bottom w:val="nil"/>
              <w:right w:val="nil"/>
            </w:tcBorders>
            <w:noWrap w:val="0"/>
            <w:vAlign w:val="top"/>
          </w:tcPr>
          <w:p w14:paraId="49D774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p>
        </w:tc>
        <w:tc>
          <w:tcPr>
            <w:tcW w:w="1749" w:type="dxa"/>
            <w:tcBorders>
              <w:top w:val="nil"/>
              <w:left w:val="nil"/>
              <w:bottom w:val="nil"/>
              <w:right w:val="nil"/>
            </w:tcBorders>
            <w:noWrap w:val="0"/>
            <w:vAlign w:val="top"/>
          </w:tcPr>
          <w:p w14:paraId="081463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2.637)</w:t>
            </w:r>
          </w:p>
        </w:tc>
        <w:tc>
          <w:tcPr>
            <w:tcW w:w="1433" w:type="dxa"/>
            <w:tcBorders>
              <w:top w:val="nil"/>
              <w:left w:val="nil"/>
              <w:bottom w:val="nil"/>
              <w:right w:val="nil"/>
            </w:tcBorders>
            <w:noWrap w:val="0"/>
            <w:vAlign w:val="top"/>
          </w:tcPr>
          <w:p w14:paraId="71BF2F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3.507)</w:t>
            </w:r>
          </w:p>
        </w:tc>
        <w:tc>
          <w:tcPr>
            <w:tcW w:w="1433" w:type="dxa"/>
            <w:tcBorders>
              <w:top w:val="nil"/>
              <w:left w:val="nil"/>
              <w:bottom w:val="nil"/>
              <w:right w:val="nil"/>
            </w:tcBorders>
            <w:noWrap w:val="0"/>
            <w:vAlign w:val="top"/>
          </w:tcPr>
          <w:p w14:paraId="6BEECA9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4.033)</w:t>
            </w:r>
          </w:p>
        </w:tc>
        <w:tc>
          <w:tcPr>
            <w:tcW w:w="1433" w:type="dxa"/>
            <w:tcBorders>
              <w:top w:val="nil"/>
              <w:left w:val="nil"/>
              <w:bottom w:val="nil"/>
              <w:right w:val="nil"/>
            </w:tcBorders>
            <w:noWrap w:val="0"/>
            <w:vAlign w:val="top"/>
          </w:tcPr>
          <w:p w14:paraId="4F0A03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w:t>
            </w:r>
            <w:r>
              <w:rPr>
                <w:rFonts w:hint="eastAsia" w:ascii="Times New Roman" w:hAnsi="Times New Roman" w:eastAsia="宋体" w:cs="Times New Roman"/>
                <w:sz w:val="21"/>
                <w:szCs w:val="16"/>
                <w:lang w:val="en-US" w:eastAsia="zh-CN"/>
              </w:rPr>
              <w:t>－</w:t>
            </w:r>
            <w:r>
              <w:rPr>
                <w:rFonts w:hint="default" w:ascii="Times New Roman" w:hAnsi="Times New Roman" w:eastAsia="宋体" w:cs="Times New Roman"/>
                <w:sz w:val="21"/>
                <w:szCs w:val="16"/>
                <w:lang w:val="en-US" w:eastAsia="zh-CN"/>
              </w:rPr>
              <w:t>2.269)</w:t>
            </w:r>
          </w:p>
        </w:tc>
      </w:tr>
      <w:tr w14:paraId="5D790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tcBorders>
              <w:top w:val="nil"/>
              <w:left w:val="nil"/>
              <w:bottom w:val="nil"/>
              <w:right w:val="nil"/>
            </w:tcBorders>
            <w:noWrap w:val="0"/>
            <w:vAlign w:val="top"/>
          </w:tcPr>
          <w:p w14:paraId="1B89A59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Observations</w:t>
            </w:r>
          </w:p>
        </w:tc>
        <w:tc>
          <w:tcPr>
            <w:tcW w:w="1046" w:type="pct"/>
            <w:tcBorders>
              <w:top w:val="nil"/>
              <w:left w:val="nil"/>
              <w:bottom w:val="nil"/>
              <w:right w:val="nil"/>
            </w:tcBorders>
            <w:noWrap w:val="0"/>
            <w:vAlign w:val="top"/>
          </w:tcPr>
          <w:p w14:paraId="044F22C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170</w:t>
            </w:r>
          </w:p>
        </w:tc>
        <w:tc>
          <w:tcPr>
            <w:tcW w:w="857" w:type="pct"/>
            <w:tcBorders>
              <w:top w:val="nil"/>
              <w:left w:val="nil"/>
              <w:bottom w:val="nil"/>
              <w:right w:val="nil"/>
            </w:tcBorders>
            <w:noWrap w:val="0"/>
            <w:vAlign w:val="top"/>
          </w:tcPr>
          <w:p w14:paraId="5215801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100</w:t>
            </w:r>
          </w:p>
        </w:tc>
        <w:tc>
          <w:tcPr>
            <w:tcW w:w="857" w:type="pct"/>
            <w:tcBorders>
              <w:top w:val="nil"/>
              <w:left w:val="nil"/>
              <w:bottom w:val="nil"/>
              <w:right w:val="nil"/>
            </w:tcBorders>
            <w:shd w:val="clear" w:color="auto" w:fill="auto"/>
            <w:noWrap w:val="0"/>
            <w:vAlign w:val="top"/>
          </w:tcPr>
          <w:p w14:paraId="79E9ADA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82</w:t>
            </w:r>
          </w:p>
        </w:tc>
        <w:tc>
          <w:tcPr>
            <w:tcW w:w="857" w:type="pct"/>
            <w:tcBorders>
              <w:top w:val="nil"/>
              <w:left w:val="nil"/>
              <w:bottom w:val="nil"/>
              <w:right w:val="nil"/>
            </w:tcBorders>
            <w:shd w:val="clear" w:color="auto" w:fill="auto"/>
            <w:noWrap w:val="0"/>
            <w:vAlign w:val="top"/>
          </w:tcPr>
          <w:p w14:paraId="00EC72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188</w:t>
            </w:r>
          </w:p>
        </w:tc>
      </w:tr>
      <w:tr w14:paraId="3B83B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tcBorders>
              <w:top w:val="nil"/>
              <w:left w:val="nil"/>
              <w:bottom w:val="nil"/>
              <w:right w:val="nil"/>
            </w:tcBorders>
            <w:noWrap w:val="0"/>
            <w:vAlign w:val="top"/>
          </w:tcPr>
          <w:p w14:paraId="4EEF1C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R</w:t>
            </w:r>
            <w:r>
              <w:rPr>
                <w:rFonts w:hint="eastAsia" w:ascii="Times New Roman" w:hAnsi="Times New Roman" w:eastAsia="宋体" w:cs="Times New Roman"/>
                <w:sz w:val="21"/>
                <w:szCs w:val="18"/>
                <w:lang w:val="en-US" w:eastAsia="zh-CN" w:bidi="ar-SA"/>
              </w:rPr>
              <w:t>－</w:t>
            </w:r>
            <w:r>
              <w:rPr>
                <w:rFonts w:hint="default" w:ascii="Times New Roman" w:hAnsi="Times New Roman" w:eastAsia="宋体" w:cs="Times New Roman"/>
                <w:sz w:val="21"/>
                <w:szCs w:val="18"/>
                <w:lang w:val="en-US" w:eastAsia="zh-CN" w:bidi="ar-SA"/>
              </w:rPr>
              <w:t>squared</w:t>
            </w:r>
          </w:p>
        </w:tc>
        <w:tc>
          <w:tcPr>
            <w:tcW w:w="1749" w:type="dxa"/>
            <w:tcBorders>
              <w:top w:val="nil"/>
              <w:left w:val="nil"/>
              <w:bottom w:val="nil"/>
              <w:right w:val="nil"/>
            </w:tcBorders>
            <w:noWrap w:val="0"/>
            <w:vAlign w:val="top"/>
          </w:tcPr>
          <w:p w14:paraId="5EBDF4A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0.309</w:t>
            </w:r>
          </w:p>
        </w:tc>
        <w:tc>
          <w:tcPr>
            <w:tcW w:w="1433" w:type="dxa"/>
            <w:tcBorders>
              <w:top w:val="nil"/>
              <w:left w:val="nil"/>
              <w:bottom w:val="nil"/>
              <w:right w:val="nil"/>
            </w:tcBorders>
            <w:noWrap w:val="0"/>
            <w:vAlign w:val="top"/>
          </w:tcPr>
          <w:p w14:paraId="0BC0F18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0.228</w:t>
            </w:r>
          </w:p>
        </w:tc>
        <w:tc>
          <w:tcPr>
            <w:tcW w:w="1433" w:type="dxa"/>
            <w:tcBorders>
              <w:top w:val="nil"/>
              <w:left w:val="nil"/>
              <w:bottom w:val="nil"/>
              <w:right w:val="nil"/>
            </w:tcBorders>
            <w:shd w:val="clear" w:color="auto" w:fill="auto"/>
            <w:noWrap w:val="0"/>
            <w:vAlign w:val="top"/>
          </w:tcPr>
          <w:p w14:paraId="6C91C5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0.415</w:t>
            </w:r>
          </w:p>
        </w:tc>
        <w:tc>
          <w:tcPr>
            <w:tcW w:w="1433" w:type="dxa"/>
            <w:tcBorders>
              <w:top w:val="nil"/>
              <w:left w:val="nil"/>
              <w:bottom w:val="nil"/>
              <w:right w:val="nil"/>
            </w:tcBorders>
            <w:shd w:val="clear" w:color="auto" w:fill="auto"/>
            <w:noWrap w:val="0"/>
            <w:vAlign w:val="top"/>
          </w:tcPr>
          <w:p w14:paraId="214B8E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0.203</w:t>
            </w:r>
          </w:p>
        </w:tc>
      </w:tr>
      <w:tr w14:paraId="0F71A5EF">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1" w:type="pct"/>
            <w:tcBorders>
              <w:top w:val="nil"/>
              <w:left w:val="nil"/>
              <w:bottom w:val="single" w:color="auto" w:sz="6" w:space="0"/>
              <w:right w:val="nil"/>
            </w:tcBorders>
            <w:noWrap w:val="0"/>
            <w:vAlign w:val="top"/>
          </w:tcPr>
          <w:p w14:paraId="73D655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8"/>
                <w:lang w:val="en-US" w:eastAsia="zh-CN" w:bidi="ar-SA"/>
              </w:rPr>
            </w:pPr>
            <w:r>
              <w:rPr>
                <w:rFonts w:hint="default" w:ascii="Times New Roman" w:hAnsi="Times New Roman" w:eastAsia="宋体" w:cs="Times New Roman"/>
                <w:sz w:val="21"/>
                <w:szCs w:val="18"/>
                <w:lang w:val="en-US" w:eastAsia="zh-CN" w:bidi="ar-SA"/>
              </w:rPr>
              <w:t>Number of idd</w:t>
            </w:r>
          </w:p>
        </w:tc>
        <w:tc>
          <w:tcPr>
            <w:tcW w:w="1046" w:type="pct"/>
            <w:tcBorders>
              <w:top w:val="nil"/>
              <w:left w:val="nil"/>
              <w:bottom w:val="single" w:color="auto" w:sz="6" w:space="0"/>
              <w:right w:val="nil"/>
            </w:tcBorders>
            <w:noWrap w:val="0"/>
            <w:vAlign w:val="top"/>
          </w:tcPr>
          <w:p w14:paraId="7F2651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17</w:t>
            </w:r>
          </w:p>
        </w:tc>
        <w:tc>
          <w:tcPr>
            <w:tcW w:w="857" w:type="pct"/>
            <w:tcBorders>
              <w:top w:val="nil"/>
              <w:left w:val="nil"/>
              <w:bottom w:val="single" w:color="auto" w:sz="6" w:space="0"/>
              <w:right w:val="nil"/>
            </w:tcBorders>
            <w:noWrap w:val="0"/>
            <w:vAlign w:val="top"/>
          </w:tcPr>
          <w:p w14:paraId="4429CD6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10</w:t>
            </w:r>
          </w:p>
        </w:tc>
        <w:tc>
          <w:tcPr>
            <w:tcW w:w="857" w:type="pct"/>
            <w:tcBorders>
              <w:top w:val="nil"/>
              <w:left w:val="nil"/>
              <w:bottom w:val="single" w:color="auto" w:sz="6" w:space="0"/>
              <w:right w:val="nil"/>
            </w:tcBorders>
            <w:shd w:val="clear" w:color="auto" w:fill="auto"/>
            <w:noWrap w:val="0"/>
            <w:vAlign w:val="top"/>
          </w:tcPr>
          <w:p w14:paraId="459AD13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15</w:t>
            </w:r>
          </w:p>
        </w:tc>
        <w:tc>
          <w:tcPr>
            <w:tcW w:w="857" w:type="pct"/>
            <w:tcBorders>
              <w:top w:val="nil"/>
              <w:left w:val="nil"/>
              <w:bottom w:val="single" w:color="auto" w:sz="6" w:space="0"/>
              <w:right w:val="nil"/>
            </w:tcBorders>
            <w:shd w:val="clear" w:color="auto" w:fill="auto"/>
            <w:noWrap w:val="0"/>
            <w:vAlign w:val="top"/>
          </w:tcPr>
          <w:p w14:paraId="4B248E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16"/>
                <w:lang w:val="en-US" w:eastAsia="zh-CN"/>
              </w:rPr>
            </w:pPr>
            <w:r>
              <w:rPr>
                <w:rFonts w:hint="default" w:ascii="Times New Roman" w:hAnsi="Times New Roman" w:eastAsia="宋体" w:cs="Times New Roman"/>
                <w:sz w:val="21"/>
                <w:szCs w:val="16"/>
                <w:lang w:val="en-US" w:eastAsia="zh-CN"/>
              </w:rPr>
              <w:t>22</w:t>
            </w:r>
          </w:p>
        </w:tc>
      </w:tr>
    </w:tbl>
    <w:p w14:paraId="60E74A88">
      <w:pPr>
        <w:pageBreakBefore w:val="0"/>
        <w:kinsoku/>
        <w:wordWrap/>
        <w:overflowPunct/>
        <w:topLinePunct w:val="0"/>
        <w:autoSpaceDE/>
        <w:autoSpaceDN/>
        <w:bidi w:val="0"/>
        <w:spacing w:line="300" w:lineRule="auto"/>
        <w:textAlignment w:val="auto"/>
        <w:rPr>
          <w:rFonts w:hint="default" w:ascii="Times New Roman" w:hAnsi="Times New Roman" w:eastAsia="宋体" w:cs="Times New Roman"/>
          <w:strike w:val="0"/>
          <w:dstrike w:val="0"/>
          <w:sz w:val="21"/>
          <w:szCs w:val="21"/>
          <w:lang w:val="en-US" w:eastAsia="zh-CN"/>
        </w:rPr>
      </w:pPr>
      <w:r>
        <w:rPr>
          <w:rFonts w:hint="default" w:ascii="Times New Roman" w:hAnsi="Times New Roman" w:eastAsia="宋体" w:cs="Times New Roman"/>
          <w:b/>
          <w:bCs/>
          <w:sz w:val="21"/>
          <w:szCs w:val="18"/>
        </w:rPr>
        <w:t>注：括号里为标准误差，*表示</w:t>
      </w:r>
      <w:r>
        <w:rPr>
          <w:rFonts w:hint="default" w:ascii="Times New Roman" w:hAnsi="Times New Roman" w:eastAsia="宋体" w:cs="Times New Roman"/>
          <w:b/>
          <w:bCs/>
          <w:position w:val="-10"/>
          <w:sz w:val="21"/>
          <w:szCs w:val="30"/>
        </w:rPr>
        <w:object>
          <v:shape id="_x0000_i1047"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47" DrawAspect="Content" ObjectID="_1468075747" r:id="rId38">
            <o:LockedField>false</o:LockedField>
          </o:OLEObject>
        </w:object>
      </w:r>
      <w:r>
        <w:rPr>
          <w:rFonts w:hint="default" w:ascii="Times New Roman" w:hAnsi="Times New Roman" w:eastAsia="宋体" w:cs="Times New Roman"/>
          <w:b/>
          <w:bCs/>
          <w:sz w:val="21"/>
          <w:szCs w:val="18"/>
        </w:rPr>
        <w:t xml:space="preserve">&lt;0.1，**表示 </w:t>
      </w:r>
      <w:r>
        <w:rPr>
          <w:rFonts w:hint="default" w:ascii="Times New Roman" w:hAnsi="Times New Roman" w:eastAsia="宋体" w:cs="Times New Roman"/>
          <w:b/>
          <w:bCs/>
          <w:position w:val="-10"/>
          <w:sz w:val="21"/>
          <w:szCs w:val="30"/>
        </w:rPr>
        <w:object>
          <v:shape id="_x0000_i1048"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48" DrawAspect="Content" ObjectID="_1468075748" r:id="rId39">
            <o:LockedField>false</o:LockedField>
          </o:OLEObject>
        </w:object>
      </w:r>
      <w:r>
        <w:rPr>
          <w:rFonts w:hint="default" w:ascii="Times New Roman" w:hAnsi="Times New Roman" w:eastAsia="宋体" w:cs="Times New Roman"/>
          <w:b/>
          <w:bCs/>
          <w:sz w:val="21"/>
          <w:szCs w:val="18"/>
        </w:rPr>
        <w:t>&lt;0.05，***表示</w:t>
      </w:r>
      <w:r>
        <w:rPr>
          <w:rFonts w:hint="default" w:ascii="Times New Roman" w:hAnsi="Times New Roman" w:eastAsia="宋体" w:cs="Times New Roman"/>
          <w:b/>
          <w:bCs/>
          <w:position w:val="-10"/>
          <w:sz w:val="21"/>
          <w:szCs w:val="30"/>
        </w:rPr>
        <w:object>
          <v:shape id="_x0000_i1049" o:spt="75" type="#_x0000_t75" style="height:12pt;width:10pt;" o:ole="t" filled="f" o:preferrelative="t" stroked="f" coordsize="21600,21600">
            <v:path/>
            <v:fill on="f" focussize="0,0"/>
            <v:stroke on="f"/>
            <v:imagedata r:id="rId17" o:title=""/>
            <o:lock v:ext="edit" aspectratio="f"/>
            <w10:wrap type="none"/>
            <w10:anchorlock/>
          </v:shape>
          <o:OLEObject Type="Embed" ProgID="Equation.DSMT4" ShapeID="_x0000_i1049" DrawAspect="Content" ObjectID="_1468075749" r:id="rId40">
            <o:LockedField>false</o:LockedField>
          </o:OLEObject>
        </w:object>
      </w:r>
      <w:r>
        <w:rPr>
          <w:rFonts w:hint="default" w:ascii="Times New Roman" w:hAnsi="Times New Roman" w:eastAsia="宋体" w:cs="Times New Roman"/>
          <w:b/>
          <w:bCs/>
          <w:sz w:val="21"/>
          <w:szCs w:val="18"/>
        </w:rPr>
        <w:t>&lt;0.01。</w:t>
      </w:r>
    </w:p>
    <w:p w14:paraId="03434CF1">
      <w:pPr>
        <w:bidi w:val="0"/>
        <w:rPr>
          <w:rFonts w:hint="default"/>
          <w:lang w:val="en-US" w:eastAsia="zh-CN"/>
        </w:rPr>
      </w:pPr>
      <w:r>
        <w:rPr>
          <w:rFonts w:hint="default"/>
          <w:lang w:val="en-US" w:eastAsia="zh-CN"/>
        </w:rPr>
        <w:t>从以上异质性检验结果来看：①数字化转型对</w:t>
      </w:r>
      <w:r>
        <w:rPr>
          <w:rFonts w:hint="eastAsia"/>
          <w:lang w:val="en-US" w:eastAsia="zh-CN"/>
        </w:rPr>
        <w:t>中小银行</w:t>
      </w:r>
      <w:r>
        <w:rPr>
          <w:rFonts w:hint="default"/>
          <w:lang w:val="en-US" w:eastAsia="zh-CN"/>
        </w:rPr>
        <w:t>信贷风险水平的抑制效果，在城</w:t>
      </w:r>
      <w:r>
        <w:rPr>
          <w:rFonts w:hint="eastAsia"/>
          <w:lang w:val="en-US" w:eastAsia="zh-CN"/>
        </w:rPr>
        <w:t>商银行</w:t>
      </w:r>
      <w:r>
        <w:rPr>
          <w:rFonts w:hint="default"/>
          <w:lang w:val="en-US" w:eastAsia="zh-CN"/>
        </w:rPr>
        <w:t>和农商银行类型上作用效果显著，且为1</w:t>
      </w:r>
      <w:r>
        <w:rPr>
          <w:rFonts w:hint="eastAsia"/>
          <w:lang w:val="en-US" w:eastAsia="zh-CN"/>
        </w:rPr>
        <w:t>%以</w:t>
      </w:r>
      <w:r>
        <w:rPr>
          <w:rFonts w:hint="default"/>
          <w:lang w:val="en-US" w:eastAsia="zh-CN"/>
        </w:rPr>
        <w:t>下显著水平，并且对农商</w:t>
      </w:r>
      <w:r>
        <w:rPr>
          <w:rFonts w:hint="eastAsia"/>
          <w:lang w:val="en-US" w:eastAsia="zh-CN"/>
        </w:rPr>
        <w:t>银</w:t>
      </w:r>
      <w:r>
        <w:rPr>
          <w:rFonts w:hint="default"/>
          <w:lang w:val="en-US" w:eastAsia="zh-CN"/>
        </w:rPr>
        <w:t>行的作用更大；②银行数字化转型对大</w:t>
      </w:r>
      <w:r>
        <w:rPr>
          <w:rFonts w:hint="eastAsia"/>
          <w:lang w:val="en-US" w:eastAsia="zh-CN"/>
        </w:rPr>
        <w:t>、</w:t>
      </w:r>
      <w:r>
        <w:rPr>
          <w:rFonts w:hint="default"/>
          <w:lang w:val="en-US" w:eastAsia="zh-CN"/>
        </w:rPr>
        <w:t>小</w:t>
      </w:r>
      <w:r>
        <w:rPr>
          <w:rFonts w:hint="eastAsia"/>
          <w:lang w:val="en-US" w:eastAsia="zh-CN"/>
        </w:rPr>
        <w:t>两类</w:t>
      </w:r>
      <w:r>
        <w:rPr>
          <w:rFonts w:hint="default"/>
          <w:lang w:val="en-US" w:eastAsia="zh-CN"/>
        </w:rPr>
        <w:t>规模银行的信贷风险水平均呈现抑制作用，但对小规模银行作用效果显著。主要原因分析如下：</w:t>
      </w:r>
    </w:p>
    <w:p w14:paraId="4CB682F4">
      <w:pPr>
        <w:bidi w:val="0"/>
        <w:rPr>
          <w:rFonts w:hint="default"/>
          <w:lang w:val="en-US" w:eastAsia="zh-CN"/>
        </w:rPr>
      </w:pPr>
      <w:r>
        <w:rPr>
          <w:rFonts w:hint="default"/>
          <w:lang w:val="en-US" w:eastAsia="zh-CN"/>
        </w:rPr>
        <w:t>一是，对于农商银行而言，一方面其主要服务于县域及下属村镇，主要客群为农户、个体工商户、小微企业，而这类客户通常具有财务信息不透明、抵押物不足、抗风险能力弱的特点</w:t>
      </w:r>
      <w:r>
        <w:rPr>
          <w:rFonts w:hint="eastAsia"/>
          <w:lang w:val="en-US" w:eastAsia="zh-CN"/>
        </w:rPr>
        <w:t>。</w:t>
      </w:r>
      <w:r>
        <w:rPr>
          <w:rFonts w:hint="default"/>
          <w:lang w:val="en-US" w:eastAsia="zh-CN"/>
        </w:rPr>
        <w:t>在传统风控模式下信贷风险较高，而通过数字化转型使得相关信息可获得，使得信息不对称性减弱，更加有利于风控管理，通过数字化转型可以获取农户购买保险以及给牲畜接种疫苗的信息，可以精准识别借款人是否经营，减少虚假贷款的发生；另一方面相比于国有大型银行以及股份制银行这类大型银行，农商银行的原有风控系统相对落后，其数字化转型使得风控系统加强完善，使得数字化转型的边际效应更强，例如农商银行可通过算法模型，如建立反欺诈名单、信用等级评分等，实现标准化审批，减少人为干预，降低操作风险和道德风险，以及和企业上方管理机构如税务部门、烟草局、电力局、保险公司等合作</w:t>
      </w:r>
      <w:r>
        <w:rPr>
          <w:rFonts w:hint="eastAsia"/>
          <w:lang w:val="en-US" w:eastAsia="zh-CN"/>
        </w:rPr>
        <w:t>构建</w:t>
      </w:r>
      <w:r>
        <w:rPr>
          <w:rFonts w:hint="default"/>
          <w:lang w:val="en-US" w:eastAsia="zh-CN"/>
        </w:rPr>
        <w:t>全面的数控模型，促进信息交流，实时监测行业动态、企业经营数据等，提前预警风险，优化信贷资产组合，所得到的效果更加显著。</w:t>
      </w:r>
    </w:p>
    <w:p w14:paraId="6C479379">
      <w:pPr>
        <w:bidi w:val="0"/>
        <w:rPr>
          <w:rFonts w:hint="default"/>
          <w:lang w:val="en-US" w:eastAsia="zh-CN"/>
        </w:rPr>
      </w:pPr>
      <w:r>
        <w:rPr>
          <w:rFonts w:hint="default"/>
          <w:lang w:val="en-US" w:eastAsia="zh-CN"/>
        </w:rPr>
        <w:t>二是，对于城市商业银行而言，在业务结构以及服务对象上基本与农</w:t>
      </w:r>
      <w:r>
        <w:rPr>
          <w:rFonts w:hint="eastAsia"/>
          <w:lang w:val="en-US" w:eastAsia="zh-CN"/>
        </w:rPr>
        <w:t>商银行</w:t>
      </w:r>
      <w:r>
        <w:rPr>
          <w:rFonts w:hint="default"/>
          <w:lang w:val="en-US" w:eastAsia="zh-CN"/>
        </w:rPr>
        <w:t>相一致，但是相比于农</w:t>
      </w:r>
      <w:r>
        <w:rPr>
          <w:rFonts w:hint="eastAsia"/>
          <w:lang w:val="en-US" w:eastAsia="zh-CN"/>
        </w:rPr>
        <w:t>商银行</w:t>
      </w:r>
      <w:r>
        <w:rPr>
          <w:rFonts w:hint="default"/>
          <w:lang w:val="en-US" w:eastAsia="zh-CN"/>
        </w:rPr>
        <w:t>结果没有那么变动幅度大一方面可能是由于城</w:t>
      </w:r>
      <w:r>
        <w:rPr>
          <w:rFonts w:hint="eastAsia"/>
          <w:lang w:val="en-US" w:eastAsia="zh-CN"/>
        </w:rPr>
        <w:t>商银行</w:t>
      </w:r>
      <w:r>
        <w:rPr>
          <w:rFonts w:hint="default"/>
          <w:lang w:val="en-US" w:eastAsia="zh-CN"/>
        </w:rPr>
        <w:t>已经在数字化转型的道路上比农</w:t>
      </w:r>
      <w:r>
        <w:rPr>
          <w:rFonts w:hint="eastAsia"/>
          <w:lang w:val="en-US" w:eastAsia="zh-CN"/>
        </w:rPr>
        <w:t>商银行</w:t>
      </w:r>
      <w:r>
        <w:rPr>
          <w:rFonts w:hint="default"/>
          <w:lang w:val="en-US" w:eastAsia="zh-CN"/>
        </w:rPr>
        <w:t>探索的时间更长，导致数字化转型的边际效应有所减弱；另一方面，由于银行数字化转型速度的加快，业务人员和技术人员对风控模型的依赖度持续增加，从而在一定程度上削弱了人员风险判断力，这可能会导致银行数字化转型加深对信贷风险抑制效果的减弱。</w:t>
      </w:r>
    </w:p>
    <w:p w14:paraId="318C507F">
      <w:pPr>
        <w:bidi w:val="0"/>
        <w:rPr>
          <w:rFonts w:hint="default"/>
          <w:lang w:val="en-US" w:eastAsia="zh-CN"/>
        </w:rPr>
      </w:pPr>
      <w:r>
        <w:rPr>
          <w:rFonts w:hint="default"/>
          <w:lang w:val="en-US" w:eastAsia="zh-CN"/>
        </w:rPr>
        <w:t>三是，对于小规模银行与大规模银行，数字化转型程度都可以抑制信贷风险水平，但是对于大规模银行效果并不显著</w:t>
      </w:r>
      <w:r>
        <w:rPr>
          <w:rFonts w:hint="eastAsia"/>
          <w:lang w:val="en-US" w:eastAsia="zh-CN"/>
        </w:rPr>
        <w:t>。</w:t>
      </w:r>
      <w:r>
        <w:rPr>
          <w:rFonts w:hint="default"/>
          <w:lang w:val="en-US" w:eastAsia="zh-CN"/>
        </w:rPr>
        <w:t>一方面，可能大规模银行会接触更多的跨国业务以及同业交易业务，这类业务在信息获取上更加公开，无法通过数字化转型获取具有影响重大决策的信息，使得通过数智化工具降低风险的边际效果减弱，使得效果并</w:t>
      </w:r>
      <w:r>
        <w:rPr>
          <w:rFonts w:hint="eastAsia"/>
          <w:lang w:val="en-US" w:eastAsia="zh-CN"/>
        </w:rPr>
        <w:t>不</w:t>
      </w:r>
      <w:r>
        <w:rPr>
          <w:rFonts w:hint="default"/>
          <w:lang w:val="en-US" w:eastAsia="zh-CN"/>
        </w:rPr>
        <w:t>显著</w:t>
      </w:r>
      <w:r>
        <w:rPr>
          <w:rFonts w:hint="eastAsia"/>
          <w:lang w:val="en-US" w:eastAsia="zh-CN"/>
        </w:rPr>
        <w:t>。</w:t>
      </w:r>
      <w:r>
        <w:rPr>
          <w:rFonts w:hint="default"/>
          <w:lang w:val="en-US" w:eastAsia="zh-CN"/>
        </w:rPr>
        <w:t>另一方面，对于大型银行数字化转型可能并不直接应用于信贷风控中，可能会应用于银行系统整体的升级改造，使得在信贷风险的体现上需要更长的时间才能体现；从小规模银行出发，一方面，数字化转型的边际效果更强，通过数字化转型可以获得的信息更多，更能打破信息孤岛</w:t>
      </w:r>
      <w:r>
        <w:rPr>
          <w:rFonts w:hint="eastAsia"/>
          <w:lang w:val="en-US" w:eastAsia="zh-CN"/>
        </w:rPr>
        <w:t>。</w:t>
      </w:r>
      <w:r>
        <w:rPr>
          <w:rFonts w:hint="default"/>
          <w:lang w:val="en-US" w:eastAsia="zh-CN"/>
        </w:rPr>
        <w:t>另一方面，数字化转型从贷前到贷中直至贷后进行全面升级，首先，贷前风险识别升级，通过大数据获取交易流水、执行被执行等信息评估小微企业和农户信用，减少抵押物不足导致的误拒或误批以及利用AI技术识别虚假报表等提升反欺诈能力</w:t>
      </w:r>
      <w:r>
        <w:rPr>
          <w:rFonts w:hint="eastAsia"/>
          <w:lang w:val="en-US" w:eastAsia="zh-CN"/>
        </w:rPr>
        <w:t>。</w:t>
      </w:r>
      <w:r>
        <w:rPr>
          <w:rFonts w:hint="default"/>
          <w:lang w:val="en-US" w:eastAsia="zh-CN"/>
        </w:rPr>
        <w:t>其次，贷中流程优化，自动化审批可以缩短放款周期，降低企业因资金链断裂导致的违约风险</w:t>
      </w:r>
      <w:r>
        <w:rPr>
          <w:rFonts w:hint="eastAsia"/>
          <w:lang w:val="en-US" w:eastAsia="zh-CN"/>
        </w:rPr>
        <w:t>。</w:t>
      </w:r>
      <w:r>
        <w:rPr>
          <w:rFonts w:hint="default"/>
          <w:lang w:val="en-US" w:eastAsia="zh-CN"/>
        </w:rPr>
        <w:t>最后，贷后监控强化，通过平台接收到的信号可以尽早获得风险信息，提前采取措施以及不同类型的客户匹配不同催收措施，增加贷款回收的可能。</w:t>
      </w:r>
    </w:p>
    <w:p w14:paraId="59F10C9D">
      <w:pPr>
        <w:pStyle w:val="2"/>
        <w:keepNext/>
        <w:keepLines/>
        <w:pageBreakBefore w:val="0"/>
        <w:widowControl w:val="0"/>
        <w:kinsoku/>
        <w:wordWrap/>
        <w:overflowPunct/>
        <w:topLinePunct w:val="0"/>
        <w:autoSpaceDE/>
        <w:autoSpaceDN/>
        <w:bidi w:val="0"/>
        <w:adjustRightInd/>
        <w:snapToGrid/>
        <w:spacing w:before="369" w:after="369" w:line="382" w:lineRule="exact"/>
        <w:jc w:val="center"/>
        <w:textAlignment w:val="auto"/>
        <w:rPr>
          <w:rFonts w:hint="default" w:ascii="黑体" w:hAnsi="黑体" w:eastAsia="黑体" w:cs="黑体"/>
          <w:sz w:val="24"/>
          <w:szCs w:val="24"/>
          <w:lang w:val="en-US" w:eastAsia="zh-CN"/>
        </w:rPr>
      </w:pPr>
      <w:bookmarkStart w:id="33" w:name="_Toc16285"/>
      <w:r>
        <w:rPr>
          <w:rFonts w:hint="default" w:ascii="黑体" w:hAnsi="黑体" w:eastAsia="黑体" w:cs="黑体"/>
          <w:sz w:val="24"/>
          <w:szCs w:val="24"/>
          <w:lang w:val="en-US" w:eastAsia="zh-CN"/>
        </w:rPr>
        <w:t>五、结语</w:t>
      </w:r>
      <w:bookmarkEnd w:id="33"/>
    </w:p>
    <w:p w14:paraId="48625031">
      <w:pPr>
        <w:pStyle w:val="3"/>
        <w:numPr>
          <w:ilvl w:val="0"/>
          <w:numId w:val="0"/>
        </w:numPr>
        <w:bidi w:val="0"/>
        <w:ind w:firstLine="420" w:firstLineChars="200"/>
        <w:rPr>
          <w:rFonts w:hint="default"/>
          <w:lang w:val="en-US" w:eastAsia="zh-CN"/>
        </w:rPr>
      </w:pPr>
      <w:bookmarkStart w:id="34" w:name="_Toc30218"/>
      <w:r>
        <w:rPr>
          <w:rFonts w:hint="eastAsia" w:ascii="Arial" w:hAnsi="Arial" w:eastAsia="黑体" w:cstheme="minorBidi"/>
          <w:b w:val="0"/>
          <w:kern w:val="2"/>
          <w:sz w:val="21"/>
          <w:szCs w:val="24"/>
          <w:lang w:val="en-US" w:eastAsia="zh-CN" w:bidi="ar-SA"/>
        </w:rPr>
        <w:t>（一）</w:t>
      </w:r>
      <w:r>
        <w:rPr>
          <w:rFonts w:hint="default"/>
          <w:lang w:val="en-US" w:eastAsia="zh-CN"/>
        </w:rPr>
        <w:t>研究结论</w:t>
      </w:r>
      <w:bookmarkEnd w:id="34"/>
    </w:p>
    <w:p w14:paraId="28D31136">
      <w:pPr>
        <w:bidi w:val="0"/>
        <w:rPr>
          <w:rFonts w:hint="default"/>
          <w:lang w:val="en-US" w:eastAsia="zh-CN"/>
        </w:rPr>
      </w:pPr>
      <w:r>
        <w:rPr>
          <w:rFonts w:hint="default"/>
          <w:lang w:val="en-US" w:eastAsia="zh-CN"/>
        </w:rPr>
        <w:t>基于上述模型构建和假设验证结果，本文得出了以下重要结论：</w:t>
      </w:r>
    </w:p>
    <w:p w14:paraId="3196D409">
      <w:pPr>
        <w:pStyle w:val="4"/>
        <w:numPr>
          <w:ilvl w:val="0"/>
          <w:numId w:val="0"/>
        </w:numPr>
        <w:bidi w:val="0"/>
        <w:ind w:firstLine="420" w:firstLineChars="200"/>
        <w:rPr>
          <w:rFonts w:hint="default"/>
          <w:lang w:val="en-US" w:eastAsia="zh-CN"/>
        </w:rPr>
      </w:pPr>
      <w:bookmarkStart w:id="35" w:name="_Toc29735"/>
      <w:r>
        <w:rPr>
          <w:rFonts w:hint="default" w:ascii="Times New Roman" w:hAnsi="Times New Roman" w:eastAsia="楷体" w:cstheme="minorBidi"/>
          <w:b w:val="0"/>
          <w:kern w:val="2"/>
          <w:sz w:val="21"/>
          <w:szCs w:val="24"/>
          <w:lang w:val="en-US" w:eastAsia="zh-CN" w:bidi="ar-SA"/>
        </w:rPr>
        <w:t>1.</w:t>
      </w:r>
      <w:r>
        <w:rPr>
          <w:rFonts w:hint="default"/>
          <w:lang w:val="en-US" w:eastAsia="zh-CN"/>
        </w:rPr>
        <w:t>数字化转型程度的加深可以有效抑制</w:t>
      </w:r>
      <w:r>
        <w:rPr>
          <w:rFonts w:hint="eastAsia"/>
          <w:lang w:val="en-US" w:eastAsia="zh-CN"/>
        </w:rPr>
        <w:t>中小银行信贷风险水平</w:t>
      </w:r>
      <w:r>
        <w:rPr>
          <w:rFonts w:hint="default"/>
          <w:lang w:val="en-US" w:eastAsia="zh-CN"/>
        </w:rPr>
        <w:t>。</w:t>
      </w:r>
      <w:bookmarkEnd w:id="35"/>
    </w:p>
    <w:p w14:paraId="689EE447">
      <w:pPr>
        <w:bidi w:val="0"/>
        <w:rPr>
          <w:rFonts w:hint="default"/>
          <w:lang w:val="en-US" w:eastAsia="zh-CN"/>
        </w:rPr>
      </w:pPr>
      <w:r>
        <w:rPr>
          <w:rFonts w:hint="default"/>
          <w:lang w:val="en-US" w:eastAsia="zh-CN"/>
        </w:rPr>
        <w:t>实证结果表明，数字化转型程度的加深可以有效抑制</w:t>
      </w:r>
      <w:r>
        <w:rPr>
          <w:rFonts w:hint="eastAsia"/>
          <w:lang w:val="en-US" w:eastAsia="zh-CN"/>
        </w:rPr>
        <w:t>中小银行信贷风险水平</w:t>
      </w:r>
      <w:r>
        <w:rPr>
          <w:rFonts w:hint="default"/>
          <w:lang w:val="en-US" w:eastAsia="zh-CN"/>
        </w:rPr>
        <w:t>。具体来说，随着数字化转型程度的加深，</w:t>
      </w:r>
      <w:r>
        <w:rPr>
          <w:rFonts w:hint="eastAsia"/>
          <w:lang w:val="en-US" w:eastAsia="zh-CN"/>
        </w:rPr>
        <w:t>中小</w:t>
      </w:r>
      <w:r>
        <w:rPr>
          <w:rFonts w:hint="default"/>
          <w:lang w:val="en-US" w:eastAsia="zh-CN"/>
        </w:rPr>
        <w:t>银行整体的风控水平得到提升，具体体现在贷前风险识别升级、贷中流程优化、贷后监控强化，通过各部分的优化使得银行在获取信息上途径更多，信息更加全面，流程更加严谨，效率更高，从而使得信贷风险得到显著的抑制效果。</w:t>
      </w:r>
    </w:p>
    <w:p w14:paraId="1F133B84">
      <w:pPr>
        <w:pStyle w:val="4"/>
        <w:bidi w:val="0"/>
        <w:rPr>
          <w:rFonts w:hint="eastAsia"/>
          <w:lang w:val="en-US" w:eastAsia="zh-CN"/>
        </w:rPr>
      </w:pPr>
      <w:bookmarkStart w:id="36" w:name="_Toc10322"/>
      <w:r>
        <w:rPr>
          <w:rFonts w:hint="eastAsia"/>
          <w:lang w:val="en-US" w:eastAsia="zh-CN"/>
        </w:rPr>
        <w:t>2.数字化转型程度对非息收入水平与中小银行信贷风险水平具有显著的影响作用。</w:t>
      </w:r>
      <w:bookmarkEnd w:id="36"/>
    </w:p>
    <w:p w14:paraId="21BFC348">
      <w:pPr>
        <w:bidi w:val="0"/>
        <w:rPr>
          <w:rFonts w:hint="default"/>
          <w:lang w:val="en-US" w:eastAsia="zh-CN"/>
        </w:rPr>
      </w:pPr>
      <w:r>
        <w:rPr>
          <w:rFonts w:hint="default"/>
          <w:lang w:val="en-US" w:eastAsia="zh-CN"/>
        </w:rPr>
        <w:t>实证结果表明，当数字化转型提升到一定程度时，能够有力地促进银行非息收入水平的提升，而这种提升又显著地抑制了</w:t>
      </w:r>
      <w:r>
        <w:rPr>
          <w:rFonts w:hint="eastAsia"/>
          <w:lang w:val="en-US" w:eastAsia="zh-CN"/>
        </w:rPr>
        <w:t>中小银行信贷风险水平</w:t>
      </w:r>
      <w:r>
        <w:rPr>
          <w:rFonts w:hint="default"/>
          <w:lang w:val="en-US" w:eastAsia="zh-CN"/>
        </w:rPr>
        <w:t>。具体来说，随着数字化转型程度的加深，商业银行整体的经营能力得到了更深层次的提升，在客户获取、产品匹配以及风险控制等关键环节的系统性能力也得到了显著提升。而这些提升并非简单的非息收入水平的增长，而是多元化经营和经济资本优化后的结果，这些因素叠加起来从而显著抑制了</w:t>
      </w:r>
      <w:r>
        <w:rPr>
          <w:rFonts w:hint="eastAsia"/>
          <w:lang w:val="en-US" w:eastAsia="zh-CN"/>
        </w:rPr>
        <w:t>中小银行信贷风险水平</w:t>
      </w:r>
      <w:r>
        <w:rPr>
          <w:rFonts w:hint="default"/>
          <w:lang w:val="en-US" w:eastAsia="zh-CN"/>
        </w:rPr>
        <w:t>。</w:t>
      </w:r>
    </w:p>
    <w:p w14:paraId="166DCD0D">
      <w:pPr>
        <w:pStyle w:val="4"/>
        <w:bidi w:val="0"/>
        <w:rPr>
          <w:rFonts w:hint="eastAsia"/>
          <w:lang w:val="en-US" w:eastAsia="zh-CN"/>
        </w:rPr>
      </w:pPr>
      <w:bookmarkStart w:id="37" w:name="_Toc2110"/>
      <w:r>
        <w:rPr>
          <w:rFonts w:hint="eastAsia"/>
          <w:lang w:val="en-US" w:eastAsia="zh-CN"/>
        </w:rPr>
        <w:t>3.不同类型的银行在数字化转型程度与信贷风险水平之间的关系中呈现出显著异质性。</w:t>
      </w:r>
      <w:bookmarkEnd w:id="37"/>
    </w:p>
    <w:p w14:paraId="0811C4AB">
      <w:pPr>
        <w:bidi w:val="0"/>
        <w:rPr>
          <w:rFonts w:hint="default"/>
          <w:lang w:val="en-US" w:eastAsia="zh-CN"/>
        </w:rPr>
      </w:pPr>
      <w:r>
        <w:rPr>
          <w:rFonts w:hint="default"/>
          <w:lang w:val="en-US" w:eastAsia="zh-CN"/>
        </w:rPr>
        <w:t>城商银行与农商银行因本身存在更</w:t>
      </w:r>
      <w:r>
        <w:rPr>
          <w:rFonts w:hint="eastAsia"/>
          <w:lang w:val="en-US" w:eastAsia="zh-CN"/>
        </w:rPr>
        <w:t>为显著</w:t>
      </w:r>
      <w:r>
        <w:rPr>
          <w:rFonts w:hint="default"/>
          <w:lang w:val="en-US" w:eastAsia="zh-CN"/>
        </w:rPr>
        <w:t>的信息孤岛和信息获取不对称问题，故通过加深数字化转型程度可以利用信息技术和大数据算法及模型，增加信息获取的渠道以及获取信息的准确性，降低信贷信息获取难度，精准识别和预警信贷风险信号，从而实现信贷风险水平的抑制作用。对于不同规模的银行来说，数字化转型的总体上是可以通过优化信息获取处理以及风险识别上抑制信贷风险，但对于大规模银行来说，数字化转型对信贷风险的抑制作用并不</w:t>
      </w:r>
      <w:r>
        <w:rPr>
          <w:rFonts w:hint="eastAsia"/>
          <w:lang w:val="en-US" w:eastAsia="zh-CN"/>
        </w:rPr>
        <w:t>十分</w:t>
      </w:r>
      <w:r>
        <w:rPr>
          <w:rFonts w:hint="default"/>
          <w:lang w:val="en-US" w:eastAsia="zh-CN"/>
        </w:rPr>
        <w:t>显著</w:t>
      </w:r>
      <w:r>
        <w:rPr>
          <w:rFonts w:hint="eastAsia"/>
          <w:lang w:val="en-US" w:eastAsia="zh-CN"/>
        </w:rPr>
        <w:t>。</w:t>
      </w:r>
    </w:p>
    <w:p w14:paraId="2B6E9332">
      <w:pPr>
        <w:pStyle w:val="3"/>
        <w:bidi w:val="0"/>
        <w:rPr>
          <w:rFonts w:hint="default"/>
          <w:lang w:val="en-US" w:eastAsia="zh-CN"/>
        </w:rPr>
      </w:pPr>
      <w:bookmarkStart w:id="38" w:name="_Toc7013"/>
      <w:r>
        <w:rPr>
          <w:rFonts w:hint="eastAsia"/>
          <w:lang w:val="en-US" w:eastAsia="zh-CN"/>
        </w:rPr>
        <w:t>（二）</w:t>
      </w:r>
      <w:r>
        <w:rPr>
          <w:rFonts w:hint="default"/>
          <w:lang w:val="en-US" w:eastAsia="zh-CN"/>
        </w:rPr>
        <w:t>政策建议</w:t>
      </w:r>
      <w:bookmarkEnd w:id="38"/>
    </w:p>
    <w:p w14:paraId="6715F89D">
      <w:pPr>
        <w:bidi w:val="0"/>
        <w:rPr>
          <w:rFonts w:hint="default"/>
          <w:lang w:val="en-US" w:eastAsia="zh-CN"/>
        </w:rPr>
      </w:pPr>
      <w:r>
        <w:rPr>
          <w:rFonts w:hint="default"/>
          <w:lang w:val="en-US" w:eastAsia="zh-CN"/>
        </w:rPr>
        <w:t>基于以上研究与结论，本文提出相关政策建议：</w:t>
      </w:r>
    </w:p>
    <w:p w14:paraId="7F8CEFEB">
      <w:pPr>
        <w:pStyle w:val="4"/>
        <w:bidi w:val="0"/>
        <w:rPr>
          <w:rFonts w:hint="default"/>
          <w:lang w:val="en-US" w:eastAsia="zh-CN"/>
        </w:rPr>
      </w:pPr>
      <w:r>
        <w:rPr>
          <w:rFonts w:hint="default"/>
          <w:lang w:val="en-US" w:eastAsia="zh-CN"/>
        </w:rPr>
        <w:t>1.中小银行应进一步利用数字化技术优化贷款流程以及风控模型。</w:t>
      </w:r>
    </w:p>
    <w:p w14:paraId="7DFB07D5">
      <w:pPr>
        <w:bidi w:val="0"/>
        <w:rPr>
          <w:rFonts w:hint="default"/>
          <w:lang w:val="en-US" w:eastAsia="zh-CN"/>
        </w:rPr>
      </w:pPr>
      <w:r>
        <w:rPr>
          <w:rFonts w:hint="default"/>
          <w:lang w:val="en-US" w:eastAsia="zh-CN"/>
        </w:rPr>
        <w:t>中小银行应持续推进数字化转型战略，强化金融科技应用，提升智能化水平。在贷款流程方面，贷前提升大数据分析、人工智能和区块链等技术在客户精准营销、产品创新中的应用水平，使得从源头上降低低质量客户的营销，降低风险水平；贷中运用大数据、AI建模优化信贷审批，减少人工干预，实现智能风控，提高风险识别精准度；实现智能风控贷后，精准推送风险贷后，实时关注借款人资金动向，从而实现从贷前、贷中以及贷后全流程风险</w:t>
      </w:r>
      <w:r>
        <w:rPr>
          <w:rFonts w:hint="eastAsia"/>
          <w:lang w:val="en-US" w:eastAsia="zh-CN"/>
        </w:rPr>
        <w:t>监测</w:t>
      </w:r>
      <w:r>
        <w:rPr>
          <w:rFonts w:hint="default"/>
          <w:lang w:val="en-US" w:eastAsia="zh-CN"/>
        </w:rPr>
        <w:t>与控制。在风控模型方面，应做到持续更新技术优化风险防控手段与更新模型防控规则，搭建全流程的数据中心，</w:t>
      </w:r>
      <w:r>
        <w:rPr>
          <w:rFonts w:hint="eastAsia"/>
          <w:lang w:val="en-US" w:eastAsia="zh-CN"/>
        </w:rPr>
        <w:t>整合</w:t>
      </w:r>
      <w:r>
        <w:rPr>
          <w:rFonts w:hint="default"/>
          <w:lang w:val="en-US" w:eastAsia="zh-CN"/>
        </w:rPr>
        <w:t>内外部数据，利用科学技术，弱化信息孤岛问题，同时不断进行技术与信息的更新，精准识别风险防控点，提升风险画像精度，同时防范新型诈骗，更新防控技术。</w:t>
      </w:r>
    </w:p>
    <w:p w14:paraId="060955BC">
      <w:pPr>
        <w:pStyle w:val="4"/>
        <w:bidi w:val="0"/>
        <w:rPr>
          <w:rFonts w:hint="default"/>
          <w:lang w:val="en-US" w:eastAsia="zh-CN"/>
        </w:rPr>
      </w:pPr>
      <w:bookmarkStart w:id="39" w:name="_Toc3731"/>
      <w:r>
        <w:rPr>
          <w:rFonts w:hint="default"/>
          <w:lang w:val="en-US" w:eastAsia="zh-CN"/>
        </w:rPr>
        <w:t>2.中小银行应进一步多元化收入结构，拓宽非息收入来源。</w:t>
      </w:r>
      <w:bookmarkEnd w:id="39"/>
    </w:p>
    <w:p w14:paraId="7B42A650">
      <w:pPr>
        <w:bidi w:val="0"/>
        <w:rPr>
          <w:rFonts w:hint="default"/>
          <w:lang w:val="en-US" w:eastAsia="zh-CN"/>
        </w:rPr>
      </w:pPr>
      <w:r>
        <w:rPr>
          <w:rFonts w:hint="default"/>
          <w:lang w:val="en-US" w:eastAsia="zh-CN"/>
        </w:rPr>
        <w:t>一方面，商业银行应充分利用数字化平台赋能，构建开放银行平台，通过API接口嵌入场景金融，运用大数据分析客户行为，开发精准营销模型，建立智能投顾系统，提升财富管理服务能力，拓展财富管理、投资银行、支付结算等非息业务，优化收入结构，降低对传统存贷利差的依赖；另一方面，要积极进行产品创新，强化金融市场业务，业务横向拓展，国内国外业务协同发展，优化资产管理服务。通过优化非息收入结构，多元化银行收入来源，增加收入稳定性，进而实现对信贷风险的抑制效果。同时拓宽非息收入来源，增加非息收入，扩充银行资本金，使得用于贷款资金整体增加，扩大贷款规模，同时严控不良再生成，达到对信贷风险的抑制效果。最后，要联合非息收入业务，健全贷款企业在行内非息业务收入数据的收集与使用，实时监测企业各项数据，如将企业的对公户以及代发工资绑定至贷款行，一方面拓宽了银行的收入，另一方面，银行可以实时监测企业数据，如企业出现账户不交易以及长期不发工资等情况，银行可以提前发现问题并预警，实现风险提前暴露，及时解决。</w:t>
      </w:r>
    </w:p>
    <w:p w14:paraId="609143DF">
      <w:pPr>
        <w:pStyle w:val="4"/>
        <w:bidi w:val="0"/>
        <w:rPr>
          <w:rFonts w:hint="default"/>
          <w:lang w:val="en-US" w:eastAsia="zh-CN"/>
        </w:rPr>
      </w:pPr>
      <w:bookmarkStart w:id="40" w:name="_Toc32444"/>
      <w:r>
        <w:rPr>
          <w:rFonts w:hint="default"/>
          <w:lang w:val="en-US" w:eastAsia="zh-CN"/>
        </w:rPr>
        <w:t>3.不同规模的中小银行应差异化推进数字化转型，并相互学习。</w:t>
      </w:r>
      <w:bookmarkEnd w:id="40"/>
    </w:p>
    <w:p w14:paraId="6500D794">
      <w:pPr>
        <w:bidi w:val="0"/>
        <w:rPr>
          <w:rFonts w:hint="default"/>
          <w:lang w:val="en-US" w:eastAsia="zh-CN"/>
        </w:rPr>
      </w:pPr>
      <w:r>
        <w:rPr>
          <w:rFonts w:hint="default"/>
          <w:lang w:val="en-US" w:eastAsia="zh-CN"/>
        </w:rPr>
        <w:t>首先，不同规模银行应结合自身特点，制定差异化的数字化转型策略。应结合自身信贷业务结构与规模体量，在推进数字化转型时要进一步明确数字化转型的重点，合理调配资源，对于自身科技存在短板的银行可以通过购买第三方科技公司合作，积极引入机器学习算法优化贷前评估、贷中监控和贷后管理，共建风控模型，补足自身科技短板，如可以采取外包以及和支付宝、京东这类网商银行合作，利用现有网商银行的风控模型，减少研发投入，增加投入产出，增强作用效果；对于科技能力强的银行，应全方面数字化转型，将银行从组织架构到内部控制再到风险</w:t>
      </w:r>
      <w:r>
        <w:rPr>
          <w:rFonts w:hint="eastAsia"/>
          <w:lang w:val="en-US" w:eastAsia="zh-CN"/>
        </w:rPr>
        <w:t>防控</w:t>
      </w:r>
      <w:r>
        <w:rPr>
          <w:rFonts w:hint="default"/>
          <w:lang w:val="en-US" w:eastAsia="zh-CN"/>
        </w:rPr>
        <w:t>实现全方面风控，并利用科技技术创新收入来源。其次，各个银行应加强合作，共建共享数据库，重点解决信息不对称问题。各家银行可以共享数字化转型中遇到的问题以及解决方式，共同学习，减少资源浪费，同时可以共建信贷黑名单数据库，进行数据共享，利用大数据整合内外部数据源</w:t>
      </w:r>
      <w:r>
        <w:rPr>
          <w:rFonts w:hint="eastAsia"/>
          <w:lang w:val="en-US" w:eastAsia="zh-CN"/>
        </w:rPr>
        <w:t>，</w:t>
      </w:r>
      <w:r>
        <w:rPr>
          <w:rFonts w:hint="default"/>
          <w:lang w:val="en-US" w:eastAsia="zh-CN"/>
        </w:rPr>
        <w:t>如税务、工商、征信数据等，打破“信息孤岛”，提高信贷决策精准度。同时在推进数字化转型的同时强化对员工的培训，风控模型的数据作为辅助资料，不得因风控模型评价较好而降低贷款审核标准，必须始终坚持审慎经营原则，严格遵循风险管理要求，确保信贷资产质量安全。</w:t>
      </w:r>
    </w:p>
    <w:p w14:paraId="2FA29A17">
      <w:pPr>
        <w:pStyle w:val="3"/>
        <w:bidi w:val="0"/>
        <w:rPr>
          <w:rFonts w:hint="default"/>
          <w:lang w:val="en-US" w:eastAsia="zh-CN"/>
        </w:rPr>
      </w:pPr>
      <w:bookmarkStart w:id="41" w:name="_Toc10085"/>
      <w:r>
        <w:rPr>
          <w:rFonts w:hint="eastAsia"/>
          <w:lang w:val="en-US" w:eastAsia="zh-CN"/>
        </w:rPr>
        <w:t>（三）</w:t>
      </w:r>
      <w:r>
        <w:rPr>
          <w:rFonts w:hint="default"/>
          <w:lang w:val="en-US" w:eastAsia="zh-CN"/>
        </w:rPr>
        <w:t>研究展望</w:t>
      </w:r>
      <w:bookmarkEnd w:id="41"/>
    </w:p>
    <w:p w14:paraId="7D0AA9CE">
      <w:pPr>
        <w:bidi w:val="0"/>
        <w:rPr>
          <w:rFonts w:hint="default"/>
          <w:lang w:val="en-US" w:eastAsia="zh-CN"/>
        </w:rPr>
      </w:pPr>
      <w:r>
        <w:rPr>
          <w:rFonts w:hint="default"/>
          <w:lang w:val="en-US" w:eastAsia="zh-CN"/>
        </w:rPr>
        <w:t>本研究基于2014—2023年间的27家</w:t>
      </w:r>
      <w:r>
        <w:rPr>
          <w:rFonts w:hint="eastAsia"/>
          <w:lang w:val="en-US" w:eastAsia="zh-CN"/>
        </w:rPr>
        <w:t>中小</w:t>
      </w:r>
      <w:r>
        <w:rPr>
          <w:rFonts w:hint="default"/>
          <w:lang w:val="en-US" w:eastAsia="zh-CN"/>
        </w:rPr>
        <w:t>银行的</w:t>
      </w:r>
      <w:r>
        <w:rPr>
          <w:rFonts w:hint="eastAsia"/>
          <w:lang w:val="en-US" w:eastAsia="zh-CN"/>
        </w:rPr>
        <w:t>财务</w:t>
      </w:r>
      <w:r>
        <w:rPr>
          <w:rFonts w:hint="default"/>
          <w:lang w:val="en-US" w:eastAsia="zh-CN"/>
        </w:rPr>
        <w:t>数据</w:t>
      </w:r>
      <w:r>
        <w:rPr>
          <w:rFonts w:hint="eastAsia"/>
          <w:lang w:val="en-US" w:eastAsia="zh-CN"/>
        </w:rPr>
        <w:t>和非财务数据</w:t>
      </w:r>
      <w:r>
        <w:rPr>
          <w:rFonts w:hint="default"/>
          <w:lang w:val="en-US" w:eastAsia="zh-CN"/>
        </w:rPr>
        <w:t>，验证了数字化转型通过非息收入对</w:t>
      </w:r>
      <w:r>
        <w:rPr>
          <w:rFonts w:hint="eastAsia"/>
          <w:lang w:val="en-US" w:eastAsia="zh-CN"/>
        </w:rPr>
        <w:t>中小银行</w:t>
      </w:r>
      <w:r>
        <w:rPr>
          <w:rFonts w:hint="default"/>
          <w:lang w:val="en-US" w:eastAsia="zh-CN"/>
        </w:rPr>
        <w:t>信贷风险</w:t>
      </w:r>
      <w:r>
        <w:rPr>
          <w:rFonts w:hint="eastAsia"/>
          <w:lang w:val="en-US" w:eastAsia="zh-CN"/>
        </w:rPr>
        <w:t>水平</w:t>
      </w:r>
      <w:r>
        <w:rPr>
          <w:rFonts w:hint="default"/>
          <w:lang w:val="en-US" w:eastAsia="zh-CN"/>
        </w:rPr>
        <w:t>的显著影响，但研究过程中</w:t>
      </w:r>
      <w:r>
        <w:rPr>
          <w:rFonts w:hint="eastAsia"/>
          <w:lang w:val="en-US" w:eastAsia="zh-CN"/>
        </w:rPr>
        <w:t>还</w:t>
      </w:r>
      <w:r>
        <w:rPr>
          <w:rFonts w:hint="default"/>
          <w:lang w:val="en-US" w:eastAsia="zh-CN"/>
        </w:rPr>
        <w:t>存在一定的局限性。</w:t>
      </w:r>
      <w:r>
        <w:rPr>
          <w:rFonts w:hint="eastAsia"/>
          <w:lang w:val="en-US" w:eastAsia="zh-CN"/>
        </w:rPr>
        <w:t>一是</w:t>
      </w:r>
      <w:r>
        <w:rPr>
          <w:rFonts w:hint="default"/>
          <w:lang w:val="en-US" w:eastAsia="zh-CN"/>
        </w:rPr>
        <w:t>，本次研究主体未涵盖全部上市银行，在研究主体上具有一定的局限性。</w:t>
      </w:r>
      <w:r>
        <w:rPr>
          <w:rFonts w:hint="eastAsia"/>
          <w:lang w:val="en-US" w:eastAsia="zh-CN"/>
        </w:rPr>
        <w:t>二是</w:t>
      </w:r>
      <w:r>
        <w:rPr>
          <w:rFonts w:hint="default"/>
          <w:lang w:val="en-US" w:eastAsia="zh-CN"/>
        </w:rPr>
        <w:t>，对信贷风险水平的表征仅以不良贷款率作为衡量指标，</w:t>
      </w:r>
      <w:r>
        <w:rPr>
          <w:rFonts w:hint="eastAsia"/>
          <w:lang w:val="en-US" w:eastAsia="zh-CN"/>
        </w:rPr>
        <w:t>未</w:t>
      </w:r>
      <w:r>
        <w:rPr>
          <w:rFonts w:hint="default"/>
          <w:lang w:val="en-US" w:eastAsia="zh-CN"/>
        </w:rPr>
        <w:t>进一步区分银行贷前风险与贷后风险。</w:t>
      </w:r>
      <w:r>
        <w:rPr>
          <w:rFonts w:hint="eastAsia"/>
          <w:lang w:val="en-US" w:eastAsia="zh-CN"/>
        </w:rPr>
        <w:t>三是</w:t>
      </w:r>
      <w:r>
        <w:rPr>
          <w:rFonts w:hint="default"/>
          <w:lang w:val="en-US" w:eastAsia="zh-CN"/>
        </w:rPr>
        <w:t>，对于异质性检验仅以银行类别作为区分，没有进行更多的分类进一步判断数字化转型对信贷风险的影响；最后，在中介变量以及控制变量上探讨更多的可能性。</w:t>
      </w:r>
    </w:p>
    <w:p w14:paraId="7DE7FBE3">
      <w:pPr>
        <w:bidi w:val="0"/>
        <w:rPr>
          <w:rFonts w:hint="default"/>
          <w:lang w:val="en-US" w:eastAsia="zh-CN"/>
        </w:rPr>
      </w:pPr>
      <w:r>
        <w:rPr>
          <w:rFonts w:hint="default"/>
          <w:lang w:val="en-US" w:eastAsia="zh-CN"/>
        </w:rPr>
        <w:t>未来研究</w:t>
      </w:r>
      <w:r>
        <w:rPr>
          <w:rFonts w:hint="eastAsia"/>
          <w:lang w:val="en-US" w:eastAsia="zh-CN"/>
        </w:rPr>
        <w:t>还</w:t>
      </w:r>
      <w:r>
        <w:rPr>
          <w:rFonts w:hint="default"/>
          <w:lang w:val="en-US" w:eastAsia="zh-CN"/>
        </w:rPr>
        <w:t>可</w:t>
      </w:r>
      <w:r>
        <w:rPr>
          <w:rFonts w:hint="eastAsia"/>
          <w:lang w:val="en-US" w:eastAsia="zh-CN"/>
        </w:rPr>
        <w:t>在以下方向</w:t>
      </w:r>
      <w:r>
        <w:rPr>
          <w:rFonts w:hint="default"/>
          <w:lang w:val="en-US" w:eastAsia="zh-CN"/>
        </w:rPr>
        <w:t>进一步拓展。</w:t>
      </w:r>
      <w:r>
        <w:rPr>
          <w:rFonts w:hint="eastAsia"/>
          <w:lang w:val="en-US" w:eastAsia="zh-CN"/>
        </w:rPr>
        <w:t>如可</w:t>
      </w:r>
      <w:r>
        <w:rPr>
          <w:rFonts w:hint="default"/>
          <w:lang w:val="en-US" w:eastAsia="zh-CN"/>
        </w:rPr>
        <w:t>获取更</w:t>
      </w:r>
      <w:r>
        <w:rPr>
          <w:rFonts w:hint="eastAsia"/>
          <w:lang w:val="en-US" w:eastAsia="zh-CN"/>
        </w:rPr>
        <w:t>为</w:t>
      </w:r>
      <w:r>
        <w:rPr>
          <w:rFonts w:hint="default"/>
          <w:lang w:val="en-US" w:eastAsia="zh-CN"/>
        </w:rPr>
        <w:t>丰富、多维的数据样本，从上市与非上市银行主体出发，以揭示数字化转型程度与信贷风险的动态演化关系；</w:t>
      </w:r>
      <w:r>
        <w:rPr>
          <w:rFonts w:hint="eastAsia"/>
          <w:lang w:val="en-US" w:eastAsia="zh-CN"/>
        </w:rPr>
        <w:t>进一步</w:t>
      </w:r>
      <w:r>
        <w:rPr>
          <w:rFonts w:hint="default"/>
          <w:lang w:val="en-US" w:eastAsia="zh-CN"/>
        </w:rPr>
        <w:t>探讨数字化转型对贷前与贷后风险的影响，更加全面</w:t>
      </w:r>
      <w:r>
        <w:rPr>
          <w:rFonts w:hint="eastAsia"/>
          <w:lang w:val="en-US" w:eastAsia="zh-CN"/>
        </w:rPr>
        <w:t>地</w:t>
      </w:r>
      <w:r>
        <w:rPr>
          <w:rFonts w:hint="default"/>
          <w:lang w:val="en-US" w:eastAsia="zh-CN"/>
        </w:rPr>
        <w:t>探讨数字化转型对信贷风险的影响</w:t>
      </w:r>
      <w:r>
        <w:rPr>
          <w:rFonts w:hint="eastAsia"/>
          <w:lang w:val="en-US" w:eastAsia="zh-CN"/>
        </w:rPr>
        <w:t>。另外</w:t>
      </w:r>
      <w:r>
        <w:rPr>
          <w:rFonts w:hint="default"/>
          <w:lang w:val="en-US" w:eastAsia="zh-CN"/>
        </w:rPr>
        <w:t>，</w:t>
      </w:r>
      <w:r>
        <w:rPr>
          <w:rFonts w:hint="eastAsia"/>
          <w:lang w:val="en-US" w:eastAsia="zh-CN"/>
        </w:rPr>
        <w:t>还可以</w:t>
      </w:r>
      <w:r>
        <w:rPr>
          <w:rFonts w:hint="default"/>
          <w:lang w:val="en-US" w:eastAsia="zh-CN"/>
        </w:rPr>
        <w:t>探索</w:t>
      </w:r>
      <w:r>
        <w:rPr>
          <w:rFonts w:hint="eastAsia"/>
          <w:lang w:val="en-US" w:eastAsia="zh-CN"/>
        </w:rPr>
        <w:t>从更多维度</w:t>
      </w:r>
      <w:r>
        <w:rPr>
          <w:rFonts w:hint="default"/>
          <w:lang w:val="en-US" w:eastAsia="zh-CN"/>
        </w:rPr>
        <w:t>进行异质性检验，</w:t>
      </w:r>
      <w:r>
        <w:rPr>
          <w:rFonts w:hint="eastAsia"/>
          <w:lang w:val="en-US" w:eastAsia="zh-CN"/>
        </w:rPr>
        <w:t>并</w:t>
      </w:r>
      <w:r>
        <w:rPr>
          <w:rFonts w:hint="default"/>
          <w:lang w:val="en-US" w:eastAsia="zh-CN"/>
        </w:rPr>
        <w:t>引入</w:t>
      </w:r>
      <w:r>
        <w:rPr>
          <w:rFonts w:hint="eastAsia"/>
          <w:lang w:val="en-US" w:eastAsia="zh-CN"/>
        </w:rPr>
        <w:t>其他</w:t>
      </w:r>
      <w:r>
        <w:rPr>
          <w:rFonts w:hint="default"/>
          <w:lang w:val="en-US" w:eastAsia="zh-CN"/>
        </w:rPr>
        <w:t>控制变量，如流动性比率、净利差、拨备覆盖率等，以更全面地阐明数字化转型对</w:t>
      </w:r>
      <w:r>
        <w:rPr>
          <w:rFonts w:hint="eastAsia"/>
          <w:lang w:val="en-US" w:eastAsia="zh-CN"/>
        </w:rPr>
        <w:t>中小</w:t>
      </w:r>
      <w:r>
        <w:rPr>
          <w:rFonts w:hint="default"/>
          <w:lang w:val="en-US" w:eastAsia="zh-CN"/>
        </w:rPr>
        <w:t>银行信贷风险</w:t>
      </w:r>
      <w:r>
        <w:rPr>
          <w:rFonts w:hint="eastAsia"/>
          <w:lang w:val="en-US" w:eastAsia="zh-CN"/>
        </w:rPr>
        <w:t>水平影响</w:t>
      </w:r>
      <w:r>
        <w:rPr>
          <w:rFonts w:hint="default"/>
          <w:lang w:val="en-US" w:eastAsia="zh-CN"/>
        </w:rPr>
        <w:t>的复杂作用机制。</w:t>
      </w:r>
    </w:p>
    <w:p w14:paraId="2100E559">
      <w:pPr>
        <w:pStyle w:val="2"/>
        <w:keepNext/>
        <w:keepLines/>
        <w:pageBreakBefore w:val="0"/>
        <w:widowControl w:val="0"/>
        <w:kinsoku/>
        <w:wordWrap/>
        <w:overflowPunct/>
        <w:topLinePunct w:val="0"/>
        <w:autoSpaceDE/>
        <w:autoSpaceDN/>
        <w:bidi w:val="0"/>
        <w:adjustRightInd/>
        <w:snapToGrid/>
        <w:spacing w:before="369" w:after="369" w:line="382" w:lineRule="exact"/>
        <w:jc w:val="center"/>
        <w:textAlignment w:val="auto"/>
        <w:rPr>
          <w:rFonts w:hint="default" w:ascii="黑体" w:hAnsi="黑体" w:eastAsia="黑体" w:cs="黑体"/>
          <w:sz w:val="24"/>
          <w:szCs w:val="24"/>
          <w:lang w:val="en-US" w:eastAsia="zh-CN"/>
        </w:rPr>
      </w:pPr>
      <w:bookmarkStart w:id="42" w:name="_Toc23662"/>
    </w:p>
    <w:p w14:paraId="356E4151">
      <w:pPr>
        <w:pStyle w:val="2"/>
        <w:keepNext/>
        <w:keepLines/>
        <w:pageBreakBefore w:val="0"/>
        <w:widowControl w:val="0"/>
        <w:kinsoku/>
        <w:wordWrap/>
        <w:overflowPunct/>
        <w:topLinePunct w:val="0"/>
        <w:autoSpaceDE/>
        <w:autoSpaceDN/>
        <w:bidi w:val="0"/>
        <w:adjustRightInd/>
        <w:snapToGrid/>
        <w:spacing w:before="369" w:after="369" w:line="382" w:lineRule="exact"/>
        <w:jc w:val="center"/>
        <w:textAlignment w:val="auto"/>
        <w:rPr>
          <w:rFonts w:hint="default" w:ascii="黑体" w:hAnsi="黑体" w:eastAsia="黑体" w:cs="黑体"/>
          <w:sz w:val="24"/>
          <w:szCs w:val="24"/>
          <w:lang w:val="en-US" w:eastAsia="zh-CN"/>
        </w:rPr>
      </w:pPr>
    </w:p>
    <w:p w14:paraId="283EE731">
      <w:pPr>
        <w:pStyle w:val="2"/>
        <w:keepNext/>
        <w:keepLines/>
        <w:pageBreakBefore w:val="0"/>
        <w:widowControl w:val="0"/>
        <w:kinsoku/>
        <w:wordWrap/>
        <w:overflowPunct/>
        <w:topLinePunct w:val="0"/>
        <w:autoSpaceDE/>
        <w:autoSpaceDN/>
        <w:bidi w:val="0"/>
        <w:adjustRightInd/>
        <w:snapToGrid/>
        <w:spacing w:before="369" w:after="369" w:line="382" w:lineRule="exact"/>
        <w:jc w:val="center"/>
        <w:textAlignment w:val="auto"/>
        <w:rPr>
          <w:rFonts w:hint="default" w:ascii="黑体" w:hAnsi="黑体" w:eastAsia="黑体" w:cs="黑体"/>
          <w:sz w:val="24"/>
          <w:szCs w:val="24"/>
          <w:lang w:val="en-US" w:eastAsia="zh-CN"/>
        </w:rPr>
      </w:pPr>
    </w:p>
    <w:p w14:paraId="6361E741">
      <w:pPr>
        <w:pStyle w:val="2"/>
        <w:keepNext/>
        <w:keepLines/>
        <w:pageBreakBefore w:val="0"/>
        <w:widowControl w:val="0"/>
        <w:kinsoku/>
        <w:wordWrap/>
        <w:overflowPunct/>
        <w:topLinePunct w:val="0"/>
        <w:autoSpaceDE/>
        <w:autoSpaceDN/>
        <w:bidi w:val="0"/>
        <w:adjustRightInd/>
        <w:snapToGrid/>
        <w:spacing w:before="369" w:after="369" w:line="382" w:lineRule="exact"/>
        <w:jc w:val="center"/>
        <w:textAlignment w:val="auto"/>
        <w:rPr>
          <w:rFonts w:hint="default" w:ascii="Times New Roman" w:hAnsi="Times New Roman" w:eastAsia="黑体" w:cs="Times New Roman"/>
          <w:b w:val="0"/>
          <w:bCs/>
          <w:sz w:val="28"/>
          <w:szCs w:val="28"/>
          <w:lang w:val="en-US" w:eastAsia="zh-CN"/>
        </w:rPr>
        <w:sectPr>
          <w:footerReference r:id="rId5" w:type="default"/>
          <w:footnotePr>
            <w:numFmt w:val="decimalEnclosedCircleChinese"/>
          </w:footnotePr>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黑体" w:hAnsi="黑体" w:eastAsia="黑体" w:cs="黑体"/>
          <w:sz w:val="24"/>
          <w:szCs w:val="24"/>
          <w:lang w:val="en-US" w:eastAsia="zh-CN"/>
        </w:rPr>
        <w:t>参考文献</w:t>
      </w:r>
      <w:bookmarkEnd w:id="42"/>
    </w:p>
    <w:p w14:paraId="03A98708">
      <w:pPr>
        <w:rPr>
          <w:rFonts w:hint="default" w:ascii="Times New Roman" w:hAnsi="Times New Roman" w:eastAsia="宋体" w:cs="Times New Roman"/>
          <w:b/>
          <w:bCs/>
          <w:color w:val="auto"/>
          <w:sz w:val="26"/>
          <w:szCs w:val="28"/>
          <w:lang w:val="en-US" w:eastAsia="zh-CN"/>
        </w:rPr>
      </w:pPr>
      <w:r>
        <w:rPr>
          <w:rFonts w:hint="default" w:ascii="Times New Roman" w:hAnsi="Times New Roman" w:eastAsia="宋体" w:cs="Times New Roman"/>
          <w:b/>
          <w:bCs/>
          <w:color w:val="auto"/>
          <w:sz w:val="26"/>
          <w:szCs w:val="28"/>
          <w:lang w:val="en-US" w:eastAsia="zh-CN"/>
        </w:rPr>
        <w:br w:type="page"/>
      </w:r>
    </w:p>
    <w:p w14:paraId="704BA4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color w:val="000000"/>
          <w:sz w:val="26"/>
          <w:szCs w:val="28"/>
        </w:rPr>
      </w:pPr>
      <w:r>
        <w:rPr>
          <w:rFonts w:hint="default" w:ascii="Times New Roman" w:hAnsi="Times New Roman" w:eastAsia="宋体" w:cs="Times New Roman"/>
          <w:b/>
          <w:bCs/>
          <w:color w:val="auto"/>
          <w:sz w:val="26"/>
          <w:szCs w:val="28"/>
          <w:lang w:val="en-US" w:eastAsia="zh-CN"/>
        </w:rPr>
        <w:t xml:space="preserve">Can Digital Transformation Effectively Mitigate Credit Risk Levels in Small and Medium-Sized Banks? </w:t>
      </w:r>
    </w:p>
    <w:p w14:paraId="7C910893">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18"/>
          <w:szCs w:val="18"/>
        </w:rPr>
        <w:t>Abstract:</w:t>
      </w:r>
      <w:r>
        <w:rPr>
          <w:rFonts w:hint="default" w:ascii="Times New Roman" w:hAnsi="Times New Roman" w:eastAsia="宋体" w:cs="Times New Roman"/>
          <w:sz w:val="18"/>
          <w:szCs w:val="18"/>
          <w:lang w:val="en-US" w:eastAsia="zh-CN"/>
        </w:rPr>
        <w:t>Currently, the prevention and resolution of risks in small and medium-sized banks (SMBs) have become particularly urgent, especially regarding credit risk control. Digital transformation has significantly influenced the credit risk levels of SMBs. However, whether this impact is positive or negative, and how to implement more effective credit risk management measures, remain critical issues of common concern for both the financial sector and academia.To investigate these questions, this study employs operational data from 27 regional commercial banks in China from 2014 to 2023. Using a mediation effect model with non</w:t>
      </w:r>
      <w:r>
        <w:rPr>
          <w:rFonts w:hint="eastAsia" w:eastAsia="宋体" w:cs="Times New Roman"/>
          <w:sz w:val="18"/>
          <w:szCs w:val="18"/>
          <w:lang w:val="en-US" w:eastAsia="zh-CN"/>
        </w:rPr>
        <w:t>-</w:t>
      </w:r>
      <w:r>
        <w:rPr>
          <w:rFonts w:hint="default" w:ascii="Times New Roman" w:hAnsi="Times New Roman" w:eastAsia="宋体" w:cs="Times New Roman"/>
          <w:sz w:val="18"/>
          <w:szCs w:val="18"/>
          <w:lang w:val="en-US" w:eastAsia="zh-CN"/>
        </w:rPr>
        <w:t>interest income as the mediating variable, we examine the mechanism through which digital transformation affects the credit risk levels of SMBs.The findings reveal that: (1) Digital transformation significantly reduces credit risk in SMBs, and this conclusion remains robust after rigorous robustness checks and endogeneity tests. (2) Digital transformation mitigates credit risk by increasing the proportion of non</w:t>
      </w:r>
      <w:r>
        <w:rPr>
          <w:rFonts w:hint="eastAsia" w:eastAsia="宋体" w:cs="Times New Roman"/>
          <w:sz w:val="18"/>
          <w:szCs w:val="18"/>
          <w:lang w:val="en-US" w:eastAsia="zh-CN"/>
        </w:rPr>
        <w:t>-</w:t>
      </w:r>
      <w:r>
        <w:rPr>
          <w:rFonts w:hint="default" w:ascii="Times New Roman" w:hAnsi="Times New Roman" w:eastAsia="宋体" w:cs="Times New Roman"/>
          <w:sz w:val="18"/>
          <w:szCs w:val="18"/>
          <w:lang w:val="en-US" w:eastAsia="zh-CN"/>
        </w:rPr>
        <w:t>interest income in SMBs. (3) Heterogeneity analysis indicates that the risk</w:t>
      </w:r>
      <w:r>
        <w:rPr>
          <w:rFonts w:hint="eastAsia" w:eastAsia="宋体" w:cs="Times New Roman"/>
          <w:sz w:val="18"/>
          <w:szCs w:val="18"/>
          <w:lang w:val="en-US" w:eastAsia="zh-CN"/>
        </w:rPr>
        <w:t>-</w:t>
      </w:r>
      <w:r>
        <w:rPr>
          <w:rFonts w:hint="default" w:ascii="Times New Roman" w:hAnsi="Times New Roman" w:eastAsia="宋体" w:cs="Times New Roman"/>
          <w:sz w:val="18"/>
          <w:szCs w:val="18"/>
          <w:lang w:val="en-US" w:eastAsia="zh-CN"/>
        </w:rPr>
        <w:t>reducing effect of digital transformation is more pronounced in smaller banks compared to larger ones.This study aims to deepen the understanding of the relationship between bank digital transformation and credit risk, while providing valuable insights and strategic recommendations for credit risk control practices</w:t>
      </w:r>
      <w:r>
        <w:rPr>
          <w:rFonts w:hint="default" w:ascii="Times New Roman" w:hAnsi="Times New Roman" w:eastAsia="宋体" w:cs="Times New Roman"/>
          <w:sz w:val="18"/>
          <w:szCs w:val="18"/>
        </w:rPr>
        <w:t>.</w:t>
      </w:r>
    </w:p>
    <w:p w14:paraId="7F192338">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b/>
          <w:bCs/>
          <w:sz w:val="18"/>
          <w:szCs w:val="18"/>
        </w:rPr>
        <w:t>Keywords:</w:t>
      </w:r>
      <w:r>
        <w:rPr>
          <w:rFonts w:hint="default" w:ascii="Times New Roman" w:hAnsi="Times New Roman" w:eastAsia="宋体" w:cs="Times New Roman"/>
          <w:sz w:val="18"/>
          <w:szCs w:val="18"/>
          <w:lang w:val="en-US" w:eastAsia="zh-CN"/>
        </w:rPr>
        <w:t>Small and medium</w:t>
      </w:r>
      <w:r>
        <w:rPr>
          <w:rFonts w:hint="eastAsia" w:ascii="Times New Roman" w:hAnsi="Times New Roman" w:eastAsia="宋体" w:cs="Times New Roman"/>
          <w:sz w:val="18"/>
          <w:szCs w:val="18"/>
          <w:lang w:val="en-US" w:eastAsia="zh-CN"/>
        </w:rPr>
        <w:t>-</w:t>
      </w:r>
      <w:r>
        <w:rPr>
          <w:rFonts w:hint="default" w:ascii="Times New Roman" w:hAnsi="Times New Roman" w:eastAsia="宋体" w:cs="Times New Roman"/>
          <w:sz w:val="18"/>
          <w:szCs w:val="18"/>
          <w:lang w:val="en-US" w:eastAsia="zh-CN"/>
        </w:rPr>
        <w:t xml:space="preserve">sized </w:t>
      </w:r>
      <w:r>
        <w:rPr>
          <w:rFonts w:hint="eastAsia" w:ascii="Times New Roman" w:hAnsi="Times New Roman" w:eastAsia="宋体" w:cs="Times New Roman"/>
          <w:sz w:val="18"/>
          <w:szCs w:val="18"/>
          <w:lang w:val="en-US" w:eastAsia="zh-CN"/>
        </w:rPr>
        <w:t>B</w:t>
      </w:r>
      <w:r>
        <w:rPr>
          <w:rFonts w:hint="default" w:ascii="Times New Roman" w:hAnsi="Times New Roman" w:eastAsia="宋体" w:cs="Times New Roman"/>
          <w:sz w:val="18"/>
          <w:szCs w:val="18"/>
          <w:lang w:val="en-US" w:eastAsia="zh-CN"/>
        </w:rPr>
        <w:t xml:space="preserve">anks; Digital </w:t>
      </w:r>
      <w:r>
        <w:rPr>
          <w:rFonts w:hint="eastAsia" w:ascii="Times New Roman" w:hAnsi="Times New Roman" w:eastAsia="宋体" w:cs="Times New Roman"/>
          <w:sz w:val="18"/>
          <w:szCs w:val="18"/>
          <w:lang w:val="en-US" w:eastAsia="zh-CN"/>
        </w:rPr>
        <w:t>T</w:t>
      </w:r>
      <w:r>
        <w:rPr>
          <w:rFonts w:hint="default" w:ascii="Times New Roman" w:hAnsi="Times New Roman" w:eastAsia="宋体" w:cs="Times New Roman"/>
          <w:sz w:val="18"/>
          <w:szCs w:val="18"/>
          <w:lang w:val="en-US" w:eastAsia="zh-CN"/>
        </w:rPr>
        <w:t>ransformation</w:t>
      </w:r>
      <w:r>
        <w:rPr>
          <w:rFonts w:hint="eastAsia" w:ascii="Times New Roman" w:hAnsi="Times New Roman" w:eastAsia="宋体" w:cs="Times New Roman"/>
          <w:sz w:val="18"/>
          <w:szCs w:val="18"/>
          <w:lang w:val="en-US" w:eastAsia="zh-CN"/>
        </w:rPr>
        <w:t>；</w:t>
      </w:r>
      <w:r>
        <w:rPr>
          <w:rFonts w:hint="default" w:ascii="Times New Roman" w:hAnsi="Times New Roman" w:eastAsia="宋体" w:cs="Times New Roman"/>
          <w:sz w:val="18"/>
          <w:szCs w:val="18"/>
          <w:lang w:val="en-US" w:eastAsia="zh-CN"/>
        </w:rPr>
        <w:t>Credit</w:t>
      </w:r>
      <w:r>
        <w:rPr>
          <w:rFonts w:hint="eastAsia" w:ascii="Times New Roman" w:hAnsi="Times New Roman" w:eastAsia="宋体" w:cs="Times New Roman"/>
          <w:sz w:val="18"/>
          <w:szCs w:val="18"/>
          <w:lang w:val="en-US" w:eastAsia="zh-CN"/>
        </w:rPr>
        <w:t xml:space="preserve"> R</w:t>
      </w:r>
      <w:r>
        <w:rPr>
          <w:rFonts w:hint="default" w:ascii="Times New Roman" w:hAnsi="Times New Roman" w:eastAsia="宋体" w:cs="Times New Roman"/>
          <w:sz w:val="18"/>
          <w:szCs w:val="18"/>
          <w:lang w:val="en-US" w:eastAsia="zh-CN"/>
        </w:rPr>
        <w:t xml:space="preserve">isk </w:t>
      </w:r>
      <w:r>
        <w:rPr>
          <w:rFonts w:hint="eastAsia" w:ascii="Times New Roman" w:hAnsi="Times New Roman" w:eastAsia="宋体" w:cs="Times New Roman"/>
          <w:sz w:val="18"/>
          <w:szCs w:val="18"/>
          <w:lang w:val="en-US" w:eastAsia="zh-CN"/>
        </w:rPr>
        <w:t>L</w:t>
      </w:r>
      <w:r>
        <w:rPr>
          <w:rFonts w:hint="default" w:ascii="Times New Roman" w:hAnsi="Times New Roman" w:eastAsia="宋体" w:cs="Times New Roman"/>
          <w:sz w:val="18"/>
          <w:szCs w:val="18"/>
          <w:lang w:val="en-US" w:eastAsia="zh-CN"/>
        </w:rPr>
        <w:t>evel</w:t>
      </w:r>
      <w:r>
        <w:rPr>
          <w:rFonts w:hint="eastAsia" w:ascii="Times New Roman" w:hAnsi="Times New Roman" w:eastAsia="宋体" w:cs="Times New Roman"/>
          <w:sz w:val="18"/>
          <w:szCs w:val="18"/>
          <w:lang w:val="en-US" w:eastAsia="zh-CN"/>
        </w:rPr>
        <w:t>；</w:t>
      </w:r>
      <w:r>
        <w:rPr>
          <w:rFonts w:hint="default" w:ascii="Times New Roman" w:hAnsi="Times New Roman" w:eastAsia="宋体" w:cs="Times New Roman"/>
          <w:sz w:val="18"/>
          <w:szCs w:val="18"/>
          <w:lang w:val="en-US" w:eastAsia="zh-CN"/>
        </w:rPr>
        <w:t>Non</w:t>
      </w:r>
      <w:r>
        <w:rPr>
          <w:rFonts w:hint="eastAsia" w:ascii="Times New Roman" w:hAnsi="Times New Roman" w:eastAsia="宋体" w:cs="Times New Roman"/>
          <w:sz w:val="18"/>
          <w:szCs w:val="18"/>
          <w:lang w:val="en-US" w:eastAsia="zh-CN"/>
        </w:rPr>
        <w:t>－</w:t>
      </w:r>
      <w:r>
        <w:rPr>
          <w:rFonts w:hint="default" w:ascii="Times New Roman" w:hAnsi="Times New Roman" w:eastAsia="宋体" w:cs="Times New Roman"/>
          <w:sz w:val="18"/>
          <w:szCs w:val="18"/>
          <w:lang w:val="en-US" w:eastAsia="zh-CN"/>
        </w:rPr>
        <w:t>interest income</w:t>
      </w:r>
      <w:r>
        <w:rPr>
          <w:rFonts w:hint="eastAsia" w:ascii="Times New Roman" w:hAnsi="Times New Roman" w:eastAsia="宋体" w:cs="Times New Roman"/>
          <w:sz w:val="18"/>
          <w:szCs w:val="18"/>
          <w:lang w:val="en-US" w:eastAsia="zh-CN"/>
        </w:rPr>
        <w:t>；</w:t>
      </w:r>
    </w:p>
    <w:sectPr>
      <w:endnotePr>
        <w:numFmt w:val="decimal"/>
      </w:endnote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82">
    <w:p>
      <w:pPr>
        <w:spacing w:line="240" w:lineRule="auto"/>
        <w:ind w:firstLine="420"/>
      </w:pPr>
    </w:p>
  </w:endnote>
  <w:endnote w:type="continuationSeparator" w:id="83">
    <w:p>
      <w:pPr>
        <w:spacing w:line="240" w:lineRule="auto"/>
        <w:ind w:firstLine="420"/>
      </w:pPr>
    </w:p>
  </w:endnote>
  <w:endnote w:id="0">
    <w:p w14:paraId="75ED584A">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xml:space="preserve">] </w:t>
      </w:r>
      <w:r>
        <w:rPr>
          <w:rFonts w:hint="default"/>
          <w:lang w:val="en-US" w:eastAsia="zh-CN"/>
        </w:rPr>
        <w:t>国家金融监督管理总局. 2023年商业银行主要指标分机构类情况表（季度）[EB/OL]. (2024</w:t>
      </w:r>
      <w:r>
        <w:rPr>
          <w:rFonts w:hint="eastAsia"/>
          <w:lang w:val="en-US" w:eastAsia="zh-CN"/>
        </w:rPr>
        <w:t>－</w:t>
      </w:r>
      <w:r>
        <w:rPr>
          <w:rFonts w:hint="default"/>
          <w:lang w:val="en-US" w:eastAsia="zh-CN"/>
        </w:rPr>
        <w:t>02</w:t>
      </w:r>
      <w:r>
        <w:rPr>
          <w:rFonts w:hint="eastAsia"/>
          <w:lang w:val="en-US" w:eastAsia="zh-CN"/>
        </w:rPr>
        <w:t>－</w:t>
      </w:r>
      <w:r>
        <w:rPr>
          <w:rFonts w:hint="default"/>
          <w:lang w:val="en-US" w:eastAsia="zh-CN"/>
        </w:rPr>
        <w:t>21)[2025</w:t>
      </w:r>
      <w:r>
        <w:rPr>
          <w:rFonts w:hint="eastAsia"/>
          <w:lang w:val="en-US" w:eastAsia="zh-CN"/>
        </w:rPr>
        <w:t>－</w:t>
      </w:r>
      <w:r>
        <w:rPr>
          <w:rFonts w:hint="default"/>
          <w:lang w:val="en-US" w:eastAsia="zh-CN"/>
        </w:rPr>
        <w:t>04</w:t>
      </w:r>
      <w:r>
        <w:rPr>
          <w:rFonts w:hint="eastAsia"/>
          <w:lang w:val="en-US" w:eastAsia="zh-CN"/>
        </w:rPr>
        <w:t>－</w:t>
      </w:r>
      <w:r>
        <w:rPr>
          <w:rFonts w:hint="default"/>
          <w:lang w:val="en-US" w:eastAsia="zh-CN"/>
        </w:rPr>
        <w:t xml:space="preserve">22]. </w:t>
      </w:r>
    </w:p>
  </w:endnote>
  <w:endnote w:id="1">
    <w:p w14:paraId="25925974">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国家金融监督管理总局. 2024年商业银行主要指标分机构类情况表（季度）[EB/OL]. (2025－02－21)[2025－04－22].</w:t>
      </w:r>
    </w:p>
  </w:endnote>
  <w:endnote w:id="2">
    <w:p w14:paraId="7A45805A">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洪宇高.高效金融科技服务助力银行转型升级[J].中国金融,2024,(20):63－64.</w:t>
      </w:r>
    </w:p>
  </w:endnote>
  <w:endnote w:id="3">
    <w:p w14:paraId="7F278CFB">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逯苗苗,孙中会,刘晓冶.内部竞争压力还是外部竞争冲击?——商业银行数字化转型动因研究[J].东岳论丛,2023,44(03):132－140.</w:t>
      </w:r>
    </w:p>
  </w:endnote>
  <w:endnote w:id="4">
    <w:p w14:paraId="64BC8C45">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丁敬雯.数字化转型与商业银行信用风险管理:效应分析与国际借鉴[J].世界经济与政治论坛,2024,(04):138－153</w:t>
      </w:r>
    </w:p>
  </w:endnote>
  <w:endnote w:id="5">
    <w:p w14:paraId="41AB1486">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徐蕾.数字化转型如何赋能商业银行风险管理——兼论数字赋能质效的“马太效应”[J].金融发展研究,2024,(10):36－49.</w:t>
      </w:r>
    </w:p>
  </w:endnote>
  <w:endnote w:id="6">
    <w:p w14:paraId="5EA18AC4">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xml:space="preserve">] </w:t>
      </w:r>
      <w:r>
        <w:rPr>
          <w:rFonts w:hint="default"/>
          <w:lang w:val="en-US" w:eastAsia="zh-CN"/>
        </w:rPr>
        <w:t>方意,王琦.数字金融影响商业银行信贷供给和风险的研究进展[J].财经问题研究,2025,(01):15</w:t>
      </w:r>
      <w:r>
        <w:rPr>
          <w:rFonts w:hint="eastAsia"/>
          <w:lang w:val="en-US" w:eastAsia="zh-CN"/>
        </w:rPr>
        <w:t>－</w:t>
      </w:r>
      <w:r>
        <w:rPr>
          <w:rFonts w:hint="default"/>
          <w:lang w:val="en-US" w:eastAsia="zh-CN"/>
        </w:rPr>
        <w:t>28.</w:t>
      </w:r>
    </w:p>
  </w:endnote>
  <w:endnote w:id="7">
    <w:p w14:paraId="51858E3F">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宋科,郭一鸣,徐蕾.银行数字化转型存在“马太效应”吗——基于银行功能的经验阐释[J].中国工业经济,2024,(12):62－79.</w:t>
      </w:r>
    </w:p>
  </w:endnote>
  <w:endnote w:id="8">
    <w:p w14:paraId="21E5809A">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马亚明,马丽敏,于博.数字化转型能够降低银行信用风险吗？——基于交叠DID模型的实证检验[J].现代财经(天津财经大学学报),2024,44(03):3－18.</w:t>
      </w:r>
    </w:p>
  </w:endnote>
  <w:endnote w:id="9">
    <w:p w14:paraId="3130F67A">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xml:space="preserve">] </w:t>
      </w:r>
      <w:r>
        <w:rPr>
          <w:rFonts w:hint="default"/>
          <w:lang w:val="en-US" w:eastAsia="zh-CN"/>
        </w:rPr>
        <w:t>池国华,朱俊卿.银行内部控制、数字化转型与信贷风险防控效能[J].中南财经政法大学学报,2025,(02):67</w:t>
      </w:r>
      <w:r>
        <w:rPr>
          <w:rFonts w:hint="eastAsia"/>
          <w:lang w:val="en-US" w:eastAsia="zh-CN"/>
        </w:rPr>
        <w:t>－</w:t>
      </w:r>
      <w:r>
        <w:rPr>
          <w:rFonts w:hint="default"/>
          <w:lang w:val="en-US" w:eastAsia="zh-CN"/>
        </w:rPr>
        <w:t>81.</w:t>
      </w:r>
    </w:p>
  </w:endnote>
  <w:endnote w:id="10">
    <w:p w14:paraId="426BB2E2">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蒋海,王炳霖,吴文洋.数字化转型与银行风险承担——基于内部治理视角的实证研究[J].金融经济学研究,2025,40(01):26－38.</w:t>
      </w:r>
    </w:p>
  </w:endnote>
  <w:endnote w:id="11">
    <w:p w14:paraId="7B71A2B2">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方芳,李强.商业银行数字化转型如何影响风险承担——基于负债成本与信贷选择机制的分析[J].贵州财经大学学报,2024,(03):31－39.</w:t>
      </w:r>
    </w:p>
  </w:endnote>
  <w:endnote w:id="12">
    <w:p w14:paraId="67EBC56C">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贾妍妍,越婷婷.数字化转型对银行风险承担的差异性分析[J].金融论坛,2024,29(07):48－58.</w:t>
      </w:r>
    </w:p>
  </w:endnote>
  <w:endnote w:id="13">
    <w:p w14:paraId="648FCAE3">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吴永钢,张晓彤,郭静.绿色金融对银行风险承担影响的研究——基于数字化转型的调节效应[J].金融监管研究,2024,(03):100－113.</w:t>
      </w:r>
    </w:p>
  </w:endnote>
  <w:endnote w:id="14">
    <w:p w14:paraId="2266243C">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陈肖雄,郜栋玺,赵家悦,等.经济政策不确定性如何影响银行风险承担?——兼论银行数字化转型的调节作用[J].财经论丛,2024,(10):59－69.</w:t>
      </w:r>
    </w:p>
  </w:endnote>
  <w:endnote w:id="15">
    <w:p w14:paraId="743A30F2">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xml:space="preserve">] </w:t>
      </w:r>
      <w:r>
        <w:rPr>
          <w:rFonts w:hint="default"/>
          <w:lang w:val="en-US" w:eastAsia="zh-CN"/>
        </w:rPr>
        <w:t>王哲琦.数字化转型会扩大商业银行的信贷风险吗？[J].江汉论坛,2025,(01):37</w:t>
      </w:r>
      <w:r>
        <w:rPr>
          <w:rFonts w:hint="eastAsia"/>
          <w:lang w:val="en-US" w:eastAsia="zh-CN"/>
        </w:rPr>
        <w:t>－</w:t>
      </w:r>
      <w:r>
        <w:rPr>
          <w:rFonts w:hint="default"/>
          <w:lang w:val="en-US" w:eastAsia="zh-CN"/>
        </w:rPr>
        <w:t>44.</w:t>
      </w:r>
    </w:p>
  </w:endnote>
  <w:endnote w:id="16">
    <w:p w14:paraId="1EAC6E5A">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郭晔,未钟琴,方颖.金融科技布局、银行信贷风险与经营绩效——来自商业银行与科技企业战略合作的证据[J].金融研究,2022,(10):20－38.</w:t>
      </w:r>
    </w:p>
  </w:endnote>
  <w:endnote w:id="17">
    <w:p w14:paraId="1F955C0E">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施志晖,周慧蕙,陆岷峰.数字化转型对商业银行非利息收入的影响研究——基于中国2011—2022年上市商业银行数据[J].金融理论与实践,2024,(08):64－74.</w:t>
      </w:r>
    </w:p>
  </w:endnote>
  <w:endnote w:id="18">
    <w:p w14:paraId="3DED8569">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张庆君,欧一丁.数字化转型提升了银行经营效率吗？——来自上市商业银行的经验证据[J].会计与经济研究,2023,37(03):89－108.</w:t>
      </w:r>
    </w:p>
  </w:endnote>
  <w:endnote w:id="19">
    <w:p w14:paraId="39FBB3BF">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赵清波,卜林,赵玲玲.银行金融科技如何影响风险承担?——来自中国银行业的经验证据[J].金融论坛,2023,28(02):25－33+58.</w:t>
      </w:r>
    </w:p>
  </w:endnote>
  <w:endnote w:id="20">
    <w:p w14:paraId="2B3EF167">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xml:space="preserve">] </w:t>
      </w:r>
      <w:r>
        <w:rPr>
          <w:rFonts w:hint="default"/>
          <w:lang w:val="en-US" w:eastAsia="zh-CN"/>
        </w:rPr>
        <w:t>李琴,裴平.数字化转型、中间业务创新与银行盈利能力[J].山西财经大学学报,2022,44(08):30</w:t>
      </w:r>
      <w:r>
        <w:rPr>
          <w:rFonts w:hint="eastAsia"/>
          <w:lang w:val="en-US" w:eastAsia="zh-CN"/>
        </w:rPr>
        <w:t>－</w:t>
      </w:r>
      <w:r>
        <w:rPr>
          <w:rFonts w:hint="default"/>
          <w:lang w:val="en-US" w:eastAsia="zh-CN"/>
        </w:rPr>
        <w:t>42.</w:t>
      </w:r>
    </w:p>
  </w:endnote>
  <w:endnote w:id="21">
    <w:p w14:paraId="56D694BA">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xml:space="preserve">] </w:t>
      </w:r>
      <w:r>
        <w:rPr>
          <w:rFonts w:hint="default"/>
          <w:lang w:val="en-US" w:eastAsia="zh-CN"/>
        </w:rPr>
        <w:t>周毅,毕磊.商业银行中间业务数字化转型的方向[J].新金融,2024,(01):45</w:t>
      </w:r>
      <w:r>
        <w:rPr>
          <w:rFonts w:hint="eastAsia"/>
          <w:lang w:val="en-US" w:eastAsia="zh-CN"/>
        </w:rPr>
        <w:t>－</w:t>
      </w:r>
      <w:r>
        <w:rPr>
          <w:rFonts w:hint="default"/>
          <w:lang w:val="en-US" w:eastAsia="zh-CN"/>
        </w:rPr>
        <w:t>50.</w:t>
      </w:r>
    </w:p>
  </w:endnote>
  <w:endnote w:id="22">
    <w:p w14:paraId="7F45685F">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xml:space="preserve">] </w:t>
      </w:r>
      <w:r>
        <w:rPr>
          <w:rFonts w:hint="default"/>
          <w:lang w:val="en-US" w:eastAsia="zh-CN"/>
        </w:rPr>
        <w:t>李晓明,王志超.商业银行外汇业务数字化转型的经验与建议[J].新金融,2023,(06):22</w:t>
      </w:r>
      <w:r>
        <w:rPr>
          <w:rFonts w:hint="eastAsia"/>
          <w:lang w:val="en-US" w:eastAsia="zh-CN"/>
        </w:rPr>
        <w:t>－</w:t>
      </w:r>
      <w:r>
        <w:rPr>
          <w:rFonts w:hint="default"/>
          <w:lang w:val="en-US" w:eastAsia="zh-CN"/>
        </w:rPr>
        <w:t>27.</w:t>
      </w:r>
    </w:p>
  </w:endnote>
  <w:endnote w:id="23">
    <w:p w14:paraId="29192D5D">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唐绅峰,吴文洋.数字化转型对商业银行盈利能力的影响——来自中国上市商业银行的经验证据[J].技术经济,2024,43(09):72－84.</w:t>
      </w:r>
    </w:p>
  </w:endnote>
  <w:endnote w:id="24">
    <w:p w14:paraId="732E58FF">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叶蜀君,刘芳嘉.普惠小微金融发展下的银行商业可持续性研究[J].经济问题,2025,(03):70－80.</w:t>
      </w:r>
    </w:p>
  </w:endnote>
  <w:endnote w:id="25">
    <w:p w14:paraId="3D564912">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李宁果.商业银行非利息收入、收入结构多元化与经营绩效[J].金融监管研究,2021,(10):76－96.</w:t>
      </w:r>
    </w:p>
  </w:endnote>
  <w:endnote w:id="26">
    <w:p w14:paraId="1DDBEB70">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任立媛,赵莉.非利息收入占比、利率市场化与商业银行绩效[J].财会通讯,2018,(21):106－111.</w:t>
      </w:r>
    </w:p>
  </w:endnote>
  <w:endnote w:id="27">
    <w:p w14:paraId="4CB48FC1">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谢太峰,韩雪.非利息收入对我国城商银行经营绩效的影响研究 [J]. 征信, 2021, 39 (06): 87－92.</w:t>
      </w:r>
    </w:p>
  </w:endnote>
  <w:endnote w:id="28">
    <w:p w14:paraId="5C5CA4FE">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张晓燕,郭莹,何德旭.商业银行多元化经营的高质量发展研究[J].经济问题,2021,(05):47－54.</w:t>
      </w:r>
    </w:p>
  </w:endnote>
  <w:endnote w:id="29">
    <w:p w14:paraId="1DD8928D">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李志远,黄燕芬,李开贞.金融强监管、非息收入创新与商业银行风险承担[J].价格理论与实践,2024,(06):196－201+227.</w:t>
      </w:r>
    </w:p>
  </w:endnote>
  <w:endnote w:id="30">
    <w:p w14:paraId="4323F89E">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温忠麟,叶宝娟.中介效应分析:方法和模型发展[J].心理科学进展,2014,22(05):731－745.</w:t>
      </w:r>
    </w:p>
  </w:endnote>
  <w:endnote w:id="31">
    <w:p w14:paraId="431AA144">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xml:space="preserve">] </w:t>
      </w:r>
      <w:r>
        <w:rPr>
          <w:rFonts w:hint="default"/>
          <w:lang w:val="en-US" w:eastAsia="zh-CN"/>
        </w:rPr>
        <w:t>江艇.因果推断经验研究中的中介效应与调节效应[J].中国工业经济,2022,(05):100</w:t>
      </w:r>
      <w:r>
        <w:rPr>
          <w:rFonts w:hint="eastAsia"/>
          <w:lang w:val="en-US" w:eastAsia="zh-CN"/>
        </w:rPr>
        <w:t>－</w:t>
      </w:r>
      <w:r>
        <w:rPr>
          <w:rFonts w:hint="default"/>
          <w:lang w:val="en-US" w:eastAsia="zh-CN"/>
        </w:rPr>
        <w:t>120</w:t>
      </w:r>
      <w:r>
        <w:rPr>
          <w:rFonts w:hint="eastAsia"/>
          <w:lang w:val="en-US" w:eastAsia="zh-CN"/>
        </w:rPr>
        <w:t>.</w:t>
      </w:r>
    </w:p>
  </w:endnote>
  <w:endnote w:id="32">
    <w:p w14:paraId="71FBFF58">
      <w:pPr>
        <w:pStyle w:val="8"/>
        <w:bidi w:val="0"/>
        <w:rPr>
          <w:rFonts w:hint="default"/>
          <w:lang w:val="en-US" w:eastAsia="zh-CN"/>
        </w:rPr>
      </w:pPr>
      <w:r>
        <w:rPr>
          <w:rFonts w:hint="eastAsia"/>
          <w:lang w:val="en-US" w:eastAsia="zh-CN"/>
        </w:rPr>
        <w:t>[</w:t>
      </w:r>
      <w:r>
        <w:rPr>
          <w:rFonts w:hint="eastAsia"/>
          <w:lang w:val="en-US" w:eastAsia="zh-CN"/>
        </w:rPr>
        <w:endnoteRef/>
      </w:r>
      <w:r>
        <w:rPr>
          <w:rFonts w:hint="eastAsia"/>
          <w:lang w:val="en-US" w:eastAsia="zh-CN"/>
        </w:rPr>
        <w:t>] 郑小勇.行业协会知识产权治理与集群企业集体维权行动——创新合法性的中介效应探索[J].管理工程学报,2022,36(03):1－17.</w:t>
      </w:r>
    </w:p>
  </w:endnote>
  <w:endnote w:id="33">
    <w:p w14:paraId="0FB29745">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林志伟,王涛.绿色信贷、金融科技与商业银行绩效研究——基于多重链式非线性中介效应模型[J].武汉金融,2024,(08):32－42.</w:t>
      </w:r>
    </w:p>
  </w:endnote>
  <w:endnote w:id="34">
    <w:p w14:paraId="5829C576">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文学舟,范歆婷,俞园园.金融科技、商业银行信用风险与绿色信贷[J].工程管理科技前沿,2024,43(06):68－74.</w:t>
      </w:r>
    </w:p>
  </w:endnote>
  <w:endnote w:id="35">
    <w:p w14:paraId="34D19129">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翟胜宝,程妍婷,谢露.商业银行数字化转型与风险承担水平[J].北京工商大学学报(社会科学版),2023,38(02):75－86.</w:t>
      </w:r>
    </w:p>
  </w:endnote>
  <w:endnote w:id="36">
    <w:p w14:paraId="139099B7">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刘慧超,王书华.数字化转型对中小银行风险水平影响研究[J].江西财经大学学报,2023,(04):23－37.</w:t>
      </w:r>
    </w:p>
  </w:endnote>
  <w:endnote w:id="37">
    <w:p w14:paraId="7B77FD7D">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张泽南,尹一诺,贺志芳.数字金融能助力企业降低审计风险吗?——基于异常审计费用的分析[J].南京审计大学学报,2024,21(05):14－25.</w:t>
      </w:r>
    </w:p>
  </w:endnote>
  <w:endnote w:id="38">
    <w:p w14:paraId="4F060333">
      <w:pPr>
        <w:pStyle w:val="8"/>
        <w:bidi w:val="0"/>
      </w:pPr>
      <w:r>
        <w:rPr>
          <w:rFonts w:hint="eastAsia"/>
          <w:lang w:val="en-US" w:eastAsia="zh-CN"/>
        </w:rPr>
        <w:t>[</w:t>
      </w:r>
      <w:r>
        <w:rPr>
          <w:rFonts w:hint="eastAsia"/>
          <w:lang w:val="en-US" w:eastAsia="zh-CN"/>
        </w:rPr>
        <w:endnoteRef/>
      </w:r>
      <w:r>
        <w:rPr>
          <w:rFonts w:hint="eastAsia"/>
          <w:lang w:val="en-US" w:eastAsia="zh-CN"/>
        </w:rPr>
        <w:t>] 刘自强,封秋硕.商业银行数字化转型何以助推企业高质量发展？[J].金融理论与实践,2024,(06):24－42.</w:t>
      </w:r>
    </w:p>
  </w:endnote>
  <w:endnote w:id="39">
    <w:p w14:paraId="0F510C4C">
      <w:pPr>
        <w:pStyle w:val="8"/>
        <w:bidi w:val="0"/>
      </w:pPr>
      <w:r>
        <w:rPr>
          <w:rFonts w:hint="eastAsia"/>
          <w:lang w:val="en-US" w:eastAsia="zh-CN"/>
        </w:rPr>
        <w:t>[</w:t>
      </w:r>
      <w:r>
        <w:rPr>
          <w:rFonts w:hint="eastAsia"/>
          <w:lang w:val="en-US" w:eastAsia="zh-CN"/>
        </w:rPr>
        <w:endnoteRef/>
      </w:r>
      <w:r>
        <w:rPr>
          <w:rFonts w:hint="eastAsia"/>
          <w:lang w:val="en-US" w:eastAsia="zh-CN"/>
        </w:rPr>
        <w:t>] 吴非,胡慧芷,林慧妍,等.企业数字化转型与资本市场表现——来自股票流动性的经验证据[J].管理世界, 2021, 37(7):15.</w:t>
      </w:r>
    </w:p>
  </w:endnote>
  <w:endnote w:id="40">
    <w:p w14:paraId="3AB25F46">
      <w:pPr>
        <w:pStyle w:val="8"/>
        <w:bidi w:val="0"/>
        <w:rPr>
          <w:rFonts w:hint="eastAsia"/>
          <w:lang w:val="en-US" w:eastAsia="zh-CN"/>
        </w:rPr>
      </w:pPr>
      <w:r>
        <w:rPr>
          <w:rFonts w:hint="eastAsia"/>
          <w:lang w:val="en-US" w:eastAsia="zh-CN"/>
        </w:rPr>
        <w:t>[</w:t>
      </w:r>
      <w:r>
        <w:rPr>
          <w:rFonts w:hint="eastAsia"/>
          <w:lang w:val="en-US" w:eastAsia="zh-CN"/>
        </w:rPr>
        <w:endnoteRef/>
      </w:r>
      <w:r>
        <w:rPr>
          <w:rFonts w:hint="eastAsia"/>
          <w:lang w:val="en-US" w:eastAsia="zh-CN"/>
        </w:rPr>
        <w:t>] 安国俊,黄世晨.数字普惠金融对绿色经济发展水平的影响研究[J].金融理论与实践,2025,(01):35－44.</w:t>
      </w:r>
    </w:p>
    <w:p w14:paraId="6D6CB346">
      <w:pPr>
        <w:pStyle w:val="8"/>
        <w:bidi w:val="0"/>
        <w:rPr>
          <w:rFonts w:hint="eastAsia"/>
          <w:lang w:val="en-US" w:eastAsia="zh-C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63808">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6A03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996A03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ind w:firstLine="420"/>
      </w:pPr>
    </w:p>
  </w:footnote>
  <w:footnote w:type="continuationSeparator" w:id="3">
    <w:p>
      <w:pPr>
        <w:spacing w:line="240" w:lineRule="auto"/>
        <w:ind w:firstLine="420"/>
      </w:pPr>
    </w:p>
  </w:footnote>
  <w:footnote w:id="0">
    <w:p w14:paraId="262EE147">
      <w:pPr>
        <w:pStyle w:val="12"/>
        <w:keepNext w:val="0"/>
        <w:keepLines w:val="0"/>
        <w:pageBreakBefore w:val="0"/>
        <w:widowControl/>
        <w:kinsoku w:val="0"/>
        <w:wordWrap/>
        <w:overflowPunct/>
        <w:topLinePunct w:val="0"/>
        <w:bidi w:val="0"/>
        <w:adjustRightInd w:val="0"/>
        <w:snapToGrid w:val="0"/>
        <w:spacing w:line="200" w:lineRule="exact"/>
        <w:ind w:left="0" w:leftChars="0" w:firstLine="0" w:firstLineChars="0"/>
        <w:jc w:val="both"/>
        <w:textAlignment w:val="baseline"/>
        <w:rPr>
          <w:rFonts w:hint="eastAsia" w:ascii="仿宋" w:hAnsi="仿宋" w:eastAsia="仿宋"/>
        </w:rPr>
      </w:pPr>
      <w:r>
        <w:rPr>
          <w:rFonts w:ascii="Times New Roman" w:hAnsi="Times New Roman" w:eastAsia="楷体" w:cs="Times New Roman"/>
          <w:b/>
          <w:bCs/>
          <w:lang w:eastAsia="zh-CN"/>
        </w:rPr>
        <w:footnoteRef/>
      </w:r>
      <w:r>
        <w:rPr>
          <w:rFonts w:ascii="Times New Roman" w:hAnsi="Times New Roman" w:eastAsia="楷体" w:cs="Times New Roman"/>
          <w:b/>
          <w:bCs/>
          <w:lang w:eastAsia="zh-CN"/>
        </w:rPr>
        <w:t>国家社科基金“多源数据融合下数字金融风险监测与防范机制研究”（项目号：23BGL091）</w:t>
      </w:r>
      <w:bookmarkStart w:id="43" w:name="_GoBack"/>
      <w:bookmarkEnd w:id="43"/>
    </w:p>
    <w:p w14:paraId="3A885DA5">
      <w:pPr>
        <w:pStyle w:val="12"/>
        <w:keepNext w:val="0"/>
        <w:keepLines w:val="0"/>
        <w:pageBreakBefore w:val="0"/>
        <w:widowControl w:val="0"/>
        <w:kinsoku/>
        <w:wordWrap/>
        <w:overflowPunct/>
        <w:topLinePunct w:val="0"/>
        <w:bidi w:val="0"/>
        <w:adjustRightInd/>
        <w:snapToGrid w:val="0"/>
        <w:spacing w:line="200" w:lineRule="exact"/>
        <w:ind w:left="0" w:leftChars="0" w:firstLine="0" w:firstLineChars="0"/>
        <w:jc w:val="both"/>
        <w:textAlignment w:val="auto"/>
        <w:rPr>
          <w:rFonts w:ascii="仿宋" w:hAnsi="仿宋" w:eastAsia="仿宋"/>
        </w:rPr>
      </w:pPr>
      <w:r>
        <w:rPr>
          <w:rFonts w:hint="eastAsia" w:ascii="仿宋" w:hAnsi="仿宋" w:eastAsia="仿宋"/>
        </w:rPr>
        <w:t>1</w:t>
      </w:r>
      <w:r>
        <w:rPr>
          <w:rFonts w:hint="eastAsia" w:ascii="仿宋" w:hAnsi="仿宋"/>
          <w:lang w:val="en-US" w:eastAsia="zh-CN"/>
        </w:rPr>
        <w:t>.</w:t>
      </w:r>
      <w:r>
        <w:rPr>
          <w:rFonts w:hint="eastAsia" w:ascii="仿宋" w:hAnsi="仿宋" w:eastAsia="仿宋"/>
        </w:rPr>
        <w:t>梁力军（1974</w:t>
      </w:r>
      <w:r>
        <w:rPr>
          <w:rFonts w:hint="eastAsia" w:ascii="仿宋" w:hAnsi="仿宋"/>
          <w:lang w:eastAsia="zh-CN"/>
        </w:rPr>
        <w:t>－</w:t>
      </w:r>
      <w:r>
        <w:rPr>
          <w:rFonts w:hint="eastAsia" w:ascii="仿宋" w:hAnsi="仿宋" w:eastAsia="仿宋"/>
        </w:rPr>
        <w:t>），男，</w:t>
      </w:r>
      <w:r>
        <w:rPr>
          <w:rFonts w:hint="eastAsia" w:ascii="仿宋" w:hAnsi="仿宋"/>
          <w:lang w:val="en-US" w:eastAsia="zh-CN"/>
        </w:rPr>
        <w:t>汉族，</w:t>
      </w:r>
      <w:r>
        <w:rPr>
          <w:rFonts w:hint="eastAsia" w:ascii="仿宋" w:hAnsi="仿宋" w:eastAsia="仿宋"/>
        </w:rPr>
        <w:t>河北省石家庄人，管理学博士、工商管理博士后。北京信息科技大学</w:t>
      </w:r>
      <w:r>
        <w:rPr>
          <w:rFonts w:hint="eastAsia" w:ascii="仿宋" w:hAnsi="仿宋" w:eastAsia="仿宋"/>
          <w:lang w:eastAsia="zh-CN"/>
        </w:rPr>
        <w:t>商</w:t>
      </w:r>
      <w:r>
        <w:rPr>
          <w:rFonts w:hint="eastAsia" w:ascii="仿宋" w:hAnsi="仿宋" w:eastAsia="仿宋"/>
        </w:rPr>
        <w:t>学院审计系副教授、硕士生导师。研究方向：审计理论与实务等；物流工程与供应链管理。联系方式：13911702030，北京市</w:t>
      </w:r>
      <w:r>
        <w:rPr>
          <w:rFonts w:hint="eastAsia" w:ascii="仿宋" w:hAnsi="仿宋" w:eastAsia="仿宋"/>
          <w:lang w:val="en-US" w:eastAsia="zh-CN"/>
        </w:rPr>
        <w:t>昌平</w:t>
      </w:r>
      <w:r>
        <w:rPr>
          <w:rFonts w:hint="eastAsia" w:ascii="仿宋" w:hAnsi="仿宋" w:eastAsia="仿宋"/>
        </w:rPr>
        <w:t>区</w:t>
      </w:r>
      <w:r>
        <w:rPr>
          <w:rFonts w:hint="eastAsia" w:ascii="仿宋" w:hAnsi="仿宋" w:eastAsia="仿宋"/>
          <w:lang w:val="en-US" w:eastAsia="zh-CN"/>
        </w:rPr>
        <w:t>太行路55号</w:t>
      </w:r>
      <w:r>
        <w:rPr>
          <w:rFonts w:hint="eastAsia" w:ascii="仿宋" w:hAnsi="仿宋" w:eastAsia="仿宋"/>
        </w:rPr>
        <w:t>，10</w:t>
      </w:r>
      <w:r>
        <w:rPr>
          <w:rFonts w:hint="eastAsia" w:ascii="仿宋" w:hAnsi="仿宋" w:eastAsia="仿宋"/>
          <w:lang w:val="en-US" w:eastAsia="zh-CN"/>
        </w:rPr>
        <w:t>2206.</w:t>
      </w:r>
      <w:r>
        <w:rPr>
          <w:rFonts w:hint="eastAsia" w:ascii="仿宋" w:hAnsi="仿宋" w:eastAsia="仿宋"/>
        </w:rPr>
        <w:t>邮箱：</w:t>
      </w:r>
      <w:r>
        <w:rPr>
          <w:rFonts w:ascii="仿宋" w:hAnsi="仿宋" w:eastAsia="仿宋"/>
        </w:rPr>
        <w:fldChar w:fldCharType="begin"/>
      </w:r>
      <w:r>
        <w:rPr>
          <w:rFonts w:ascii="仿宋" w:hAnsi="仿宋" w:eastAsia="仿宋"/>
        </w:rPr>
        <w:instrText xml:space="preserve">HYPERLINK "mailto:lianglijunuse@163.com。"</w:instrText>
      </w:r>
      <w:r>
        <w:rPr>
          <w:rFonts w:ascii="仿宋" w:hAnsi="仿宋" w:eastAsia="仿宋"/>
        </w:rPr>
        <w:fldChar w:fldCharType="separate"/>
      </w:r>
      <w:r>
        <w:rPr>
          <w:rFonts w:hint="eastAsia" w:ascii="仿宋" w:hAnsi="仿宋" w:eastAsia="仿宋"/>
        </w:rPr>
        <w:t>lianglijunuse@163.com。</w:t>
      </w:r>
      <w:r>
        <w:rPr>
          <w:rFonts w:ascii="仿宋" w:hAnsi="仿宋" w:eastAsia="仿宋"/>
        </w:rPr>
        <w:fldChar w:fldCharType="end"/>
      </w:r>
    </w:p>
    <w:p w14:paraId="35261942">
      <w:pPr>
        <w:pStyle w:val="12"/>
        <w:keepNext w:val="0"/>
        <w:keepLines w:val="0"/>
        <w:pageBreakBefore w:val="0"/>
        <w:widowControl w:val="0"/>
        <w:kinsoku/>
        <w:wordWrap/>
        <w:overflowPunct/>
        <w:topLinePunct w:val="0"/>
        <w:bidi w:val="0"/>
        <w:adjustRightInd/>
        <w:snapToGrid w:val="0"/>
        <w:spacing w:line="200" w:lineRule="exact"/>
        <w:ind w:left="0" w:leftChars="0" w:firstLine="0" w:firstLineChars="0"/>
        <w:jc w:val="both"/>
        <w:textAlignment w:val="auto"/>
        <w:rPr>
          <w:rFonts w:ascii="仿宋" w:hAnsi="仿宋" w:eastAsia="仿宋"/>
        </w:rPr>
      </w:pPr>
      <w:r>
        <w:rPr>
          <w:rFonts w:hint="eastAsia" w:ascii="仿宋" w:hAnsi="仿宋" w:eastAsia="仿宋"/>
        </w:rPr>
        <w:t>2.</w:t>
      </w:r>
      <w:r>
        <w:rPr>
          <w:rFonts w:hint="eastAsia" w:ascii="仿宋" w:hAnsi="仿宋"/>
          <w:lang w:val="en-US" w:eastAsia="zh-CN"/>
        </w:rPr>
        <w:t>李霞</w:t>
      </w:r>
      <w:r>
        <w:rPr>
          <w:rFonts w:hint="eastAsia" w:ascii="仿宋" w:hAnsi="仿宋" w:eastAsia="仿宋"/>
        </w:rPr>
        <w:t>（</w:t>
      </w:r>
      <w:r>
        <w:rPr>
          <w:rFonts w:hint="eastAsia" w:ascii="仿宋" w:hAnsi="仿宋"/>
          <w:lang w:val="en-US" w:eastAsia="zh-CN"/>
        </w:rPr>
        <w:t>2001－</w:t>
      </w:r>
      <w:r>
        <w:rPr>
          <w:rFonts w:hint="eastAsia" w:ascii="仿宋" w:hAnsi="仿宋" w:eastAsia="仿宋"/>
        </w:rPr>
        <w:t>），女，</w:t>
      </w:r>
      <w:r>
        <w:rPr>
          <w:rFonts w:hint="eastAsia" w:ascii="仿宋" w:hAnsi="仿宋"/>
          <w:lang w:val="en-US" w:eastAsia="zh-CN"/>
        </w:rPr>
        <w:t>汉族，河北省张家口人</w:t>
      </w:r>
      <w:r>
        <w:rPr>
          <w:rFonts w:hint="eastAsia" w:ascii="仿宋" w:hAnsi="仿宋" w:eastAsia="仿宋"/>
        </w:rPr>
        <w:t>，会计专业硕士研究生，</w:t>
      </w:r>
      <w:r>
        <w:rPr>
          <w:rFonts w:hint="eastAsia" w:ascii="仿宋" w:hAnsi="仿宋"/>
          <w:lang w:val="en-US" w:eastAsia="zh-CN"/>
        </w:rPr>
        <w:t>北京信息科技大学商学院</w:t>
      </w:r>
      <w:r>
        <w:rPr>
          <w:rFonts w:hint="eastAsia" w:ascii="仿宋" w:hAnsi="仿宋" w:eastAsia="仿宋"/>
        </w:rPr>
        <w:t>，研究方向：会计。联系方式：</w:t>
      </w:r>
      <w:r>
        <w:rPr>
          <w:rFonts w:hint="eastAsia" w:ascii="仿宋" w:hAnsi="仿宋"/>
          <w:lang w:val="en-US" w:eastAsia="zh-CN"/>
        </w:rPr>
        <w:t>15530363842</w:t>
      </w:r>
      <w:r>
        <w:rPr>
          <w:rFonts w:hint="eastAsia" w:ascii="仿宋" w:hAnsi="仿宋" w:eastAsia="仿宋"/>
        </w:rPr>
        <w:t>，</w:t>
      </w:r>
      <w:r>
        <w:rPr>
          <w:rFonts w:ascii="仿宋" w:hAnsi="仿宋" w:eastAsia="仿宋"/>
        </w:rPr>
        <w:t>北京市</w:t>
      </w:r>
      <w:r>
        <w:rPr>
          <w:rFonts w:hint="eastAsia" w:ascii="仿宋" w:hAnsi="仿宋" w:eastAsia="仿宋"/>
          <w:lang w:val="en-US" w:eastAsia="zh-CN"/>
        </w:rPr>
        <w:t>昌平</w:t>
      </w:r>
      <w:r>
        <w:rPr>
          <w:rFonts w:hint="eastAsia" w:ascii="仿宋" w:hAnsi="仿宋" w:eastAsia="仿宋"/>
        </w:rPr>
        <w:t>区</w:t>
      </w:r>
      <w:r>
        <w:rPr>
          <w:rFonts w:hint="eastAsia" w:ascii="仿宋" w:hAnsi="仿宋" w:eastAsia="仿宋"/>
          <w:lang w:val="en-US" w:eastAsia="zh-CN"/>
        </w:rPr>
        <w:t>太行路55号</w:t>
      </w:r>
      <w:r>
        <w:rPr>
          <w:rFonts w:ascii="仿宋" w:hAnsi="仿宋" w:eastAsia="仿宋"/>
        </w:rPr>
        <w:t>，10</w:t>
      </w:r>
      <w:r>
        <w:rPr>
          <w:rFonts w:hint="eastAsia" w:ascii="仿宋" w:hAnsi="仿宋" w:eastAsia="仿宋"/>
          <w:lang w:val="en-US" w:eastAsia="zh-CN"/>
        </w:rPr>
        <w:t>2206</w:t>
      </w:r>
      <w:r>
        <w:rPr>
          <w:rFonts w:ascii="仿宋" w:hAnsi="仿宋" w:eastAsia="仿宋"/>
        </w:rPr>
        <w:t>.</w:t>
      </w:r>
      <w:r>
        <w:rPr>
          <w:rFonts w:hint="eastAsia" w:ascii="仿宋" w:hAnsi="仿宋" w:eastAsia="仿宋"/>
        </w:rPr>
        <w:t xml:space="preserve"> 邮箱：</w:t>
      </w:r>
      <w:r>
        <w:rPr>
          <w:rFonts w:hint="eastAsia" w:ascii="仿宋" w:hAnsi="仿宋"/>
          <w:lang w:val="en-US" w:eastAsia="zh-CN"/>
        </w:rPr>
        <w:t>2479016644@qq.com</w:t>
      </w:r>
      <w:r>
        <w:rPr>
          <w:rFonts w:hint="eastAsia" w:ascii="仿宋" w:hAnsi="仿宋" w:eastAsia="仿宋"/>
        </w:rPr>
        <w:t>。</w:t>
      </w:r>
    </w:p>
    <w:p w14:paraId="605B64F3">
      <w:pPr>
        <w:pStyle w:val="12"/>
        <w:keepNext w:val="0"/>
        <w:keepLines w:val="0"/>
        <w:pageBreakBefore w:val="0"/>
        <w:widowControl w:val="0"/>
        <w:kinsoku/>
        <w:wordWrap/>
        <w:overflowPunct/>
        <w:topLinePunct w:val="0"/>
        <w:bidi w:val="0"/>
        <w:adjustRightInd/>
        <w:snapToGrid w:val="0"/>
        <w:spacing w:line="200" w:lineRule="exact"/>
        <w:ind w:left="0" w:leftChars="0" w:firstLine="0" w:firstLineChars="0"/>
        <w:jc w:val="both"/>
        <w:textAlignment w:val="auto"/>
        <w:rPr>
          <w:rFonts w:hint="eastAsia" w:ascii="仿宋" w:hAnsi="仿宋" w:eastAsia="仿宋"/>
        </w:rPr>
      </w:pPr>
      <w:r>
        <w:rPr>
          <w:rFonts w:hint="eastAsia" w:ascii="仿宋" w:hAnsi="仿宋" w:eastAsia="仿宋"/>
        </w:rPr>
        <w:t>3.</w:t>
      </w:r>
      <w:r>
        <w:rPr>
          <w:rFonts w:ascii="仿宋" w:hAnsi="仿宋" w:eastAsia="仿宋"/>
        </w:rPr>
        <w:t>崔丽同（2001</w:t>
      </w:r>
      <w:r>
        <w:rPr>
          <w:rFonts w:hint="eastAsia" w:ascii="仿宋" w:hAnsi="仿宋"/>
          <w:lang w:eastAsia="zh-CN"/>
        </w:rPr>
        <w:t>－</w:t>
      </w:r>
      <w:r>
        <w:rPr>
          <w:rFonts w:ascii="仿宋" w:hAnsi="仿宋" w:eastAsia="仿宋"/>
        </w:rPr>
        <w:t>），女，</w:t>
      </w:r>
      <w:r>
        <w:rPr>
          <w:rFonts w:hint="eastAsia" w:ascii="仿宋" w:hAnsi="仿宋"/>
          <w:lang w:val="en-US" w:eastAsia="zh-CN"/>
        </w:rPr>
        <w:t>汉族，</w:t>
      </w:r>
      <w:r>
        <w:rPr>
          <w:rFonts w:ascii="仿宋" w:hAnsi="仿宋" w:eastAsia="仿宋"/>
        </w:rPr>
        <w:t>山东省菏泽市人，会计专业硕士研究生，河北大学管理学院，研究方向：财务与金融管理，企业风险管理及审计等。联系方式：18632648170，河北省保定市莲池区七一东路2666号河北大学，</w:t>
      </w:r>
      <w:r>
        <w:rPr>
          <w:rFonts w:hint="eastAsia" w:ascii="仿宋" w:hAnsi="仿宋" w:eastAsia="仿宋"/>
        </w:rPr>
        <w:t>071002</w:t>
      </w:r>
      <w:r>
        <w:rPr>
          <w:rFonts w:ascii="仿宋" w:hAnsi="仿宋" w:eastAsia="仿宋"/>
        </w:rPr>
        <w:t>，邮箱：</w:t>
      </w:r>
      <w:r>
        <w:rPr>
          <w:rFonts w:ascii="仿宋" w:hAnsi="仿宋" w:eastAsia="仿宋"/>
        </w:rPr>
        <w:fldChar w:fldCharType="begin"/>
      </w:r>
      <w:r>
        <w:rPr>
          <w:rFonts w:hint="eastAsia" w:ascii="仿宋" w:hAnsi="仿宋" w:eastAsia="仿宋"/>
        </w:rPr>
        <w:instrText xml:space="preserve">HYPERLINK "mailto:2606964142@qq.com。"</w:instrText>
      </w:r>
      <w:r>
        <w:rPr>
          <w:rFonts w:ascii="仿宋" w:hAnsi="仿宋" w:eastAsia="仿宋"/>
        </w:rPr>
        <w:fldChar w:fldCharType="separate"/>
      </w:r>
      <w:r>
        <w:rPr>
          <w:rFonts w:ascii="仿宋" w:hAnsi="仿宋" w:eastAsia="仿宋"/>
        </w:rPr>
        <w:t>2606964142@qq.com。</w:t>
      </w:r>
      <w:r>
        <w:rPr>
          <w:rFonts w:ascii="仿宋" w:hAnsi="仿宋" w:eastAsia="仿宋"/>
        </w:rPr>
        <w:fldChar w:fldCharType="end"/>
      </w:r>
    </w:p>
    <w:p w14:paraId="6D866635">
      <w:pPr>
        <w:pStyle w:val="12"/>
        <w:keepNext w:val="0"/>
        <w:keepLines w:val="0"/>
        <w:pageBreakBefore w:val="0"/>
        <w:widowControl w:val="0"/>
        <w:kinsoku/>
        <w:wordWrap/>
        <w:overflowPunct/>
        <w:topLinePunct w:val="0"/>
        <w:bidi w:val="0"/>
        <w:adjustRightInd/>
        <w:snapToGrid w:val="0"/>
        <w:spacing w:line="200" w:lineRule="exact"/>
        <w:ind w:left="0" w:leftChars="0" w:firstLine="0" w:firstLineChars="0"/>
        <w:jc w:val="both"/>
        <w:textAlignment w:val="auto"/>
      </w:pPr>
      <w:r>
        <w:rPr>
          <w:rFonts w:hint="eastAsia" w:ascii="仿宋" w:hAnsi="仿宋" w:eastAsia="仿宋"/>
        </w:rPr>
        <w:t>4.戴佟昕（1999</w:t>
      </w:r>
      <w:r>
        <w:rPr>
          <w:rFonts w:hint="eastAsia" w:ascii="仿宋" w:hAnsi="仿宋"/>
          <w:lang w:eastAsia="zh-CN"/>
        </w:rPr>
        <w:t>－</w:t>
      </w:r>
      <w:r>
        <w:rPr>
          <w:rFonts w:hint="eastAsia" w:ascii="仿宋" w:hAnsi="仿宋" w:eastAsia="仿宋"/>
        </w:rPr>
        <w:t>），女，</w:t>
      </w:r>
      <w:r>
        <w:rPr>
          <w:rFonts w:hint="eastAsia" w:ascii="仿宋" w:hAnsi="仿宋"/>
          <w:lang w:val="en-US" w:eastAsia="zh-CN"/>
        </w:rPr>
        <w:t>汉族，</w:t>
      </w:r>
      <w:r>
        <w:rPr>
          <w:rFonts w:hint="eastAsia" w:ascii="仿宋" w:hAnsi="仿宋" w:eastAsia="仿宋"/>
        </w:rPr>
        <w:t>辽宁省辽阳人，河北大学管理学院，会计专业硕士研究生，研究方向：会计理论与实务。联系方式：17330213839，河北省保定市莲池区百楼镇七一东路2666号，071002. 邮箱：a17330213839@163.com。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2F05EC"/>
    <w:multiLevelType w:val="singleLevel"/>
    <w:tmpl w:val="402F05E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footnote w:id="2"/>
    <w:footnote w:id="3"/>
  </w:footnotePr>
  <w:endnotePr>
    <w:pos w:val="sectEnd"/>
    <w:numFmt w:val="decimal"/>
    <w:endnote w:id="82"/>
    <w:endnote w:id="83"/>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753CE6"/>
    <w:rsid w:val="00E46AD2"/>
    <w:rsid w:val="02721DE7"/>
    <w:rsid w:val="038D2B62"/>
    <w:rsid w:val="03FB79D9"/>
    <w:rsid w:val="090C7CA0"/>
    <w:rsid w:val="09456147"/>
    <w:rsid w:val="0A5E6638"/>
    <w:rsid w:val="0AD2394A"/>
    <w:rsid w:val="0F492922"/>
    <w:rsid w:val="103010C8"/>
    <w:rsid w:val="10C02B8A"/>
    <w:rsid w:val="11447845"/>
    <w:rsid w:val="11717604"/>
    <w:rsid w:val="12732281"/>
    <w:rsid w:val="12802AFE"/>
    <w:rsid w:val="13765CAF"/>
    <w:rsid w:val="142A53CD"/>
    <w:rsid w:val="14777F31"/>
    <w:rsid w:val="167B55ED"/>
    <w:rsid w:val="168D7598"/>
    <w:rsid w:val="16D25121"/>
    <w:rsid w:val="16F93DCB"/>
    <w:rsid w:val="17A74689"/>
    <w:rsid w:val="17C26E3D"/>
    <w:rsid w:val="18074068"/>
    <w:rsid w:val="1AE95F54"/>
    <w:rsid w:val="20427645"/>
    <w:rsid w:val="21676C37"/>
    <w:rsid w:val="219D2997"/>
    <w:rsid w:val="21C138EB"/>
    <w:rsid w:val="22B97E6C"/>
    <w:rsid w:val="23F655A6"/>
    <w:rsid w:val="28123713"/>
    <w:rsid w:val="281625D5"/>
    <w:rsid w:val="28EA6ACC"/>
    <w:rsid w:val="2A870DC9"/>
    <w:rsid w:val="2E754BC2"/>
    <w:rsid w:val="2E7A032A"/>
    <w:rsid w:val="326C67A3"/>
    <w:rsid w:val="34452AEB"/>
    <w:rsid w:val="374B4BD9"/>
    <w:rsid w:val="37D37E56"/>
    <w:rsid w:val="385E4E8B"/>
    <w:rsid w:val="39107B53"/>
    <w:rsid w:val="3C762181"/>
    <w:rsid w:val="3C9556D4"/>
    <w:rsid w:val="3CDC1B7D"/>
    <w:rsid w:val="3D510A70"/>
    <w:rsid w:val="40E51BFB"/>
    <w:rsid w:val="412A3AB2"/>
    <w:rsid w:val="41753CE6"/>
    <w:rsid w:val="42067EA4"/>
    <w:rsid w:val="42B96C62"/>
    <w:rsid w:val="43402AFB"/>
    <w:rsid w:val="46875502"/>
    <w:rsid w:val="46B207D1"/>
    <w:rsid w:val="47BD1B13"/>
    <w:rsid w:val="4AE42F23"/>
    <w:rsid w:val="4B8F2B43"/>
    <w:rsid w:val="4D0E072B"/>
    <w:rsid w:val="4DDA685F"/>
    <w:rsid w:val="54174E56"/>
    <w:rsid w:val="5677786A"/>
    <w:rsid w:val="56A5458F"/>
    <w:rsid w:val="56B57E6A"/>
    <w:rsid w:val="56E36785"/>
    <w:rsid w:val="58D13B4B"/>
    <w:rsid w:val="58E169DF"/>
    <w:rsid w:val="5D64781D"/>
    <w:rsid w:val="5F555D46"/>
    <w:rsid w:val="63577BFF"/>
    <w:rsid w:val="685C0145"/>
    <w:rsid w:val="6BA73DCD"/>
    <w:rsid w:val="6BB33C22"/>
    <w:rsid w:val="6EAE7221"/>
    <w:rsid w:val="6EF6552F"/>
    <w:rsid w:val="6F63000B"/>
    <w:rsid w:val="72CA5EFE"/>
    <w:rsid w:val="73D2575F"/>
    <w:rsid w:val="75644ADD"/>
    <w:rsid w:val="7C5F7DAC"/>
    <w:rsid w:val="7D7532C8"/>
    <w:rsid w:val="7DB92E69"/>
    <w:rsid w:val="7E172EFE"/>
    <w:rsid w:val="7E22135E"/>
    <w:rsid w:val="7F2F7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82" w:lineRule="exact"/>
      <w:ind w:firstLine="422" w:firstLineChars="200"/>
      <w:jc w:val="both"/>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kern w:val="44"/>
      <w:sz w:val="24"/>
    </w:rPr>
  </w:style>
  <w:style w:type="paragraph" w:styleId="3">
    <w:name w:val="heading 2"/>
    <w:basedOn w:val="1"/>
    <w:next w:val="1"/>
    <w:unhideWhenUsed/>
    <w:qFormat/>
    <w:uiPriority w:val="0"/>
    <w:pPr>
      <w:keepNext/>
      <w:keepLines/>
      <w:spacing w:beforeLines="0" w:beforeAutospacing="0" w:afterLines="0" w:afterAutospacing="0" w:line="382" w:lineRule="exact"/>
      <w:outlineLvl w:val="1"/>
    </w:pPr>
    <w:rPr>
      <w:rFonts w:ascii="Arial" w:hAnsi="Arial" w:eastAsia="黑体"/>
      <w:sz w:val="21"/>
    </w:rPr>
  </w:style>
  <w:style w:type="paragraph" w:styleId="4">
    <w:name w:val="heading 3"/>
    <w:basedOn w:val="1"/>
    <w:next w:val="1"/>
    <w:unhideWhenUsed/>
    <w:qFormat/>
    <w:uiPriority w:val="0"/>
    <w:pPr>
      <w:keepNext/>
      <w:keepLines/>
      <w:spacing w:beforeLines="0" w:beforeAutospacing="0" w:afterLines="0" w:afterAutospacing="0" w:line="382" w:lineRule="exact"/>
      <w:outlineLvl w:val="2"/>
    </w:pPr>
    <w:rPr>
      <w:rFonts w:eastAsia="楷体"/>
      <w:sz w:val="21"/>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7">
    <w:name w:val="Default Paragraph Font"/>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toc 3"/>
    <w:basedOn w:val="1"/>
    <w:next w:val="1"/>
    <w:qFormat/>
    <w:uiPriority w:val="0"/>
    <w:pPr>
      <w:ind w:left="840" w:leftChars="400"/>
    </w:pPr>
  </w:style>
  <w:style w:type="paragraph" w:styleId="8">
    <w:name w:val="endnote text"/>
    <w:basedOn w:val="1"/>
    <w:qFormat/>
    <w:uiPriority w:val="99"/>
    <w:pPr>
      <w:snapToGrid w:val="0"/>
      <w:ind w:firstLine="0" w:firstLineChars="0"/>
      <w:jc w:val="left"/>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iPriority w:val="0"/>
  </w:style>
  <w:style w:type="paragraph" w:styleId="12">
    <w:name w:val="footnote text"/>
    <w:basedOn w:val="1"/>
    <w:qFormat/>
    <w:uiPriority w:val="0"/>
    <w:pPr>
      <w:snapToGrid w:val="0"/>
      <w:jc w:val="left"/>
    </w:pPr>
    <w:rPr>
      <w:sz w:val="18"/>
    </w:rPr>
  </w:style>
  <w:style w:type="paragraph" w:styleId="13">
    <w:name w:val="toc 2"/>
    <w:basedOn w:val="1"/>
    <w:next w:val="1"/>
    <w:qFormat/>
    <w:uiPriority w:val="0"/>
    <w:pPr>
      <w:ind w:left="420" w:leftChars="20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qFormat/>
    <w:uiPriority w:val="99"/>
    <w:rPr>
      <w:rFonts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Strong"/>
    <w:basedOn w:val="17"/>
    <w:qFormat/>
    <w:uiPriority w:val="0"/>
    <w:rPr>
      <w:b/>
    </w:rPr>
  </w:style>
  <w:style w:type="character" w:styleId="19">
    <w:name w:val="endnote reference"/>
    <w:qFormat/>
    <w:uiPriority w:val="0"/>
    <w:rPr>
      <w:vertAlign w:val="superscript"/>
    </w:rPr>
  </w:style>
  <w:style w:type="character" w:styleId="20">
    <w:name w:val="Hyperlink"/>
    <w:basedOn w:val="17"/>
    <w:qFormat/>
    <w:uiPriority w:val="0"/>
    <w:rPr>
      <w:color w:val="0000FF"/>
      <w:u w:val="single"/>
    </w:rPr>
  </w:style>
  <w:style w:type="character" w:styleId="21">
    <w:name w:val="footnote reference"/>
    <w:basedOn w:val="17"/>
    <w:qFormat/>
    <w:uiPriority w:val="0"/>
    <w:rPr>
      <w:vertAlign w:val="superscript"/>
    </w:rPr>
  </w:style>
  <w:style w:type="paragraph" w:customStyle="1" w:styleId="22">
    <w:name w:val="作者"/>
    <w:basedOn w:val="1"/>
    <w:qFormat/>
    <w:uiPriority w:val="0"/>
    <w:pPr>
      <w:adjustRightInd w:val="0"/>
      <w:snapToGrid w:val="0"/>
      <w:spacing w:line="313" w:lineRule="atLeast"/>
      <w:jc w:val="center"/>
    </w:pPr>
    <w:rPr>
      <w:rFonts w:eastAsia="仿宋_GB2312"/>
      <w:sz w:val="28"/>
    </w:rPr>
  </w:style>
  <w:style w:type="table" w:customStyle="1" w:styleId="2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oleObject" Target="embeddings/oleObject25.bin"/><Relationship Id="rId4" Type="http://schemas.openxmlformats.org/officeDocument/2006/relationships/endnotes" Target="endnotes.xml"/><Relationship Id="rId39" Type="http://schemas.openxmlformats.org/officeDocument/2006/relationships/oleObject" Target="embeddings/oleObject24.bin"/><Relationship Id="rId38" Type="http://schemas.openxmlformats.org/officeDocument/2006/relationships/oleObject" Target="embeddings/oleObject23.bin"/><Relationship Id="rId37" Type="http://schemas.openxmlformats.org/officeDocument/2006/relationships/oleObject" Target="embeddings/oleObject22.bin"/><Relationship Id="rId36" Type="http://schemas.openxmlformats.org/officeDocument/2006/relationships/image" Target="media/image9.wmf"/><Relationship Id="rId35" Type="http://schemas.openxmlformats.org/officeDocument/2006/relationships/oleObject" Target="embeddings/oleObject21.bin"/><Relationship Id="rId34" Type="http://schemas.openxmlformats.org/officeDocument/2006/relationships/oleObject" Target="embeddings/oleObject20.bin"/><Relationship Id="rId33" Type="http://schemas.openxmlformats.org/officeDocument/2006/relationships/image" Target="media/image8.wmf"/><Relationship Id="rId32" Type="http://schemas.openxmlformats.org/officeDocument/2006/relationships/oleObject" Target="embeddings/oleObject19.bin"/><Relationship Id="rId31" Type="http://schemas.openxmlformats.org/officeDocument/2006/relationships/oleObject" Target="embeddings/oleObject18.bin"/><Relationship Id="rId30" Type="http://schemas.openxmlformats.org/officeDocument/2006/relationships/image" Target="media/image7.wmf"/><Relationship Id="rId3" Type="http://schemas.openxmlformats.org/officeDocument/2006/relationships/footnotes" Target="footnotes.xml"/><Relationship Id="rId29" Type="http://schemas.openxmlformats.org/officeDocument/2006/relationships/oleObject" Target="embeddings/oleObject17.bin"/><Relationship Id="rId28" Type="http://schemas.openxmlformats.org/officeDocument/2006/relationships/oleObject" Target="embeddings/oleObject16.bin"/><Relationship Id="rId27" Type="http://schemas.openxmlformats.org/officeDocument/2006/relationships/oleObject" Target="embeddings/oleObject15.bin"/><Relationship Id="rId26" Type="http://schemas.openxmlformats.org/officeDocument/2006/relationships/oleObject" Target="embeddings/oleObject14.bin"/><Relationship Id="rId25" Type="http://schemas.openxmlformats.org/officeDocument/2006/relationships/oleObject" Target="embeddings/oleObject13.bin"/><Relationship Id="rId24" Type="http://schemas.openxmlformats.org/officeDocument/2006/relationships/oleObject" Target="embeddings/oleObject12.bin"/><Relationship Id="rId23" Type="http://schemas.openxmlformats.org/officeDocument/2006/relationships/oleObject" Target="embeddings/oleObject11.bin"/><Relationship Id="rId22" Type="http://schemas.openxmlformats.org/officeDocument/2006/relationships/oleObject" Target="embeddings/oleObject10.bin"/><Relationship Id="rId21" Type="http://schemas.openxmlformats.org/officeDocument/2006/relationships/oleObject" Target="embeddings/oleObject9.bin"/><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oleObject" Target="embeddings/oleObject6.bin"/><Relationship Id="rId17" Type="http://schemas.openxmlformats.org/officeDocument/2006/relationships/image" Target="media/image6.wmf"/><Relationship Id="rId16" Type="http://schemas.openxmlformats.org/officeDocument/2006/relationships/oleObject" Target="embeddings/oleObject5.bin"/><Relationship Id="rId15" Type="http://schemas.openxmlformats.org/officeDocument/2006/relationships/image" Target="media/image5.wmf"/><Relationship Id="rId14" Type="http://schemas.openxmlformats.org/officeDocument/2006/relationships/oleObject" Target="embeddings/oleObject4.bin"/><Relationship Id="rId13" Type="http://schemas.openxmlformats.org/officeDocument/2006/relationships/image" Target="media/image4.wmf"/><Relationship Id="rId12" Type="http://schemas.openxmlformats.org/officeDocument/2006/relationships/oleObject" Target="embeddings/oleObject3.bin"/><Relationship Id="rId11" Type="http://schemas.openxmlformats.org/officeDocument/2006/relationships/image" Target="media/image3.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F360BE8B-6686-4F3D-AEAF-501FE73E4058-1">
      <extobjdata type="F360BE8B-6686-4F3D-AEAF-501FE73E4058" data="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7200</Words>
  <Characters>8116</Characters>
  <Lines>0</Lines>
  <Paragraphs>0</Paragraphs>
  <TotalTime>8</TotalTime>
  <ScaleCrop>false</ScaleCrop>
  <LinksUpToDate>false</LinksUpToDate>
  <CharactersWithSpaces>8204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2025-04-15T21:41:00Z</dcterms:created>
  <dc:creator>LX</dc:creator>
  <cp:lastModifiedBy>BIT梁子</cp:lastModifiedBy>
  <dcterms:modified xsi:type="dcterms:W3CDTF">2025-07-08T15:53:13Z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5F8B22A2816842A69FB8ED5567377C38_13</vt:lpwstr>
  </property>
  <property fmtid="{D5CDD505-2E9C-101B-9397-08002B2CF9AE}" pid="4" name="KSOTemplateDocerSaveRecord">
    <vt:lpwstr>eyJoZGlkIjoiYWY4YjQzYTNjOGU2NDMyZWI5NjNiNGUwNjdiNGU0ODMiLCJ1c2VySWQiOiI0MjU3OTEzNDIifQ==</vt:lpwstr>
  </property>
</Properties>
</file>