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B226BE">
      <w:pPr>
        <w:pStyle w:val="Tittel"/>
        <w:spacing w:after="0"/>
        <w:jc w:val="center"/>
        <w:rPr>
          <w:lang w:val="en-GB"/>
        </w:rPr>
      </w:pPr>
    </w:p>
    <w:p w:rsidR="00753AD3" w:rsidRPr="00725149" w:rsidRDefault="00753AD3" w:rsidP="00B226BE">
      <w:pPr>
        <w:pStyle w:val="Tittel"/>
        <w:spacing w:after="0"/>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B226BE">
      <w:pPr>
        <w:pStyle w:val="Tittel"/>
        <w:spacing w:after="0"/>
        <w:jc w:val="center"/>
        <w:rPr>
          <w:sz w:val="48"/>
          <w:lang w:val="en-GB"/>
        </w:rPr>
      </w:pPr>
      <w:r w:rsidRPr="00725149">
        <w:rPr>
          <w:sz w:val="48"/>
          <w:lang w:val="en-GB"/>
        </w:rPr>
        <w:t>JFACC AIR OPERATIONS DIRECTIVE</w:t>
      </w:r>
    </w:p>
    <w:p w:rsidR="00343D16" w:rsidRPr="00725149" w:rsidRDefault="009323C0" w:rsidP="00B226BE">
      <w:pPr>
        <w:pStyle w:val="Tittel"/>
        <w:spacing w:after="0"/>
        <w:jc w:val="center"/>
        <w:rPr>
          <w:sz w:val="48"/>
          <w:lang w:val="en-GB"/>
        </w:rPr>
      </w:pPr>
      <w:r>
        <w:rPr>
          <w:sz w:val="48"/>
          <w:lang w:val="en-GB"/>
        </w:rPr>
        <w:t>OPERATION ACTIVE RESOLVE</w:t>
      </w:r>
    </w:p>
    <w:p w:rsidR="00753AD3" w:rsidRPr="00725149" w:rsidRDefault="0046501B" w:rsidP="00B226BE">
      <w:pPr>
        <w:pStyle w:val="Tittel"/>
        <w:spacing w:after="0"/>
        <w:jc w:val="center"/>
        <w:rPr>
          <w:sz w:val="48"/>
          <w:lang w:val="en-GB"/>
        </w:rPr>
      </w:pPr>
      <w:r w:rsidRPr="00725149">
        <w:rPr>
          <w:sz w:val="48"/>
          <w:lang w:val="en-GB"/>
        </w:rPr>
        <w:t>D</w:t>
      </w:r>
      <w:r w:rsidR="009D0A25">
        <w:rPr>
          <w:sz w:val="48"/>
          <w:lang w:val="en-GB"/>
        </w:rPr>
        <w:t>4</w:t>
      </w:r>
      <w:r w:rsidR="009323C0">
        <w:rPr>
          <w:sz w:val="48"/>
          <w:lang w:val="en-GB"/>
        </w:rPr>
        <w:t xml:space="preserve"> </w:t>
      </w:r>
    </w:p>
    <w:p w:rsidR="00465966" w:rsidRPr="00725149" w:rsidRDefault="00465966" w:rsidP="00B226BE">
      <w:pPr>
        <w:pStyle w:val="Overskrift1"/>
        <w:spacing w:before="0"/>
        <w:contextualSpacing/>
        <w:rPr>
          <w:lang w:val="en-GB"/>
        </w:rPr>
      </w:pPr>
      <w:r w:rsidRPr="00725149">
        <w:rPr>
          <w:lang w:val="en-GB"/>
        </w:rPr>
        <w:t xml:space="preserve">1.  SITUATION </w:t>
      </w:r>
    </w:p>
    <w:p w:rsidR="00465966" w:rsidRDefault="00465966" w:rsidP="00B226BE">
      <w:pPr>
        <w:pStyle w:val="Overskrift2"/>
        <w:spacing w:before="0"/>
        <w:contextualSpacing/>
        <w:rPr>
          <w:lang w:val="en-GB"/>
        </w:rPr>
      </w:pPr>
      <w:proofErr w:type="gramStart"/>
      <w:r w:rsidRPr="00725149">
        <w:rPr>
          <w:lang w:val="en-GB"/>
        </w:rPr>
        <w:t>a.  JFC</w:t>
      </w:r>
      <w:proofErr w:type="gramEnd"/>
      <w:r w:rsidRPr="00725149">
        <w:rPr>
          <w:lang w:val="en-GB"/>
        </w:rPr>
        <w:t xml:space="preserve"> guidance (verbatim). </w:t>
      </w:r>
    </w:p>
    <w:p w:rsidR="0010470F" w:rsidRPr="0010470F" w:rsidRDefault="0010470F" w:rsidP="0010470F">
      <w:pPr>
        <w:pStyle w:val="Ingenmellomrom"/>
        <w:rPr>
          <w:lang w:val="en-US"/>
        </w:rPr>
      </w:pPr>
      <w:r w:rsidRPr="0010470F">
        <w:rPr>
          <w:lang w:val="en-US"/>
        </w:rPr>
        <w:t>Priority of effort is on establishing Air Superiority in support of LCC and set conditions</w:t>
      </w:r>
    </w:p>
    <w:p w:rsidR="0010470F" w:rsidRPr="0010470F" w:rsidRDefault="0010470F" w:rsidP="0010470F">
      <w:pPr>
        <w:pStyle w:val="Ingenmellomrom"/>
        <w:rPr>
          <w:lang w:val="en-US"/>
        </w:rPr>
      </w:pPr>
      <w:proofErr w:type="gramStart"/>
      <w:r w:rsidRPr="0010470F">
        <w:rPr>
          <w:lang w:val="en-US"/>
        </w:rPr>
        <w:t>for</w:t>
      </w:r>
      <w:proofErr w:type="gramEnd"/>
      <w:r w:rsidRPr="0010470F">
        <w:rPr>
          <w:lang w:val="en-US"/>
        </w:rPr>
        <w:t xml:space="preserve"> own operations.</w:t>
      </w:r>
    </w:p>
    <w:p w:rsidR="0010470F" w:rsidRPr="0010470F" w:rsidRDefault="0010470F" w:rsidP="0006333F">
      <w:pPr>
        <w:pStyle w:val="Ingenmellomrom"/>
        <w:numPr>
          <w:ilvl w:val="0"/>
          <w:numId w:val="4"/>
        </w:numPr>
        <w:rPr>
          <w:lang w:val="en-US"/>
        </w:rPr>
      </w:pPr>
      <w:r w:rsidRPr="0010470F">
        <w:rPr>
          <w:lang w:val="en-US"/>
        </w:rPr>
        <w:t>Start shaping for phase 2 in the operation (Create permissive environment).</w:t>
      </w:r>
    </w:p>
    <w:p w:rsidR="0010470F" w:rsidRPr="0010470F" w:rsidRDefault="0010470F" w:rsidP="0006333F">
      <w:pPr>
        <w:pStyle w:val="Ingenmellomrom"/>
        <w:numPr>
          <w:ilvl w:val="0"/>
          <w:numId w:val="4"/>
        </w:numPr>
        <w:rPr>
          <w:lang w:val="en-US"/>
        </w:rPr>
      </w:pPr>
      <w:r w:rsidRPr="0010470F">
        <w:rPr>
          <w:lang w:val="en-US"/>
        </w:rPr>
        <w:t>Continue support to LCC</w:t>
      </w:r>
    </w:p>
    <w:p w:rsidR="00F70FBD" w:rsidRPr="0006333F" w:rsidRDefault="0010470F" w:rsidP="0021435F">
      <w:pPr>
        <w:pStyle w:val="Ingenmellomrom"/>
        <w:numPr>
          <w:ilvl w:val="0"/>
          <w:numId w:val="4"/>
        </w:numPr>
        <w:rPr>
          <w:lang w:val="en-US"/>
        </w:rPr>
      </w:pPr>
      <w:r w:rsidRPr="0006333F">
        <w:rPr>
          <w:lang w:val="en-US"/>
        </w:rPr>
        <w:t>Be prepared to prepare contingency plans for striking Syrian WMD at short notice</w:t>
      </w:r>
      <w:r w:rsidR="0006333F" w:rsidRPr="0006333F">
        <w:rPr>
          <w:lang w:val="en-US"/>
        </w:rPr>
        <w:t xml:space="preserve"> </w:t>
      </w:r>
      <w:r w:rsidRPr="0006333F">
        <w:rPr>
          <w:lang w:val="en-US"/>
        </w:rPr>
        <w:t>(regardless of phase). Expect this plan to be asked for prior to commencing phase 2.</w:t>
      </w:r>
      <w:r w:rsidR="0006333F">
        <w:rPr>
          <w:lang w:val="en-US"/>
        </w:rPr>
        <w:t xml:space="preserve"> </w:t>
      </w:r>
      <w:r w:rsidRPr="0006333F">
        <w:rPr>
          <w:lang w:val="en-US"/>
        </w:rPr>
        <w:t>ALR: HIGH approved for such a plan.</w:t>
      </w:r>
    </w:p>
    <w:p w:rsidR="00677360" w:rsidRPr="00F70FBD" w:rsidRDefault="00677360" w:rsidP="00B226BE">
      <w:pPr>
        <w:pStyle w:val="Ingenmellomrom"/>
        <w:contextualSpacing/>
        <w:rPr>
          <w:lang w:val="en-US"/>
        </w:rPr>
      </w:pPr>
    </w:p>
    <w:p w:rsidR="003553B0" w:rsidRPr="00725149" w:rsidRDefault="00465966" w:rsidP="00B226BE">
      <w:pPr>
        <w:pStyle w:val="Overskrift2"/>
        <w:spacing w:before="0"/>
        <w:contextualSpacing/>
        <w:rPr>
          <w:lang w:val="en-GB"/>
        </w:rPr>
      </w:pPr>
      <w:proofErr w:type="gramStart"/>
      <w:r w:rsidRPr="00725149">
        <w:rPr>
          <w:lang w:val="en-GB"/>
        </w:rPr>
        <w:t>b.  Enemy</w:t>
      </w:r>
      <w:proofErr w:type="gramEnd"/>
      <w:r w:rsidRPr="00725149">
        <w:rPr>
          <w:lang w:val="en-GB"/>
        </w:rPr>
        <w:t xml:space="preserve"> situation.</w:t>
      </w:r>
      <w:r w:rsidR="003553B0" w:rsidRPr="00725149">
        <w:rPr>
          <w:lang w:val="en-GB"/>
        </w:rPr>
        <w:t xml:space="preserve"> </w:t>
      </w:r>
    </w:p>
    <w:p w:rsidR="00B226BE" w:rsidRDefault="0006333F" w:rsidP="00B226BE">
      <w:pPr>
        <w:pStyle w:val="Ingenmellomrom"/>
        <w:contextualSpacing/>
        <w:rPr>
          <w:lang w:val="en-GB"/>
        </w:rPr>
      </w:pPr>
      <w:r w:rsidRPr="0006333F">
        <w:rPr>
          <w:lang w:val="en-GB"/>
        </w:rPr>
        <w:t>The current enemy situation is defined in VIS INTSUM D</w:t>
      </w:r>
      <w:r w:rsidR="009D0A25">
        <w:rPr>
          <w:lang w:val="en-GB"/>
        </w:rPr>
        <w:t>3</w:t>
      </w:r>
      <w:r w:rsidRPr="0006333F">
        <w:rPr>
          <w:lang w:val="en-GB"/>
        </w:rPr>
        <w:t>, available at OPAR BRIEF.</w:t>
      </w:r>
    </w:p>
    <w:p w:rsidR="0006333F" w:rsidRPr="00725149" w:rsidRDefault="0006333F" w:rsidP="00B226BE">
      <w:pPr>
        <w:pStyle w:val="Ingenmellomrom"/>
        <w:contextualSpacing/>
        <w:rPr>
          <w:lang w:val="en-GB"/>
        </w:rPr>
      </w:pPr>
    </w:p>
    <w:p w:rsidR="00465966" w:rsidRDefault="00465966" w:rsidP="00B226BE">
      <w:pPr>
        <w:pStyle w:val="Overskrift2"/>
        <w:spacing w:before="0"/>
        <w:contextualSpacing/>
        <w:rPr>
          <w:lang w:val="en-GB"/>
        </w:rPr>
      </w:pPr>
      <w:proofErr w:type="gramStart"/>
      <w:r w:rsidRPr="00725149">
        <w:rPr>
          <w:lang w:val="en-GB"/>
        </w:rPr>
        <w:t>c.  Friendly</w:t>
      </w:r>
      <w:proofErr w:type="gramEnd"/>
      <w:r w:rsidRPr="00725149">
        <w:rPr>
          <w:lang w:val="en-GB"/>
        </w:rPr>
        <w:t xml:space="preserve"> situation (by joint force component). </w:t>
      </w:r>
    </w:p>
    <w:p w:rsidR="00211379" w:rsidRPr="00211379" w:rsidRDefault="00211379" w:rsidP="00211379">
      <w:pPr>
        <w:pStyle w:val="Overskrift3"/>
        <w:rPr>
          <w:lang w:val="en-GB"/>
        </w:rPr>
      </w:pPr>
      <w:r>
        <w:rPr>
          <w:lang w:val="en-GB"/>
        </w:rPr>
        <w:t>Land Component Command (LCC)</w:t>
      </w:r>
    </w:p>
    <w:p w:rsidR="00211379" w:rsidRDefault="00211379" w:rsidP="00211379">
      <w:pPr>
        <w:pStyle w:val="Overskrift4"/>
        <w:rPr>
          <w:lang w:val="en-US"/>
        </w:rPr>
      </w:pPr>
      <w:r>
        <w:rPr>
          <w:lang w:val="en-US"/>
        </w:rPr>
        <w:t>IV Corps</w:t>
      </w:r>
    </w:p>
    <w:p w:rsidR="00211379" w:rsidRDefault="00B567BD" w:rsidP="00211379">
      <w:pPr>
        <w:pStyle w:val="Ingenmellomrom"/>
        <w:contextualSpacing/>
        <w:rPr>
          <w:lang w:val="en-US"/>
        </w:rPr>
      </w:pPr>
      <w:r>
        <w:rPr>
          <w:lang w:val="en-US"/>
        </w:rPr>
        <w:t xml:space="preserve">The </w:t>
      </w:r>
      <w:r w:rsidR="00211379" w:rsidRPr="00211379">
        <w:rPr>
          <w:lang w:val="en-US"/>
        </w:rPr>
        <w:t xml:space="preserve">55th Mechanized Division has secured HATAY and </w:t>
      </w:r>
      <w:proofErr w:type="gramStart"/>
      <w:r w:rsidR="00211379" w:rsidRPr="00211379">
        <w:rPr>
          <w:lang w:val="en-US"/>
        </w:rPr>
        <w:t>have</w:t>
      </w:r>
      <w:proofErr w:type="gramEnd"/>
      <w:r w:rsidR="00211379" w:rsidRPr="00211379">
        <w:rPr>
          <w:lang w:val="en-US"/>
        </w:rPr>
        <w:t xml:space="preserve"> moved forward battalions to</w:t>
      </w:r>
      <w:r w:rsidR="00211379">
        <w:rPr>
          <w:lang w:val="en-US"/>
        </w:rPr>
        <w:t xml:space="preserve"> </w:t>
      </w:r>
      <w:r w:rsidR="00211379" w:rsidRPr="00211379">
        <w:rPr>
          <w:lang w:val="en-US"/>
        </w:rPr>
        <w:t>screening positions along the FLOT.</w:t>
      </w:r>
    </w:p>
    <w:p w:rsidR="00211379" w:rsidRPr="00211379" w:rsidRDefault="00211379" w:rsidP="00211379">
      <w:pPr>
        <w:pStyle w:val="Ingenmellomrom"/>
        <w:contextualSpacing/>
        <w:rPr>
          <w:lang w:val="en-US"/>
        </w:rPr>
      </w:pPr>
    </w:p>
    <w:p w:rsidR="00F70FBD" w:rsidRDefault="00B567BD" w:rsidP="00211379">
      <w:pPr>
        <w:pStyle w:val="Ingenmellomrom"/>
        <w:contextualSpacing/>
        <w:rPr>
          <w:lang w:val="en-US"/>
        </w:rPr>
      </w:pPr>
      <w:r>
        <w:rPr>
          <w:lang w:val="en-US"/>
        </w:rPr>
        <w:t xml:space="preserve">The </w:t>
      </w:r>
      <w:r w:rsidR="00211379" w:rsidRPr="00211379">
        <w:rPr>
          <w:lang w:val="en-US"/>
        </w:rPr>
        <w:t>56th Armor Division ha</w:t>
      </w:r>
      <w:r>
        <w:rPr>
          <w:lang w:val="en-US"/>
        </w:rPr>
        <w:t xml:space="preserve">s </w:t>
      </w:r>
      <w:r w:rsidR="00211379" w:rsidRPr="00211379">
        <w:rPr>
          <w:lang w:val="en-US"/>
        </w:rPr>
        <w:t>its</w:t>
      </w:r>
      <w:r>
        <w:rPr>
          <w:lang w:val="en-US"/>
        </w:rPr>
        <w:t>’</w:t>
      </w:r>
      <w:r w:rsidR="00211379" w:rsidRPr="00211379">
        <w:rPr>
          <w:lang w:val="en-US"/>
        </w:rPr>
        <w:t xml:space="preserve"> forward elements at the outskirt of Gaziantep. </w:t>
      </w:r>
      <w:r>
        <w:rPr>
          <w:lang w:val="en-US"/>
        </w:rPr>
        <w:t xml:space="preserve">The </w:t>
      </w:r>
      <w:r w:rsidR="00211379" w:rsidRPr="00211379">
        <w:rPr>
          <w:lang w:val="en-US"/>
        </w:rPr>
        <w:t>56th is preparing</w:t>
      </w:r>
      <w:r>
        <w:rPr>
          <w:lang w:val="en-US"/>
        </w:rPr>
        <w:t xml:space="preserve"> </w:t>
      </w:r>
      <w:r w:rsidR="00211379" w:rsidRPr="00211379">
        <w:rPr>
          <w:lang w:val="en-US"/>
        </w:rPr>
        <w:t>for the assault at Gaziantep airfield that will commence in the morning hours of D4.</w:t>
      </w:r>
    </w:p>
    <w:p w:rsidR="00211379" w:rsidRDefault="00211379" w:rsidP="00211379">
      <w:pPr>
        <w:pStyle w:val="Ingenmellomrom"/>
        <w:contextualSpacing/>
        <w:rPr>
          <w:lang w:val="en-US"/>
        </w:rPr>
      </w:pPr>
    </w:p>
    <w:p w:rsidR="00211379" w:rsidRDefault="00211379" w:rsidP="00211379">
      <w:pPr>
        <w:pStyle w:val="Ingenmellomrom"/>
        <w:contextualSpacing/>
        <w:rPr>
          <w:lang w:val="en-US"/>
        </w:rPr>
      </w:pPr>
      <w:r w:rsidRPr="00211379">
        <w:rPr>
          <w:noProof/>
        </w:rPr>
        <w:lastRenderedPageBreak/>
        <w:drawing>
          <wp:inline distT="0" distB="0" distL="0" distR="0">
            <wp:extent cx="5760720" cy="2851785"/>
            <wp:effectExtent l="19050" t="1905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stretch>
                      <a:fillRect/>
                    </a:stretch>
                  </pic:blipFill>
                  <pic:spPr>
                    <a:xfrm>
                      <a:off x="0" y="0"/>
                      <a:ext cx="5760720" cy="2851785"/>
                    </a:xfrm>
                    <a:prstGeom prst="rect">
                      <a:avLst/>
                    </a:prstGeom>
                    <a:ln>
                      <a:solidFill>
                        <a:schemeClr val="tx1"/>
                      </a:solidFill>
                    </a:ln>
                  </pic:spPr>
                </pic:pic>
              </a:graphicData>
            </a:graphic>
          </wp:inline>
        </w:drawing>
      </w:r>
    </w:p>
    <w:p w:rsidR="00211379" w:rsidRDefault="00211379" w:rsidP="00B226BE">
      <w:pPr>
        <w:pStyle w:val="Ingenmellomrom"/>
        <w:contextualSpacing/>
        <w:rPr>
          <w:lang w:val="en-US"/>
        </w:rPr>
      </w:pPr>
    </w:p>
    <w:p w:rsidR="00F70FBD" w:rsidRDefault="00F70FBD" w:rsidP="00211379">
      <w:pPr>
        <w:pStyle w:val="Overskrift4"/>
        <w:rPr>
          <w:lang w:val="en-US"/>
        </w:rPr>
      </w:pPr>
      <w:r>
        <w:rPr>
          <w:lang w:val="en-US"/>
        </w:rPr>
        <w:t>Turkish local forces</w:t>
      </w:r>
    </w:p>
    <w:p w:rsidR="00211379" w:rsidRPr="00211379" w:rsidRDefault="00211379" w:rsidP="00211379">
      <w:pPr>
        <w:pStyle w:val="Ingenmellomrom"/>
        <w:contextualSpacing/>
        <w:rPr>
          <w:lang w:val="en-US"/>
        </w:rPr>
      </w:pPr>
      <w:r w:rsidRPr="00211379">
        <w:rPr>
          <w:lang w:val="en-US"/>
        </w:rPr>
        <w:t>The Turkish 33rd Brigade protecting the Ataturk Dam have been defeated by Syrian</w:t>
      </w:r>
    </w:p>
    <w:p w:rsidR="00211379" w:rsidRPr="00211379" w:rsidRDefault="00211379" w:rsidP="00211379">
      <w:pPr>
        <w:pStyle w:val="Ingenmellomrom"/>
        <w:contextualSpacing/>
        <w:rPr>
          <w:lang w:val="en-US"/>
        </w:rPr>
      </w:pPr>
      <w:proofErr w:type="gramStart"/>
      <w:r w:rsidRPr="00211379">
        <w:rPr>
          <w:lang w:val="en-US"/>
        </w:rPr>
        <w:t>forces</w:t>
      </w:r>
      <w:proofErr w:type="gramEnd"/>
      <w:r w:rsidRPr="00211379">
        <w:rPr>
          <w:lang w:val="en-US"/>
        </w:rPr>
        <w:t xml:space="preserve"> despite heavy resistance and support from JFACC with CAS.</w:t>
      </w:r>
      <w:r w:rsidR="009D0A25">
        <w:rPr>
          <w:lang w:val="en-US"/>
        </w:rPr>
        <w:t xml:space="preserve"> They have withdrawn to the city of </w:t>
      </w:r>
      <w:proofErr w:type="spellStart"/>
      <w:r w:rsidR="009D0A25">
        <w:rPr>
          <w:lang w:val="en-US"/>
        </w:rPr>
        <w:t>Sanli</w:t>
      </w:r>
      <w:r w:rsidR="00AC7C93">
        <w:rPr>
          <w:lang w:val="en-US"/>
        </w:rPr>
        <w:t>ur</w:t>
      </w:r>
      <w:r w:rsidR="009D0A25">
        <w:rPr>
          <w:lang w:val="en-US"/>
        </w:rPr>
        <w:t>fa</w:t>
      </w:r>
      <w:proofErr w:type="spellEnd"/>
      <w:r w:rsidR="009D0A25">
        <w:rPr>
          <w:lang w:val="en-US"/>
        </w:rPr>
        <w:t xml:space="preserve"> in order to prevent Syrians capturing the airfield.</w:t>
      </w:r>
    </w:p>
    <w:p w:rsidR="00211379" w:rsidRPr="00B567BD" w:rsidRDefault="00211379" w:rsidP="00721CAA">
      <w:pPr>
        <w:pStyle w:val="Ingenmellomrom"/>
        <w:numPr>
          <w:ilvl w:val="0"/>
          <w:numId w:val="5"/>
        </w:numPr>
        <w:contextualSpacing/>
        <w:rPr>
          <w:lang w:val="en-US"/>
        </w:rPr>
      </w:pPr>
      <w:r w:rsidRPr="00B567BD">
        <w:rPr>
          <w:lang w:val="en-US"/>
        </w:rPr>
        <w:t>Turkish local forces are in static defensive positions and are not in a position to</w:t>
      </w:r>
      <w:r w:rsidR="00B567BD">
        <w:rPr>
          <w:lang w:val="en-US"/>
        </w:rPr>
        <w:t xml:space="preserve"> </w:t>
      </w:r>
      <w:r w:rsidRPr="00B567BD">
        <w:rPr>
          <w:lang w:val="en-US"/>
        </w:rPr>
        <w:t>assume offensive operations.</w:t>
      </w:r>
    </w:p>
    <w:p w:rsidR="00211379" w:rsidRPr="00211379" w:rsidRDefault="00211379" w:rsidP="00B567BD">
      <w:pPr>
        <w:pStyle w:val="Ingenmellomrom"/>
        <w:numPr>
          <w:ilvl w:val="0"/>
          <w:numId w:val="5"/>
        </w:numPr>
        <w:contextualSpacing/>
        <w:rPr>
          <w:lang w:val="en-US"/>
        </w:rPr>
      </w:pPr>
      <w:r w:rsidRPr="00211379">
        <w:rPr>
          <w:lang w:val="en-US"/>
        </w:rPr>
        <w:t>Turkish local forces consist of BTR-80 and M-113s vehicles</w:t>
      </w:r>
    </w:p>
    <w:p w:rsidR="00211379" w:rsidRPr="00211379" w:rsidRDefault="00211379" w:rsidP="00B567BD">
      <w:pPr>
        <w:pStyle w:val="Ingenmellomrom"/>
        <w:numPr>
          <w:ilvl w:val="0"/>
          <w:numId w:val="5"/>
        </w:numPr>
        <w:contextualSpacing/>
        <w:rPr>
          <w:lang w:val="en-US"/>
        </w:rPr>
      </w:pPr>
      <w:r w:rsidRPr="00211379">
        <w:rPr>
          <w:lang w:val="en-US"/>
        </w:rPr>
        <w:t>Turkish local forces are reinforced with coalition JTACs to support with CAS to defend</w:t>
      </w:r>
    </w:p>
    <w:p w:rsidR="00211379" w:rsidRDefault="00211379" w:rsidP="00B567BD">
      <w:pPr>
        <w:pStyle w:val="Ingenmellomrom"/>
        <w:numPr>
          <w:ilvl w:val="0"/>
          <w:numId w:val="5"/>
        </w:numPr>
        <w:contextualSpacing/>
        <w:rPr>
          <w:lang w:val="en-US"/>
        </w:rPr>
      </w:pPr>
      <w:proofErr w:type="gramStart"/>
      <w:r w:rsidRPr="00211379">
        <w:rPr>
          <w:lang w:val="en-US"/>
        </w:rPr>
        <w:t>against</w:t>
      </w:r>
      <w:proofErr w:type="gramEnd"/>
      <w:r w:rsidRPr="00211379">
        <w:rPr>
          <w:lang w:val="en-US"/>
        </w:rPr>
        <w:t xml:space="preserve"> Syrian attacks.</w:t>
      </w:r>
    </w:p>
    <w:p w:rsidR="00211379" w:rsidRDefault="00211379" w:rsidP="00211379">
      <w:pPr>
        <w:pStyle w:val="Ingenmellomrom"/>
        <w:contextualSpacing/>
        <w:rPr>
          <w:lang w:val="en-US"/>
        </w:rPr>
      </w:pPr>
    </w:p>
    <w:p w:rsidR="00211379" w:rsidRDefault="00211379" w:rsidP="00211379">
      <w:pPr>
        <w:pStyle w:val="Overskrift3"/>
        <w:rPr>
          <w:lang w:val="en-US"/>
        </w:rPr>
      </w:pPr>
      <w:r>
        <w:rPr>
          <w:lang w:val="en-US"/>
        </w:rPr>
        <w:t>Maritime Component Command (MCC)</w:t>
      </w:r>
    </w:p>
    <w:p w:rsidR="00211379" w:rsidRPr="00211379" w:rsidRDefault="00211379" w:rsidP="00211379">
      <w:pPr>
        <w:pStyle w:val="Ingenmellomrom"/>
        <w:contextualSpacing/>
        <w:rPr>
          <w:lang w:val="en-US"/>
        </w:rPr>
      </w:pPr>
      <w:r w:rsidRPr="00211379">
        <w:rPr>
          <w:lang w:val="en-US"/>
        </w:rPr>
        <w:t>CSG-1 continues to support the mission from CSG-1 operations box.</w:t>
      </w:r>
    </w:p>
    <w:p w:rsidR="00211379" w:rsidRDefault="00211379" w:rsidP="00211379">
      <w:pPr>
        <w:pStyle w:val="Ingenmellomrom"/>
        <w:contextualSpacing/>
        <w:rPr>
          <w:lang w:val="en-US"/>
        </w:rPr>
      </w:pPr>
      <w:proofErr w:type="gramStart"/>
      <w:r w:rsidRPr="00211379">
        <w:rPr>
          <w:lang w:val="en-US"/>
        </w:rPr>
        <w:t>SAG</w:t>
      </w:r>
      <w:proofErr w:type="gramEnd"/>
      <w:r w:rsidRPr="00211379">
        <w:rPr>
          <w:lang w:val="en-US"/>
        </w:rPr>
        <w:t xml:space="preserve"> 1 </w:t>
      </w:r>
      <w:r w:rsidR="00B567BD">
        <w:rPr>
          <w:lang w:val="en-US"/>
        </w:rPr>
        <w:t>remains outside the AO, having been directed to support shipping movements elsewhere following the loss of a Coalition logistics ship carrying GBUs.</w:t>
      </w:r>
    </w:p>
    <w:p w:rsidR="00211379" w:rsidRDefault="00211379" w:rsidP="00211379">
      <w:pPr>
        <w:pStyle w:val="Ingenmellomrom"/>
        <w:contextualSpacing/>
        <w:rPr>
          <w:lang w:val="en-US"/>
        </w:rPr>
      </w:pPr>
    </w:p>
    <w:p w:rsidR="00211379" w:rsidRDefault="00211379" w:rsidP="00211379">
      <w:pPr>
        <w:pStyle w:val="Overskrift3"/>
        <w:rPr>
          <w:lang w:val="en-US"/>
        </w:rPr>
      </w:pPr>
      <w:r w:rsidRPr="00211379">
        <w:rPr>
          <w:lang w:val="en-US"/>
        </w:rPr>
        <w:t>Special Operations Component Command (SOCC</w:t>
      </w:r>
      <w:r>
        <w:rPr>
          <w:lang w:val="en-US"/>
        </w:rPr>
        <w:t>)</w:t>
      </w:r>
    </w:p>
    <w:p w:rsidR="00211379" w:rsidRDefault="00211379" w:rsidP="00211379">
      <w:pPr>
        <w:pStyle w:val="Ingenmellomrom"/>
        <w:contextualSpacing/>
        <w:rPr>
          <w:lang w:val="en-US"/>
        </w:rPr>
      </w:pPr>
      <w:r w:rsidRPr="00211379">
        <w:rPr>
          <w:lang w:val="en-US"/>
        </w:rPr>
        <w:t>SOF teams are standing by to support with reconnaissance as required and</w:t>
      </w:r>
      <w:r w:rsidR="009D0A25">
        <w:rPr>
          <w:lang w:val="en-US"/>
        </w:rPr>
        <w:t xml:space="preserve"> </w:t>
      </w:r>
      <w:r w:rsidRPr="00211379">
        <w:rPr>
          <w:lang w:val="en-US"/>
        </w:rPr>
        <w:t>requested by JFACC.</w:t>
      </w:r>
    </w:p>
    <w:p w:rsidR="009D0A25" w:rsidRDefault="00AC7C93" w:rsidP="009D0A25">
      <w:pPr>
        <w:pStyle w:val="Ingenmellomrom"/>
        <w:numPr>
          <w:ilvl w:val="0"/>
          <w:numId w:val="10"/>
        </w:numPr>
        <w:contextualSpacing/>
        <w:rPr>
          <w:lang w:val="en-US"/>
        </w:rPr>
      </w:pPr>
      <w:r>
        <w:rPr>
          <w:lang w:val="en-US"/>
        </w:rPr>
        <w:t xml:space="preserve">Three </w:t>
      </w:r>
      <w:r w:rsidR="009D0A25">
        <w:rPr>
          <w:lang w:val="en-US"/>
        </w:rPr>
        <w:t>SOF team</w:t>
      </w:r>
      <w:r>
        <w:rPr>
          <w:lang w:val="en-US"/>
        </w:rPr>
        <w:t>s are</w:t>
      </w:r>
      <w:r w:rsidR="009D0A25">
        <w:rPr>
          <w:lang w:val="en-US"/>
        </w:rPr>
        <w:t xml:space="preserve"> being requested to deploy to theatre in support of </w:t>
      </w:r>
      <w:r>
        <w:rPr>
          <w:lang w:val="en-US"/>
        </w:rPr>
        <w:t xml:space="preserve">the observation of </w:t>
      </w:r>
      <w:r w:rsidR="009D0A25">
        <w:rPr>
          <w:lang w:val="en-US"/>
        </w:rPr>
        <w:t>strategic objectives. The request is raised to the SOCC.</w:t>
      </w:r>
    </w:p>
    <w:p w:rsidR="00211379" w:rsidRDefault="00211379">
      <w:pPr>
        <w:rPr>
          <w:lang w:val="en-US"/>
        </w:rPr>
      </w:pPr>
      <w:r>
        <w:rPr>
          <w:lang w:val="en-US"/>
        </w:rPr>
        <w:br w:type="page"/>
      </w:r>
    </w:p>
    <w:p w:rsidR="00465966" w:rsidRPr="00725149" w:rsidRDefault="00465966" w:rsidP="00B226BE">
      <w:pPr>
        <w:pStyle w:val="Overskrift1"/>
        <w:spacing w:before="0"/>
        <w:contextualSpacing/>
        <w:rPr>
          <w:lang w:val="en-GB"/>
        </w:rPr>
      </w:pPr>
      <w:r w:rsidRPr="00725149">
        <w:rPr>
          <w:lang w:val="en-GB"/>
        </w:rPr>
        <w:lastRenderedPageBreak/>
        <w:t xml:space="preserve">2.  MISSION </w:t>
      </w:r>
      <w:r w:rsidR="001868B0" w:rsidRPr="00725149">
        <w:rPr>
          <w:lang w:val="en-GB"/>
        </w:rPr>
        <w:t xml:space="preserve">- </w:t>
      </w:r>
      <w:r w:rsidRPr="00725149">
        <w:rPr>
          <w:lang w:val="en-GB"/>
        </w:rPr>
        <w:t xml:space="preserve">The JFACC’s mission statement (verbatim). </w:t>
      </w:r>
    </w:p>
    <w:p w:rsidR="00211379" w:rsidRDefault="001078D2" w:rsidP="00211379">
      <w:pPr>
        <w:pStyle w:val="Ingenmellomrom"/>
        <w:contextualSpacing/>
        <w:rPr>
          <w:rFonts w:eastAsia="Times New Roman"/>
          <w:lang w:val="en-GB"/>
        </w:rPr>
      </w:pPr>
      <w:r w:rsidRPr="00725149">
        <w:rPr>
          <w:rFonts w:eastAsia="Times New Roman"/>
          <w:lang w:val="en-GB"/>
        </w:rPr>
        <w:t>JFACC will establish air superiority in the area of operations and defeat Syrian offensive capability in support of CJTF-82</w:t>
      </w:r>
      <w:r w:rsidR="00AC7C93">
        <w:rPr>
          <w:rFonts w:eastAsia="Times New Roman"/>
          <w:lang w:val="en-GB"/>
        </w:rPr>
        <w:t>’s</w:t>
      </w:r>
      <w:r w:rsidRPr="00725149">
        <w:rPr>
          <w:rFonts w:eastAsia="Times New Roman"/>
          <w:lang w:val="en-GB"/>
        </w:rPr>
        <w:t xml:space="preserve"> offensive operations to neutralize Syrian offensive capability to conduct offensives in the region.</w:t>
      </w:r>
    </w:p>
    <w:p w:rsidR="00211379" w:rsidRDefault="00211379" w:rsidP="00211379">
      <w:pPr>
        <w:pStyle w:val="Ingenmellomrom"/>
        <w:contextualSpacing/>
        <w:rPr>
          <w:rFonts w:asciiTheme="majorHAnsi" w:eastAsiaTheme="majorEastAsia" w:hAnsiTheme="majorHAnsi" w:cstheme="majorBidi"/>
          <w:b/>
          <w:bCs/>
          <w:color w:val="0B0BFF" w:themeColor="accent1" w:themeShade="BF"/>
          <w:sz w:val="28"/>
          <w:szCs w:val="28"/>
          <w:lang w:val="en-GB"/>
        </w:rPr>
      </w:pPr>
    </w:p>
    <w:p w:rsidR="00465966" w:rsidRPr="00725149" w:rsidRDefault="00465966" w:rsidP="00B226BE">
      <w:pPr>
        <w:pStyle w:val="Overskrift1"/>
        <w:spacing w:before="0"/>
        <w:contextualSpacing/>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2235"/>
        <w:gridCol w:w="7053"/>
      </w:tblGrid>
      <w:tr w:rsidR="00796298" w:rsidRPr="009323C0" w:rsidTr="000B0094">
        <w:tc>
          <w:tcPr>
            <w:tcW w:w="2235" w:type="dxa"/>
          </w:tcPr>
          <w:p w:rsidR="00796298" w:rsidRPr="00725149" w:rsidRDefault="00796298" w:rsidP="00B226BE">
            <w:pPr>
              <w:contextualSpacing/>
              <w:rPr>
                <w:b/>
                <w:bCs/>
                <w:lang w:val="en-GB"/>
              </w:rPr>
            </w:pPr>
            <w:r w:rsidRPr="00725149">
              <w:rPr>
                <w:b/>
                <w:bCs/>
                <w:lang w:val="en-GB"/>
              </w:rPr>
              <w:t>JFACC’s Intent</w:t>
            </w:r>
          </w:p>
          <w:p w:rsidR="00796298" w:rsidRPr="00725149" w:rsidRDefault="00796298" w:rsidP="00B226BE">
            <w:pPr>
              <w:contextualSpacing/>
              <w:rPr>
                <w:b/>
                <w:bCs/>
                <w:lang w:val="en-GB"/>
              </w:rPr>
            </w:pPr>
          </w:p>
          <w:p w:rsidR="00796298" w:rsidRPr="00725149" w:rsidRDefault="00796298" w:rsidP="00B226BE">
            <w:pPr>
              <w:contextualSpacing/>
              <w:rPr>
                <w:b/>
                <w:bCs/>
                <w:lang w:val="en-GB"/>
              </w:rPr>
            </w:pPr>
          </w:p>
          <w:p w:rsidR="00796298" w:rsidRDefault="00796298" w:rsidP="00B226BE">
            <w:pPr>
              <w:contextualSpacing/>
              <w:rPr>
                <w:b/>
                <w:bCs/>
                <w:lang w:val="en-GB"/>
              </w:rPr>
            </w:pPr>
          </w:p>
          <w:p w:rsidR="009F3784" w:rsidRDefault="009F3784" w:rsidP="00B226BE">
            <w:pPr>
              <w:contextualSpacing/>
              <w:rPr>
                <w:b/>
                <w:bCs/>
                <w:lang w:val="en-GB"/>
              </w:rPr>
            </w:pPr>
          </w:p>
          <w:p w:rsidR="009F3784" w:rsidRPr="00725149" w:rsidRDefault="009F3784" w:rsidP="00B226BE">
            <w:pPr>
              <w:contextualSpacing/>
              <w:rPr>
                <w:b/>
                <w:bCs/>
                <w:lang w:val="en-GB"/>
              </w:rPr>
            </w:pPr>
          </w:p>
          <w:p w:rsidR="00796298" w:rsidRPr="00725149" w:rsidRDefault="00796298" w:rsidP="00B226BE">
            <w:pPr>
              <w:contextualSpacing/>
              <w:rPr>
                <w:b/>
                <w:bCs/>
                <w:lang w:val="en-GB"/>
              </w:rPr>
            </w:pPr>
          </w:p>
          <w:p w:rsidR="00796298" w:rsidRPr="00725149" w:rsidRDefault="00F80695" w:rsidP="00B226BE">
            <w:pPr>
              <w:pStyle w:val="Listeavsnitt"/>
              <w:numPr>
                <w:ilvl w:val="0"/>
                <w:numId w:val="1"/>
              </w:numPr>
              <w:rPr>
                <w:b/>
                <w:bCs/>
                <w:lang w:val="en-GB"/>
              </w:rPr>
            </w:pPr>
            <w:r w:rsidRPr="00725149">
              <w:rPr>
                <w:b/>
                <w:bCs/>
                <w:lang w:val="en-GB"/>
              </w:rPr>
              <w:t>Purpose</w:t>
            </w:r>
          </w:p>
          <w:p w:rsidR="00F80695" w:rsidRPr="00725149" w:rsidRDefault="00F80695" w:rsidP="00B226BE">
            <w:pPr>
              <w:contextualSpacing/>
              <w:rPr>
                <w:b/>
                <w:bCs/>
                <w:lang w:val="en-GB"/>
              </w:rPr>
            </w:pPr>
          </w:p>
          <w:p w:rsidR="00F80695" w:rsidRPr="00725149" w:rsidRDefault="00F80695" w:rsidP="00B226BE">
            <w:pPr>
              <w:contextualSpacing/>
              <w:rPr>
                <w:b/>
                <w:bCs/>
                <w:lang w:val="en-GB"/>
              </w:rPr>
            </w:pPr>
          </w:p>
          <w:p w:rsidR="00FE69B4" w:rsidRPr="00725149" w:rsidRDefault="00FE69B4" w:rsidP="00B226BE">
            <w:pPr>
              <w:contextualSpacing/>
              <w:rPr>
                <w:b/>
                <w:bCs/>
                <w:lang w:val="en-GB"/>
              </w:rPr>
            </w:pPr>
          </w:p>
          <w:p w:rsidR="00405A3B" w:rsidRDefault="00405A3B" w:rsidP="00B226BE">
            <w:pPr>
              <w:contextualSpacing/>
              <w:rPr>
                <w:b/>
                <w:bCs/>
                <w:lang w:val="en-GB"/>
              </w:rPr>
            </w:pPr>
          </w:p>
          <w:p w:rsidR="009F3784" w:rsidRDefault="009F3784" w:rsidP="00B226BE">
            <w:pPr>
              <w:contextualSpacing/>
              <w:rPr>
                <w:b/>
                <w:bCs/>
                <w:lang w:val="en-GB"/>
              </w:rPr>
            </w:pPr>
          </w:p>
          <w:p w:rsidR="00405A3B" w:rsidRDefault="00405A3B" w:rsidP="00B226BE">
            <w:pPr>
              <w:contextualSpacing/>
              <w:rPr>
                <w:b/>
                <w:bCs/>
                <w:lang w:val="en-GB"/>
              </w:rPr>
            </w:pPr>
          </w:p>
          <w:p w:rsidR="009F3784" w:rsidRDefault="009F3784"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9F3784" w:rsidRDefault="009F3784"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AC7C93" w:rsidRDefault="00AC7C93" w:rsidP="00B226BE">
            <w:pPr>
              <w:contextualSpacing/>
              <w:rPr>
                <w:b/>
                <w:bCs/>
                <w:lang w:val="en-GB"/>
              </w:rPr>
            </w:pPr>
          </w:p>
          <w:p w:rsidR="00960679" w:rsidRDefault="00960679" w:rsidP="00B226BE">
            <w:pPr>
              <w:contextualSpacing/>
              <w:rPr>
                <w:b/>
                <w:bCs/>
                <w:lang w:val="en-GB"/>
              </w:rPr>
            </w:pPr>
          </w:p>
          <w:p w:rsidR="00960679" w:rsidRDefault="00960679" w:rsidP="00B226BE">
            <w:pPr>
              <w:contextualSpacing/>
              <w:rPr>
                <w:b/>
                <w:bCs/>
                <w:lang w:val="en-GB"/>
              </w:rPr>
            </w:pPr>
          </w:p>
          <w:p w:rsidR="00960679" w:rsidRDefault="00960679" w:rsidP="00B226BE">
            <w:pPr>
              <w:contextualSpacing/>
              <w:rPr>
                <w:b/>
                <w:bCs/>
                <w:lang w:val="en-GB"/>
              </w:rPr>
            </w:pPr>
          </w:p>
          <w:p w:rsidR="00AC7C93" w:rsidRDefault="00AC7C93" w:rsidP="00B226BE">
            <w:pPr>
              <w:contextualSpacing/>
              <w:rPr>
                <w:b/>
                <w:bCs/>
                <w:lang w:val="en-GB"/>
              </w:rPr>
            </w:pPr>
          </w:p>
          <w:p w:rsidR="00960679" w:rsidRDefault="00960679" w:rsidP="00B226BE">
            <w:pPr>
              <w:contextualSpacing/>
              <w:rPr>
                <w:b/>
                <w:bCs/>
                <w:lang w:val="en-GB"/>
              </w:rPr>
            </w:pPr>
          </w:p>
          <w:p w:rsidR="00960679" w:rsidRDefault="00960679" w:rsidP="00B226BE">
            <w:pPr>
              <w:contextualSpacing/>
              <w:rPr>
                <w:b/>
                <w:bCs/>
                <w:lang w:val="en-GB"/>
              </w:rPr>
            </w:pPr>
          </w:p>
          <w:p w:rsidR="00AC7C93" w:rsidRDefault="00AC7C93" w:rsidP="00B226BE">
            <w:pPr>
              <w:contextualSpacing/>
              <w:rPr>
                <w:b/>
                <w:bCs/>
                <w:lang w:val="en-GB"/>
              </w:rPr>
            </w:pPr>
          </w:p>
          <w:p w:rsidR="00AC7C93" w:rsidRPr="00725149" w:rsidRDefault="00AC7C93" w:rsidP="00B226BE">
            <w:pPr>
              <w:contextualSpacing/>
              <w:rPr>
                <w:b/>
                <w:bCs/>
                <w:lang w:val="en-GB"/>
              </w:rPr>
            </w:pPr>
          </w:p>
          <w:p w:rsidR="00FE69B4" w:rsidRPr="00725149" w:rsidRDefault="00FE69B4" w:rsidP="00B226BE">
            <w:pPr>
              <w:contextualSpacing/>
              <w:rPr>
                <w:b/>
                <w:bCs/>
                <w:lang w:val="en-GB"/>
              </w:rPr>
            </w:pPr>
          </w:p>
          <w:p w:rsidR="00F80695" w:rsidRDefault="00F80695" w:rsidP="00B226BE">
            <w:pPr>
              <w:pStyle w:val="Listeavsnitt"/>
              <w:numPr>
                <w:ilvl w:val="0"/>
                <w:numId w:val="1"/>
              </w:numPr>
              <w:rPr>
                <w:b/>
                <w:bCs/>
                <w:lang w:val="en-GB"/>
              </w:rPr>
            </w:pPr>
            <w:r w:rsidRPr="00725149">
              <w:rPr>
                <w:b/>
                <w:bCs/>
                <w:lang w:val="en-GB"/>
              </w:rPr>
              <w:t>End State</w:t>
            </w:r>
          </w:p>
          <w:p w:rsidR="009F3784" w:rsidRPr="009D0A25" w:rsidRDefault="009F3784" w:rsidP="009D0A25">
            <w:pPr>
              <w:rPr>
                <w:b/>
                <w:bCs/>
                <w:lang w:val="en-GB"/>
              </w:rPr>
            </w:pPr>
          </w:p>
        </w:tc>
        <w:tc>
          <w:tcPr>
            <w:tcW w:w="7053" w:type="dxa"/>
          </w:tcPr>
          <w:p w:rsidR="009D0A25" w:rsidRDefault="009D0A25" w:rsidP="00B226BE">
            <w:pPr>
              <w:contextualSpacing/>
              <w:rPr>
                <w:lang w:val="en-GB"/>
              </w:rPr>
            </w:pPr>
            <w:r w:rsidRPr="009D0A25">
              <w:rPr>
                <w:lang w:val="en-GB"/>
              </w:rPr>
              <w:t>JFACC</w:t>
            </w:r>
            <w:r>
              <w:rPr>
                <w:lang w:val="en-GB"/>
              </w:rPr>
              <w:t xml:space="preserve">’s intent for this day is to focus operations on </w:t>
            </w:r>
            <w:proofErr w:type="spellStart"/>
            <w:r>
              <w:rPr>
                <w:lang w:val="en-GB"/>
              </w:rPr>
              <w:t>Gazientep</w:t>
            </w:r>
            <w:proofErr w:type="spellEnd"/>
            <w:r>
              <w:rPr>
                <w:lang w:val="en-GB"/>
              </w:rPr>
              <w:t xml:space="preserve"> in order to:</w:t>
            </w:r>
          </w:p>
          <w:p w:rsidR="009D0A25" w:rsidRDefault="009D0A25" w:rsidP="009D0A25">
            <w:pPr>
              <w:pStyle w:val="Listeavsnitt"/>
              <w:numPr>
                <w:ilvl w:val="0"/>
                <w:numId w:val="10"/>
              </w:numPr>
              <w:rPr>
                <w:lang w:val="en-GB"/>
              </w:rPr>
            </w:pPr>
            <w:r>
              <w:rPr>
                <w:lang w:val="en-GB"/>
              </w:rPr>
              <w:t>Destroy newly detected SA-6 batteries in the north of Syr</w:t>
            </w:r>
            <w:r w:rsidR="00AC7C93">
              <w:rPr>
                <w:lang w:val="en-GB"/>
              </w:rPr>
              <w:t>i</w:t>
            </w:r>
            <w:r>
              <w:rPr>
                <w:lang w:val="en-GB"/>
              </w:rPr>
              <w:t xml:space="preserve">a that are </w:t>
            </w:r>
            <w:r w:rsidR="00AC7C93">
              <w:rPr>
                <w:lang w:val="en-GB"/>
              </w:rPr>
              <w:t xml:space="preserve">protecting </w:t>
            </w:r>
            <w:r>
              <w:rPr>
                <w:lang w:val="en-GB"/>
              </w:rPr>
              <w:t xml:space="preserve">airspace </w:t>
            </w:r>
            <w:r w:rsidR="00713FC7">
              <w:rPr>
                <w:lang w:val="en-GB"/>
              </w:rPr>
              <w:t xml:space="preserve">IVO </w:t>
            </w:r>
            <w:proofErr w:type="spellStart"/>
            <w:r>
              <w:rPr>
                <w:lang w:val="en-GB"/>
              </w:rPr>
              <w:t>Gazientep</w:t>
            </w:r>
            <w:proofErr w:type="spellEnd"/>
          </w:p>
          <w:p w:rsidR="009D0A25" w:rsidRDefault="009D0A25" w:rsidP="009D0A25">
            <w:pPr>
              <w:pStyle w:val="Listeavsnitt"/>
              <w:numPr>
                <w:ilvl w:val="0"/>
                <w:numId w:val="10"/>
              </w:numPr>
              <w:rPr>
                <w:lang w:val="en-GB"/>
              </w:rPr>
            </w:pPr>
            <w:r>
              <w:rPr>
                <w:lang w:val="en-GB"/>
              </w:rPr>
              <w:t xml:space="preserve">Significantly </w:t>
            </w:r>
            <w:proofErr w:type="spellStart"/>
            <w:r>
              <w:rPr>
                <w:lang w:val="en-GB"/>
              </w:rPr>
              <w:t>attrit</w:t>
            </w:r>
            <w:proofErr w:type="spellEnd"/>
            <w:r>
              <w:rPr>
                <w:lang w:val="en-GB"/>
              </w:rPr>
              <w:t xml:space="preserve"> the remaining Syrian SHORAD forces located at </w:t>
            </w:r>
            <w:proofErr w:type="spellStart"/>
            <w:r>
              <w:rPr>
                <w:lang w:val="en-GB"/>
              </w:rPr>
              <w:t>Gazientep</w:t>
            </w:r>
            <w:proofErr w:type="spellEnd"/>
          </w:p>
          <w:p w:rsidR="00226999" w:rsidRDefault="00226999" w:rsidP="009D0A25">
            <w:pPr>
              <w:pStyle w:val="Listeavsnitt"/>
              <w:numPr>
                <w:ilvl w:val="0"/>
                <w:numId w:val="10"/>
              </w:numPr>
              <w:rPr>
                <w:lang w:val="en-GB"/>
              </w:rPr>
            </w:pPr>
            <w:r>
              <w:rPr>
                <w:lang w:val="en-GB"/>
              </w:rPr>
              <w:t>Build further intelligence on the IADS picture in order to determine whether the capability of IADS SCC West has been restored and what IADS coverage remains near to the Turkish border.</w:t>
            </w:r>
          </w:p>
          <w:p w:rsidR="009D0A25" w:rsidRDefault="009D0A25" w:rsidP="009D0A25">
            <w:pPr>
              <w:rPr>
                <w:lang w:val="en-GB"/>
              </w:rPr>
            </w:pPr>
          </w:p>
          <w:p w:rsidR="009D0A25" w:rsidRPr="009D0A25" w:rsidRDefault="009D0A25" w:rsidP="009D0A25">
            <w:pPr>
              <w:rPr>
                <w:lang w:val="en-GB"/>
              </w:rPr>
            </w:pPr>
            <w:r>
              <w:rPr>
                <w:lang w:val="en-GB"/>
              </w:rPr>
              <w:t xml:space="preserve">Additionally, in preparation for operations to take place further south in Syria, JFACC seeks to probe the QRA response further south in Syria, specifically those Syrian </w:t>
            </w:r>
            <w:proofErr w:type="spellStart"/>
            <w:r>
              <w:rPr>
                <w:lang w:val="en-GB"/>
              </w:rPr>
              <w:t>Airforce</w:t>
            </w:r>
            <w:proofErr w:type="spellEnd"/>
            <w:r>
              <w:rPr>
                <w:lang w:val="en-GB"/>
              </w:rPr>
              <w:t xml:space="preserve"> assets based at </w:t>
            </w:r>
            <w:proofErr w:type="spellStart"/>
            <w:r w:rsidR="00461AE4">
              <w:rPr>
                <w:lang w:val="en-GB"/>
              </w:rPr>
              <w:t>Tiyas</w:t>
            </w:r>
            <w:proofErr w:type="spellEnd"/>
            <w:r>
              <w:rPr>
                <w:lang w:val="en-GB"/>
              </w:rPr>
              <w:t xml:space="preserve">. </w:t>
            </w:r>
          </w:p>
          <w:p w:rsidR="009F3784" w:rsidRDefault="009F3784" w:rsidP="00B226BE">
            <w:pPr>
              <w:contextualSpacing/>
              <w:rPr>
                <w:lang w:val="en-GB"/>
              </w:rPr>
            </w:pPr>
          </w:p>
          <w:p w:rsidR="00AC7C93" w:rsidRDefault="00AC7C93" w:rsidP="00B226BE">
            <w:pPr>
              <w:contextualSpacing/>
              <w:rPr>
                <w:lang w:val="en-GB"/>
              </w:rPr>
            </w:pPr>
            <w:r>
              <w:rPr>
                <w:lang w:val="en-GB"/>
              </w:rPr>
              <w:t>The VIS intelligence picture is particularly lacking with respect to forces south of Abu al-</w:t>
            </w:r>
            <w:proofErr w:type="spellStart"/>
            <w:r>
              <w:rPr>
                <w:lang w:val="en-GB"/>
              </w:rPr>
              <w:t>Duhur</w:t>
            </w:r>
            <w:proofErr w:type="spellEnd"/>
            <w:r>
              <w:rPr>
                <w:lang w:val="en-GB"/>
              </w:rPr>
              <w:t xml:space="preserve"> and the situation at sea. Friendly forces have now lost two shipments of critical munitions and, accordingly, ISTAR </w:t>
            </w:r>
            <w:proofErr w:type="spellStart"/>
            <w:r>
              <w:rPr>
                <w:lang w:val="en-GB"/>
              </w:rPr>
              <w:t>taskings</w:t>
            </w:r>
            <w:proofErr w:type="spellEnd"/>
            <w:r>
              <w:rPr>
                <w:lang w:val="en-GB"/>
              </w:rPr>
              <w:t xml:space="preserve"> will be allocated to develop the sea picture in support of VIS, JFACC and MCC. </w:t>
            </w:r>
          </w:p>
          <w:p w:rsidR="00AC7C93" w:rsidRDefault="00AC7C93" w:rsidP="00B226BE">
            <w:pPr>
              <w:contextualSpacing/>
              <w:rPr>
                <w:lang w:val="en-GB"/>
              </w:rPr>
            </w:pPr>
          </w:p>
          <w:p w:rsidR="00AC7C93" w:rsidRDefault="00AC7C93" w:rsidP="00B226BE">
            <w:pPr>
              <w:contextualSpacing/>
              <w:rPr>
                <w:lang w:val="en-GB"/>
              </w:rPr>
            </w:pPr>
            <w:r>
              <w:rPr>
                <w:lang w:val="en-GB"/>
              </w:rPr>
              <w:t xml:space="preserve">As night falls, JFACC intends to leverage the reduction in the </w:t>
            </w:r>
            <w:proofErr w:type="spellStart"/>
            <w:r>
              <w:rPr>
                <w:lang w:val="en-GB"/>
              </w:rPr>
              <w:t>SyAF</w:t>
            </w:r>
            <w:proofErr w:type="spellEnd"/>
            <w:r>
              <w:rPr>
                <w:lang w:val="en-GB"/>
              </w:rPr>
              <w:t xml:space="preserve"> capability to fight to strike</w:t>
            </w:r>
            <w:r w:rsidR="00883780">
              <w:rPr>
                <w:lang w:val="en-GB"/>
              </w:rPr>
              <w:t xml:space="preserve"> </w:t>
            </w:r>
            <w:proofErr w:type="spellStart"/>
            <w:r w:rsidR="00883780">
              <w:rPr>
                <w:lang w:val="en-GB"/>
              </w:rPr>
              <w:t>Tiyas</w:t>
            </w:r>
            <w:proofErr w:type="spellEnd"/>
            <w:r>
              <w:rPr>
                <w:lang w:val="en-GB"/>
              </w:rPr>
              <w:t xml:space="preserve"> </w:t>
            </w:r>
            <w:r w:rsidR="00883780">
              <w:rPr>
                <w:lang w:val="en-GB"/>
              </w:rPr>
              <w:t xml:space="preserve">airbase </w:t>
            </w:r>
            <w:r>
              <w:rPr>
                <w:lang w:val="en-GB"/>
              </w:rPr>
              <w:t>with a significant package of friendly forces, the intent being to deny the enemy the use of the airfield.</w:t>
            </w:r>
          </w:p>
          <w:p w:rsidR="00960679" w:rsidRDefault="00960679" w:rsidP="00B226BE">
            <w:pPr>
              <w:contextualSpacing/>
              <w:rPr>
                <w:lang w:val="en-GB"/>
              </w:rPr>
            </w:pPr>
          </w:p>
          <w:p w:rsidR="00960679" w:rsidRDefault="00960679" w:rsidP="00B226BE">
            <w:pPr>
              <w:contextualSpacing/>
              <w:rPr>
                <w:lang w:val="en-GB"/>
              </w:rPr>
            </w:pPr>
            <w:r>
              <w:rPr>
                <w:lang w:val="en-GB"/>
              </w:rPr>
              <w:t>Alongside this SEAD/DEAD activity, sorties will be allocated to conduct SEAD/DEAD operations in eastern Syria in order to permit safe passage towards the southern extent of the AO without overflying protected areas.</w:t>
            </w:r>
          </w:p>
          <w:p w:rsidR="00960679" w:rsidRDefault="00960679" w:rsidP="00B226BE">
            <w:pPr>
              <w:contextualSpacing/>
              <w:rPr>
                <w:lang w:val="en-GB"/>
              </w:rPr>
            </w:pPr>
          </w:p>
          <w:p w:rsidR="00960679" w:rsidRDefault="00960679" w:rsidP="00B226BE">
            <w:pPr>
              <w:contextualSpacing/>
              <w:rPr>
                <w:lang w:val="en-GB"/>
              </w:rPr>
            </w:pPr>
            <w:r>
              <w:rPr>
                <w:lang w:val="en-GB"/>
              </w:rPr>
              <w:t xml:space="preserve">Finally, throughout the day, </w:t>
            </w:r>
            <w:proofErr w:type="spellStart"/>
            <w:r>
              <w:rPr>
                <w:lang w:val="en-GB"/>
              </w:rPr>
              <w:t>taskings</w:t>
            </w:r>
            <w:proofErr w:type="spellEnd"/>
            <w:r>
              <w:rPr>
                <w:lang w:val="en-GB"/>
              </w:rPr>
              <w:t xml:space="preserve"> will be allocated to the attrition of Syrian </w:t>
            </w:r>
            <w:r w:rsidR="00B609FF">
              <w:rPr>
                <w:lang w:val="en-GB"/>
              </w:rPr>
              <w:t>ground forces in support of the LCC.</w:t>
            </w:r>
          </w:p>
          <w:p w:rsidR="00AC7C93" w:rsidRDefault="00AC7C93" w:rsidP="00B226BE">
            <w:pPr>
              <w:contextualSpacing/>
              <w:rPr>
                <w:lang w:val="en-GB"/>
              </w:rPr>
            </w:pPr>
          </w:p>
          <w:p w:rsidR="009F3784" w:rsidRDefault="009F3784" w:rsidP="00B226BE">
            <w:pPr>
              <w:contextualSpacing/>
              <w:rPr>
                <w:lang w:val="en-GB"/>
              </w:rPr>
            </w:pPr>
          </w:p>
          <w:p w:rsidR="00226999" w:rsidRDefault="009F3784" w:rsidP="00B226BE">
            <w:pPr>
              <w:contextualSpacing/>
              <w:rPr>
                <w:lang w:val="en-GB"/>
              </w:rPr>
            </w:pPr>
            <w:r>
              <w:rPr>
                <w:lang w:val="en-GB"/>
              </w:rPr>
              <w:t xml:space="preserve">The end state of this ATO sees the </w:t>
            </w:r>
            <w:r w:rsidR="00226999">
              <w:rPr>
                <w:lang w:val="en-GB"/>
              </w:rPr>
              <w:t xml:space="preserve">freedom of manoeuvre around </w:t>
            </w:r>
            <w:proofErr w:type="spellStart"/>
            <w:r w:rsidR="00226999">
              <w:rPr>
                <w:lang w:val="en-GB"/>
              </w:rPr>
              <w:t>Gazientep</w:t>
            </w:r>
            <w:proofErr w:type="spellEnd"/>
            <w:r w:rsidR="00226999">
              <w:rPr>
                <w:lang w:val="en-GB"/>
              </w:rPr>
              <w:t xml:space="preserve"> for low-level strike assets to provide support to friendly ground forces conduct</w:t>
            </w:r>
            <w:r w:rsidR="00960679">
              <w:rPr>
                <w:lang w:val="en-GB"/>
              </w:rPr>
              <w:t>ing</w:t>
            </w:r>
            <w:r w:rsidR="00226999">
              <w:rPr>
                <w:lang w:val="en-GB"/>
              </w:rPr>
              <w:t xml:space="preserve"> their offensive. Additionally, VIS will be provided with significant additional intelligence to understand the enemy IADS picture in the north of Syria and the border with Turke</w:t>
            </w:r>
            <w:r w:rsidR="00AC7C93">
              <w:rPr>
                <w:lang w:val="en-GB"/>
              </w:rPr>
              <w:t>y</w:t>
            </w:r>
            <w:r w:rsidR="00960679">
              <w:rPr>
                <w:lang w:val="en-GB"/>
              </w:rPr>
              <w:t xml:space="preserve">, eastern Syria, the area surrounding Hama </w:t>
            </w:r>
            <w:r w:rsidR="00226999">
              <w:rPr>
                <w:lang w:val="en-GB"/>
              </w:rPr>
              <w:t xml:space="preserve">and the QRA capabilities of the Syrian </w:t>
            </w:r>
            <w:proofErr w:type="spellStart"/>
            <w:r w:rsidR="00226999">
              <w:rPr>
                <w:lang w:val="en-GB"/>
              </w:rPr>
              <w:t>airforce</w:t>
            </w:r>
            <w:proofErr w:type="spellEnd"/>
            <w:r w:rsidR="00226999">
              <w:rPr>
                <w:lang w:val="en-GB"/>
              </w:rPr>
              <w:t xml:space="preserve"> based </w:t>
            </w:r>
            <w:r w:rsidR="00960679">
              <w:rPr>
                <w:lang w:val="en-GB"/>
              </w:rPr>
              <w:t>in southern Syria</w:t>
            </w:r>
            <w:r w:rsidR="00226999">
              <w:rPr>
                <w:lang w:val="en-GB"/>
              </w:rPr>
              <w:t>.</w:t>
            </w:r>
          </w:p>
          <w:p w:rsidR="00960679" w:rsidRDefault="00960679" w:rsidP="00B226BE">
            <w:pPr>
              <w:contextualSpacing/>
              <w:rPr>
                <w:lang w:val="en-GB"/>
              </w:rPr>
            </w:pPr>
          </w:p>
          <w:p w:rsidR="00960679" w:rsidRDefault="00960679" w:rsidP="00B226BE">
            <w:pPr>
              <w:contextualSpacing/>
              <w:rPr>
                <w:lang w:val="en-GB"/>
              </w:rPr>
            </w:pPr>
            <w:r>
              <w:rPr>
                <w:lang w:val="en-GB"/>
              </w:rPr>
              <w:t>Additionally, VIS, JFACC and MCC will be better equipped with information relating to the operations of Syria and its’ allies at sea, informing decisions relating to the deployment of the CSG and the passage of allied shipping.</w:t>
            </w:r>
          </w:p>
          <w:p w:rsidR="00105535" w:rsidRDefault="00960679" w:rsidP="00B226BE">
            <w:pPr>
              <w:contextualSpacing/>
              <w:rPr>
                <w:lang w:val="en-GB"/>
              </w:rPr>
            </w:pPr>
            <w:r>
              <w:rPr>
                <w:lang w:val="en-GB"/>
              </w:rPr>
              <w:lastRenderedPageBreak/>
              <w:t xml:space="preserve">Come the end of D4, the Syrian air force will be denied the use of </w:t>
            </w:r>
            <w:proofErr w:type="spellStart"/>
            <w:r w:rsidR="00883780">
              <w:rPr>
                <w:lang w:val="en-GB"/>
              </w:rPr>
              <w:t>Tiyas</w:t>
            </w:r>
            <w:proofErr w:type="spellEnd"/>
            <w:r w:rsidR="00883780">
              <w:rPr>
                <w:lang w:val="en-GB"/>
              </w:rPr>
              <w:t xml:space="preserve"> AB</w:t>
            </w:r>
            <w:r>
              <w:rPr>
                <w:lang w:val="en-GB"/>
              </w:rPr>
              <w:t>.</w:t>
            </w:r>
          </w:p>
          <w:p w:rsidR="00C40A28" w:rsidRPr="00D31903" w:rsidRDefault="00105535" w:rsidP="00B226BE">
            <w:pPr>
              <w:contextualSpacing/>
              <w:rPr>
                <w:lang w:val="en-GB"/>
              </w:rPr>
            </w:pPr>
            <w:r>
              <w:rPr>
                <w:lang w:val="en-GB"/>
              </w:rPr>
              <w:t xml:space="preserve"> </w:t>
            </w:r>
          </w:p>
        </w:tc>
      </w:tr>
      <w:tr w:rsidR="00796298" w:rsidRPr="009323C0" w:rsidTr="000B0094">
        <w:tc>
          <w:tcPr>
            <w:tcW w:w="2235" w:type="dxa"/>
          </w:tcPr>
          <w:p w:rsidR="00796298" w:rsidRPr="00725149" w:rsidRDefault="009C71BF" w:rsidP="00B226BE">
            <w:pPr>
              <w:contextualSpacing/>
              <w:rPr>
                <w:b/>
                <w:bCs/>
                <w:lang w:val="en-GB"/>
              </w:rPr>
            </w:pPr>
            <w:r w:rsidRPr="00725149">
              <w:rPr>
                <w:b/>
                <w:bCs/>
                <w:lang w:val="en-GB"/>
              </w:rPr>
              <w:lastRenderedPageBreak/>
              <w:t>Execution</w:t>
            </w:r>
            <w:r w:rsidRPr="00725149">
              <w:rPr>
                <w:lang w:val="en-GB"/>
              </w:rPr>
              <w:t xml:space="preserve"> What to do, when. </w:t>
            </w:r>
            <w:r w:rsidRPr="00725149">
              <w:rPr>
                <w:color w:val="BFBFBF" w:themeColor="background1" w:themeShade="BF"/>
                <w:lang w:val="en-GB"/>
              </w:rPr>
              <w:t>– Any detailed instructions if needed</w:t>
            </w:r>
          </w:p>
        </w:tc>
        <w:tc>
          <w:tcPr>
            <w:tcW w:w="7053" w:type="dxa"/>
          </w:tcPr>
          <w:p w:rsidR="00ED52BE" w:rsidRDefault="00ED52BE" w:rsidP="00960679">
            <w:pPr>
              <w:rPr>
                <w:b/>
                <w:bCs/>
                <w:u w:val="single"/>
                <w:lang w:val="en-GB"/>
              </w:rPr>
            </w:pPr>
          </w:p>
          <w:p w:rsidR="00960679" w:rsidRDefault="00DE278F" w:rsidP="00960679">
            <w:pPr>
              <w:rPr>
                <w:lang w:val="en-GB"/>
              </w:rPr>
            </w:pPr>
            <w:r>
              <w:rPr>
                <w:lang w:val="en-GB"/>
              </w:rPr>
              <w:t>Flights will be tasked to engage SHORAD and SAM threats IVO Gaziantep, including the SA-6 sites reported from D3 (D3.1-005 and D3.2-004). A two-ship of CAP will be established at X16 in support of this effort, cleared to operate in a block from FL300 and above.</w:t>
            </w:r>
          </w:p>
          <w:p w:rsidR="00DE278F" w:rsidRDefault="00DE278F" w:rsidP="00960679">
            <w:pPr>
              <w:rPr>
                <w:lang w:val="en-GB"/>
              </w:rPr>
            </w:pPr>
          </w:p>
          <w:p w:rsidR="00DE278F" w:rsidRDefault="00DE278F" w:rsidP="00960679">
            <w:pPr>
              <w:rPr>
                <w:lang w:val="en-GB"/>
              </w:rPr>
            </w:pPr>
            <w:r>
              <w:rPr>
                <w:lang w:val="en-GB"/>
              </w:rPr>
              <w:t xml:space="preserve">Flights will then be tasked to proceed to the Gaziantep area after CAP is established in order to begin Armed Reconnaissance, under the direction of a SCAR as outlined in the ATO, with </w:t>
            </w:r>
            <w:proofErr w:type="spellStart"/>
            <w:r>
              <w:rPr>
                <w:lang w:val="en-GB"/>
              </w:rPr>
              <w:t>deconfliction</w:t>
            </w:r>
            <w:proofErr w:type="spellEnd"/>
            <w:r>
              <w:rPr>
                <w:lang w:val="en-GB"/>
              </w:rPr>
              <w:t xml:space="preserve"> to be coordinated by the SCAR.</w:t>
            </w:r>
          </w:p>
          <w:p w:rsidR="00DE278F" w:rsidRDefault="00DE278F" w:rsidP="00960679">
            <w:pPr>
              <w:rPr>
                <w:lang w:val="en-GB"/>
              </w:rPr>
            </w:pPr>
          </w:p>
          <w:p w:rsidR="00DE278F" w:rsidRDefault="00DE278F" w:rsidP="00960679">
            <w:pPr>
              <w:rPr>
                <w:lang w:val="en-GB"/>
              </w:rPr>
            </w:pPr>
            <w:r>
              <w:rPr>
                <w:lang w:val="en-GB"/>
              </w:rPr>
              <w:t xml:space="preserve">A package of flights will be tasked separately to undertake a number of specific intelligence </w:t>
            </w:r>
            <w:proofErr w:type="spellStart"/>
            <w:r>
              <w:rPr>
                <w:lang w:val="en-GB"/>
              </w:rPr>
              <w:t>taskings</w:t>
            </w:r>
            <w:proofErr w:type="spellEnd"/>
            <w:r>
              <w:rPr>
                <w:lang w:val="en-GB"/>
              </w:rPr>
              <w:t>:</w:t>
            </w:r>
          </w:p>
          <w:p w:rsidR="00DE278F" w:rsidRDefault="00DE278F" w:rsidP="00DE278F">
            <w:pPr>
              <w:pStyle w:val="Listeavsnitt"/>
              <w:numPr>
                <w:ilvl w:val="0"/>
                <w:numId w:val="10"/>
              </w:numPr>
              <w:rPr>
                <w:lang w:val="en-GB"/>
              </w:rPr>
            </w:pPr>
            <w:r>
              <w:rPr>
                <w:lang w:val="en-GB"/>
              </w:rPr>
              <w:t>Determine the remaining Syrian threat at sea and in port (IR17)</w:t>
            </w:r>
          </w:p>
          <w:p w:rsidR="00DE278F" w:rsidRDefault="00DE278F" w:rsidP="00DE278F">
            <w:pPr>
              <w:pStyle w:val="Listeavsnitt"/>
              <w:numPr>
                <w:ilvl w:val="0"/>
                <w:numId w:val="10"/>
              </w:numPr>
              <w:rPr>
                <w:lang w:val="en-GB"/>
              </w:rPr>
            </w:pPr>
            <w:r>
              <w:rPr>
                <w:lang w:val="en-GB"/>
              </w:rPr>
              <w:t>Determine the presence of Russian naval vessels at sea and in port (IR17)</w:t>
            </w:r>
          </w:p>
          <w:p w:rsidR="00DE278F" w:rsidRDefault="00DE278F" w:rsidP="00DE278F">
            <w:pPr>
              <w:pStyle w:val="Listeavsnitt"/>
              <w:numPr>
                <w:ilvl w:val="0"/>
                <w:numId w:val="10"/>
              </w:numPr>
              <w:rPr>
                <w:lang w:val="en-GB"/>
              </w:rPr>
            </w:pPr>
            <w:r>
              <w:rPr>
                <w:lang w:val="en-GB"/>
              </w:rPr>
              <w:t>Determine whether the Russian Kilo class submarine remains in port (IR17)</w:t>
            </w:r>
          </w:p>
          <w:p w:rsidR="00DE278F" w:rsidRDefault="00DE278F" w:rsidP="00DE278F">
            <w:pPr>
              <w:pStyle w:val="Listeavsnitt"/>
              <w:numPr>
                <w:ilvl w:val="0"/>
                <w:numId w:val="10"/>
              </w:numPr>
              <w:rPr>
                <w:lang w:val="en-GB"/>
              </w:rPr>
            </w:pPr>
            <w:r>
              <w:rPr>
                <w:lang w:val="en-GB"/>
              </w:rPr>
              <w:t>Determine the SAM presence along the West coast of Syria, north of Lebanon</w:t>
            </w:r>
          </w:p>
          <w:p w:rsidR="00DE278F" w:rsidRDefault="00DE278F" w:rsidP="00DE278F">
            <w:pPr>
              <w:pStyle w:val="Listeavsnitt"/>
              <w:numPr>
                <w:ilvl w:val="0"/>
                <w:numId w:val="10"/>
              </w:numPr>
              <w:rPr>
                <w:lang w:val="en-GB"/>
              </w:rPr>
            </w:pPr>
            <w:r>
              <w:rPr>
                <w:lang w:val="en-GB"/>
              </w:rPr>
              <w:t>Determine ‘trigger lines’ for Syrian QRA in the South</w:t>
            </w:r>
          </w:p>
          <w:p w:rsidR="00DE278F" w:rsidRDefault="00DE278F" w:rsidP="00DE278F">
            <w:pPr>
              <w:rPr>
                <w:lang w:val="en-GB"/>
              </w:rPr>
            </w:pPr>
          </w:p>
          <w:p w:rsidR="00DE278F" w:rsidRDefault="00DE278F" w:rsidP="00DE278F">
            <w:pPr>
              <w:rPr>
                <w:lang w:val="en-GB"/>
              </w:rPr>
            </w:pPr>
            <w:r>
              <w:rPr>
                <w:lang w:val="en-GB"/>
              </w:rPr>
              <w:t xml:space="preserve">In order to </w:t>
            </w:r>
            <w:proofErr w:type="spellStart"/>
            <w:r>
              <w:rPr>
                <w:lang w:val="en-GB"/>
              </w:rPr>
              <w:t>deconflict</w:t>
            </w:r>
            <w:proofErr w:type="spellEnd"/>
            <w:r>
              <w:rPr>
                <w:lang w:val="en-GB"/>
              </w:rPr>
              <w:t xml:space="preserve"> from operations in the </w:t>
            </w:r>
            <w:proofErr w:type="spellStart"/>
            <w:r>
              <w:rPr>
                <w:lang w:val="en-GB"/>
              </w:rPr>
              <w:t>vicinty</w:t>
            </w:r>
            <w:proofErr w:type="spellEnd"/>
            <w:r>
              <w:rPr>
                <w:lang w:val="en-GB"/>
              </w:rPr>
              <w:t xml:space="preserve"> of </w:t>
            </w:r>
            <w:proofErr w:type="spellStart"/>
            <w:r>
              <w:rPr>
                <w:lang w:val="en-GB"/>
              </w:rPr>
              <w:t>Gazientep</w:t>
            </w:r>
            <w:proofErr w:type="spellEnd"/>
            <w:r>
              <w:rPr>
                <w:lang w:val="en-GB"/>
              </w:rPr>
              <w:t>, this package must remain west and south of Aleppo at all times. The engagement of Syrian Air Forces in this area should be the responsibility of CAP NORTH.</w:t>
            </w:r>
          </w:p>
          <w:p w:rsidR="00DE278F" w:rsidRDefault="00DE278F" w:rsidP="00DE278F">
            <w:pPr>
              <w:rPr>
                <w:lang w:val="en-GB"/>
              </w:rPr>
            </w:pPr>
          </w:p>
          <w:p w:rsidR="00922B5E" w:rsidRDefault="00DE278F" w:rsidP="00DE278F">
            <w:pPr>
              <w:rPr>
                <w:lang w:val="en-GB"/>
              </w:rPr>
            </w:pPr>
            <w:r>
              <w:rPr>
                <w:lang w:val="en-GB"/>
              </w:rPr>
              <w:t xml:space="preserve">Alongside the SCAR operations conducted at </w:t>
            </w:r>
            <w:proofErr w:type="spellStart"/>
            <w:r>
              <w:rPr>
                <w:lang w:val="en-GB"/>
              </w:rPr>
              <w:t>Gazientep</w:t>
            </w:r>
            <w:proofErr w:type="spellEnd"/>
            <w:r>
              <w:rPr>
                <w:lang w:val="en-GB"/>
              </w:rPr>
              <w:t xml:space="preserve">, a flight will be delegated responsibility for </w:t>
            </w:r>
            <w:proofErr w:type="spellStart"/>
            <w:r>
              <w:rPr>
                <w:lang w:val="en-GB"/>
              </w:rPr>
              <w:t>killboxes</w:t>
            </w:r>
            <w:proofErr w:type="spellEnd"/>
            <w:r>
              <w:rPr>
                <w:lang w:val="en-GB"/>
              </w:rPr>
              <w:t xml:space="preserve"> AD, AE, BD and BE. This flight will be responsible for locating and reporting on the location of the armoured brigade observed to have left </w:t>
            </w:r>
            <w:r w:rsidR="00B23CDC">
              <w:rPr>
                <w:lang w:val="en-GB"/>
              </w:rPr>
              <w:t xml:space="preserve">Gaziantep heading East on D3. In order to </w:t>
            </w:r>
            <w:proofErr w:type="spellStart"/>
            <w:r w:rsidR="00B23CDC">
              <w:rPr>
                <w:lang w:val="en-GB"/>
              </w:rPr>
              <w:t>deconflict</w:t>
            </w:r>
            <w:proofErr w:type="spellEnd"/>
            <w:r w:rsidR="00B23CDC">
              <w:rPr>
                <w:lang w:val="en-GB"/>
              </w:rPr>
              <w:t xml:space="preserve"> with operations at Gaziantep, this flight must transit into and out of the </w:t>
            </w:r>
            <w:proofErr w:type="spellStart"/>
            <w:r w:rsidR="00B23CDC">
              <w:rPr>
                <w:lang w:val="en-GB"/>
              </w:rPr>
              <w:t>killboxes</w:t>
            </w:r>
            <w:proofErr w:type="spellEnd"/>
            <w:r w:rsidR="00B23CDC">
              <w:rPr>
                <w:lang w:val="en-GB"/>
              </w:rPr>
              <w:t xml:space="preserve"> below FL150 crossing ACP IRWIN and leveraging the defined minimum-risk routes, and must not cross ACP IRWIN inbound the </w:t>
            </w:r>
            <w:proofErr w:type="spellStart"/>
            <w:r w:rsidR="00B23CDC">
              <w:rPr>
                <w:lang w:val="en-GB"/>
              </w:rPr>
              <w:t>Killboxes</w:t>
            </w:r>
            <w:proofErr w:type="spellEnd"/>
            <w:r w:rsidR="00B23CDC">
              <w:rPr>
                <w:lang w:val="en-GB"/>
              </w:rPr>
              <w:t xml:space="preserve"> until after CAP NORTH is established.</w:t>
            </w:r>
          </w:p>
          <w:p w:rsidR="00922B5E" w:rsidRDefault="00922B5E" w:rsidP="00DE278F">
            <w:pPr>
              <w:rPr>
                <w:lang w:val="en-GB"/>
              </w:rPr>
            </w:pPr>
          </w:p>
          <w:p w:rsidR="00DE278F" w:rsidRDefault="007F5E76" w:rsidP="00DE278F">
            <w:pPr>
              <w:rPr>
                <w:lang w:val="en-GB"/>
              </w:rPr>
            </w:pPr>
            <w:r>
              <w:rPr>
                <w:lang w:val="en-GB"/>
              </w:rPr>
              <w:t xml:space="preserve">As night falls, a package will depart and muster overhead ACP ATHENS, not below FL150, with orders to press south into Syrian territory and strike </w:t>
            </w:r>
            <w:proofErr w:type="spellStart"/>
            <w:r>
              <w:rPr>
                <w:lang w:val="en-GB"/>
              </w:rPr>
              <w:t>Tiyas</w:t>
            </w:r>
            <w:proofErr w:type="spellEnd"/>
            <w:r>
              <w:rPr>
                <w:lang w:val="en-GB"/>
              </w:rPr>
              <w:t xml:space="preserve"> airbase, denying the enemy the use of the airfield. This large package will be provided with both an escort and a sweep as part of the package.</w:t>
            </w:r>
          </w:p>
          <w:p w:rsidR="007F5E76" w:rsidRDefault="007F5E76" w:rsidP="00DE278F">
            <w:pPr>
              <w:rPr>
                <w:lang w:val="en-GB"/>
              </w:rPr>
            </w:pPr>
          </w:p>
          <w:p w:rsidR="00DE278F" w:rsidRDefault="007F5E76" w:rsidP="00DE278F">
            <w:pPr>
              <w:rPr>
                <w:lang w:val="en-GB"/>
              </w:rPr>
            </w:pPr>
            <w:r>
              <w:rPr>
                <w:lang w:val="en-GB"/>
              </w:rPr>
              <w:t xml:space="preserve">In support of the ongoing LCC offensive at Gaziantep, flights will be tasked to perform Armed Reconnaissance in the Gaziantep </w:t>
            </w:r>
            <w:proofErr w:type="gramStart"/>
            <w:r>
              <w:rPr>
                <w:lang w:val="en-GB"/>
              </w:rPr>
              <w:t>area,</w:t>
            </w:r>
            <w:proofErr w:type="gramEnd"/>
            <w:r>
              <w:rPr>
                <w:lang w:val="en-GB"/>
              </w:rPr>
              <w:t xml:space="preserve"> with at least one flight being considered an airborne CAS standby should an air request be received from the LCC.</w:t>
            </w:r>
          </w:p>
          <w:p w:rsidR="007F5E76" w:rsidRDefault="007F5E76" w:rsidP="00DE278F">
            <w:pPr>
              <w:rPr>
                <w:lang w:val="en-GB"/>
              </w:rPr>
            </w:pPr>
          </w:p>
          <w:p w:rsidR="00DE278F" w:rsidRPr="00DE278F" w:rsidRDefault="007F5E76" w:rsidP="00DE278F">
            <w:pPr>
              <w:rPr>
                <w:lang w:val="en-GB"/>
              </w:rPr>
            </w:pPr>
            <w:r>
              <w:rPr>
                <w:lang w:val="en-GB"/>
              </w:rPr>
              <w:t xml:space="preserve">These flights will be supported by a CAP flight to ensure their protection whilst strikes occur at </w:t>
            </w:r>
            <w:proofErr w:type="spellStart"/>
            <w:r>
              <w:rPr>
                <w:lang w:val="en-GB"/>
              </w:rPr>
              <w:t>Tiyas</w:t>
            </w:r>
            <w:proofErr w:type="spellEnd"/>
            <w:r>
              <w:rPr>
                <w:lang w:val="en-GB"/>
              </w:rPr>
              <w:t xml:space="preserve"> and should not be on station </w:t>
            </w:r>
            <w:r>
              <w:rPr>
                <w:lang w:val="en-GB"/>
              </w:rPr>
              <w:lastRenderedPageBreak/>
              <w:t>until CAP is established.</w:t>
            </w:r>
          </w:p>
          <w:p w:rsidR="00DE278F" w:rsidRPr="00ED52BE" w:rsidRDefault="00DE278F" w:rsidP="00960679">
            <w:pPr>
              <w:rPr>
                <w:lang w:val="en-GB"/>
              </w:rPr>
            </w:pPr>
          </w:p>
        </w:tc>
      </w:tr>
      <w:tr w:rsidR="00796298" w:rsidRPr="009323C0" w:rsidTr="000B0094">
        <w:tc>
          <w:tcPr>
            <w:tcW w:w="2235" w:type="dxa"/>
          </w:tcPr>
          <w:p w:rsidR="00796298" w:rsidRPr="00725149" w:rsidRDefault="007461F7" w:rsidP="00B226BE">
            <w:pPr>
              <w:contextualSpacing/>
              <w:rPr>
                <w:b/>
                <w:bCs/>
                <w:lang w:val="en-GB"/>
              </w:rPr>
            </w:pPr>
            <w:r w:rsidRPr="00725149">
              <w:rPr>
                <w:b/>
                <w:bCs/>
                <w:lang w:val="en-GB"/>
              </w:rPr>
              <w:lastRenderedPageBreak/>
              <w:t>Focus of effort by objective</w:t>
            </w:r>
          </w:p>
        </w:tc>
        <w:tc>
          <w:tcPr>
            <w:tcW w:w="7053" w:type="dxa"/>
          </w:tcPr>
          <w:p w:rsidR="00A96FC7" w:rsidRDefault="00B501FE" w:rsidP="00EB01AF">
            <w:pPr>
              <w:rPr>
                <w:lang w:val="en-GB"/>
              </w:rPr>
            </w:pPr>
            <w:r>
              <w:rPr>
                <w:lang w:val="en-GB"/>
              </w:rPr>
              <w:t>I</w:t>
            </w:r>
            <w:r w:rsidR="00FD5F7A">
              <w:rPr>
                <w:lang w:val="en-GB"/>
              </w:rPr>
              <w:t>n accordance with JFACC objectiv</w:t>
            </w:r>
            <w:r w:rsidR="007266A8">
              <w:rPr>
                <w:lang w:val="en-GB"/>
              </w:rPr>
              <w:t>e</w:t>
            </w:r>
            <w:r w:rsidR="00FD5F7A">
              <w:rPr>
                <w:lang w:val="en-GB"/>
              </w:rPr>
              <w:t xml:space="preserve">s 1.1 and 1.2, </w:t>
            </w:r>
            <w:r>
              <w:rPr>
                <w:lang w:val="en-GB"/>
              </w:rPr>
              <w:t xml:space="preserve">this AOD </w:t>
            </w:r>
            <w:r w:rsidR="00D07BB7">
              <w:rPr>
                <w:lang w:val="en-GB"/>
              </w:rPr>
              <w:t xml:space="preserve">predominantly </w:t>
            </w:r>
            <w:r>
              <w:rPr>
                <w:lang w:val="en-GB"/>
              </w:rPr>
              <w:t xml:space="preserve">seeks </w:t>
            </w:r>
            <w:r w:rsidR="00FD5F7A">
              <w:rPr>
                <w:lang w:val="en-GB"/>
              </w:rPr>
              <w:t xml:space="preserve">to </w:t>
            </w:r>
            <w:r>
              <w:rPr>
                <w:lang w:val="en-GB"/>
              </w:rPr>
              <w:t xml:space="preserve">reduce </w:t>
            </w:r>
            <w:r w:rsidR="00FD5F7A">
              <w:rPr>
                <w:lang w:val="en-GB"/>
              </w:rPr>
              <w:t xml:space="preserve">the threat posed by </w:t>
            </w:r>
            <w:r w:rsidR="00D07BB7">
              <w:rPr>
                <w:lang w:val="en-GB"/>
              </w:rPr>
              <w:t xml:space="preserve">SHORAD and SAM systems situated IVO </w:t>
            </w:r>
            <w:proofErr w:type="spellStart"/>
            <w:r w:rsidR="00D07BB7">
              <w:rPr>
                <w:lang w:val="en-GB"/>
              </w:rPr>
              <w:t>Gazientep</w:t>
            </w:r>
            <w:proofErr w:type="spellEnd"/>
            <w:r w:rsidR="00FD5F7A">
              <w:rPr>
                <w:lang w:val="en-GB"/>
              </w:rPr>
              <w:t xml:space="preserve">. The majority of sorties in this both ATOs will be directed in support of </w:t>
            </w:r>
            <w:proofErr w:type="gramStart"/>
            <w:r w:rsidR="00D07BB7">
              <w:rPr>
                <w:lang w:val="en-GB"/>
              </w:rPr>
              <w:t xml:space="preserve">this </w:t>
            </w:r>
            <w:r w:rsidR="00FD5F7A">
              <w:rPr>
                <w:lang w:val="en-GB"/>
              </w:rPr>
              <w:t>objectives</w:t>
            </w:r>
            <w:proofErr w:type="gramEnd"/>
            <w:r w:rsidR="00FD5F7A">
              <w:rPr>
                <w:lang w:val="en-GB"/>
              </w:rPr>
              <w:t>.</w:t>
            </w:r>
          </w:p>
          <w:p w:rsidR="00FD5F7A" w:rsidRDefault="00FD5F7A" w:rsidP="00EB01AF">
            <w:pPr>
              <w:rPr>
                <w:lang w:val="en-GB"/>
              </w:rPr>
            </w:pPr>
          </w:p>
          <w:p w:rsidR="00FD5F7A" w:rsidRDefault="00FD5F7A" w:rsidP="00EB01AF">
            <w:pPr>
              <w:rPr>
                <w:lang w:val="en-GB"/>
              </w:rPr>
            </w:pPr>
            <w:r>
              <w:rPr>
                <w:lang w:val="en-GB"/>
              </w:rPr>
              <w:t>Additional sorties will be allocated to:</w:t>
            </w:r>
          </w:p>
          <w:p w:rsidR="00FD5F7A" w:rsidRDefault="00B609FF" w:rsidP="00FD5F7A">
            <w:pPr>
              <w:pStyle w:val="Listeavsnitt"/>
              <w:numPr>
                <w:ilvl w:val="0"/>
                <w:numId w:val="8"/>
              </w:numPr>
              <w:rPr>
                <w:lang w:val="en-GB"/>
              </w:rPr>
            </w:pPr>
            <w:r>
              <w:rPr>
                <w:lang w:val="en-GB"/>
              </w:rPr>
              <w:t>2.1 – provide requested LCC air support as far as possible to achieve LCC’s Main Efforts.</w:t>
            </w:r>
          </w:p>
          <w:p w:rsidR="00FD5F7A" w:rsidRDefault="00B609FF" w:rsidP="00FD5F7A">
            <w:pPr>
              <w:pStyle w:val="Listeavsnitt"/>
              <w:numPr>
                <w:ilvl w:val="0"/>
                <w:numId w:val="8"/>
              </w:numPr>
              <w:rPr>
                <w:lang w:val="en-GB"/>
              </w:rPr>
            </w:pPr>
            <w:r>
              <w:rPr>
                <w:lang w:val="en-GB"/>
              </w:rPr>
              <w:t>Develop the friendly Intelligence picture, particularly at sea.</w:t>
            </w:r>
          </w:p>
          <w:p w:rsidR="00FD5F7A" w:rsidRPr="00EB01AF" w:rsidRDefault="00FD5F7A" w:rsidP="00EB01AF">
            <w:pPr>
              <w:rPr>
                <w:lang w:val="en-GB"/>
              </w:rPr>
            </w:pPr>
          </w:p>
        </w:tc>
      </w:tr>
      <w:tr w:rsidR="00796298" w:rsidRPr="009323C0" w:rsidTr="000B0094">
        <w:tc>
          <w:tcPr>
            <w:tcW w:w="2235" w:type="dxa"/>
          </w:tcPr>
          <w:p w:rsidR="007461F7" w:rsidRPr="00725149" w:rsidRDefault="007461F7" w:rsidP="00B226BE">
            <w:pPr>
              <w:pStyle w:val="Ingenmellomrom"/>
              <w:contextualSpacing/>
              <w:rPr>
                <w:lang w:val="en-GB"/>
              </w:rPr>
            </w:pPr>
            <w:r w:rsidRPr="00725149">
              <w:rPr>
                <w:b/>
                <w:bCs/>
                <w:lang w:val="en-GB"/>
              </w:rPr>
              <w:t>Acceptable level of risk</w:t>
            </w:r>
            <w:r w:rsidRPr="00725149">
              <w:rPr>
                <w:lang w:val="en-GB"/>
              </w:rPr>
              <w:t xml:space="preserve">. </w:t>
            </w:r>
            <w:r w:rsidRPr="00725149">
              <w:rPr>
                <w:color w:val="BFBFBF" w:themeColor="background1" w:themeShade="BF"/>
                <w:lang w:val="en-GB"/>
              </w:rPr>
              <w:t>(including for AWACS and tankers: forward or rear)</w:t>
            </w:r>
          </w:p>
          <w:p w:rsidR="00796298" w:rsidRPr="00725149" w:rsidRDefault="00796298" w:rsidP="00B226BE">
            <w:pPr>
              <w:contextualSpacing/>
              <w:rPr>
                <w:lang w:val="en-GB"/>
              </w:rPr>
            </w:pPr>
          </w:p>
        </w:tc>
        <w:tc>
          <w:tcPr>
            <w:tcW w:w="7053" w:type="dxa"/>
          </w:tcPr>
          <w:p w:rsidR="00FD5F7A" w:rsidRDefault="00FD5F7A" w:rsidP="00B226BE">
            <w:pPr>
              <w:contextualSpacing/>
              <w:rPr>
                <w:b/>
                <w:bCs/>
                <w:lang w:val="en-GB"/>
              </w:rPr>
            </w:pPr>
            <w:r>
              <w:rPr>
                <w:lang w:val="en-GB"/>
              </w:rPr>
              <w:t xml:space="preserve">The accepted level of risk throughout this AOD is </w:t>
            </w:r>
            <w:r w:rsidR="00B501FE">
              <w:rPr>
                <w:lang w:val="en-GB"/>
              </w:rPr>
              <w:t>MEDIUM</w:t>
            </w:r>
            <w:r>
              <w:rPr>
                <w:lang w:val="en-GB"/>
              </w:rPr>
              <w:t xml:space="preserve">, </w:t>
            </w:r>
            <w:r>
              <w:rPr>
                <w:b/>
                <w:bCs/>
                <w:lang w:val="en-GB"/>
              </w:rPr>
              <w:t>other than:</w:t>
            </w:r>
          </w:p>
          <w:p w:rsidR="00FD5F7A" w:rsidRPr="00FD5F7A" w:rsidRDefault="00FD5F7A" w:rsidP="00FD5F7A">
            <w:pPr>
              <w:pStyle w:val="Listeavsnitt"/>
              <w:numPr>
                <w:ilvl w:val="0"/>
                <w:numId w:val="8"/>
              </w:numPr>
              <w:rPr>
                <w:b/>
                <w:bCs/>
                <w:lang w:val="en-GB"/>
              </w:rPr>
            </w:pPr>
            <w:r>
              <w:rPr>
                <w:lang w:val="en-GB"/>
              </w:rPr>
              <w:t>DEAD efforts targeting SA-</w:t>
            </w:r>
            <w:r w:rsidR="00896B4C">
              <w:rPr>
                <w:lang w:val="en-GB"/>
              </w:rPr>
              <w:t>6</w:t>
            </w:r>
            <w:r>
              <w:rPr>
                <w:lang w:val="en-GB"/>
              </w:rPr>
              <w:t xml:space="preserve"> sites should accept </w:t>
            </w:r>
            <w:r w:rsidR="00B501FE">
              <w:rPr>
                <w:b/>
                <w:bCs/>
                <w:lang w:val="en-GB"/>
              </w:rPr>
              <w:t>HIGH</w:t>
            </w:r>
            <w:r>
              <w:rPr>
                <w:b/>
                <w:bCs/>
                <w:lang w:val="en-GB"/>
              </w:rPr>
              <w:t xml:space="preserve"> RISK.</w:t>
            </w:r>
          </w:p>
          <w:p w:rsidR="00FD5F7A" w:rsidRPr="00FD5F7A" w:rsidRDefault="00FD5F7A" w:rsidP="00FD5F7A">
            <w:pPr>
              <w:pStyle w:val="Listeavsnitt"/>
              <w:numPr>
                <w:ilvl w:val="0"/>
                <w:numId w:val="8"/>
              </w:numPr>
              <w:rPr>
                <w:b/>
                <w:bCs/>
                <w:lang w:val="en-GB"/>
              </w:rPr>
            </w:pPr>
            <w:r>
              <w:rPr>
                <w:lang w:val="en-GB"/>
              </w:rPr>
              <w:t xml:space="preserve">The strike package </w:t>
            </w:r>
            <w:r w:rsidR="00556869">
              <w:rPr>
                <w:lang w:val="en-GB"/>
              </w:rPr>
              <w:t xml:space="preserve">tasked with denying the use of </w:t>
            </w:r>
            <w:proofErr w:type="spellStart"/>
            <w:r w:rsidR="00713FC7">
              <w:rPr>
                <w:lang w:val="en-GB"/>
              </w:rPr>
              <w:t>Tiyas</w:t>
            </w:r>
            <w:proofErr w:type="spellEnd"/>
            <w:r w:rsidR="00556869">
              <w:rPr>
                <w:lang w:val="en-GB"/>
              </w:rPr>
              <w:t xml:space="preserve"> should accept </w:t>
            </w:r>
            <w:r w:rsidR="00556869">
              <w:rPr>
                <w:b/>
                <w:bCs/>
                <w:lang w:val="en-GB"/>
              </w:rPr>
              <w:t>HIGH RISK.</w:t>
            </w:r>
          </w:p>
        </w:tc>
      </w:tr>
      <w:tr w:rsidR="007461F7" w:rsidRPr="009323C0" w:rsidTr="000B0094">
        <w:tc>
          <w:tcPr>
            <w:tcW w:w="2235" w:type="dxa"/>
          </w:tcPr>
          <w:p w:rsidR="007461F7" w:rsidRPr="00725149" w:rsidRDefault="007461F7" w:rsidP="00B226BE">
            <w:pPr>
              <w:pStyle w:val="Ingenmellomrom"/>
              <w:contextualSpacing/>
              <w:rPr>
                <w:b/>
                <w:bCs/>
                <w:lang w:val="en-GB"/>
              </w:rPr>
            </w:pPr>
            <w:r w:rsidRPr="00725149">
              <w:rPr>
                <w:b/>
                <w:bCs/>
                <w:lang w:val="en-GB"/>
              </w:rPr>
              <w:t>Collateral damage and civilian casualty guidance</w:t>
            </w:r>
          </w:p>
        </w:tc>
        <w:tc>
          <w:tcPr>
            <w:tcW w:w="7053" w:type="dxa"/>
          </w:tcPr>
          <w:p w:rsidR="005812C3" w:rsidRDefault="00725149" w:rsidP="00B226BE">
            <w:pPr>
              <w:contextualSpacing/>
              <w:rPr>
                <w:lang w:val="en-GB"/>
              </w:rPr>
            </w:pPr>
            <w:r w:rsidRPr="00725149">
              <w:rPr>
                <w:lang w:val="en-GB"/>
              </w:rPr>
              <w:t>Every attempt should be taken to minimise collateral damage in the execution of these missions</w:t>
            </w:r>
            <w:r>
              <w:rPr>
                <w:lang w:val="en-GB"/>
              </w:rPr>
              <w:t>.</w:t>
            </w:r>
          </w:p>
          <w:p w:rsidR="005812C3" w:rsidRDefault="005812C3" w:rsidP="00B226BE">
            <w:pPr>
              <w:contextualSpacing/>
              <w:rPr>
                <w:lang w:val="en-GB"/>
              </w:rPr>
            </w:pPr>
          </w:p>
          <w:p w:rsidR="007461F7" w:rsidRPr="00725149" w:rsidRDefault="00725149" w:rsidP="00B226BE">
            <w:pPr>
              <w:contextualSpacing/>
              <w:rPr>
                <w:lang w:val="en-GB"/>
              </w:rPr>
            </w:pPr>
            <w:r>
              <w:rPr>
                <w:lang w:val="en-GB"/>
              </w:rPr>
              <w:t xml:space="preserve">Suspected </w:t>
            </w:r>
            <w:r w:rsidR="005812C3">
              <w:rPr>
                <w:lang w:val="en-GB"/>
              </w:rPr>
              <w:t>civilian casualties should be reported as soon as is practicable.</w:t>
            </w:r>
          </w:p>
        </w:tc>
      </w:tr>
      <w:tr w:rsidR="007461F7" w:rsidRPr="00F91273" w:rsidTr="000B0094">
        <w:tc>
          <w:tcPr>
            <w:tcW w:w="2235" w:type="dxa"/>
          </w:tcPr>
          <w:p w:rsidR="007461F7" w:rsidRPr="00725149" w:rsidRDefault="007461F7" w:rsidP="00B226BE">
            <w:pPr>
              <w:pStyle w:val="Ingenmellomrom"/>
              <w:contextualSpacing/>
              <w:rPr>
                <w:b/>
                <w:bCs/>
                <w:lang w:val="en-GB"/>
              </w:rPr>
            </w:pPr>
            <w:r w:rsidRPr="00725149">
              <w:rPr>
                <w:b/>
                <w:bCs/>
                <w:lang w:val="en-GB"/>
              </w:rPr>
              <w:t>TST guidance</w:t>
            </w:r>
          </w:p>
        </w:tc>
        <w:tc>
          <w:tcPr>
            <w:tcW w:w="7053" w:type="dxa"/>
          </w:tcPr>
          <w:p w:rsidR="007461F7" w:rsidRDefault="00556869" w:rsidP="00B226BE">
            <w:pPr>
              <w:contextualSpacing/>
              <w:rPr>
                <w:lang w:val="en-GB"/>
              </w:rPr>
            </w:pPr>
            <w:r>
              <w:rPr>
                <w:lang w:val="en-GB"/>
              </w:rPr>
              <w:t>Where they are identified, items from the TST matrix must be prosecuted. The outcome should be reported on the in-flight report net.</w:t>
            </w:r>
            <w:r w:rsidR="00D66578">
              <w:rPr>
                <w:lang w:val="en-GB"/>
              </w:rPr>
              <w:t xml:space="preserve"> If prosecution is not possible, the location must be reported for re-tasking. </w:t>
            </w:r>
          </w:p>
          <w:p w:rsidR="00713FC7" w:rsidRDefault="00713FC7" w:rsidP="00B226BE">
            <w:pPr>
              <w:contextualSpacing/>
              <w:rPr>
                <w:lang w:val="en-GB"/>
              </w:rPr>
            </w:pPr>
          </w:p>
          <w:tbl>
            <w:tblPr>
              <w:tblStyle w:val="Tabellrutenett"/>
              <w:tblW w:w="0" w:type="auto"/>
              <w:tblLook w:val="04A0"/>
            </w:tblPr>
            <w:tblGrid>
              <w:gridCol w:w="1137"/>
              <w:gridCol w:w="1137"/>
              <w:gridCol w:w="1137"/>
              <w:gridCol w:w="1137"/>
              <w:gridCol w:w="1137"/>
              <w:gridCol w:w="1137"/>
            </w:tblGrid>
            <w:tr w:rsidR="00713FC7" w:rsidRPr="00713FC7" w:rsidTr="00713FC7">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PRIORITY</w:t>
                  </w:r>
                </w:p>
              </w:tc>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TARGET</w:t>
                  </w:r>
                </w:p>
              </w:tc>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DESIRED EFFECT</w:t>
                  </w:r>
                </w:p>
              </w:tc>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RISK LEVEL</w:t>
                  </w:r>
                </w:p>
              </w:tc>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STATUS</w:t>
                  </w:r>
                </w:p>
              </w:tc>
              <w:tc>
                <w:tcPr>
                  <w:tcW w:w="1137" w:type="dxa"/>
                </w:tcPr>
                <w:p w:rsidR="00713FC7" w:rsidRPr="00713FC7" w:rsidRDefault="00713FC7" w:rsidP="00713FC7">
                  <w:pPr>
                    <w:contextualSpacing/>
                    <w:jc w:val="center"/>
                    <w:rPr>
                      <w:b/>
                      <w:bCs/>
                      <w:sz w:val="18"/>
                      <w:szCs w:val="18"/>
                      <w:lang w:val="en-GB"/>
                    </w:rPr>
                  </w:pPr>
                  <w:r w:rsidRPr="00713FC7">
                    <w:rPr>
                      <w:b/>
                      <w:bCs/>
                      <w:sz w:val="18"/>
                      <w:szCs w:val="18"/>
                      <w:lang w:val="en-GB"/>
                    </w:rPr>
                    <w:t>RMKS</w:t>
                  </w:r>
                </w:p>
              </w:tc>
            </w:tr>
            <w:tr w:rsidR="00713FC7" w:rsidRPr="00713FC7" w:rsidTr="00713FC7">
              <w:tc>
                <w:tcPr>
                  <w:tcW w:w="1137" w:type="dxa"/>
                </w:tcPr>
                <w:p w:rsidR="00713FC7" w:rsidRPr="00713FC7" w:rsidRDefault="00713FC7" w:rsidP="00B226BE">
                  <w:pPr>
                    <w:contextualSpacing/>
                    <w:rPr>
                      <w:sz w:val="18"/>
                      <w:szCs w:val="18"/>
                      <w:lang w:val="en-GB"/>
                    </w:rPr>
                  </w:pPr>
                  <w:r w:rsidRPr="00713FC7">
                    <w:rPr>
                      <w:sz w:val="18"/>
                      <w:szCs w:val="18"/>
                      <w:lang w:val="en-GB"/>
                    </w:rPr>
                    <w:t>1</w:t>
                  </w:r>
                </w:p>
              </w:tc>
              <w:tc>
                <w:tcPr>
                  <w:tcW w:w="1137" w:type="dxa"/>
                </w:tcPr>
                <w:p w:rsidR="00713FC7" w:rsidRPr="00713FC7" w:rsidRDefault="00713FC7" w:rsidP="00B226BE">
                  <w:pPr>
                    <w:contextualSpacing/>
                    <w:rPr>
                      <w:sz w:val="18"/>
                      <w:szCs w:val="18"/>
                      <w:lang w:val="en-GB"/>
                    </w:rPr>
                  </w:pPr>
                  <w:r w:rsidRPr="00713FC7">
                    <w:rPr>
                      <w:sz w:val="18"/>
                      <w:szCs w:val="18"/>
                      <w:lang w:val="en-GB"/>
                    </w:rPr>
                    <w:t>SCUD</w:t>
                  </w:r>
                </w:p>
              </w:tc>
              <w:tc>
                <w:tcPr>
                  <w:tcW w:w="1137" w:type="dxa"/>
                </w:tcPr>
                <w:p w:rsidR="00713FC7" w:rsidRPr="00713FC7" w:rsidRDefault="00713FC7" w:rsidP="00B226BE">
                  <w:pPr>
                    <w:contextualSpacing/>
                    <w:rPr>
                      <w:sz w:val="18"/>
                      <w:szCs w:val="18"/>
                      <w:lang w:val="en-GB"/>
                    </w:rPr>
                  </w:pPr>
                  <w:r w:rsidRPr="00713FC7">
                    <w:rPr>
                      <w:sz w:val="18"/>
                      <w:szCs w:val="18"/>
                      <w:lang w:val="en-GB"/>
                    </w:rPr>
                    <w:t>Destroy</w:t>
                  </w:r>
                </w:p>
              </w:tc>
              <w:tc>
                <w:tcPr>
                  <w:tcW w:w="1137" w:type="dxa"/>
                </w:tcPr>
                <w:p w:rsidR="00713FC7" w:rsidRPr="00713FC7" w:rsidRDefault="00713FC7" w:rsidP="00B226BE">
                  <w:pPr>
                    <w:contextualSpacing/>
                    <w:rPr>
                      <w:sz w:val="18"/>
                      <w:szCs w:val="18"/>
                      <w:lang w:val="en-GB"/>
                    </w:rPr>
                  </w:pPr>
                  <w:r>
                    <w:rPr>
                      <w:sz w:val="18"/>
                      <w:szCs w:val="18"/>
                      <w:lang w:val="en-GB"/>
                    </w:rPr>
                    <w:t>MEDIUM</w:t>
                  </w:r>
                </w:p>
              </w:tc>
              <w:tc>
                <w:tcPr>
                  <w:tcW w:w="1137" w:type="dxa"/>
                </w:tcPr>
                <w:p w:rsidR="00713FC7" w:rsidRPr="00713FC7" w:rsidRDefault="00713FC7" w:rsidP="00B226BE">
                  <w:pPr>
                    <w:contextualSpacing/>
                    <w:rPr>
                      <w:sz w:val="18"/>
                      <w:szCs w:val="18"/>
                      <w:lang w:val="en-GB"/>
                    </w:rPr>
                  </w:pPr>
                  <w:proofErr w:type="spellStart"/>
                  <w:r>
                    <w:rPr>
                      <w:sz w:val="18"/>
                      <w:szCs w:val="18"/>
                      <w:lang w:val="en-GB"/>
                    </w:rPr>
                    <w:t>Unlocated</w:t>
                  </w:r>
                  <w:proofErr w:type="spellEnd"/>
                </w:p>
              </w:tc>
              <w:tc>
                <w:tcPr>
                  <w:tcW w:w="1137" w:type="dxa"/>
                </w:tcPr>
                <w:p w:rsidR="00713FC7" w:rsidRPr="00713FC7" w:rsidRDefault="00713FC7" w:rsidP="00B226BE">
                  <w:pPr>
                    <w:contextualSpacing/>
                    <w:rPr>
                      <w:sz w:val="18"/>
                      <w:szCs w:val="18"/>
                      <w:lang w:val="en-GB"/>
                    </w:rPr>
                  </w:pPr>
                  <w:r>
                    <w:rPr>
                      <w:sz w:val="18"/>
                      <w:szCs w:val="18"/>
                      <w:lang w:val="en-GB"/>
                    </w:rPr>
                    <w:t>N/A</w:t>
                  </w:r>
                </w:p>
              </w:tc>
            </w:tr>
          </w:tbl>
          <w:p w:rsidR="00713FC7" w:rsidRDefault="00713FC7" w:rsidP="00B226BE">
            <w:pPr>
              <w:contextualSpacing/>
              <w:rPr>
                <w:lang w:val="en-GB"/>
              </w:rPr>
            </w:pPr>
          </w:p>
          <w:p w:rsidR="00713FC7" w:rsidRPr="00725149" w:rsidRDefault="00713FC7" w:rsidP="00B226BE">
            <w:pPr>
              <w:contextualSpacing/>
              <w:rPr>
                <w:lang w:val="en-GB"/>
              </w:rPr>
            </w:pPr>
          </w:p>
        </w:tc>
      </w:tr>
      <w:tr w:rsidR="007461F7" w:rsidRPr="009323C0" w:rsidTr="000B0094">
        <w:tc>
          <w:tcPr>
            <w:tcW w:w="2235" w:type="dxa"/>
          </w:tcPr>
          <w:p w:rsidR="007461F7" w:rsidRPr="00725149" w:rsidRDefault="007461F7" w:rsidP="00B226BE">
            <w:pPr>
              <w:pStyle w:val="Ingenmellomrom"/>
              <w:contextualSpacing/>
              <w:rPr>
                <w:b/>
                <w:bCs/>
                <w:lang w:val="en-GB"/>
              </w:rPr>
            </w:pPr>
            <w:r w:rsidRPr="00725149">
              <w:rPr>
                <w:b/>
                <w:bCs/>
                <w:lang w:val="en-GB"/>
              </w:rPr>
              <w:t>Intelligence, Surveillance, Reconnaissance (ISR)</w:t>
            </w:r>
            <w:r w:rsidRPr="00725149">
              <w:rPr>
                <w:lang w:val="en-GB"/>
              </w:rPr>
              <w:t xml:space="preserve"> </w:t>
            </w:r>
            <w:r w:rsidRPr="00725149">
              <w:rPr>
                <w:color w:val="BFBFBF" w:themeColor="background1" w:themeShade="BF"/>
                <w:lang w:val="en-GB"/>
              </w:rPr>
              <w:t>– If any effort should be done to support VIS with ISR to answer information gaps from VIS.</w:t>
            </w:r>
          </w:p>
        </w:tc>
        <w:tc>
          <w:tcPr>
            <w:tcW w:w="7053" w:type="dxa"/>
          </w:tcPr>
          <w:p w:rsidR="00DC5E4A" w:rsidRDefault="00DC5E4A" w:rsidP="003D4142">
            <w:pPr>
              <w:contextualSpacing/>
              <w:rPr>
                <w:lang w:val="en-GB"/>
              </w:rPr>
            </w:pPr>
            <w:r w:rsidRPr="009A5288">
              <w:rPr>
                <w:lang w:val="en-GB"/>
              </w:rPr>
              <w:t>All intelligence</w:t>
            </w:r>
            <w:r w:rsidR="003D4142" w:rsidRPr="009A5288">
              <w:rPr>
                <w:lang w:val="en-GB"/>
              </w:rPr>
              <w:t xml:space="preserve"> and BDA</w:t>
            </w:r>
            <w:r w:rsidRPr="009A5288">
              <w:rPr>
                <w:lang w:val="en-GB"/>
              </w:rPr>
              <w:t xml:space="preserve"> should be submitted via Campaign Manager, and </w:t>
            </w:r>
            <w:r w:rsidR="003D4142" w:rsidRPr="009A5288">
              <w:rPr>
                <w:lang w:val="en-GB"/>
              </w:rPr>
              <w:t xml:space="preserve">necessary </w:t>
            </w:r>
            <w:r w:rsidRPr="009A5288">
              <w:rPr>
                <w:lang w:val="en-GB"/>
              </w:rPr>
              <w:t xml:space="preserve">images placed in </w:t>
            </w:r>
            <w:r w:rsidR="003D4142" w:rsidRPr="009A5288">
              <w:rPr>
                <w:lang w:val="en-GB"/>
              </w:rPr>
              <w:t>#</w:t>
            </w:r>
            <w:proofErr w:type="spellStart"/>
            <w:r w:rsidR="003D4142" w:rsidRPr="009A5288">
              <w:rPr>
                <w:lang w:val="en-GB"/>
              </w:rPr>
              <w:t>bda</w:t>
            </w:r>
            <w:proofErr w:type="spellEnd"/>
            <w:r w:rsidR="003D4142" w:rsidRPr="009A5288">
              <w:rPr>
                <w:lang w:val="en-GB"/>
              </w:rPr>
              <w:t>-reports on discord IAW SPINS</w:t>
            </w:r>
            <w:r w:rsidRPr="009A5288">
              <w:rPr>
                <w:lang w:val="en-GB"/>
              </w:rPr>
              <w:t>.</w:t>
            </w:r>
          </w:p>
          <w:p w:rsidR="009A5288" w:rsidRDefault="009A5288" w:rsidP="003D4142">
            <w:pPr>
              <w:contextualSpacing/>
              <w:rPr>
                <w:lang w:val="en-GB"/>
              </w:rPr>
            </w:pPr>
          </w:p>
          <w:p w:rsidR="009A5288" w:rsidRDefault="009F3784" w:rsidP="003D4142">
            <w:pPr>
              <w:contextualSpacing/>
              <w:rPr>
                <w:lang w:val="en-GB"/>
              </w:rPr>
            </w:pPr>
            <w:r>
              <w:rPr>
                <w:lang w:val="en-GB"/>
              </w:rPr>
              <w:t>The following ISRs should be supported in this AOD:</w:t>
            </w:r>
          </w:p>
          <w:p w:rsidR="009F3784" w:rsidRDefault="009F3784" w:rsidP="009F3784">
            <w:pPr>
              <w:pStyle w:val="Listeavsnitt"/>
              <w:numPr>
                <w:ilvl w:val="0"/>
                <w:numId w:val="6"/>
              </w:numPr>
              <w:rPr>
                <w:lang w:val="en-GB"/>
              </w:rPr>
            </w:pPr>
            <w:r>
              <w:rPr>
                <w:lang w:val="en-GB"/>
              </w:rPr>
              <w:t>Can the location of the Kilo class Submarine be determined?</w:t>
            </w:r>
          </w:p>
          <w:p w:rsidR="009F3784" w:rsidRDefault="009F3784" w:rsidP="009F3784">
            <w:pPr>
              <w:pStyle w:val="Listeavsnitt"/>
              <w:numPr>
                <w:ilvl w:val="0"/>
                <w:numId w:val="6"/>
              </w:numPr>
              <w:rPr>
                <w:lang w:val="en-GB"/>
              </w:rPr>
            </w:pPr>
            <w:r>
              <w:rPr>
                <w:lang w:val="en-GB"/>
              </w:rPr>
              <w:t>Are Silkworm Missile Batteries located along the Syrian coast?</w:t>
            </w:r>
          </w:p>
          <w:p w:rsidR="00556869" w:rsidRDefault="00556869" w:rsidP="009F3784">
            <w:pPr>
              <w:pStyle w:val="Listeavsnitt"/>
              <w:numPr>
                <w:ilvl w:val="0"/>
                <w:numId w:val="6"/>
              </w:numPr>
              <w:rPr>
                <w:lang w:val="en-GB"/>
              </w:rPr>
            </w:pPr>
            <w:r>
              <w:rPr>
                <w:lang w:val="en-GB"/>
              </w:rPr>
              <w:t>IR9 – Location of IADS SAMs</w:t>
            </w:r>
          </w:p>
          <w:p w:rsidR="00713FC7" w:rsidRDefault="00713FC7" w:rsidP="009F3784">
            <w:pPr>
              <w:pStyle w:val="Listeavsnitt"/>
              <w:numPr>
                <w:ilvl w:val="0"/>
                <w:numId w:val="6"/>
              </w:numPr>
              <w:rPr>
                <w:lang w:val="en-GB"/>
              </w:rPr>
            </w:pPr>
            <w:r>
              <w:rPr>
                <w:lang w:val="en-GB"/>
              </w:rPr>
              <w:t>IR 5 – Confirmation 11</w:t>
            </w:r>
            <w:r w:rsidRPr="00713FC7">
              <w:rPr>
                <w:vertAlign w:val="superscript"/>
                <w:lang w:val="en-GB"/>
              </w:rPr>
              <w:t>th</w:t>
            </w:r>
            <w:r>
              <w:rPr>
                <w:lang w:val="en-GB"/>
              </w:rPr>
              <w:t xml:space="preserve"> </w:t>
            </w:r>
            <w:proofErr w:type="spellStart"/>
            <w:r>
              <w:rPr>
                <w:lang w:val="en-GB"/>
              </w:rPr>
              <w:t>Mech</w:t>
            </w:r>
            <w:proofErr w:type="spellEnd"/>
            <w:r>
              <w:rPr>
                <w:lang w:val="en-GB"/>
              </w:rPr>
              <w:t xml:space="preserve"> DIV IVO Gaziantep, air defences in place and disposition of manoeuvre units</w:t>
            </w:r>
          </w:p>
          <w:p w:rsidR="00556869" w:rsidRDefault="00556869" w:rsidP="009F3784">
            <w:pPr>
              <w:pStyle w:val="Listeavsnitt"/>
              <w:numPr>
                <w:ilvl w:val="0"/>
                <w:numId w:val="6"/>
              </w:numPr>
              <w:rPr>
                <w:lang w:val="en-GB"/>
              </w:rPr>
            </w:pPr>
            <w:r>
              <w:rPr>
                <w:lang w:val="en-GB"/>
              </w:rPr>
              <w:t>IR12 – Confirm presence and origin of Syrian QRA</w:t>
            </w:r>
          </w:p>
          <w:p w:rsidR="00556869" w:rsidRDefault="00556869" w:rsidP="009F3784">
            <w:pPr>
              <w:pStyle w:val="Listeavsnitt"/>
              <w:numPr>
                <w:ilvl w:val="0"/>
                <w:numId w:val="6"/>
              </w:numPr>
              <w:rPr>
                <w:lang w:val="en-GB"/>
              </w:rPr>
            </w:pPr>
            <w:r>
              <w:rPr>
                <w:lang w:val="en-GB"/>
              </w:rPr>
              <w:t>IR17 – Confirm the presence and type of Russian or Syrian naval units at sea</w:t>
            </w:r>
          </w:p>
          <w:p w:rsidR="00556869" w:rsidRDefault="00556869" w:rsidP="009F3784">
            <w:pPr>
              <w:pStyle w:val="Listeavsnitt"/>
              <w:numPr>
                <w:ilvl w:val="0"/>
                <w:numId w:val="6"/>
              </w:numPr>
              <w:rPr>
                <w:lang w:val="en-GB"/>
              </w:rPr>
            </w:pPr>
            <w:r>
              <w:rPr>
                <w:lang w:val="en-GB"/>
              </w:rPr>
              <w:t xml:space="preserve">IR14 – Confirm presence and type of air defence IVO </w:t>
            </w:r>
            <w:proofErr w:type="spellStart"/>
            <w:r>
              <w:rPr>
                <w:lang w:val="en-GB"/>
              </w:rPr>
              <w:t>Tartus</w:t>
            </w:r>
            <w:proofErr w:type="spellEnd"/>
          </w:p>
          <w:p w:rsidR="00556869" w:rsidRDefault="00556869" w:rsidP="009F3784">
            <w:pPr>
              <w:pStyle w:val="Listeavsnitt"/>
              <w:numPr>
                <w:ilvl w:val="0"/>
                <w:numId w:val="6"/>
              </w:numPr>
              <w:rPr>
                <w:lang w:val="en-GB"/>
              </w:rPr>
            </w:pPr>
            <w:r>
              <w:rPr>
                <w:lang w:val="en-GB"/>
              </w:rPr>
              <w:t>IR2 – Location of 2</w:t>
            </w:r>
            <w:r w:rsidRPr="00556869">
              <w:rPr>
                <w:vertAlign w:val="superscript"/>
                <w:lang w:val="en-GB"/>
              </w:rPr>
              <w:t>nd</w:t>
            </w:r>
            <w:r>
              <w:rPr>
                <w:lang w:val="en-GB"/>
              </w:rPr>
              <w:t xml:space="preserve"> Corps Rocket Arty </w:t>
            </w:r>
            <w:proofErr w:type="spellStart"/>
            <w:r>
              <w:rPr>
                <w:lang w:val="en-GB"/>
              </w:rPr>
              <w:t>Bns</w:t>
            </w:r>
            <w:proofErr w:type="spellEnd"/>
          </w:p>
          <w:p w:rsidR="00556869" w:rsidRPr="009F3784" w:rsidRDefault="00556869" w:rsidP="009F3784">
            <w:pPr>
              <w:pStyle w:val="Listeavsnitt"/>
              <w:numPr>
                <w:ilvl w:val="0"/>
                <w:numId w:val="6"/>
              </w:numPr>
              <w:rPr>
                <w:lang w:val="en-GB"/>
              </w:rPr>
            </w:pPr>
            <w:r>
              <w:rPr>
                <w:lang w:val="en-GB"/>
              </w:rPr>
              <w:t>IR7 – Location of 21</w:t>
            </w:r>
            <w:r w:rsidRPr="00556869">
              <w:rPr>
                <w:vertAlign w:val="superscript"/>
                <w:lang w:val="en-GB"/>
              </w:rPr>
              <w:t>st</w:t>
            </w:r>
            <w:r>
              <w:rPr>
                <w:lang w:val="en-GB"/>
              </w:rPr>
              <w:t xml:space="preserve"> </w:t>
            </w:r>
            <w:proofErr w:type="spellStart"/>
            <w:r>
              <w:rPr>
                <w:lang w:val="en-GB"/>
              </w:rPr>
              <w:t>Mech</w:t>
            </w:r>
            <w:proofErr w:type="spellEnd"/>
            <w:r>
              <w:rPr>
                <w:lang w:val="en-GB"/>
              </w:rPr>
              <w:t xml:space="preserve"> DIV and 22</w:t>
            </w:r>
            <w:r w:rsidRPr="00556869">
              <w:rPr>
                <w:vertAlign w:val="superscript"/>
                <w:lang w:val="en-GB"/>
              </w:rPr>
              <w:t>nd</w:t>
            </w:r>
            <w:r>
              <w:rPr>
                <w:lang w:val="en-GB"/>
              </w:rPr>
              <w:t xml:space="preserve"> Mot DIV and disposition of manoeuvre units</w:t>
            </w:r>
          </w:p>
        </w:tc>
      </w:tr>
      <w:tr w:rsidR="007461F7" w:rsidRPr="00725149" w:rsidTr="000B0094">
        <w:tc>
          <w:tcPr>
            <w:tcW w:w="2235" w:type="dxa"/>
          </w:tcPr>
          <w:p w:rsidR="007461F7" w:rsidRPr="00725149" w:rsidRDefault="007461F7" w:rsidP="00B226BE">
            <w:pPr>
              <w:pStyle w:val="Ingenmellomrom"/>
              <w:contextualSpacing/>
              <w:rPr>
                <w:b/>
                <w:bCs/>
                <w:lang w:val="en-GB"/>
              </w:rPr>
            </w:pPr>
            <w:r w:rsidRPr="00725149">
              <w:rPr>
                <w:b/>
                <w:bCs/>
                <w:lang w:val="en-GB"/>
              </w:rPr>
              <w:t>Other issues</w:t>
            </w:r>
          </w:p>
        </w:tc>
        <w:tc>
          <w:tcPr>
            <w:tcW w:w="7053" w:type="dxa"/>
          </w:tcPr>
          <w:p w:rsidR="007461F7" w:rsidRPr="00725149" w:rsidRDefault="00B762B0" w:rsidP="00B226BE">
            <w:pPr>
              <w:contextualSpacing/>
              <w:rPr>
                <w:lang w:val="en-GB"/>
              </w:rPr>
            </w:pPr>
            <w:r>
              <w:rPr>
                <w:lang w:val="en-GB"/>
              </w:rPr>
              <w:t>N/A</w:t>
            </w:r>
          </w:p>
        </w:tc>
      </w:tr>
      <w:tr w:rsidR="007461F7" w:rsidRPr="009323C0" w:rsidTr="000B0094">
        <w:tc>
          <w:tcPr>
            <w:tcW w:w="2235" w:type="dxa"/>
          </w:tcPr>
          <w:p w:rsidR="007461F7" w:rsidRPr="00725149" w:rsidRDefault="007461F7" w:rsidP="00B226BE">
            <w:pPr>
              <w:pStyle w:val="Ingenmellomrom"/>
              <w:contextualSpacing/>
              <w:rPr>
                <w:b/>
                <w:bCs/>
                <w:lang w:val="en-GB"/>
              </w:rPr>
            </w:pPr>
            <w:r w:rsidRPr="00725149">
              <w:rPr>
                <w:b/>
                <w:bCs/>
                <w:lang w:val="en-GB"/>
              </w:rPr>
              <w:t>Direction and Guidance</w:t>
            </w:r>
            <w:r w:rsidRPr="00725149">
              <w:rPr>
                <w:color w:val="BFBFBF" w:themeColor="background1" w:themeShade="BF"/>
                <w:lang w:val="en-GB"/>
              </w:rPr>
              <w:t xml:space="preserve"> </w:t>
            </w:r>
          </w:p>
        </w:tc>
        <w:tc>
          <w:tcPr>
            <w:tcW w:w="7053" w:type="dxa"/>
          </w:tcPr>
          <w:p w:rsidR="007461F7" w:rsidRDefault="00AD7368" w:rsidP="00B226BE">
            <w:pPr>
              <w:contextualSpacing/>
              <w:rPr>
                <w:lang w:val="en-GB"/>
              </w:rPr>
            </w:pPr>
            <w:r>
              <w:rPr>
                <w:lang w:val="en-GB"/>
              </w:rPr>
              <w:t>Aircrews must remain clear of Jordanian airspace at all times. Munitions must not be expended which may encroach on Jordanian airspace.</w:t>
            </w:r>
          </w:p>
          <w:p w:rsidR="00DC5E4A" w:rsidRDefault="00DC5E4A" w:rsidP="00B226BE">
            <w:pPr>
              <w:contextualSpacing/>
              <w:rPr>
                <w:lang w:val="en-GB"/>
              </w:rPr>
            </w:pPr>
          </w:p>
          <w:p w:rsidR="00DC5E4A" w:rsidRPr="00725149" w:rsidRDefault="00B501FE" w:rsidP="00B226BE">
            <w:pPr>
              <w:contextualSpacing/>
              <w:rPr>
                <w:lang w:val="en-GB"/>
              </w:rPr>
            </w:pPr>
            <w:r w:rsidRPr="00B501FE">
              <w:rPr>
                <w:lang w:val="en-GB"/>
              </w:rPr>
              <w:lastRenderedPageBreak/>
              <w:t xml:space="preserve">Munitions may not be expended in the direction of Basel Al Assad And </w:t>
            </w:r>
            <w:proofErr w:type="spellStart"/>
            <w:r w:rsidRPr="00B501FE">
              <w:rPr>
                <w:lang w:val="en-GB"/>
              </w:rPr>
              <w:t>Tartarus</w:t>
            </w:r>
            <w:proofErr w:type="spellEnd"/>
            <w:r w:rsidRPr="00B501FE">
              <w:rPr>
                <w:lang w:val="en-GB"/>
              </w:rPr>
              <w:t xml:space="preserve"> in order to avoid Russian involvement</w:t>
            </w:r>
            <w:r>
              <w:rPr>
                <w:lang w:val="en-GB"/>
              </w:rPr>
              <w:t xml:space="preserve"> in the conflict</w:t>
            </w:r>
            <w:r w:rsidRPr="00B501FE">
              <w:rPr>
                <w:lang w:val="en-GB"/>
              </w:rPr>
              <w:t>.</w:t>
            </w:r>
          </w:p>
        </w:tc>
      </w:tr>
    </w:tbl>
    <w:p w:rsidR="003D4142" w:rsidRPr="003D4142" w:rsidRDefault="003D4142" w:rsidP="003D4142">
      <w:pPr>
        <w:rPr>
          <w:lang w:val="en-GB"/>
        </w:rPr>
      </w:pPr>
    </w:p>
    <w:p w:rsidR="00B226BE" w:rsidRDefault="00465966" w:rsidP="00B226BE">
      <w:pPr>
        <w:pStyle w:val="Overskrift1"/>
        <w:spacing w:before="0"/>
        <w:contextualSpacing/>
        <w:rPr>
          <w:lang w:val="en-GB"/>
        </w:rPr>
      </w:pPr>
      <w:r w:rsidRPr="00725149">
        <w:rPr>
          <w:lang w:val="en-GB"/>
        </w:rPr>
        <w:t xml:space="preserve">4.  ADMINISTRATION AND LOGISTICS </w:t>
      </w:r>
    </w:p>
    <w:p w:rsidR="00D66578" w:rsidRDefault="00B226BE" w:rsidP="00B226BE">
      <w:pPr>
        <w:rPr>
          <w:b/>
          <w:bCs/>
          <w:lang w:val="en-GB"/>
        </w:rPr>
      </w:pPr>
      <w:r>
        <w:rPr>
          <w:lang w:val="en-GB"/>
        </w:rPr>
        <w:t xml:space="preserve">Due to other ongoing major military operations, the munitions are limited </w:t>
      </w:r>
      <w:r w:rsidR="004A4451">
        <w:rPr>
          <w:lang w:val="en-GB"/>
        </w:rPr>
        <w:t>in accordance with the ‘</w:t>
      </w:r>
      <w:hyperlink r:id="rId10" w:history="1">
        <w:r w:rsidR="004A4451" w:rsidRPr="009A5288">
          <w:rPr>
            <w:rStyle w:val="Hyperkobling"/>
            <w:lang w:val="en-GB"/>
          </w:rPr>
          <w:t>available ordnance</w:t>
        </w:r>
      </w:hyperlink>
      <w:r w:rsidR="004A4451">
        <w:rPr>
          <w:lang w:val="en-GB"/>
        </w:rPr>
        <w:t xml:space="preserve">’ publication available at OPAR Brief. </w:t>
      </w:r>
      <w:r w:rsidR="004A4451">
        <w:rPr>
          <w:b/>
          <w:bCs/>
          <w:lang w:val="en-GB"/>
        </w:rPr>
        <w:t>Further limitations may be imposed by JFACC and will be detailed in the ATO.</w:t>
      </w:r>
    </w:p>
    <w:p w:rsidR="00296DE2" w:rsidRPr="00556869" w:rsidRDefault="00296DE2" w:rsidP="00B226BE">
      <w:pPr>
        <w:rPr>
          <w:b/>
          <w:bCs/>
          <w:lang w:val="en-GB"/>
        </w:rPr>
      </w:pPr>
      <w:r>
        <w:rPr>
          <w:b/>
          <w:bCs/>
          <w:lang w:val="en-GB"/>
        </w:rPr>
        <w:t xml:space="preserve">Active Tanker Tracks – </w:t>
      </w:r>
      <w:r w:rsidR="009323C0">
        <w:rPr>
          <w:lang w:val="en-GB"/>
        </w:rPr>
        <w:t xml:space="preserve">ARCO-1, </w:t>
      </w:r>
      <w:r w:rsidRPr="00296DE2">
        <w:rPr>
          <w:lang w:val="en-GB"/>
        </w:rPr>
        <w:t>SHELL-3</w:t>
      </w:r>
      <w:r w:rsidR="009323C0">
        <w:rPr>
          <w:lang w:val="en-GB"/>
        </w:rPr>
        <w:t xml:space="preserve"> and SHELL 4</w:t>
      </w:r>
      <w:r w:rsidRPr="00296DE2">
        <w:rPr>
          <w:lang w:val="en-GB"/>
        </w:rPr>
        <w:t xml:space="preserve"> as published in D4 ACO</w:t>
      </w:r>
    </w:p>
    <w:p w:rsidR="00465966" w:rsidRPr="00725149" w:rsidRDefault="00465966" w:rsidP="00B226BE">
      <w:pPr>
        <w:pStyle w:val="Overskrift1"/>
        <w:spacing w:before="0"/>
        <w:contextualSpacing/>
        <w:rPr>
          <w:lang w:val="en-GB"/>
        </w:rPr>
      </w:pPr>
      <w:r w:rsidRPr="00725149">
        <w:rPr>
          <w:lang w:val="en-GB"/>
        </w:rPr>
        <w:t xml:space="preserve">5.  COMMAND AND CONTROL </w:t>
      </w:r>
    </w:p>
    <w:p w:rsidR="00425503" w:rsidRPr="00725149" w:rsidRDefault="00425503" w:rsidP="00425503">
      <w:pPr>
        <w:pStyle w:val="Ingenmellomrom"/>
        <w:contextualSpacing/>
        <w:rPr>
          <w:lang w:val="en-GB"/>
        </w:rPr>
      </w:pPr>
      <w:r>
        <w:rPr>
          <w:lang w:val="en-GB"/>
        </w:rPr>
        <w:t>BULLSEYE MARY is defined at N35 53.950 E037 40.600.</w:t>
      </w:r>
    </w:p>
    <w:p w:rsidR="00425503" w:rsidRDefault="00425503" w:rsidP="00B226BE">
      <w:pPr>
        <w:pStyle w:val="Ingenmellomrom"/>
        <w:contextualSpacing/>
        <w:rPr>
          <w:lang w:val="en-GB"/>
        </w:rPr>
      </w:pPr>
    </w:p>
    <w:p w:rsidR="00296DE2" w:rsidRDefault="00C90331" w:rsidP="00B226BE">
      <w:pPr>
        <w:pStyle w:val="Ingenmellomrom"/>
        <w:contextualSpacing/>
        <w:rPr>
          <w:lang w:val="en-GB"/>
        </w:rPr>
      </w:pPr>
      <w:r>
        <w:rPr>
          <w:lang w:val="en-GB"/>
        </w:rPr>
        <w:t xml:space="preserve">There are no </w:t>
      </w:r>
      <w:r w:rsidR="00425503">
        <w:rPr>
          <w:lang w:val="en-GB"/>
        </w:rPr>
        <w:t xml:space="preserve">other </w:t>
      </w:r>
      <w:r>
        <w:rPr>
          <w:lang w:val="en-GB"/>
        </w:rPr>
        <w:t xml:space="preserve">specific C2 considerations for these missions. Refer to the </w:t>
      </w:r>
      <w:r w:rsidR="00EE1A8D">
        <w:rPr>
          <w:lang w:val="en-GB"/>
        </w:rPr>
        <w:t>Command, Control and Communications section of the JAOP.</w:t>
      </w:r>
    </w:p>
    <w:sectPr w:rsidR="00296DE2" w:rsidSect="00ED4EE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FBD" w:rsidRDefault="000F1FBD" w:rsidP="00465966">
      <w:pPr>
        <w:spacing w:after="0" w:line="240" w:lineRule="auto"/>
      </w:pPr>
      <w:r>
        <w:separator/>
      </w:r>
    </w:p>
  </w:endnote>
  <w:endnote w:type="continuationSeparator" w:id="0">
    <w:p w:rsidR="000F1FBD" w:rsidRDefault="000F1FB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FBD" w:rsidRDefault="000F1FBD" w:rsidP="00465966">
      <w:pPr>
        <w:spacing w:after="0" w:line="240" w:lineRule="auto"/>
      </w:pPr>
      <w:r>
        <w:separator/>
      </w:r>
    </w:p>
  </w:footnote>
  <w:footnote w:type="continuationSeparator" w:id="0">
    <w:p w:rsidR="000F1FBD" w:rsidRDefault="000F1FB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proofErr w:type="spellStart"/>
    <w:r w:rsidRPr="00241D68">
      <w:rPr>
        <w:sz w:val="18"/>
        <w:szCs w:val="30"/>
        <w:lang w:val="en-US"/>
      </w:rPr>
      <w:t>Incerlik</w:t>
    </w:r>
    <w:proofErr w:type="spellEnd"/>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AC7C93">
      <w:rPr>
        <w:sz w:val="18"/>
        <w:szCs w:val="30"/>
        <w:lang w:val="en-US"/>
      </w:rPr>
      <w:t>4</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020963"/>
    <w:multiLevelType w:val="hybridMultilevel"/>
    <w:tmpl w:val="80269B1E"/>
    <w:lvl w:ilvl="0" w:tplc="FFEEEFD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D771C9"/>
    <w:multiLevelType w:val="hybridMultilevel"/>
    <w:tmpl w:val="FEC8C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3AE34FC7"/>
    <w:multiLevelType w:val="hybridMultilevel"/>
    <w:tmpl w:val="B038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6177BB"/>
    <w:multiLevelType w:val="hybridMultilevel"/>
    <w:tmpl w:val="0390ED22"/>
    <w:lvl w:ilvl="0" w:tplc="B344E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0E6B42"/>
    <w:multiLevelType w:val="hybridMultilevel"/>
    <w:tmpl w:val="F22C3646"/>
    <w:lvl w:ilvl="0" w:tplc="BCE2C6B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935A69"/>
    <w:multiLevelType w:val="hybridMultilevel"/>
    <w:tmpl w:val="4AB80A36"/>
    <w:lvl w:ilvl="0" w:tplc="B0506112">
      <w:start w:val="2"/>
      <w:numFmt w:val="bullet"/>
      <w:lvlText w:val=""/>
      <w:lvlJc w:val="left"/>
      <w:pPr>
        <w:ind w:left="1068" w:hanging="360"/>
      </w:pPr>
      <w:rPr>
        <w:rFonts w:ascii="Symbol" w:eastAsiaTheme="minorEastAsia" w:hAnsi="Symbol"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nsid w:val="57EE11EC"/>
    <w:multiLevelType w:val="hybridMultilevel"/>
    <w:tmpl w:val="14FC8E3C"/>
    <w:lvl w:ilvl="0" w:tplc="FFEEEFD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686E25"/>
    <w:multiLevelType w:val="hybridMultilevel"/>
    <w:tmpl w:val="C496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1"/>
  </w:num>
  <w:num w:numId="6">
    <w:abstractNumId w:val="4"/>
  </w:num>
  <w:num w:numId="7">
    <w:abstractNumId w:val="2"/>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465966"/>
    <w:rsid w:val="00027F9A"/>
    <w:rsid w:val="000407DE"/>
    <w:rsid w:val="00057796"/>
    <w:rsid w:val="0006333F"/>
    <w:rsid w:val="000746A4"/>
    <w:rsid w:val="000907F0"/>
    <w:rsid w:val="000A4AF2"/>
    <w:rsid w:val="000B0094"/>
    <w:rsid w:val="000B7135"/>
    <w:rsid w:val="000D445D"/>
    <w:rsid w:val="000F1FBD"/>
    <w:rsid w:val="0010470F"/>
    <w:rsid w:val="00105535"/>
    <w:rsid w:val="001078D2"/>
    <w:rsid w:val="001122CA"/>
    <w:rsid w:val="00134C0C"/>
    <w:rsid w:val="00142069"/>
    <w:rsid w:val="00147806"/>
    <w:rsid w:val="001868B0"/>
    <w:rsid w:val="001B366A"/>
    <w:rsid w:val="00203646"/>
    <w:rsid w:val="00211379"/>
    <w:rsid w:val="002114C0"/>
    <w:rsid w:val="00226999"/>
    <w:rsid w:val="00241D68"/>
    <w:rsid w:val="00296DE2"/>
    <w:rsid w:val="002A4D7B"/>
    <w:rsid w:val="002B1E8E"/>
    <w:rsid w:val="002B5AC9"/>
    <w:rsid w:val="0032124D"/>
    <w:rsid w:val="00322FED"/>
    <w:rsid w:val="00343D16"/>
    <w:rsid w:val="00346533"/>
    <w:rsid w:val="00352EB1"/>
    <w:rsid w:val="003553B0"/>
    <w:rsid w:val="00361CA9"/>
    <w:rsid w:val="003876D9"/>
    <w:rsid w:val="00394D55"/>
    <w:rsid w:val="003C0872"/>
    <w:rsid w:val="003D4142"/>
    <w:rsid w:val="00405A3B"/>
    <w:rsid w:val="004217E0"/>
    <w:rsid w:val="00425503"/>
    <w:rsid w:val="00431E45"/>
    <w:rsid w:val="00443D7E"/>
    <w:rsid w:val="00443F66"/>
    <w:rsid w:val="00461AE4"/>
    <w:rsid w:val="0046501B"/>
    <w:rsid w:val="00465966"/>
    <w:rsid w:val="00477354"/>
    <w:rsid w:val="00486B96"/>
    <w:rsid w:val="00491C5F"/>
    <w:rsid w:val="004A4451"/>
    <w:rsid w:val="00505AD6"/>
    <w:rsid w:val="0052261E"/>
    <w:rsid w:val="00523472"/>
    <w:rsid w:val="00556869"/>
    <w:rsid w:val="00566F71"/>
    <w:rsid w:val="00567D97"/>
    <w:rsid w:val="005812C3"/>
    <w:rsid w:val="005830D2"/>
    <w:rsid w:val="005C6D2D"/>
    <w:rsid w:val="005D09F6"/>
    <w:rsid w:val="005E0FBC"/>
    <w:rsid w:val="005E306F"/>
    <w:rsid w:val="005E6140"/>
    <w:rsid w:val="00602829"/>
    <w:rsid w:val="0061199B"/>
    <w:rsid w:val="00635405"/>
    <w:rsid w:val="00647F1A"/>
    <w:rsid w:val="00677360"/>
    <w:rsid w:val="0068359F"/>
    <w:rsid w:val="00685867"/>
    <w:rsid w:val="006A1C3F"/>
    <w:rsid w:val="006E3C54"/>
    <w:rsid w:val="006E6BAB"/>
    <w:rsid w:val="00713FC7"/>
    <w:rsid w:val="00725149"/>
    <w:rsid w:val="007266A8"/>
    <w:rsid w:val="007461F7"/>
    <w:rsid w:val="00753AD3"/>
    <w:rsid w:val="00754667"/>
    <w:rsid w:val="007601DA"/>
    <w:rsid w:val="007631D2"/>
    <w:rsid w:val="0077011A"/>
    <w:rsid w:val="00796298"/>
    <w:rsid w:val="007B2BB0"/>
    <w:rsid w:val="007B60BA"/>
    <w:rsid w:val="007F5E76"/>
    <w:rsid w:val="00827E91"/>
    <w:rsid w:val="00854EAE"/>
    <w:rsid w:val="00856444"/>
    <w:rsid w:val="00873815"/>
    <w:rsid w:val="00881ECA"/>
    <w:rsid w:val="00883780"/>
    <w:rsid w:val="00896B4C"/>
    <w:rsid w:val="008A51FA"/>
    <w:rsid w:val="008C3AE7"/>
    <w:rsid w:val="008D6304"/>
    <w:rsid w:val="008E4105"/>
    <w:rsid w:val="00902997"/>
    <w:rsid w:val="00913C73"/>
    <w:rsid w:val="00920131"/>
    <w:rsid w:val="00922B5E"/>
    <w:rsid w:val="00926753"/>
    <w:rsid w:val="00927B91"/>
    <w:rsid w:val="00931063"/>
    <w:rsid w:val="009323C0"/>
    <w:rsid w:val="00960679"/>
    <w:rsid w:val="009614D0"/>
    <w:rsid w:val="00971C30"/>
    <w:rsid w:val="00995EF6"/>
    <w:rsid w:val="009A5288"/>
    <w:rsid w:val="009C71BF"/>
    <w:rsid w:val="009D0A25"/>
    <w:rsid w:val="009D17A6"/>
    <w:rsid w:val="009D6985"/>
    <w:rsid w:val="009D73F8"/>
    <w:rsid w:val="009F00E5"/>
    <w:rsid w:val="009F3784"/>
    <w:rsid w:val="00A11622"/>
    <w:rsid w:val="00A13E7B"/>
    <w:rsid w:val="00A1460B"/>
    <w:rsid w:val="00A3462E"/>
    <w:rsid w:val="00A36B67"/>
    <w:rsid w:val="00A96FC7"/>
    <w:rsid w:val="00AA23A4"/>
    <w:rsid w:val="00AC59BC"/>
    <w:rsid w:val="00AC7C93"/>
    <w:rsid w:val="00AD7368"/>
    <w:rsid w:val="00AE19C9"/>
    <w:rsid w:val="00AE6D32"/>
    <w:rsid w:val="00B226BE"/>
    <w:rsid w:val="00B23CDC"/>
    <w:rsid w:val="00B469EC"/>
    <w:rsid w:val="00B4796A"/>
    <w:rsid w:val="00B501FE"/>
    <w:rsid w:val="00B567BD"/>
    <w:rsid w:val="00B5756E"/>
    <w:rsid w:val="00B57813"/>
    <w:rsid w:val="00B609FF"/>
    <w:rsid w:val="00B762B0"/>
    <w:rsid w:val="00BA02FF"/>
    <w:rsid w:val="00BA3913"/>
    <w:rsid w:val="00BF642C"/>
    <w:rsid w:val="00C00347"/>
    <w:rsid w:val="00C33F17"/>
    <w:rsid w:val="00C408AE"/>
    <w:rsid w:val="00C40A28"/>
    <w:rsid w:val="00C4295E"/>
    <w:rsid w:val="00C52233"/>
    <w:rsid w:val="00C66F23"/>
    <w:rsid w:val="00C90331"/>
    <w:rsid w:val="00C96EA5"/>
    <w:rsid w:val="00CC01C1"/>
    <w:rsid w:val="00CD1548"/>
    <w:rsid w:val="00CE3A6D"/>
    <w:rsid w:val="00D07BB7"/>
    <w:rsid w:val="00D31903"/>
    <w:rsid w:val="00D64D09"/>
    <w:rsid w:val="00D66578"/>
    <w:rsid w:val="00DC5E4A"/>
    <w:rsid w:val="00DE278F"/>
    <w:rsid w:val="00DE4F9A"/>
    <w:rsid w:val="00DE7E78"/>
    <w:rsid w:val="00DF7DFD"/>
    <w:rsid w:val="00E27746"/>
    <w:rsid w:val="00E86DA6"/>
    <w:rsid w:val="00EB01AF"/>
    <w:rsid w:val="00ED4EE0"/>
    <w:rsid w:val="00ED52BE"/>
    <w:rsid w:val="00EE16C2"/>
    <w:rsid w:val="00EE1A8D"/>
    <w:rsid w:val="00EE38AD"/>
    <w:rsid w:val="00EE6F96"/>
    <w:rsid w:val="00EF4320"/>
    <w:rsid w:val="00F2680E"/>
    <w:rsid w:val="00F50C34"/>
    <w:rsid w:val="00F703A3"/>
    <w:rsid w:val="00F70FBD"/>
    <w:rsid w:val="00F80695"/>
    <w:rsid w:val="00F91273"/>
    <w:rsid w:val="00F93FCC"/>
    <w:rsid w:val="00FA5212"/>
    <w:rsid w:val="00FB1C7C"/>
    <w:rsid w:val="00FB7923"/>
    <w:rsid w:val="00FC6F27"/>
    <w:rsid w:val="00FD5F7A"/>
    <w:rsid w:val="00FE69B4"/>
    <w:rsid w:val="00FF474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paragraph" w:styleId="Overskrift4">
    <w:name w:val="heading 4"/>
    <w:basedOn w:val="Normal"/>
    <w:next w:val="Normal"/>
    <w:link w:val="Overskrift4Tegn"/>
    <w:uiPriority w:val="9"/>
    <w:unhideWhenUsed/>
    <w:qFormat/>
    <w:rsid w:val="00211379"/>
    <w:pPr>
      <w:keepNext/>
      <w:keepLines/>
      <w:spacing w:before="40" w:after="0"/>
      <w:outlineLvl w:val="3"/>
    </w:pPr>
    <w:rPr>
      <w:rFonts w:asciiTheme="majorHAnsi" w:eastAsiaTheme="majorEastAsia" w:hAnsiTheme="majorHAnsi" w:cstheme="majorBidi"/>
      <w:i/>
      <w:iCs/>
      <w:color w:val="0B0BFF"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paragraph" w:customStyle="1" w:styleId="Default">
    <w:name w:val="Default"/>
    <w:rsid w:val="00B226BE"/>
    <w:pPr>
      <w:autoSpaceDE w:val="0"/>
      <w:autoSpaceDN w:val="0"/>
      <w:adjustRightInd w:val="0"/>
      <w:spacing w:after="0" w:line="240" w:lineRule="auto"/>
    </w:pPr>
    <w:rPr>
      <w:rFonts w:ascii="Arial" w:hAnsi="Arial" w:cs="Arial"/>
      <w:color w:val="000000"/>
      <w:sz w:val="24"/>
      <w:szCs w:val="24"/>
      <w:lang w:val="en-GB"/>
    </w:rPr>
  </w:style>
  <w:style w:type="character" w:styleId="Merknadsreferanse">
    <w:name w:val="annotation reference"/>
    <w:basedOn w:val="Standardskriftforavsnitt"/>
    <w:uiPriority w:val="99"/>
    <w:semiHidden/>
    <w:unhideWhenUsed/>
    <w:rsid w:val="006E6BAB"/>
    <w:rPr>
      <w:sz w:val="16"/>
      <w:szCs w:val="16"/>
    </w:rPr>
  </w:style>
  <w:style w:type="paragraph" w:styleId="Merknadstekst">
    <w:name w:val="annotation text"/>
    <w:basedOn w:val="Normal"/>
    <w:link w:val="MerknadstekstTegn"/>
    <w:uiPriority w:val="99"/>
    <w:semiHidden/>
    <w:unhideWhenUsed/>
    <w:rsid w:val="006E6BA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E6BAB"/>
    <w:rPr>
      <w:sz w:val="20"/>
      <w:szCs w:val="20"/>
    </w:rPr>
  </w:style>
  <w:style w:type="paragraph" w:styleId="Kommentaremne">
    <w:name w:val="annotation subject"/>
    <w:basedOn w:val="Merknadstekst"/>
    <w:next w:val="Merknadstekst"/>
    <w:link w:val="KommentaremneTegn"/>
    <w:uiPriority w:val="99"/>
    <w:semiHidden/>
    <w:unhideWhenUsed/>
    <w:rsid w:val="006E6BAB"/>
    <w:rPr>
      <w:b/>
      <w:bCs/>
    </w:rPr>
  </w:style>
  <w:style w:type="character" w:customStyle="1" w:styleId="KommentaremneTegn">
    <w:name w:val="Kommentaremne Tegn"/>
    <w:basedOn w:val="MerknadstekstTegn"/>
    <w:link w:val="Kommentaremne"/>
    <w:uiPriority w:val="99"/>
    <w:semiHidden/>
    <w:rsid w:val="006E6BAB"/>
    <w:rPr>
      <w:b/>
      <w:bCs/>
      <w:sz w:val="20"/>
      <w:szCs w:val="20"/>
    </w:rPr>
  </w:style>
  <w:style w:type="character" w:styleId="Hyperkobling">
    <w:name w:val="Hyperlink"/>
    <w:basedOn w:val="Standardskriftforavsnitt"/>
    <w:uiPriority w:val="99"/>
    <w:unhideWhenUsed/>
    <w:rsid w:val="000D445D"/>
    <w:rPr>
      <w:color w:val="0000FF" w:themeColor="hyperlink"/>
      <w:u w:val="single"/>
    </w:rPr>
  </w:style>
  <w:style w:type="character" w:customStyle="1" w:styleId="Overskrift4Tegn">
    <w:name w:val="Overskrift 4 Tegn"/>
    <w:basedOn w:val="Standardskriftforavsnitt"/>
    <w:link w:val="Overskrift4"/>
    <w:uiPriority w:val="9"/>
    <w:rsid w:val="00211379"/>
    <w:rPr>
      <w:rFonts w:asciiTheme="majorHAnsi" w:eastAsiaTheme="majorEastAsia" w:hAnsiTheme="majorHAnsi" w:cstheme="majorBidi"/>
      <w:i/>
      <w:iCs/>
      <w:color w:val="0B0BFF" w:themeColor="accent1" w:themeShade="BF"/>
    </w:rPr>
  </w:style>
  <w:style w:type="character" w:customStyle="1" w:styleId="UnresolvedMention1">
    <w:name w:val="Unresolved Mention1"/>
    <w:basedOn w:val="Standardskriftforavsnitt"/>
    <w:uiPriority w:val="99"/>
    <w:semiHidden/>
    <w:unhideWhenUsed/>
    <w:rsid w:val="009A528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7769204">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574272860">
      <w:bodyDiv w:val="1"/>
      <w:marLeft w:val="0"/>
      <w:marRight w:val="0"/>
      <w:marTop w:val="0"/>
      <w:marBottom w:val="0"/>
      <w:divBdr>
        <w:top w:val="none" w:sz="0" w:space="0" w:color="auto"/>
        <w:left w:val="none" w:sz="0" w:space="0" w:color="auto"/>
        <w:bottom w:val="none" w:sz="0" w:space="0" w:color="auto"/>
        <w:right w:val="none" w:sz="0" w:space="0" w:color="auto"/>
      </w:divBdr>
    </w:div>
    <w:div w:id="20854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132nd-vwing.github.io/OPAR-Brief/MISSION%20INFORMATION/OPAR%20Ordnanc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2D48-6A14-422F-A9A7-6F738E2B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6</Pages>
  <Words>1657</Words>
  <Characters>8784</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10421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27</cp:revision>
  <cp:lastPrinted>2022-09-16T17:48:00Z</cp:lastPrinted>
  <dcterms:created xsi:type="dcterms:W3CDTF">2022-09-04T11:26:00Z</dcterms:created>
  <dcterms:modified xsi:type="dcterms:W3CDTF">2022-10-21T19:04:00Z</dcterms:modified>
</cp:coreProperties>
</file>