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E28" w:rsidRDefault="00640E28">
      <w:pPr>
        <w:pStyle w:val="Tittel"/>
        <w:spacing w:after="0"/>
        <w:jc w:val="center"/>
        <w:rPr>
          <w:lang w:val="en-GB"/>
        </w:rPr>
      </w:pPr>
    </w:p>
    <w:p w:rsidR="00640E28" w:rsidRDefault="00DB2C7D">
      <w:pPr>
        <w:pStyle w:val="Tittel"/>
        <w:spacing w:after="0"/>
        <w:jc w:val="center"/>
        <w:rPr>
          <w:lang w:val="en-GB"/>
        </w:rPr>
      </w:pPr>
      <w:r>
        <w:rPr>
          <w:noProof/>
        </w:rPr>
        <w:drawing>
          <wp:inline distT="0" distB="0" distL="0" distR="0">
            <wp:extent cx="1725930" cy="1761490"/>
            <wp:effectExtent l="0" t="0" r="0" b="0"/>
            <wp:docPr id="1"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2" descr="C:\Users\Frode\Downloads\OPAR JFACC logo.png"/>
                    <pic:cNvPicPr>
                      <a:picLocks noChangeAspect="1" noChangeArrowheads="1"/>
                    </pic:cNvPicPr>
                  </pic:nvPicPr>
                  <pic:blipFill>
                    <a:blip r:embed="rId8" cstate="print"/>
                    <a:stretch>
                      <a:fillRect/>
                    </a:stretch>
                  </pic:blipFill>
                  <pic:spPr bwMode="auto">
                    <a:xfrm>
                      <a:off x="0" y="0"/>
                      <a:ext cx="1725930" cy="1761490"/>
                    </a:xfrm>
                    <a:prstGeom prst="rect">
                      <a:avLst/>
                    </a:prstGeom>
                  </pic:spPr>
                </pic:pic>
              </a:graphicData>
            </a:graphic>
          </wp:inline>
        </w:drawing>
      </w:r>
    </w:p>
    <w:p w:rsidR="00640E28" w:rsidRDefault="00DB2C7D">
      <w:pPr>
        <w:pStyle w:val="Tittel"/>
        <w:spacing w:after="0"/>
        <w:jc w:val="center"/>
        <w:rPr>
          <w:sz w:val="48"/>
          <w:lang w:val="en-GB"/>
        </w:rPr>
      </w:pPr>
      <w:r>
        <w:rPr>
          <w:sz w:val="48"/>
          <w:lang w:val="en-GB"/>
        </w:rPr>
        <w:t>JFACC AIR OPERATIONS DIRECTIVE</w:t>
      </w:r>
    </w:p>
    <w:p w:rsidR="00640E28" w:rsidRDefault="00DB2C7D">
      <w:pPr>
        <w:pStyle w:val="Tittel"/>
        <w:spacing w:after="0"/>
        <w:jc w:val="center"/>
        <w:rPr>
          <w:sz w:val="48"/>
          <w:lang w:val="en-GB"/>
        </w:rPr>
      </w:pPr>
      <w:r>
        <w:rPr>
          <w:sz w:val="48"/>
          <w:lang w:val="en-GB"/>
        </w:rPr>
        <w:t>OPERATION ACTIVE RESOLVE 2</w:t>
      </w:r>
    </w:p>
    <w:p w:rsidR="00640E28" w:rsidRDefault="00DB2C7D">
      <w:pPr>
        <w:pStyle w:val="Tittel"/>
        <w:spacing w:after="0"/>
        <w:jc w:val="center"/>
        <w:rPr>
          <w:sz w:val="48"/>
          <w:lang w:val="en-GB"/>
        </w:rPr>
      </w:pPr>
      <w:r>
        <w:rPr>
          <w:sz w:val="48"/>
          <w:lang w:val="en-GB"/>
        </w:rPr>
        <w:t>D</w:t>
      </w:r>
      <w:r>
        <w:rPr>
          <w:sz w:val="48"/>
          <w:lang w:val="en-GB"/>
        </w:rPr>
        <w:t>5</w:t>
      </w:r>
      <w:r>
        <w:rPr>
          <w:sz w:val="48"/>
          <w:lang w:val="en-GB"/>
        </w:rPr>
        <w:t xml:space="preserve"> </w:t>
      </w:r>
    </w:p>
    <w:p w:rsidR="00640E28" w:rsidRDefault="00DB2C7D">
      <w:pPr>
        <w:pStyle w:val="Heading1"/>
        <w:spacing w:before="0"/>
        <w:contextualSpacing/>
        <w:rPr>
          <w:lang w:val="en-GB"/>
        </w:rPr>
      </w:pPr>
      <w:r>
        <w:rPr>
          <w:lang w:val="en-GB"/>
        </w:rPr>
        <w:t xml:space="preserve">1.  SITUATION </w:t>
      </w:r>
    </w:p>
    <w:p w:rsidR="00640E28" w:rsidRDefault="00DB2C7D">
      <w:pPr>
        <w:pStyle w:val="Heading2"/>
        <w:spacing w:before="0"/>
        <w:contextualSpacing/>
        <w:rPr>
          <w:lang w:val="en-GB"/>
        </w:rPr>
      </w:pPr>
      <w:proofErr w:type="gramStart"/>
      <w:r>
        <w:rPr>
          <w:lang w:val="en-GB"/>
        </w:rPr>
        <w:t>a.  JFC</w:t>
      </w:r>
      <w:proofErr w:type="gramEnd"/>
      <w:r>
        <w:rPr>
          <w:lang w:val="en-GB"/>
        </w:rPr>
        <w:t xml:space="preserve"> guidance (verbatim). </w:t>
      </w:r>
    </w:p>
    <w:p w:rsidR="00640E28" w:rsidRDefault="00DB2C7D">
      <w:pPr>
        <w:pStyle w:val="Ingenmellomrom"/>
        <w:rPr>
          <w:lang w:val="en-US"/>
        </w:rPr>
      </w:pPr>
      <w:r>
        <w:rPr>
          <w:lang w:val="en-US"/>
        </w:rPr>
        <w:t>Priority of effort is on establishing Air Superiority in support of LCC and set conditions</w:t>
      </w:r>
    </w:p>
    <w:p w:rsidR="00640E28" w:rsidRDefault="00DB2C7D">
      <w:pPr>
        <w:pStyle w:val="Ingenmellomrom"/>
        <w:rPr>
          <w:lang w:val="en-US"/>
        </w:rPr>
      </w:pPr>
      <w:proofErr w:type="gramStart"/>
      <w:r>
        <w:rPr>
          <w:lang w:val="en-US"/>
        </w:rPr>
        <w:t>for</w:t>
      </w:r>
      <w:proofErr w:type="gramEnd"/>
      <w:r>
        <w:rPr>
          <w:lang w:val="en-US"/>
        </w:rPr>
        <w:t xml:space="preserve"> own operations.</w:t>
      </w:r>
    </w:p>
    <w:p w:rsidR="00640E28" w:rsidRDefault="00DB2C7D">
      <w:pPr>
        <w:pStyle w:val="Ingenmellomrom"/>
        <w:numPr>
          <w:ilvl w:val="0"/>
          <w:numId w:val="2"/>
        </w:numPr>
        <w:rPr>
          <w:lang w:val="en-US"/>
        </w:rPr>
      </w:pPr>
      <w:r>
        <w:rPr>
          <w:lang w:val="en-US"/>
        </w:rPr>
        <w:t xml:space="preserve">Start shaping for phase 2 in the </w:t>
      </w:r>
      <w:r>
        <w:rPr>
          <w:lang w:val="en-US"/>
        </w:rPr>
        <w:t>operation (Create permissive environment).</w:t>
      </w:r>
    </w:p>
    <w:p w:rsidR="00640E28" w:rsidRDefault="00DB2C7D">
      <w:pPr>
        <w:pStyle w:val="Ingenmellomrom"/>
        <w:numPr>
          <w:ilvl w:val="0"/>
          <w:numId w:val="2"/>
        </w:numPr>
        <w:rPr>
          <w:lang w:val="en-US"/>
        </w:rPr>
      </w:pPr>
      <w:r>
        <w:rPr>
          <w:lang w:val="en-US"/>
        </w:rPr>
        <w:t>Continue support to LCC</w:t>
      </w:r>
    </w:p>
    <w:p w:rsidR="00640E28" w:rsidRDefault="00DB2C7D">
      <w:pPr>
        <w:pStyle w:val="Ingenmellomrom"/>
        <w:numPr>
          <w:ilvl w:val="0"/>
          <w:numId w:val="2"/>
        </w:numPr>
        <w:rPr>
          <w:lang w:val="en-US"/>
        </w:rPr>
      </w:pPr>
      <w:r>
        <w:rPr>
          <w:lang w:val="en-US"/>
        </w:rPr>
        <w:t xml:space="preserve">Be prepared to prepare contingency plans for striking Syrian WMD at short notice (regardless of phase). Expect this plan to be asked for prior to commencing phase 2. ALR: HIGH approved for </w:t>
      </w:r>
      <w:r>
        <w:rPr>
          <w:lang w:val="en-US"/>
        </w:rPr>
        <w:t>such a plan.</w:t>
      </w:r>
    </w:p>
    <w:p w:rsidR="00640E28" w:rsidRDefault="00640E28">
      <w:pPr>
        <w:pStyle w:val="Ingenmellomrom"/>
        <w:contextualSpacing/>
        <w:rPr>
          <w:lang w:val="en-US"/>
        </w:rPr>
      </w:pPr>
    </w:p>
    <w:p w:rsidR="00640E28" w:rsidRDefault="00DB2C7D">
      <w:pPr>
        <w:pStyle w:val="Heading2"/>
        <w:spacing w:before="0"/>
        <w:contextualSpacing/>
        <w:rPr>
          <w:lang w:val="en-GB"/>
        </w:rPr>
      </w:pPr>
      <w:proofErr w:type="gramStart"/>
      <w:r>
        <w:rPr>
          <w:lang w:val="en-GB"/>
        </w:rPr>
        <w:t>b.  Enemy</w:t>
      </w:r>
      <w:proofErr w:type="gramEnd"/>
      <w:r>
        <w:rPr>
          <w:lang w:val="en-GB"/>
        </w:rPr>
        <w:t xml:space="preserve"> situation. </w:t>
      </w:r>
    </w:p>
    <w:p w:rsidR="00640E28" w:rsidRDefault="00DB2C7D">
      <w:pPr>
        <w:pStyle w:val="Ingenmellomrom"/>
        <w:contextualSpacing/>
        <w:rPr>
          <w:lang w:val="en-GB"/>
        </w:rPr>
      </w:pPr>
      <w:r>
        <w:rPr>
          <w:lang w:val="en-GB"/>
        </w:rPr>
        <w:t>The current enemy situation is defined in VIS INTSUM D5, available at OPAR BRIEF.</w:t>
      </w:r>
    </w:p>
    <w:p w:rsidR="00640E28" w:rsidRDefault="00640E28">
      <w:pPr>
        <w:pStyle w:val="Ingenmellomrom"/>
        <w:contextualSpacing/>
        <w:rPr>
          <w:lang w:val="en-GB"/>
        </w:rPr>
      </w:pPr>
    </w:p>
    <w:p w:rsidR="00640E28" w:rsidRDefault="00DB2C7D">
      <w:pPr>
        <w:pStyle w:val="Heading2"/>
        <w:spacing w:before="0"/>
        <w:contextualSpacing/>
        <w:rPr>
          <w:lang w:val="en-GB"/>
        </w:rPr>
      </w:pPr>
      <w:proofErr w:type="gramStart"/>
      <w:r>
        <w:rPr>
          <w:lang w:val="en-GB"/>
        </w:rPr>
        <w:t>c.  Friendly</w:t>
      </w:r>
      <w:proofErr w:type="gramEnd"/>
      <w:r>
        <w:rPr>
          <w:lang w:val="en-GB"/>
        </w:rPr>
        <w:t xml:space="preserve"> situation (by joint force component). </w:t>
      </w:r>
    </w:p>
    <w:p w:rsidR="00640E28" w:rsidRDefault="00DB2C7D">
      <w:pPr>
        <w:pStyle w:val="Heading3"/>
        <w:rPr>
          <w:lang w:val="en-GB"/>
        </w:rPr>
      </w:pPr>
      <w:r>
        <w:rPr>
          <w:lang w:val="en-GB"/>
        </w:rPr>
        <w:t>Land Component Command (LCC)</w:t>
      </w:r>
    </w:p>
    <w:p w:rsidR="00640E28" w:rsidRDefault="00DB2C7D">
      <w:pPr>
        <w:pStyle w:val="Heading4"/>
        <w:rPr>
          <w:lang w:val="en-US"/>
        </w:rPr>
      </w:pPr>
      <w:r>
        <w:rPr>
          <w:lang w:val="en-US"/>
        </w:rPr>
        <w:t>IV Corps</w:t>
      </w:r>
    </w:p>
    <w:p w:rsidR="00640E28" w:rsidRDefault="00DB2C7D">
      <w:pPr>
        <w:pStyle w:val="Ingenmellomrom"/>
        <w:contextualSpacing/>
        <w:rPr>
          <w:lang w:val="en-US"/>
        </w:rPr>
      </w:pPr>
      <w:r>
        <w:rPr>
          <w:lang w:val="en-US"/>
        </w:rPr>
        <w:t xml:space="preserve">The 55th Mechanized Division has secured HATAY </w:t>
      </w:r>
      <w:r>
        <w:rPr>
          <w:lang w:val="en-US"/>
        </w:rPr>
        <w:t xml:space="preserve">and </w:t>
      </w:r>
      <w:proofErr w:type="gramStart"/>
      <w:r>
        <w:rPr>
          <w:lang w:val="en-US"/>
        </w:rPr>
        <w:t>have</w:t>
      </w:r>
      <w:proofErr w:type="gramEnd"/>
      <w:r>
        <w:rPr>
          <w:lang w:val="en-US"/>
        </w:rPr>
        <w:t xml:space="preserve"> moved forward battalions to screening positions along the FLOT.</w:t>
      </w:r>
    </w:p>
    <w:p w:rsidR="00640E28" w:rsidRDefault="00640E28">
      <w:pPr>
        <w:pStyle w:val="Ingenmellomrom"/>
        <w:contextualSpacing/>
        <w:rPr>
          <w:lang w:val="en-US"/>
        </w:rPr>
      </w:pPr>
    </w:p>
    <w:p w:rsidR="00640E28" w:rsidRDefault="00DB2C7D">
      <w:pPr>
        <w:pStyle w:val="Ingenmellomrom"/>
        <w:contextualSpacing/>
        <w:rPr>
          <w:lang w:val="en-US"/>
        </w:rPr>
      </w:pPr>
      <w:r>
        <w:rPr>
          <w:lang w:val="en-US"/>
        </w:rPr>
        <w:t>The 56th Armor Division has its’ forward elements at the outskirt of Gaziantep. The 56th is preparing for the assault at Gaziantep airfield that will commence in the morning hours of</w:t>
      </w:r>
      <w:r>
        <w:rPr>
          <w:lang w:val="en-US"/>
        </w:rPr>
        <w:t xml:space="preserve"> D</w:t>
      </w:r>
      <w:proofErr w:type="gramStart"/>
      <w:r>
        <w:rPr>
          <w:lang w:val="en-US"/>
        </w:rPr>
        <w:t>?.</w:t>
      </w:r>
      <w:proofErr w:type="gramEnd"/>
    </w:p>
    <w:p w:rsidR="00640E28" w:rsidRDefault="00640E28">
      <w:pPr>
        <w:pStyle w:val="Ingenmellomrom"/>
        <w:contextualSpacing/>
        <w:rPr>
          <w:lang w:val="en-US"/>
        </w:rPr>
      </w:pPr>
    </w:p>
    <w:p w:rsidR="00640E28" w:rsidRDefault="00DB2C7D">
      <w:pPr>
        <w:pStyle w:val="Ingenmellomrom"/>
        <w:contextualSpacing/>
        <w:rPr>
          <w:lang w:val="en-US"/>
        </w:rPr>
      </w:pPr>
      <w:r>
        <w:rPr>
          <w:noProof/>
        </w:rPr>
        <w:lastRenderedPageBreak/>
        <w:drawing>
          <wp:inline distT="0" distB="0" distL="0" distR="0">
            <wp:extent cx="5760720" cy="2851785"/>
            <wp:effectExtent l="0" t="0" r="0" b="0"/>
            <wp:docPr id="2"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Map&#10;&#10;Description automatically generated"/>
                    <pic:cNvPicPr>
                      <a:picLocks noChangeAspect="1" noChangeArrowheads="1"/>
                    </pic:cNvPicPr>
                  </pic:nvPicPr>
                  <pic:blipFill>
                    <a:blip r:embed="rId9" cstate="print"/>
                    <a:stretch>
                      <a:fillRect/>
                    </a:stretch>
                  </pic:blipFill>
                  <pic:spPr bwMode="auto">
                    <a:xfrm>
                      <a:off x="0" y="0"/>
                      <a:ext cx="5760720" cy="2851785"/>
                    </a:xfrm>
                    <a:prstGeom prst="rect">
                      <a:avLst/>
                    </a:prstGeom>
                  </pic:spPr>
                </pic:pic>
              </a:graphicData>
            </a:graphic>
          </wp:inline>
        </w:drawing>
      </w:r>
    </w:p>
    <w:p w:rsidR="00640E28" w:rsidRDefault="00640E28">
      <w:pPr>
        <w:pStyle w:val="Ingenmellomrom"/>
        <w:contextualSpacing/>
        <w:rPr>
          <w:lang w:val="en-US"/>
        </w:rPr>
      </w:pPr>
    </w:p>
    <w:p w:rsidR="00640E28" w:rsidRDefault="00DB2C7D">
      <w:pPr>
        <w:pStyle w:val="Heading4"/>
        <w:rPr>
          <w:lang w:val="en-US"/>
        </w:rPr>
      </w:pPr>
      <w:r>
        <w:rPr>
          <w:lang w:val="en-US"/>
        </w:rPr>
        <w:t>Turkish local forces</w:t>
      </w:r>
    </w:p>
    <w:p w:rsidR="00640E28" w:rsidRDefault="00DB2C7D">
      <w:pPr>
        <w:pStyle w:val="Ingenmellomrom"/>
        <w:contextualSpacing/>
        <w:rPr>
          <w:lang w:val="en-US"/>
        </w:rPr>
      </w:pPr>
      <w:r>
        <w:rPr>
          <w:lang w:val="en-US"/>
        </w:rPr>
        <w:t>The Turkish 33rd Brigade protecting the Ataturk Dam have been defeated by Syrian</w:t>
      </w:r>
    </w:p>
    <w:p w:rsidR="00640E28" w:rsidRDefault="00DB2C7D">
      <w:pPr>
        <w:pStyle w:val="Ingenmellomrom"/>
        <w:contextualSpacing/>
        <w:rPr>
          <w:lang w:val="en-US"/>
        </w:rPr>
      </w:pPr>
      <w:proofErr w:type="gramStart"/>
      <w:r>
        <w:rPr>
          <w:lang w:val="en-US"/>
        </w:rPr>
        <w:t>forces</w:t>
      </w:r>
      <w:proofErr w:type="gramEnd"/>
      <w:r>
        <w:rPr>
          <w:lang w:val="en-US"/>
        </w:rPr>
        <w:t xml:space="preserve"> despite heavy resistance and support from JFACC with CAS. They have withdrawn to the city of </w:t>
      </w:r>
      <w:proofErr w:type="spellStart"/>
      <w:r>
        <w:rPr>
          <w:lang w:val="en-US"/>
        </w:rPr>
        <w:t>Sanliurfa</w:t>
      </w:r>
      <w:proofErr w:type="spellEnd"/>
      <w:r>
        <w:rPr>
          <w:lang w:val="en-US"/>
        </w:rPr>
        <w:t xml:space="preserve"> in order to prevent Syrians </w:t>
      </w:r>
      <w:r>
        <w:rPr>
          <w:lang w:val="en-US"/>
        </w:rPr>
        <w:t>capturing the airfield.</w:t>
      </w:r>
    </w:p>
    <w:p w:rsidR="00640E28" w:rsidRDefault="00DB2C7D">
      <w:pPr>
        <w:pStyle w:val="Ingenmellomrom"/>
        <w:numPr>
          <w:ilvl w:val="0"/>
          <w:numId w:val="3"/>
        </w:numPr>
        <w:contextualSpacing/>
        <w:rPr>
          <w:lang w:val="en-US"/>
        </w:rPr>
      </w:pPr>
      <w:r>
        <w:rPr>
          <w:lang w:val="en-US"/>
        </w:rPr>
        <w:t>Turkish local forces are in static defensive positions and are not in a position to assume offensive operations.</w:t>
      </w:r>
    </w:p>
    <w:p w:rsidR="00640E28" w:rsidRDefault="00DB2C7D">
      <w:pPr>
        <w:pStyle w:val="Ingenmellomrom"/>
        <w:numPr>
          <w:ilvl w:val="0"/>
          <w:numId w:val="3"/>
        </w:numPr>
        <w:contextualSpacing/>
        <w:rPr>
          <w:lang w:val="en-US"/>
        </w:rPr>
      </w:pPr>
      <w:r>
        <w:rPr>
          <w:lang w:val="en-US"/>
        </w:rPr>
        <w:t>Turkish local forces consist of BTR-80 and M-113s vehicles</w:t>
      </w:r>
    </w:p>
    <w:p w:rsidR="00640E28" w:rsidRDefault="00DB2C7D">
      <w:pPr>
        <w:pStyle w:val="Ingenmellomrom"/>
        <w:numPr>
          <w:ilvl w:val="0"/>
          <w:numId w:val="3"/>
        </w:numPr>
        <w:contextualSpacing/>
        <w:rPr>
          <w:lang w:val="en-US"/>
        </w:rPr>
      </w:pPr>
      <w:r>
        <w:rPr>
          <w:lang w:val="en-US"/>
        </w:rPr>
        <w:t xml:space="preserve">Turkish local forces are reinforced with coalition JTACs to </w:t>
      </w:r>
      <w:r>
        <w:rPr>
          <w:lang w:val="en-US"/>
        </w:rPr>
        <w:t>support with CAS to defend</w:t>
      </w:r>
    </w:p>
    <w:p w:rsidR="00640E28" w:rsidRDefault="00DB2C7D">
      <w:pPr>
        <w:pStyle w:val="Ingenmellomrom"/>
        <w:numPr>
          <w:ilvl w:val="0"/>
          <w:numId w:val="3"/>
        </w:numPr>
        <w:contextualSpacing/>
        <w:rPr>
          <w:lang w:val="en-US"/>
        </w:rPr>
      </w:pPr>
      <w:proofErr w:type="gramStart"/>
      <w:r>
        <w:rPr>
          <w:lang w:val="en-US"/>
        </w:rPr>
        <w:t>against</w:t>
      </w:r>
      <w:proofErr w:type="gramEnd"/>
      <w:r>
        <w:rPr>
          <w:lang w:val="en-US"/>
        </w:rPr>
        <w:t xml:space="preserve"> Syrian attacks.</w:t>
      </w:r>
    </w:p>
    <w:p w:rsidR="00640E28" w:rsidRDefault="00640E28">
      <w:pPr>
        <w:pStyle w:val="Ingenmellomrom"/>
        <w:contextualSpacing/>
        <w:rPr>
          <w:lang w:val="en-US"/>
        </w:rPr>
      </w:pPr>
    </w:p>
    <w:p w:rsidR="00640E28" w:rsidRDefault="00DB2C7D">
      <w:pPr>
        <w:pStyle w:val="Heading3"/>
        <w:rPr>
          <w:lang w:val="en-US"/>
        </w:rPr>
      </w:pPr>
      <w:r>
        <w:rPr>
          <w:lang w:val="en-US"/>
        </w:rPr>
        <w:t>Maritime Component Command (MCC)</w:t>
      </w:r>
    </w:p>
    <w:p w:rsidR="00640E28" w:rsidRDefault="00DB2C7D">
      <w:pPr>
        <w:pStyle w:val="Ingenmellomrom"/>
        <w:contextualSpacing/>
        <w:rPr>
          <w:lang w:val="en-US"/>
        </w:rPr>
      </w:pPr>
      <w:r>
        <w:rPr>
          <w:lang w:val="en-US"/>
        </w:rPr>
        <w:t>CSG-1 continues to support the mission from CSG-1 operations box.</w:t>
      </w:r>
    </w:p>
    <w:p w:rsidR="00640E28" w:rsidRDefault="00DB2C7D">
      <w:pPr>
        <w:pStyle w:val="Ingenmellomrom"/>
        <w:contextualSpacing/>
        <w:rPr>
          <w:lang w:val="en-US"/>
        </w:rPr>
      </w:pPr>
      <w:proofErr w:type="gramStart"/>
      <w:r>
        <w:rPr>
          <w:lang w:val="en-US"/>
        </w:rPr>
        <w:t>SAG</w:t>
      </w:r>
      <w:proofErr w:type="gramEnd"/>
      <w:r>
        <w:rPr>
          <w:lang w:val="en-US"/>
        </w:rPr>
        <w:t xml:space="preserve"> 1 remains outside the AO, having been directed to support shipping movements elsewhere.</w:t>
      </w:r>
    </w:p>
    <w:p w:rsidR="00640E28" w:rsidRDefault="00640E28">
      <w:pPr>
        <w:pStyle w:val="Ingenmellomrom"/>
        <w:contextualSpacing/>
        <w:rPr>
          <w:lang w:val="en-US"/>
        </w:rPr>
      </w:pPr>
    </w:p>
    <w:p w:rsidR="00640E28" w:rsidRDefault="00DB2C7D">
      <w:pPr>
        <w:pStyle w:val="Heading3"/>
        <w:rPr>
          <w:lang w:val="en-US"/>
        </w:rPr>
      </w:pPr>
      <w:r>
        <w:rPr>
          <w:lang w:val="en-US"/>
        </w:rPr>
        <w:t>Special Oper</w:t>
      </w:r>
      <w:r>
        <w:rPr>
          <w:lang w:val="en-US"/>
        </w:rPr>
        <w:t>ations Component Command (SOCC)</w:t>
      </w:r>
    </w:p>
    <w:p w:rsidR="00640E28" w:rsidRDefault="00DB2C7D">
      <w:pPr>
        <w:pStyle w:val="Ingenmellomrom"/>
        <w:contextualSpacing/>
        <w:rPr>
          <w:lang w:val="en-US"/>
        </w:rPr>
      </w:pPr>
      <w:r>
        <w:rPr>
          <w:lang w:val="en-US"/>
        </w:rPr>
        <w:t>SOF teams are standing by to support with reconnaissance as required and requested by JFACC.</w:t>
      </w:r>
    </w:p>
    <w:p w:rsidR="00640E28" w:rsidRDefault="00DB2C7D">
      <w:pPr>
        <w:pStyle w:val="Ingenmellomrom"/>
        <w:numPr>
          <w:ilvl w:val="0"/>
          <w:numId w:val="5"/>
        </w:numPr>
        <w:contextualSpacing/>
        <w:rPr>
          <w:lang w:val="en-US"/>
        </w:rPr>
      </w:pPr>
      <w:r>
        <w:rPr>
          <w:lang w:val="en-US"/>
        </w:rPr>
        <w:t>Three SOF teams were inserted into theatre in support of the observation of strategic objectives.</w:t>
      </w:r>
    </w:p>
    <w:p w:rsidR="00640E28" w:rsidRDefault="00DB2C7D">
      <w:pPr>
        <w:rPr>
          <w:lang w:val="en-US"/>
        </w:rPr>
      </w:pPr>
      <w:r w:rsidRPr="00C3041F">
        <w:rPr>
          <w:lang w:val="en-US"/>
        </w:rPr>
        <w:br w:type="page"/>
      </w:r>
    </w:p>
    <w:p w:rsidR="00640E28" w:rsidRDefault="00DB2C7D">
      <w:pPr>
        <w:pStyle w:val="Heading1"/>
        <w:spacing w:before="0"/>
        <w:contextualSpacing/>
        <w:rPr>
          <w:lang w:val="en-GB"/>
        </w:rPr>
      </w:pPr>
      <w:r>
        <w:rPr>
          <w:lang w:val="en-GB"/>
        </w:rPr>
        <w:lastRenderedPageBreak/>
        <w:t>2.  MISSION - The JFACC’s missi</w:t>
      </w:r>
      <w:r>
        <w:rPr>
          <w:lang w:val="en-GB"/>
        </w:rPr>
        <w:t xml:space="preserve">on statement (verbatim). </w:t>
      </w:r>
    </w:p>
    <w:p w:rsidR="00640E28" w:rsidRDefault="00DB2C7D">
      <w:pPr>
        <w:pStyle w:val="Ingenmellomrom"/>
        <w:contextualSpacing/>
        <w:rPr>
          <w:rFonts w:eastAsia="Times New Roman"/>
          <w:lang w:val="en-GB"/>
        </w:rPr>
      </w:pPr>
      <w:r>
        <w:rPr>
          <w:rFonts w:eastAsia="Times New Roman"/>
          <w:lang w:val="en-GB"/>
        </w:rPr>
        <w:t>JFACC will establish air superiority in the area of operations and defeat Syrian offensive capability in support of CJTF-82’s offensive operations to neutralize Syrian offensive capability to conduct offensives in the region.</w:t>
      </w:r>
    </w:p>
    <w:p w:rsidR="00640E28" w:rsidRDefault="00640E28">
      <w:pPr>
        <w:pStyle w:val="Ingenmellomrom"/>
        <w:contextualSpacing/>
        <w:rPr>
          <w:rFonts w:asciiTheme="majorHAnsi" w:eastAsiaTheme="majorEastAsia" w:hAnsiTheme="majorHAnsi" w:cstheme="majorBidi"/>
          <w:b/>
          <w:bCs/>
          <w:color w:val="0B0BFF" w:themeColor="accent1" w:themeShade="BF"/>
          <w:sz w:val="28"/>
          <w:szCs w:val="28"/>
          <w:lang w:val="en-GB"/>
        </w:rPr>
      </w:pPr>
    </w:p>
    <w:p w:rsidR="00640E28" w:rsidRDefault="00DB2C7D">
      <w:pPr>
        <w:pStyle w:val="Heading1"/>
        <w:spacing w:before="0"/>
        <w:contextualSpacing/>
        <w:rPr>
          <w:lang w:val="en-GB"/>
        </w:rPr>
      </w:pPr>
      <w:r>
        <w:rPr>
          <w:lang w:val="en-GB"/>
        </w:rPr>
        <w:t xml:space="preserve">3.  EXECUTION – AIR OPERATIONS </w:t>
      </w:r>
    </w:p>
    <w:tbl>
      <w:tblPr>
        <w:tblStyle w:val="Tabellrutenett"/>
        <w:tblW w:w="9288" w:type="dxa"/>
        <w:tblLayout w:type="fixed"/>
        <w:tblLook w:val="04A0"/>
      </w:tblPr>
      <w:tblGrid>
        <w:gridCol w:w="2234"/>
        <w:gridCol w:w="7054"/>
      </w:tblGrid>
      <w:tr w:rsidR="00640E28" w:rsidRPr="00C3041F">
        <w:tc>
          <w:tcPr>
            <w:tcW w:w="2234" w:type="dxa"/>
          </w:tcPr>
          <w:p w:rsidR="00640E28" w:rsidRDefault="00DB2C7D">
            <w:pPr>
              <w:widowControl w:val="0"/>
              <w:spacing w:after="0" w:line="240" w:lineRule="auto"/>
              <w:contextualSpacing/>
              <w:rPr>
                <w:b/>
                <w:bCs/>
                <w:lang w:val="en-GB"/>
              </w:rPr>
            </w:pPr>
            <w:r>
              <w:rPr>
                <w:b/>
                <w:bCs/>
                <w:lang w:val="en-GB"/>
              </w:rPr>
              <w:t>JFACC’s Intent</w:t>
            </w:r>
          </w:p>
          <w:p w:rsidR="00640E28" w:rsidRDefault="00640E28">
            <w:pPr>
              <w:widowControl w:val="0"/>
              <w:spacing w:after="0" w:line="240" w:lineRule="auto"/>
              <w:contextualSpacing/>
              <w:rPr>
                <w:b/>
                <w:bCs/>
                <w:lang w:val="en-GB"/>
              </w:rPr>
            </w:pPr>
          </w:p>
          <w:p w:rsidR="00640E28" w:rsidRDefault="00640E28">
            <w:pPr>
              <w:widowControl w:val="0"/>
              <w:spacing w:after="0" w:line="240" w:lineRule="auto"/>
              <w:contextualSpacing/>
              <w:rPr>
                <w:b/>
                <w:bCs/>
                <w:lang w:val="en-GB"/>
              </w:rPr>
            </w:pPr>
          </w:p>
          <w:p w:rsidR="00640E28" w:rsidRDefault="00640E28">
            <w:pPr>
              <w:widowControl w:val="0"/>
              <w:spacing w:after="0" w:line="240" w:lineRule="auto"/>
              <w:contextualSpacing/>
              <w:rPr>
                <w:b/>
                <w:bCs/>
                <w:lang w:val="en-GB"/>
              </w:rPr>
            </w:pPr>
          </w:p>
          <w:p w:rsidR="00640E28" w:rsidRDefault="00640E28">
            <w:pPr>
              <w:widowControl w:val="0"/>
              <w:spacing w:after="0" w:line="240" w:lineRule="auto"/>
              <w:contextualSpacing/>
              <w:rPr>
                <w:b/>
                <w:bCs/>
                <w:lang w:val="en-GB"/>
              </w:rPr>
            </w:pPr>
          </w:p>
          <w:p w:rsidR="00640E28" w:rsidRDefault="00640E28">
            <w:pPr>
              <w:widowControl w:val="0"/>
              <w:spacing w:after="0" w:line="240" w:lineRule="auto"/>
              <w:contextualSpacing/>
              <w:rPr>
                <w:b/>
                <w:bCs/>
                <w:lang w:val="en-GB"/>
              </w:rPr>
            </w:pPr>
          </w:p>
          <w:p w:rsidR="00640E28" w:rsidRDefault="00640E28">
            <w:pPr>
              <w:widowControl w:val="0"/>
              <w:spacing w:after="0" w:line="240" w:lineRule="auto"/>
              <w:contextualSpacing/>
              <w:rPr>
                <w:b/>
                <w:bCs/>
                <w:lang w:val="en-GB"/>
              </w:rPr>
            </w:pPr>
          </w:p>
          <w:p w:rsidR="00640E28" w:rsidRDefault="00DB2C7D">
            <w:pPr>
              <w:pStyle w:val="Listeavsnitt"/>
              <w:widowControl w:val="0"/>
              <w:numPr>
                <w:ilvl w:val="0"/>
                <w:numId w:val="1"/>
              </w:numPr>
              <w:spacing w:after="0" w:line="240" w:lineRule="auto"/>
              <w:rPr>
                <w:b/>
                <w:bCs/>
                <w:lang w:val="en-GB"/>
              </w:rPr>
            </w:pPr>
            <w:r>
              <w:rPr>
                <w:b/>
                <w:bCs/>
                <w:lang w:val="en-GB"/>
              </w:rPr>
              <w:t>Purpose</w:t>
            </w:r>
          </w:p>
          <w:p w:rsidR="00640E28" w:rsidRDefault="00640E28">
            <w:pPr>
              <w:widowControl w:val="0"/>
              <w:spacing w:after="0" w:line="240" w:lineRule="auto"/>
              <w:contextualSpacing/>
              <w:rPr>
                <w:b/>
                <w:bCs/>
                <w:lang w:val="en-GB"/>
              </w:rPr>
            </w:pPr>
          </w:p>
          <w:p w:rsidR="00640E28" w:rsidRDefault="00640E28">
            <w:pPr>
              <w:widowControl w:val="0"/>
              <w:spacing w:after="0" w:line="240" w:lineRule="auto"/>
              <w:contextualSpacing/>
              <w:rPr>
                <w:b/>
                <w:bCs/>
                <w:lang w:val="en-GB"/>
              </w:rPr>
            </w:pPr>
          </w:p>
          <w:p w:rsidR="00640E28" w:rsidRDefault="00640E28">
            <w:pPr>
              <w:widowControl w:val="0"/>
              <w:spacing w:after="0" w:line="240" w:lineRule="auto"/>
              <w:contextualSpacing/>
              <w:rPr>
                <w:b/>
                <w:bCs/>
                <w:lang w:val="en-GB"/>
              </w:rPr>
            </w:pPr>
          </w:p>
          <w:p w:rsidR="00640E28" w:rsidRDefault="00640E28">
            <w:pPr>
              <w:widowControl w:val="0"/>
              <w:spacing w:after="0" w:line="240" w:lineRule="auto"/>
              <w:contextualSpacing/>
              <w:rPr>
                <w:b/>
                <w:bCs/>
                <w:lang w:val="en-GB"/>
              </w:rPr>
            </w:pPr>
          </w:p>
          <w:p w:rsidR="00640E28" w:rsidRDefault="00640E28">
            <w:pPr>
              <w:widowControl w:val="0"/>
              <w:spacing w:after="0" w:line="240" w:lineRule="auto"/>
              <w:contextualSpacing/>
              <w:rPr>
                <w:b/>
                <w:bCs/>
                <w:lang w:val="en-GB"/>
              </w:rPr>
            </w:pPr>
          </w:p>
          <w:p w:rsidR="00640E28" w:rsidRDefault="00640E28">
            <w:pPr>
              <w:widowControl w:val="0"/>
              <w:spacing w:after="0" w:line="240" w:lineRule="auto"/>
              <w:contextualSpacing/>
              <w:rPr>
                <w:b/>
                <w:bCs/>
                <w:lang w:val="en-GB"/>
              </w:rPr>
            </w:pPr>
          </w:p>
          <w:p w:rsidR="00640E28" w:rsidRDefault="00640E28">
            <w:pPr>
              <w:widowControl w:val="0"/>
              <w:spacing w:after="0" w:line="240" w:lineRule="auto"/>
              <w:contextualSpacing/>
              <w:rPr>
                <w:b/>
                <w:bCs/>
                <w:lang w:val="en-GB"/>
              </w:rPr>
            </w:pPr>
          </w:p>
          <w:p w:rsidR="00640E28" w:rsidRDefault="00640E28">
            <w:pPr>
              <w:widowControl w:val="0"/>
              <w:spacing w:after="0" w:line="240" w:lineRule="auto"/>
              <w:contextualSpacing/>
              <w:rPr>
                <w:b/>
                <w:bCs/>
                <w:lang w:val="en-GB"/>
              </w:rPr>
            </w:pPr>
          </w:p>
          <w:p w:rsidR="00640E28" w:rsidRDefault="00640E28">
            <w:pPr>
              <w:widowControl w:val="0"/>
              <w:spacing w:after="0" w:line="240" w:lineRule="auto"/>
              <w:contextualSpacing/>
              <w:rPr>
                <w:b/>
                <w:bCs/>
                <w:lang w:val="en-GB"/>
              </w:rPr>
            </w:pPr>
          </w:p>
          <w:p w:rsidR="00640E28" w:rsidRDefault="00640E28">
            <w:pPr>
              <w:widowControl w:val="0"/>
              <w:spacing w:after="0" w:line="240" w:lineRule="auto"/>
              <w:contextualSpacing/>
              <w:rPr>
                <w:b/>
                <w:bCs/>
                <w:lang w:val="en-GB"/>
              </w:rPr>
            </w:pPr>
          </w:p>
          <w:p w:rsidR="00640E28" w:rsidRDefault="00DB2C7D">
            <w:pPr>
              <w:pStyle w:val="Listeavsnitt"/>
              <w:widowControl w:val="0"/>
              <w:numPr>
                <w:ilvl w:val="0"/>
                <w:numId w:val="1"/>
              </w:numPr>
              <w:spacing w:after="0" w:line="240" w:lineRule="auto"/>
              <w:rPr>
                <w:b/>
                <w:bCs/>
                <w:lang w:val="en-GB"/>
              </w:rPr>
            </w:pPr>
            <w:r>
              <w:rPr>
                <w:b/>
                <w:bCs/>
                <w:lang w:val="en-GB"/>
              </w:rPr>
              <w:t>End State</w:t>
            </w:r>
          </w:p>
          <w:p w:rsidR="00640E28" w:rsidRDefault="00640E28">
            <w:pPr>
              <w:widowControl w:val="0"/>
              <w:spacing w:after="0" w:line="240" w:lineRule="auto"/>
              <w:rPr>
                <w:b/>
                <w:bCs/>
                <w:lang w:val="en-GB"/>
              </w:rPr>
            </w:pPr>
          </w:p>
        </w:tc>
        <w:tc>
          <w:tcPr>
            <w:tcW w:w="7053" w:type="dxa"/>
          </w:tcPr>
          <w:p w:rsidR="00640E28" w:rsidRDefault="00DB2C7D">
            <w:pPr>
              <w:widowControl w:val="0"/>
              <w:spacing w:after="0" w:line="240" w:lineRule="auto"/>
              <w:contextualSpacing/>
              <w:rPr>
                <w:lang w:val="en-GB"/>
              </w:rPr>
            </w:pPr>
            <w:r>
              <w:rPr>
                <w:lang w:val="en-GB"/>
              </w:rPr>
              <w:t xml:space="preserve">JFACC’s intent for this day is to focus operations on </w:t>
            </w:r>
            <w:proofErr w:type="spellStart"/>
            <w:r>
              <w:rPr>
                <w:lang w:val="en-GB"/>
              </w:rPr>
              <w:t>Gazientep</w:t>
            </w:r>
            <w:proofErr w:type="spellEnd"/>
            <w:r>
              <w:rPr>
                <w:lang w:val="en-GB"/>
              </w:rPr>
              <w:t xml:space="preserve"> and </w:t>
            </w:r>
            <w:proofErr w:type="spellStart"/>
            <w:r>
              <w:rPr>
                <w:lang w:val="en-GB"/>
              </w:rPr>
              <w:t>Minakh</w:t>
            </w:r>
            <w:proofErr w:type="spellEnd"/>
            <w:r>
              <w:rPr>
                <w:lang w:val="en-GB"/>
              </w:rPr>
              <w:t xml:space="preserve"> in order to:</w:t>
            </w:r>
          </w:p>
          <w:p w:rsidR="00640E28" w:rsidRDefault="00DB2C7D">
            <w:pPr>
              <w:pStyle w:val="Listeavsnitt"/>
              <w:widowControl w:val="0"/>
              <w:numPr>
                <w:ilvl w:val="0"/>
                <w:numId w:val="5"/>
              </w:numPr>
              <w:spacing w:after="0" w:line="240" w:lineRule="auto"/>
              <w:rPr>
                <w:lang w:val="en-GB"/>
              </w:rPr>
            </w:pPr>
            <w:r>
              <w:rPr>
                <w:lang w:val="en-GB"/>
              </w:rPr>
              <w:t xml:space="preserve">Significantly </w:t>
            </w:r>
            <w:proofErr w:type="spellStart"/>
            <w:r>
              <w:rPr>
                <w:lang w:val="en-GB"/>
              </w:rPr>
              <w:t>attrit</w:t>
            </w:r>
            <w:proofErr w:type="spellEnd"/>
            <w:r>
              <w:rPr>
                <w:lang w:val="en-GB"/>
              </w:rPr>
              <w:t xml:space="preserve"> rocket artillery (MLRS) units at Gaziantep and </w:t>
            </w:r>
            <w:proofErr w:type="spellStart"/>
            <w:r>
              <w:rPr>
                <w:lang w:val="en-GB"/>
              </w:rPr>
              <w:t>Minakh</w:t>
            </w:r>
            <w:proofErr w:type="spellEnd"/>
            <w:r>
              <w:rPr>
                <w:lang w:val="en-GB"/>
              </w:rPr>
              <w:t xml:space="preserve"> in order to</w:t>
            </w:r>
            <w:r>
              <w:rPr>
                <w:lang w:val="en-GB"/>
              </w:rPr>
              <w:t xml:space="preserve"> shape the conditions for the land assault.</w:t>
            </w:r>
          </w:p>
          <w:p w:rsidR="00640E28" w:rsidRDefault="00DB2C7D">
            <w:pPr>
              <w:pStyle w:val="Listeavsnitt"/>
              <w:widowControl w:val="0"/>
              <w:numPr>
                <w:ilvl w:val="0"/>
                <w:numId w:val="5"/>
              </w:numPr>
              <w:spacing w:after="0" w:line="240" w:lineRule="auto"/>
              <w:rPr>
                <w:lang w:val="en-GB"/>
              </w:rPr>
            </w:pPr>
            <w:r>
              <w:rPr>
                <w:lang w:val="en-GB"/>
              </w:rPr>
              <w:t xml:space="preserve">Destroy the HQ observed at </w:t>
            </w:r>
            <w:proofErr w:type="spellStart"/>
            <w:r>
              <w:rPr>
                <w:lang w:val="en-GB"/>
              </w:rPr>
              <w:t>Minakh</w:t>
            </w:r>
            <w:proofErr w:type="spellEnd"/>
            <w:r>
              <w:rPr>
                <w:lang w:val="en-GB"/>
              </w:rPr>
              <w:t xml:space="preserve"> AB in order to reduce effective C2 of </w:t>
            </w:r>
            <w:proofErr w:type="spellStart"/>
            <w:proofErr w:type="gramStart"/>
            <w:r>
              <w:rPr>
                <w:lang w:val="en-GB"/>
              </w:rPr>
              <w:t>syrian</w:t>
            </w:r>
            <w:proofErr w:type="spellEnd"/>
            <w:proofErr w:type="gramEnd"/>
            <w:r>
              <w:rPr>
                <w:lang w:val="en-GB"/>
              </w:rPr>
              <w:t xml:space="preserve"> </w:t>
            </w:r>
            <w:r>
              <w:rPr>
                <w:lang w:val="en-GB"/>
              </w:rPr>
              <w:t>2</w:t>
            </w:r>
            <w:r>
              <w:rPr>
                <w:vertAlign w:val="superscript"/>
                <w:lang w:val="en-GB"/>
              </w:rPr>
              <w:t>nd</w:t>
            </w:r>
            <w:r>
              <w:rPr>
                <w:lang w:val="en-GB"/>
              </w:rPr>
              <w:t xml:space="preserve"> </w:t>
            </w:r>
            <w:proofErr w:type="spellStart"/>
            <w:r>
              <w:rPr>
                <w:lang w:val="en-GB"/>
              </w:rPr>
              <w:t>corp</w:t>
            </w:r>
            <w:proofErr w:type="spellEnd"/>
            <w:r>
              <w:rPr>
                <w:lang w:val="en-GB"/>
              </w:rPr>
              <w:t xml:space="preserve"> </w:t>
            </w:r>
            <w:r>
              <w:rPr>
                <w:lang w:val="en-GB"/>
              </w:rPr>
              <w:t>forces.</w:t>
            </w:r>
          </w:p>
          <w:p w:rsidR="00640E28" w:rsidRDefault="00DB2C7D">
            <w:pPr>
              <w:pStyle w:val="Listeavsnitt"/>
              <w:widowControl w:val="0"/>
              <w:numPr>
                <w:ilvl w:val="0"/>
                <w:numId w:val="5"/>
              </w:numPr>
              <w:spacing w:after="0" w:line="240" w:lineRule="auto"/>
              <w:rPr>
                <w:lang w:val="en-GB"/>
              </w:rPr>
            </w:pPr>
            <w:proofErr w:type="spellStart"/>
            <w:r>
              <w:rPr>
                <w:lang w:val="en-GB"/>
              </w:rPr>
              <w:t>Attrit</w:t>
            </w:r>
            <w:proofErr w:type="spellEnd"/>
            <w:r>
              <w:rPr>
                <w:lang w:val="en-GB"/>
              </w:rPr>
              <w:t xml:space="preserve"> 11</w:t>
            </w:r>
            <w:r>
              <w:rPr>
                <w:vertAlign w:val="superscript"/>
                <w:lang w:val="en-GB"/>
              </w:rPr>
              <w:t>th</w:t>
            </w:r>
            <w:r>
              <w:rPr>
                <w:lang w:val="en-GB"/>
              </w:rPr>
              <w:t xml:space="preserve"> mechanized division at </w:t>
            </w:r>
            <w:proofErr w:type="spellStart"/>
            <w:r>
              <w:rPr>
                <w:lang w:val="en-GB"/>
              </w:rPr>
              <w:t>Gazientep</w:t>
            </w:r>
            <w:proofErr w:type="spellEnd"/>
            <w:r>
              <w:rPr>
                <w:lang w:val="en-GB"/>
              </w:rPr>
              <w:t xml:space="preserve"> by destroying IFVs and artillery units.</w:t>
            </w:r>
          </w:p>
          <w:p w:rsidR="00640E28" w:rsidRDefault="00DB2C7D">
            <w:pPr>
              <w:pStyle w:val="Listeavsnitt"/>
              <w:widowControl w:val="0"/>
              <w:numPr>
                <w:ilvl w:val="0"/>
                <w:numId w:val="5"/>
              </w:numPr>
              <w:spacing w:after="0" w:line="240" w:lineRule="auto"/>
              <w:rPr>
                <w:lang w:val="en-GB"/>
              </w:rPr>
            </w:pPr>
            <w:r>
              <w:rPr>
                <w:lang w:val="en-GB"/>
              </w:rPr>
              <w:t>Destroy both Syrian Army HQ bui</w:t>
            </w:r>
            <w:r>
              <w:rPr>
                <w:lang w:val="en-GB"/>
              </w:rPr>
              <w:t>ldings in Aleppo in order to reduce Syrian army offensive C2 and mobilisation efforts.</w:t>
            </w:r>
          </w:p>
          <w:p w:rsidR="00640E28" w:rsidRDefault="00DB2C7D">
            <w:pPr>
              <w:pStyle w:val="Listeavsnitt"/>
              <w:widowControl w:val="0"/>
              <w:numPr>
                <w:ilvl w:val="0"/>
                <w:numId w:val="5"/>
              </w:numPr>
              <w:spacing w:after="0" w:line="240" w:lineRule="auto"/>
              <w:rPr>
                <w:lang w:val="en-GB"/>
              </w:rPr>
            </w:pPr>
            <w:r>
              <w:rPr>
                <w:lang w:val="en-GB"/>
              </w:rPr>
              <w:t>Destroy the Kerosene and/or IRFNA fuel tanks at the 922</w:t>
            </w:r>
            <w:r>
              <w:rPr>
                <w:vertAlign w:val="superscript"/>
                <w:lang w:val="en-GB"/>
              </w:rPr>
              <w:t>nd</w:t>
            </w:r>
            <w:r>
              <w:rPr>
                <w:lang w:val="en-GB"/>
              </w:rPr>
              <w:t xml:space="preserve"> SCUD regiment base and the rocket fuel factory at Aleppo in order to prevent the 922</w:t>
            </w:r>
            <w:r>
              <w:rPr>
                <w:vertAlign w:val="superscript"/>
                <w:lang w:val="en-GB"/>
              </w:rPr>
              <w:t>nd</w:t>
            </w:r>
            <w:r>
              <w:rPr>
                <w:lang w:val="en-GB"/>
              </w:rPr>
              <w:t xml:space="preserve"> SCUDs</w:t>
            </w:r>
            <w:r>
              <w:rPr>
                <w:lang w:val="en-GB"/>
              </w:rPr>
              <w:t xml:space="preserve"> to reach launch readiness.</w:t>
            </w:r>
          </w:p>
          <w:p w:rsidR="00640E28" w:rsidRDefault="00DB2C7D">
            <w:pPr>
              <w:pStyle w:val="Listeavsnitt"/>
              <w:widowControl w:val="0"/>
              <w:numPr>
                <w:ilvl w:val="0"/>
                <w:numId w:val="5"/>
              </w:numPr>
              <w:spacing w:after="0" w:line="240" w:lineRule="auto"/>
              <w:rPr>
                <w:lang w:val="en-GB"/>
              </w:rPr>
            </w:pPr>
            <w:r>
              <w:rPr>
                <w:lang w:val="en-GB"/>
              </w:rPr>
              <w:t>Backup targets will be specified per ATO.</w:t>
            </w:r>
          </w:p>
          <w:p w:rsidR="00640E28" w:rsidRDefault="00640E28">
            <w:pPr>
              <w:widowControl w:val="0"/>
              <w:spacing w:after="0" w:line="240" w:lineRule="auto"/>
              <w:rPr>
                <w:lang w:val="en-GB"/>
              </w:rPr>
            </w:pPr>
          </w:p>
          <w:p w:rsidR="00640E28" w:rsidRDefault="00DB2C7D">
            <w:pPr>
              <w:widowControl w:val="0"/>
              <w:spacing w:after="0" w:line="240" w:lineRule="auto"/>
              <w:rPr>
                <w:lang w:val="en-GB"/>
              </w:rPr>
            </w:pPr>
            <w:r>
              <w:rPr>
                <w:lang w:val="en-GB"/>
              </w:rPr>
              <w:t xml:space="preserve">Current status of attrition of </w:t>
            </w:r>
            <w:proofErr w:type="spellStart"/>
            <w:r>
              <w:rPr>
                <w:lang w:val="en-GB"/>
              </w:rPr>
              <w:t>syrian</w:t>
            </w:r>
            <w:proofErr w:type="spellEnd"/>
            <w:r>
              <w:rPr>
                <w:lang w:val="en-GB"/>
              </w:rPr>
              <w:t xml:space="preserve"> </w:t>
            </w:r>
            <w:r>
              <w:rPr>
                <w:lang w:val="en-GB"/>
              </w:rPr>
              <w:t>1</w:t>
            </w:r>
            <w:r>
              <w:rPr>
                <w:vertAlign w:val="superscript"/>
                <w:lang w:val="en-GB"/>
              </w:rPr>
              <w:t xml:space="preserve">st  </w:t>
            </w:r>
            <w:r>
              <w:rPr>
                <w:lang w:val="en-GB"/>
              </w:rPr>
              <w:t>and 2</w:t>
            </w:r>
            <w:r>
              <w:rPr>
                <w:vertAlign w:val="superscript"/>
                <w:lang w:val="en-GB"/>
              </w:rPr>
              <w:t>nd</w:t>
            </w:r>
            <w:r>
              <w:rPr>
                <w:lang w:val="en-GB"/>
              </w:rPr>
              <w:t xml:space="preserve"> corps </w:t>
            </w:r>
            <w:r>
              <w:rPr>
                <w:lang w:val="en-GB"/>
              </w:rPr>
              <w:t>forces is as follows:</w:t>
            </w:r>
          </w:p>
          <w:p w:rsidR="00640E28" w:rsidRDefault="00DB2C7D">
            <w:pPr>
              <w:widowControl w:val="0"/>
              <w:spacing w:after="0" w:line="240" w:lineRule="auto"/>
              <w:rPr>
                <w:lang w:val="en-GB"/>
              </w:rPr>
            </w:pPr>
            <w:r>
              <w:rPr>
                <w:lang w:val="en-GB"/>
              </w:rPr>
              <w:t>MLRS units, at best 50%, 75% needed</w:t>
            </w:r>
          </w:p>
          <w:p w:rsidR="00640E28" w:rsidRDefault="00640E28">
            <w:pPr>
              <w:widowControl w:val="0"/>
              <w:spacing w:after="0" w:line="240" w:lineRule="auto"/>
              <w:rPr>
                <w:lang w:val="en-GB"/>
              </w:rPr>
            </w:pPr>
          </w:p>
          <w:p w:rsidR="00640E28" w:rsidRDefault="00DB2C7D">
            <w:pPr>
              <w:widowControl w:val="0"/>
              <w:spacing w:after="0" w:line="240" w:lineRule="auto"/>
              <w:rPr>
                <w:lang w:val="en-GB"/>
              </w:rPr>
            </w:pPr>
            <w:r>
              <w:rPr>
                <w:lang w:val="en-GB"/>
              </w:rPr>
              <w:t xml:space="preserve">IFVs and </w:t>
            </w:r>
            <w:proofErr w:type="spellStart"/>
            <w:r>
              <w:rPr>
                <w:lang w:val="en-GB"/>
              </w:rPr>
              <w:t>artilllery</w:t>
            </w:r>
            <w:proofErr w:type="spellEnd"/>
            <w:r>
              <w:rPr>
                <w:lang w:val="en-GB"/>
              </w:rPr>
              <w:t xml:space="preserve"> units, at best 9%, 20% needed for IFVs and 50% fo</w:t>
            </w:r>
            <w:r>
              <w:rPr>
                <w:lang w:val="en-GB"/>
              </w:rPr>
              <w:t xml:space="preserve">r artillery units. </w:t>
            </w:r>
            <w:r>
              <w:rPr>
                <w:lang w:val="en-GB"/>
              </w:rPr>
              <w:t>For IFVs it means destruction of about 50 units, Artillery around 45 units.</w:t>
            </w:r>
          </w:p>
          <w:p w:rsidR="00640E28" w:rsidRDefault="00640E28">
            <w:pPr>
              <w:widowControl w:val="0"/>
              <w:spacing w:after="0" w:line="240" w:lineRule="auto"/>
              <w:rPr>
                <w:lang w:val="en-GB"/>
              </w:rPr>
            </w:pPr>
          </w:p>
          <w:p w:rsidR="00640E28" w:rsidRDefault="00DB2C7D">
            <w:pPr>
              <w:widowControl w:val="0"/>
              <w:spacing w:after="0" w:line="240" w:lineRule="auto"/>
              <w:contextualSpacing/>
              <w:rPr>
                <w:lang w:val="en-GB"/>
              </w:rPr>
            </w:pPr>
            <w:r>
              <w:rPr>
                <w:lang w:val="en-GB"/>
              </w:rPr>
              <w:t xml:space="preserve">The end state of this ATO sees the significant </w:t>
            </w:r>
            <w:proofErr w:type="spellStart"/>
            <w:r>
              <w:rPr>
                <w:lang w:val="en-GB"/>
              </w:rPr>
              <w:t>attition</w:t>
            </w:r>
            <w:proofErr w:type="spellEnd"/>
            <w:r>
              <w:rPr>
                <w:lang w:val="en-GB"/>
              </w:rPr>
              <w:t xml:space="preserve"> of Syrian army units at </w:t>
            </w:r>
            <w:proofErr w:type="spellStart"/>
            <w:r>
              <w:rPr>
                <w:lang w:val="en-GB"/>
              </w:rPr>
              <w:t>Gazientep</w:t>
            </w:r>
            <w:proofErr w:type="spellEnd"/>
            <w:r>
              <w:rPr>
                <w:lang w:val="en-GB"/>
              </w:rPr>
              <w:t xml:space="preserve"> and </w:t>
            </w:r>
            <w:proofErr w:type="spellStart"/>
            <w:r>
              <w:rPr>
                <w:lang w:val="en-GB"/>
              </w:rPr>
              <w:t>Minakh</w:t>
            </w:r>
            <w:proofErr w:type="spellEnd"/>
            <w:r>
              <w:rPr>
                <w:lang w:val="en-GB"/>
              </w:rPr>
              <w:t xml:space="preserve"> up to and over the required percentage of attrition. Both H</w:t>
            </w:r>
            <w:r>
              <w:rPr>
                <w:lang w:val="en-GB"/>
              </w:rPr>
              <w:t xml:space="preserve">Q building at Aleppo as well as the HQ at </w:t>
            </w:r>
            <w:proofErr w:type="spellStart"/>
            <w:r>
              <w:rPr>
                <w:lang w:val="en-GB"/>
              </w:rPr>
              <w:t>Minakh</w:t>
            </w:r>
            <w:proofErr w:type="spellEnd"/>
            <w:r>
              <w:rPr>
                <w:lang w:val="en-GB"/>
              </w:rPr>
              <w:t xml:space="preserve"> AB destroyed.</w:t>
            </w:r>
          </w:p>
          <w:p w:rsidR="00640E28" w:rsidRDefault="00DB2C7D">
            <w:pPr>
              <w:widowControl w:val="0"/>
              <w:spacing w:after="0" w:line="240" w:lineRule="auto"/>
              <w:contextualSpacing/>
              <w:rPr>
                <w:lang w:val="en-GB"/>
              </w:rPr>
            </w:pPr>
            <w:r>
              <w:rPr>
                <w:lang w:val="en-GB"/>
              </w:rPr>
              <w:t>The destruction of the fuel and/or IRFNA oxidiser tanks as well as the production and storage building.</w:t>
            </w:r>
          </w:p>
        </w:tc>
      </w:tr>
      <w:tr w:rsidR="00640E28" w:rsidRPr="00C3041F">
        <w:tc>
          <w:tcPr>
            <w:tcW w:w="2234" w:type="dxa"/>
          </w:tcPr>
          <w:p w:rsidR="00640E28" w:rsidRDefault="00DB2C7D">
            <w:pPr>
              <w:widowControl w:val="0"/>
              <w:spacing w:after="0" w:line="240" w:lineRule="auto"/>
              <w:contextualSpacing/>
              <w:rPr>
                <w:b/>
                <w:bCs/>
                <w:lang w:val="en-GB"/>
              </w:rPr>
            </w:pPr>
            <w:r>
              <w:rPr>
                <w:b/>
                <w:bCs/>
                <w:lang w:val="en-GB"/>
              </w:rPr>
              <w:t>Execution</w:t>
            </w:r>
            <w:r>
              <w:rPr>
                <w:lang w:val="en-GB"/>
              </w:rPr>
              <w:t xml:space="preserve"> What to do, when. </w:t>
            </w:r>
            <w:r>
              <w:rPr>
                <w:color w:val="BFBFBF" w:themeColor="background1" w:themeShade="BF"/>
                <w:lang w:val="en-GB"/>
              </w:rPr>
              <w:t>– Any detailed instructions if needed</w:t>
            </w:r>
          </w:p>
        </w:tc>
        <w:tc>
          <w:tcPr>
            <w:tcW w:w="7053" w:type="dxa"/>
          </w:tcPr>
          <w:p w:rsidR="00640E28" w:rsidRDefault="00DB2C7D">
            <w:pPr>
              <w:widowControl w:val="0"/>
              <w:spacing w:after="0" w:line="240" w:lineRule="auto"/>
              <w:rPr>
                <w:lang w:val="en-GB"/>
              </w:rPr>
            </w:pPr>
            <w:r>
              <w:rPr>
                <w:lang w:val="en-GB"/>
              </w:rPr>
              <w:t>Flights will be tasked</w:t>
            </w:r>
            <w:r>
              <w:rPr>
                <w:lang w:val="en-GB"/>
              </w:rPr>
              <w:t xml:space="preserve"> to engage MLRS, IFV and Artillery units IVO of </w:t>
            </w:r>
            <w:proofErr w:type="spellStart"/>
            <w:r>
              <w:rPr>
                <w:lang w:val="en-GB"/>
              </w:rPr>
              <w:t>Gazientep</w:t>
            </w:r>
            <w:proofErr w:type="spellEnd"/>
            <w:r>
              <w:rPr>
                <w:lang w:val="en-GB"/>
              </w:rPr>
              <w:t xml:space="preserve"> and </w:t>
            </w:r>
            <w:proofErr w:type="spellStart"/>
            <w:r>
              <w:rPr>
                <w:lang w:val="en-GB"/>
              </w:rPr>
              <w:t>Minakh</w:t>
            </w:r>
            <w:proofErr w:type="spellEnd"/>
            <w:r>
              <w:rPr>
                <w:lang w:val="en-GB"/>
              </w:rPr>
              <w:t xml:space="preserve"> AB. </w:t>
            </w:r>
            <w:r>
              <w:rPr>
                <w:lang w:val="en-GB"/>
              </w:rPr>
              <w:t xml:space="preserve">SEAD/DEAD flights will support both </w:t>
            </w:r>
            <w:proofErr w:type="spellStart"/>
            <w:r>
              <w:rPr>
                <w:lang w:val="en-GB"/>
              </w:rPr>
              <w:t>killboxes</w:t>
            </w:r>
            <w:proofErr w:type="spellEnd"/>
            <w:r>
              <w:rPr>
                <w:lang w:val="en-GB"/>
              </w:rPr>
              <w:t xml:space="preserve">. Significant effort will be required to suppress and/or destroy the remaining SA-15s in both </w:t>
            </w:r>
            <w:proofErr w:type="spellStart"/>
            <w:r>
              <w:rPr>
                <w:lang w:val="en-GB"/>
              </w:rPr>
              <w:t>killboxes</w:t>
            </w:r>
            <w:proofErr w:type="spellEnd"/>
            <w:r>
              <w:rPr>
                <w:lang w:val="en-GB"/>
              </w:rPr>
              <w:t>.</w:t>
            </w:r>
          </w:p>
          <w:p w:rsidR="00640E28" w:rsidRDefault="00640E28">
            <w:pPr>
              <w:widowControl w:val="0"/>
              <w:spacing w:after="0" w:line="240" w:lineRule="auto"/>
              <w:rPr>
                <w:lang w:val="en-GB"/>
              </w:rPr>
            </w:pPr>
          </w:p>
          <w:p w:rsidR="00640E28" w:rsidRDefault="00DB2C7D">
            <w:pPr>
              <w:widowControl w:val="0"/>
              <w:spacing w:after="0" w:line="240" w:lineRule="auto"/>
              <w:rPr>
                <w:lang w:val="en-GB"/>
              </w:rPr>
            </w:pPr>
            <w:r>
              <w:rPr>
                <w:lang w:val="en-GB"/>
              </w:rPr>
              <w:t xml:space="preserve">Due to adverse weather and lack </w:t>
            </w:r>
            <w:r>
              <w:rPr>
                <w:lang w:val="en-GB"/>
              </w:rPr>
              <w:t xml:space="preserve">of 500lbs GPS guided </w:t>
            </w:r>
            <w:proofErr w:type="gramStart"/>
            <w:r>
              <w:rPr>
                <w:lang w:val="en-GB"/>
              </w:rPr>
              <w:t>munitions,</w:t>
            </w:r>
            <w:proofErr w:type="gramEnd"/>
            <w:r>
              <w:rPr>
                <w:lang w:val="en-GB"/>
              </w:rPr>
              <w:t xml:space="preserve"> flights will use a combination of larger GPS guided warheads as well as laser guided munitions. </w:t>
            </w:r>
            <w:r>
              <w:rPr>
                <w:lang w:val="en-GB"/>
              </w:rPr>
              <w:t>For KB BC,</w:t>
            </w:r>
            <w:r>
              <w:rPr>
                <w:lang w:val="en-GB"/>
              </w:rPr>
              <w:t xml:space="preserve"> </w:t>
            </w:r>
            <w:proofErr w:type="gramStart"/>
            <w:r>
              <w:rPr>
                <w:lang w:val="en-GB"/>
              </w:rPr>
              <w:t xml:space="preserve">JTACs  </w:t>
            </w:r>
            <w:r>
              <w:rPr>
                <w:lang w:val="en-GB"/>
              </w:rPr>
              <w:t>GRUMPY</w:t>
            </w:r>
            <w:proofErr w:type="gramEnd"/>
            <w:r>
              <w:rPr>
                <w:lang w:val="en-GB"/>
              </w:rPr>
              <w:t xml:space="preserve">, HUNTER, LAZYCAT and CANDYMAN </w:t>
            </w:r>
            <w:r>
              <w:rPr>
                <w:lang w:val="en-GB"/>
              </w:rPr>
              <w:t xml:space="preserve">are standing by to </w:t>
            </w:r>
            <w:proofErr w:type="spellStart"/>
            <w:r>
              <w:rPr>
                <w:lang w:val="en-GB"/>
              </w:rPr>
              <w:t>lase</w:t>
            </w:r>
            <w:proofErr w:type="spellEnd"/>
            <w:r>
              <w:rPr>
                <w:lang w:val="en-GB"/>
              </w:rPr>
              <w:t xml:space="preserve"> targets, </w:t>
            </w:r>
            <w:r>
              <w:rPr>
                <w:lang w:val="en-GB"/>
              </w:rPr>
              <w:t>further coordination with the LCC.</w:t>
            </w:r>
          </w:p>
          <w:p w:rsidR="00640E28" w:rsidRDefault="00DB2C7D">
            <w:pPr>
              <w:widowControl w:val="0"/>
              <w:spacing w:after="0" w:line="240" w:lineRule="auto"/>
              <w:rPr>
                <w:lang w:val="en-GB"/>
              </w:rPr>
            </w:pPr>
            <w:r>
              <w:rPr>
                <w:lang w:val="en-GB"/>
              </w:rPr>
              <w:t>KB CB</w:t>
            </w:r>
            <w:r>
              <w:rPr>
                <w:lang w:val="en-GB"/>
              </w:rPr>
              <w:t xml:space="preserve"> has no active JTACs at this point in time.</w:t>
            </w:r>
          </w:p>
          <w:p w:rsidR="00640E28" w:rsidRDefault="00DB2C7D">
            <w:pPr>
              <w:widowControl w:val="0"/>
              <w:spacing w:after="0" w:line="240" w:lineRule="auto"/>
              <w:rPr>
                <w:lang w:val="en-GB"/>
              </w:rPr>
            </w:pPr>
            <w:r>
              <w:rPr>
                <w:lang w:val="en-GB"/>
              </w:rPr>
              <w:t xml:space="preserve">Flights will use SCAR in </w:t>
            </w:r>
            <w:proofErr w:type="spellStart"/>
            <w:r>
              <w:rPr>
                <w:lang w:val="en-GB"/>
              </w:rPr>
              <w:t>killboxes</w:t>
            </w:r>
            <w:proofErr w:type="spellEnd"/>
            <w:r>
              <w:rPr>
                <w:lang w:val="en-GB"/>
              </w:rPr>
              <w:t xml:space="preserve"> BC and CB to prosecute targets.</w:t>
            </w:r>
          </w:p>
          <w:p w:rsidR="00640E28" w:rsidRDefault="00640E28">
            <w:pPr>
              <w:widowControl w:val="0"/>
              <w:spacing w:after="0" w:line="240" w:lineRule="auto"/>
              <w:rPr>
                <w:lang w:val="en-GB"/>
              </w:rPr>
            </w:pPr>
          </w:p>
          <w:p w:rsidR="00640E28" w:rsidRDefault="00DB2C7D">
            <w:pPr>
              <w:widowControl w:val="0"/>
              <w:spacing w:after="0" w:line="240" w:lineRule="auto"/>
              <w:rPr>
                <w:lang w:val="en-GB"/>
              </w:rPr>
            </w:pPr>
            <w:r>
              <w:rPr>
                <w:lang w:val="en-GB"/>
              </w:rPr>
              <w:t xml:space="preserve">For </w:t>
            </w:r>
            <w:proofErr w:type="spellStart"/>
            <w:r>
              <w:rPr>
                <w:lang w:val="en-GB"/>
              </w:rPr>
              <w:t>Gazientep</w:t>
            </w:r>
            <w:proofErr w:type="spellEnd"/>
            <w:r>
              <w:rPr>
                <w:lang w:val="en-GB"/>
              </w:rPr>
              <w:t xml:space="preserve">, KB BC will be </w:t>
            </w:r>
            <w:proofErr w:type="gramStart"/>
            <w:r>
              <w:rPr>
                <w:lang w:val="en-GB"/>
              </w:rPr>
              <w:t>used,</w:t>
            </w:r>
            <w:proofErr w:type="gramEnd"/>
            <w:r>
              <w:rPr>
                <w:lang w:val="en-GB"/>
              </w:rPr>
              <w:t xml:space="preserve"> overflying KB BB/BD to the west and east of BC is approved.</w:t>
            </w:r>
          </w:p>
          <w:p w:rsidR="00640E28" w:rsidRDefault="00640E28">
            <w:pPr>
              <w:widowControl w:val="0"/>
              <w:spacing w:after="0" w:line="240" w:lineRule="auto"/>
              <w:rPr>
                <w:lang w:val="en-GB"/>
              </w:rPr>
            </w:pPr>
          </w:p>
          <w:p w:rsidR="00640E28" w:rsidRDefault="00DB2C7D">
            <w:pPr>
              <w:widowControl w:val="0"/>
              <w:spacing w:after="0" w:line="240" w:lineRule="auto"/>
              <w:rPr>
                <w:lang w:val="en-GB"/>
              </w:rPr>
            </w:pPr>
            <w:r>
              <w:rPr>
                <w:lang w:val="en-GB"/>
              </w:rPr>
              <w:t xml:space="preserve">SEAD/DEAD flight will support the </w:t>
            </w:r>
            <w:proofErr w:type="spellStart"/>
            <w:r>
              <w:rPr>
                <w:lang w:val="en-GB"/>
              </w:rPr>
              <w:t>killboxes</w:t>
            </w:r>
            <w:proofErr w:type="spellEnd"/>
            <w:r>
              <w:rPr>
                <w:lang w:val="en-GB"/>
              </w:rPr>
              <w:t xml:space="preserve"> and </w:t>
            </w:r>
            <w:r w:rsidR="00900C83">
              <w:rPr>
                <w:lang w:val="en-GB"/>
              </w:rPr>
              <w:t>will not be SCAR</w:t>
            </w:r>
            <w:r>
              <w:rPr>
                <w:lang w:val="en-GB"/>
              </w:rPr>
              <w:t xml:space="preserve">. </w:t>
            </w:r>
            <w:r>
              <w:rPr>
                <w:lang w:val="en-GB"/>
              </w:rPr>
              <w:lastRenderedPageBreak/>
              <w:t xml:space="preserve">First flight in the </w:t>
            </w:r>
            <w:proofErr w:type="spellStart"/>
            <w:r>
              <w:rPr>
                <w:lang w:val="en-GB"/>
              </w:rPr>
              <w:t>Killbox</w:t>
            </w:r>
            <w:proofErr w:type="spellEnd"/>
            <w:r>
              <w:rPr>
                <w:lang w:val="en-GB"/>
              </w:rPr>
              <w:t xml:space="preserve"> will be SEAD/DEAD, followed by the SCAR flights.</w:t>
            </w:r>
          </w:p>
          <w:p w:rsidR="00640E28" w:rsidRDefault="00640E28">
            <w:pPr>
              <w:widowControl w:val="0"/>
              <w:spacing w:after="0" w:line="240" w:lineRule="auto"/>
              <w:rPr>
                <w:lang w:val="en-GB"/>
              </w:rPr>
            </w:pPr>
          </w:p>
          <w:p w:rsidR="00640E28" w:rsidRDefault="00DB2C7D">
            <w:pPr>
              <w:widowControl w:val="0"/>
              <w:spacing w:after="0" w:line="240" w:lineRule="auto"/>
              <w:rPr>
                <w:lang w:val="en-GB"/>
              </w:rPr>
            </w:pPr>
            <w:r>
              <w:rPr>
                <w:lang w:val="en-GB"/>
              </w:rPr>
              <w:t xml:space="preserve">For </w:t>
            </w:r>
            <w:proofErr w:type="spellStart"/>
            <w:r>
              <w:rPr>
                <w:lang w:val="en-GB"/>
              </w:rPr>
              <w:t>Minakh</w:t>
            </w:r>
            <w:proofErr w:type="spellEnd"/>
            <w:r>
              <w:rPr>
                <w:lang w:val="en-GB"/>
              </w:rPr>
              <w:t xml:space="preserve"> AB, KB CB will be </w:t>
            </w:r>
            <w:proofErr w:type="gramStart"/>
            <w:r>
              <w:rPr>
                <w:lang w:val="en-GB"/>
              </w:rPr>
              <w:t>used,</w:t>
            </w:r>
            <w:proofErr w:type="gramEnd"/>
            <w:r>
              <w:rPr>
                <w:lang w:val="en-GB"/>
              </w:rPr>
              <w:t xml:space="preserve"> overflying KB CA/CC to the west and east of CB is approved. Init</w:t>
            </w:r>
            <w:r>
              <w:rPr>
                <w:lang w:val="en-GB"/>
              </w:rPr>
              <w:t>i</w:t>
            </w:r>
            <w:r>
              <w:rPr>
                <w:lang w:val="en-GB"/>
              </w:rPr>
              <w:t>al routing to KB CB is via KB BB.</w:t>
            </w:r>
          </w:p>
          <w:p w:rsidR="00640E28" w:rsidRDefault="00640E28">
            <w:pPr>
              <w:widowControl w:val="0"/>
              <w:spacing w:after="0" w:line="240" w:lineRule="auto"/>
              <w:rPr>
                <w:lang w:val="en-GB"/>
              </w:rPr>
            </w:pPr>
          </w:p>
          <w:p w:rsidR="00640E28" w:rsidRDefault="00DB2C7D">
            <w:pPr>
              <w:widowControl w:val="0"/>
              <w:spacing w:after="0" w:line="240" w:lineRule="auto"/>
              <w:rPr>
                <w:lang w:val="en-GB"/>
              </w:rPr>
            </w:pPr>
            <w:r>
              <w:rPr>
                <w:lang w:val="en-GB"/>
              </w:rPr>
              <w:t xml:space="preserve">The above mentioned </w:t>
            </w:r>
            <w:r>
              <w:rPr>
                <w:lang w:val="en-GB"/>
              </w:rPr>
              <w:t>flights will have a CAP flight (FL240 and above) overhead for the duration of their mission.</w:t>
            </w:r>
          </w:p>
          <w:p w:rsidR="00640E28" w:rsidRDefault="00640E28">
            <w:pPr>
              <w:widowControl w:val="0"/>
              <w:spacing w:after="0" w:line="240" w:lineRule="auto"/>
              <w:rPr>
                <w:lang w:val="en-GB"/>
              </w:rPr>
            </w:pPr>
          </w:p>
          <w:p w:rsidR="00640E28" w:rsidRDefault="00DB2C7D">
            <w:pPr>
              <w:widowControl w:val="0"/>
              <w:spacing w:after="0" w:line="240" w:lineRule="auto"/>
              <w:rPr>
                <w:lang w:val="en-GB"/>
              </w:rPr>
            </w:pPr>
            <w:r>
              <w:rPr>
                <w:lang w:val="en-GB"/>
              </w:rPr>
              <w:t xml:space="preserve">A package of flights will be tasked separately to undertake the strike on the two HQ buildings, </w:t>
            </w:r>
            <w:hyperlink r:id="rId10">
              <w:r>
                <w:rPr>
                  <w:rStyle w:val="Hyperkobling"/>
                  <w:lang w:val="en-GB"/>
                </w:rPr>
                <w:t>SYTGT001</w:t>
              </w:r>
            </w:hyperlink>
            <w:r>
              <w:rPr>
                <w:lang w:val="en-GB"/>
              </w:rPr>
              <w:t xml:space="preserve"> and </w:t>
            </w:r>
            <w:hyperlink r:id="rId11">
              <w:r>
                <w:rPr>
                  <w:rStyle w:val="Hyperkobling"/>
                  <w:lang w:val="en-GB"/>
                </w:rPr>
                <w:t>SYTGT002</w:t>
              </w:r>
            </w:hyperlink>
            <w:r>
              <w:rPr>
                <w:lang w:val="en-GB"/>
              </w:rPr>
              <w:t>, at Aleppo. This package will contain Strike, SEAD and Sweep/Escort flights.</w:t>
            </w:r>
          </w:p>
          <w:p w:rsidR="00640E28" w:rsidRDefault="00DB2C7D">
            <w:pPr>
              <w:widowControl w:val="0"/>
              <w:spacing w:after="0" w:line="240" w:lineRule="auto"/>
              <w:rPr>
                <w:lang w:val="en-GB"/>
              </w:rPr>
            </w:pPr>
            <w:r>
              <w:rPr>
                <w:lang w:val="en-GB"/>
              </w:rPr>
              <w:t xml:space="preserve">The package will </w:t>
            </w:r>
            <w:proofErr w:type="spellStart"/>
            <w:r>
              <w:rPr>
                <w:lang w:val="en-GB"/>
              </w:rPr>
              <w:t>rendez-vous</w:t>
            </w:r>
            <w:proofErr w:type="spellEnd"/>
            <w:r>
              <w:rPr>
                <w:lang w:val="en-GB"/>
              </w:rPr>
              <w:t xml:space="preserve"> at ACP CHICAGO at 2000z, Package lead will push from there.</w:t>
            </w:r>
          </w:p>
          <w:p w:rsidR="00640E28" w:rsidRDefault="00640E28">
            <w:pPr>
              <w:widowControl w:val="0"/>
              <w:spacing w:after="0" w:line="240" w:lineRule="auto"/>
              <w:rPr>
                <w:lang w:val="en-GB"/>
              </w:rPr>
            </w:pPr>
          </w:p>
          <w:p w:rsidR="00640E28" w:rsidRDefault="00DB2C7D">
            <w:pPr>
              <w:widowControl w:val="0"/>
              <w:spacing w:after="0" w:line="240" w:lineRule="auto"/>
              <w:rPr>
                <w:lang w:val="en-GB"/>
              </w:rPr>
            </w:pPr>
            <w:r>
              <w:rPr>
                <w:lang w:val="en-GB"/>
              </w:rPr>
              <w:t xml:space="preserve">Another package will strike </w:t>
            </w:r>
            <w:hyperlink r:id="rId12">
              <w:r>
                <w:rPr>
                  <w:rStyle w:val="Hyperkobling"/>
                  <w:color w:val="006CE7"/>
                  <w:lang w:val="en-GB"/>
                </w:rPr>
                <w:t>SYTGT003</w:t>
              </w:r>
            </w:hyperlink>
            <w:r>
              <w:rPr>
                <w:lang w:val="en-GB"/>
              </w:rPr>
              <w:t xml:space="preserve"> KT target with 500lbs bombs as well as </w:t>
            </w:r>
            <w:hyperlink>
              <w:r>
                <w:rPr>
                  <w:rStyle w:val="Hyperkobling"/>
                  <w:color w:val="006CE7"/>
                  <w:lang w:val="en-GB"/>
                </w:rPr>
                <w:t>SYTGT137</w:t>
              </w:r>
            </w:hyperlink>
            <w:r>
              <w:rPr>
                <w:lang w:val="en-GB"/>
              </w:rPr>
              <w:t xml:space="preserve"> with priority on targets A, B, F and G. Targets C, D and E are to be attacked weight permitting. This package will contain Strike, SEAD and Sweep/Escort flights.</w:t>
            </w:r>
          </w:p>
          <w:p w:rsidR="00640E28" w:rsidRDefault="00DB2C7D">
            <w:pPr>
              <w:widowControl w:val="0"/>
              <w:spacing w:after="0" w:line="240" w:lineRule="auto"/>
              <w:rPr>
                <w:lang w:val="en-GB"/>
              </w:rPr>
            </w:pPr>
            <w:r>
              <w:rPr>
                <w:lang w:val="en-GB"/>
              </w:rPr>
              <w:t xml:space="preserve">Backup target is </w:t>
            </w:r>
            <w:hyperlink>
              <w:r>
                <w:rPr>
                  <w:rStyle w:val="Hyperkobling"/>
                  <w:color w:val="auto"/>
                  <w:lang w:val="en-GB"/>
                </w:rPr>
                <w:t>SYTGT020</w:t>
              </w:r>
            </w:hyperlink>
          </w:p>
          <w:p w:rsidR="00640E28" w:rsidRDefault="00640E28">
            <w:pPr>
              <w:widowControl w:val="0"/>
              <w:spacing w:after="0" w:line="240" w:lineRule="auto"/>
              <w:rPr>
                <w:lang w:val="en-GB"/>
              </w:rPr>
            </w:pPr>
          </w:p>
          <w:p w:rsidR="00640E28" w:rsidRDefault="00DB2C7D">
            <w:pPr>
              <w:widowControl w:val="0"/>
              <w:spacing w:after="0" w:line="240" w:lineRule="auto"/>
              <w:rPr>
                <w:lang w:val="en-GB"/>
              </w:rPr>
            </w:pPr>
            <w:r>
              <w:rPr>
                <w:lang w:val="en-GB"/>
              </w:rPr>
              <w:t xml:space="preserve">The package will </w:t>
            </w:r>
            <w:proofErr w:type="spellStart"/>
            <w:r>
              <w:rPr>
                <w:lang w:val="en-GB"/>
              </w:rPr>
              <w:t>rendez-vous</w:t>
            </w:r>
            <w:proofErr w:type="spellEnd"/>
            <w:r>
              <w:rPr>
                <w:lang w:val="en-GB"/>
              </w:rPr>
              <w:t xml:space="preserve"> at ACP DORTMUND at 2000z, Package lead will push from there.</w:t>
            </w:r>
          </w:p>
          <w:p w:rsidR="00640E28" w:rsidRDefault="00640E28">
            <w:pPr>
              <w:widowControl w:val="0"/>
              <w:spacing w:after="0" w:line="240" w:lineRule="auto"/>
              <w:rPr>
                <w:lang w:val="en-GB"/>
              </w:rPr>
            </w:pPr>
          </w:p>
          <w:p w:rsidR="00640E28" w:rsidRDefault="00DB2C7D">
            <w:pPr>
              <w:widowControl w:val="0"/>
              <w:spacing w:after="0" w:line="240" w:lineRule="auto"/>
              <w:rPr>
                <w:lang w:val="en-GB"/>
              </w:rPr>
            </w:pPr>
            <w:r>
              <w:rPr>
                <w:lang w:val="en-GB"/>
              </w:rPr>
              <w:t>Additional flights may be tasked with CAP, SWEEP or SEAD depending on sign-up.</w:t>
            </w:r>
          </w:p>
        </w:tc>
      </w:tr>
      <w:tr w:rsidR="00640E28" w:rsidRPr="00C3041F">
        <w:tc>
          <w:tcPr>
            <w:tcW w:w="2234" w:type="dxa"/>
          </w:tcPr>
          <w:p w:rsidR="00640E28" w:rsidRDefault="00DB2C7D">
            <w:pPr>
              <w:widowControl w:val="0"/>
              <w:spacing w:after="0" w:line="240" w:lineRule="auto"/>
              <w:contextualSpacing/>
              <w:rPr>
                <w:b/>
                <w:bCs/>
                <w:lang w:val="en-GB"/>
              </w:rPr>
            </w:pPr>
            <w:r>
              <w:rPr>
                <w:b/>
                <w:bCs/>
                <w:lang w:val="en-GB"/>
              </w:rPr>
              <w:lastRenderedPageBreak/>
              <w:t>Focus of effort by objective</w:t>
            </w:r>
          </w:p>
        </w:tc>
        <w:tc>
          <w:tcPr>
            <w:tcW w:w="7053" w:type="dxa"/>
          </w:tcPr>
          <w:p w:rsidR="00640E28" w:rsidRDefault="00DB2C7D">
            <w:pPr>
              <w:widowControl w:val="0"/>
              <w:spacing w:after="0" w:line="240" w:lineRule="auto"/>
              <w:rPr>
                <w:lang w:val="en-GB"/>
              </w:rPr>
            </w:pPr>
            <w:r>
              <w:rPr>
                <w:lang w:val="en-GB"/>
              </w:rPr>
              <w:t>In accordance with JFACC objectives (JAOP) 3</w:t>
            </w:r>
            <w:r>
              <w:rPr>
                <w:lang w:val="en-GB"/>
              </w:rPr>
              <w:t xml:space="preserve">.2.1.3 and 3.2.2.1, this AOD predominantly seeks to reduce the number of MLRS, IFV and artillery units situated IVO </w:t>
            </w:r>
            <w:proofErr w:type="spellStart"/>
            <w:r>
              <w:rPr>
                <w:lang w:val="en-GB"/>
              </w:rPr>
              <w:t>Gazientep</w:t>
            </w:r>
            <w:proofErr w:type="spellEnd"/>
            <w:r>
              <w:rPr>
                <w:lang w:val="en-GB"/>
              </w:rPr>
              <w:t xml:space="preserve"> and </w:t>
            </w:r>
            <w:proofErr w:type="spellStart"/>
            <w:r>
              <w:rPr>
                <w:lang w:val="en-GB"/>
              </w:rPr>
              <w:t>Minakh</w:t>
            </w:r>
            <w:proofErr w:type="spellEnd"/>
            <w:r>
              <w:rPr>
                <w:lang w:val="en-GB"/>
              </w:rPr>
              <w:t xml:space="preserve"> AB. The majority of sorties in this both ATOs will be directed in support of </w:t>
            </w:r>
            <w:proofErr w:type="gramStart"/>
            <w:r>
              <w:rPr>
                <w:lang w:val="en-GB"/>
              </w:rPr>
              <w:t>this objectives</w:t>
            </w:r>
            <w:proofErr w:type="gramEnd"/>
            <w:r>
              <w:rPr>
                <w:lang w:val="en-GB"/>
              </w:rPr>
              <w:t>.</w:t>
            </w:r>
          </w:p>
          <w:p w:rsidR="00640E28" w:rsidRDefault="00640E28">
            <w:pPr>
              <w:widowControl w:val="0"/>
              <w:spacing w:after="0" w:line="240" w:lineRule="auto"/>
              <w:rPr>
                <w:lang w:val="en-GB"/>
              </w:rPr>
            </w:pPr>
          </w:p>
          <w:p w:rsidR="00640E28" w:rsidRDefault="00DB2C7D">
            <w:pPr>
              <w:widowControl w:val="0"/>
              <w:spacing w:after="0" w:line="240" w:lineRule="auto"/>
              <w:rPr>
                <w:lang w:val="en-GB"/>
              </w:rPr>
            </w:pPr>
            <w:r>
              <w:rPr>
                <w:lang w:val="en-GB"/>
              </w:rPr>
              <w:t xml:space="preserve">Additional sorties will </w:t>
            </w:r>
            <w:r>
              <w:rPr>
                <w:lang w:val="en-GB"/>
              </w:rPr>
              <w:t xml:space="preserve">be allocated to strike the two HQ buildings at Aleppo </w:t>
            </w:r>
            <w:r>
              <w:rPr>
                <w:lang w:val="en-GB"/>
              </w:rPr>
              <w:t>as well as the SCUD regiment base and rocket fuel factory.</w:t>
            </w:r>
          </w:p>
          <w:p w:rsidR="00640E28" w:rsidRDefault="00640E28">
            <w:pPr>
              <w:widowControl w:val="0"/>
              <w:spacing w:after="0" w:line="240" w:lineRule="auto"/>
              <w:rPr>
                <w:lang w:val="en-GB"/>
              </w:rPr>
            </w:pPr>
          </w:p>
          <w:p w:rsidR="00640E28" w:rsidRDefault="00640E28">
            <w:pPr>
              <w:widowControl w:val="0"/>
              <w:spacing w:after="0" w:line="240" w:lineRule="auto"/>
              <w:rPr>
                <w:lang w:val="en-GB"/>
              </w:rPr>
            </w:pPr>
          </w:p>
        </w:tc>
      </w:tr>
      <w:tr w:rsidR="00640E28">
        <w:tc>
          <w:tcPr>
            <w:tcW w:w="2234" w:type="dxa"/>
          </w:tcPr>
          <w:p w:rsidR="00640E28" w:rsidRDefault="00DB2C7D">
            <w:pPr>
              <w:pStyle w:val="Ingenmellomrom"/>
              <w:widowControl w:val="0"/>
              <w:contextualSpacing/>
              <w:rPr>
                <w:lang w:val="en-GB"/>
              </w:rPr>
            </w:pPr>
            <w:r>
              <w:rPr>
                <w:b/>
                <w:bCs/>
                <w:lang w:val="en-GB"/>
              </w:rPr>
              <w:t>Acceptable level of risk</w:t>
            </w:r>
            <w:r>
              <w:rPr>
                <w:lang w:val="en-GB"/>
              </w:rPr>
              <w:t xml:space="preserve">. </w:t>
            </w:r>
            <w:r>
              <w:rPr>
                <w:color w:val="BFBFBF" w:themeColor="background1" w:themeShade="BF"/>
                <w:lang w:val="en-GB"/>
              </w:rPr>
              <w:t>(including for AWACS and tankers: forward or rear)</w:t>
            </w:r>
          </w:p>
          <w:p w:rsidR="00640E28" w:rsidRDefault="00640E28">
            <w:pPr>
              <w:widowControl w:val="0"/>
              <w:spacing w:after="0" w:line="240" w:lineRule="auto"/>
              <w:contextualSpacing/>
              <w:rPr>
                <w:lang w:val="en-GB"/>
              </w:rPr>
            </w:pPr>
          </w:p>
        </w:tc>
        <w:tc>
          <w:tcPr>
            <w:tcW w:w="7053" w:type="dxa"/>
          </w:tcPr>
          <w:p w:rsidR="00640E28" w:rsidRDefault="00640E28">
            <w:pPr>
              <w:widowControl w:val="0"/>
              <w:spacing w:after="0" w:line="240" w:lineRule="auto"/>
              <w:contextualSpacing/>
              <w:rPr>
                <w:b/>
                <w:bCs/>
                <w:lang w:val="en-GB"/>
              </w:rPr>
            </w:pPr>
          </w:p>
          <w:p w:rsidR="00640E28" w:rsidRDefault="00640E28">
            <w:pPr>
              <w:widowControl w:val="0"/>
              <w:spacing w:after="0" w:line="240" w:lineRule="auto"/>
              <w:contextualSpacing/>
              <w:rPr>
                <w:b/>
                <w:bCs/>
                <w:lang w:val="en-GB"/>
              </w:rPr>
            </w:pPr>
          </w:p>
          <w:p w:rsidR="00640E28" w:rsidRDefault="00DB2C7D">
            <w:pPr>
              <w:widowControl w:val="0"/>
              <w:spacing w:after="0" w:line="240" w:lineRule="auto"/>
              <w:contextualSpacing/>
              <w:rPr>
                <w:b/>
                <w:bCs/>
                <w:lang w:val="en-GB"/>
              </w:rPr>
            </w:pPr>
            <w:r>
              <w:rPr>
                <w:lang w:val="en-GB"/>
              </w:rPr>
              <w:t>As per SPINS</w:t>
            </w:r>
          </w:p>
        </w:tc>
      </w:tr>
      <w:tr w:rsidR="00640E28" w:rsidRPr="00C3041F">
        <w:tc>
          <w:tcPr>
            <w:tcW w:w="2234" w:type="dxa"/>
          </w:tcPr>
          <w:p w:rsidR="00640E28" w:rsidRDefault="00DB2C7D">
            <w:pPr>
              <w:pStyle w:val="Ingenmellomrom"/>
              <w:widowControl w:val="0"/>
              <w:contextualSpacing/>
              <w:rPr>
                <w:b/>
                <w:bCs/>
                <w:lang w:val="en-GB"/>
              </w:rPr>
            </w:pPr>
            <w:r>
              <w:rPr>
                <w:b/>
                <w:bCs/>
                <w:lang w:val="en-GB"/>
              </w:rPr>
              <w:t xml:space="preserve">Collateral damage and civilian casualty </w:t>
            </w:r>
            <w:r>
              <w:rPr>
                <w:b/>
                <w:bCs/>
                <w:lang w:val="en-GB"/>
              </w:rPr>
              <w:t>guidance</w:t>
            </w:r>
          </w:p>
        </w:tc>
        <w:tc>
          <w:tcPr>
            <w:tcW w:w="7053" w:type="dxa"/>
          </w:tcPr>
          <w:p w:rsidR="00640E28" w:rsidRDefault="00DB2C7D">
            <w:pPr>
              <w:widowControl w:val="0"/>
              <w:spacing w:after="0" w:line="240" w:lineRule="auto"/>
              <w:contextualSpacing/>
              <w:rPr>
                <w:lang w:val="en-GB"/>
              </w:rPr>
            </w:pPr>
            <w:r>
              <w:rPr>
                <w:lang w:val="en-GB"/>
              </w:rPr>
              <w:t>Every attempt should be taken to minimise collateral damage in the execution of these missions.</w:t>
            </w:r>
          </w:p>
          <w:p w:rsidR="00640E28" w:rsidRDefault="00640E28">
            <w:pPr>
              <w:widowControl w:val="0"/>
              <w:spacing w:after="0" w:line="240" w:lineRule="auto"/>
              <w:contextualSpacing/>
              <w:rPr>
                <w:lang w:val="en-GB"/>
              </w:rPr>
            </w:pPr>
          </w:p>
          <w:p w:rsidR="00640E28" w:rsidRDefault="00DB2C7D">
            <w:pPr>
              <w:widowControl w:val="0"/>
              <w:spacing w:after="0" w:line="240" w:lineRule="auto"/>
              <w:contextualSpacing/>
              <w:rPr>
                <w:lang w:val="en-GB"/>
              </w:rPr>
            </w:pPr>
            <w:r>
              <w:rPr>
                <w:lang w:val="en-GB"/>
              </w:rPr>
              <w:t>Suspected civilian casualties should be reported as soon as is practicable.</w:t>
            </w:r>
          </w:p>
        </w:tc>
      </w:tr>
      <w:tr w:rsidR="00640E28">
        <w:tc>
          <w:tcPr>
            <w:tcW w:w="2234" w:type="dxa"/>
          </w:tcPr>
          <w:p w:rsidR="00640E28" w:rsidRDefault="00DB2C7D">
            <w:pPr>
              <w:pStyle w:val="Ingenmellomrom"/>
              <w:widowControl w:val="0"/>
              <w:contextualSpacing/>
              <w:rPr>
                <w:b/>
                <w:bCs/>
                <w:lang w:val="en-GB"/>
              </w:rPr>
            </w:pPr>
            <w:r>
              <w:rPr>
                <w:b/>
                <w:bCs/>
                <w:lang w:val="en-GB"/>
              </w:rPr>
              <w:t>TST guidance</w:t>
            </w:r>
          </w:p>
        </w:tc>
        <w:tc>
          <w:tcPr>
            <w:tcW w:w="7053" w:type="dxa"/>
          </w:tcPr>
          <w:p w:rsidR="00640E28" w:rsidRDefault="00DB2C7D">
            <w:pPr>
              <w:widowControl w:val="0"/>
              <w:spacing w:after="0" w:line="240" w:lineRule="auto"/>
              <w:contextualSpacing/>
              <w:rPr>
                <w:lang w:val="en-GB"/>
              </w:rPr>
            </w:pPr>
            <w:r>
              <w:rPr>
                <w:lang w:val="en-GB"/>
              </w:rPr>
              <w:t>Where they are identified, items from the TST matrix must be</w:t>
            </w:r>
            <w:r>
              <w:rPr>
                <w:lang w:val="en-GB"/>
              </w:rPr>
              <w:t xml:space="preserve"> prosecuted. The outcome should be reported on the in-flight report net. If prosecution is not possible, the location must be reported for re-tasking.</w:t>
            </w:r>
          </w:p>
          <w:p w:rsidR="00640E28" w:rsidRDefault="00640E28">
            <w:pPr>
              <w:widowControl w:val="0"/>
              <w:spacing w:after="0" w:line="240" w:lineRule="auto"/>
              <w:contextualSpacing/>
              <w:rPr>
                <w:lang w:val="en-GB"/>
              </w:rPr>
            </w:pPr>
          </w:p>
          <w:tbl>
            <w:tblPr>
              <w:tblStyle w:val="Tabellrutenett"/>
              <w:tblW w:w="6822" w:type="dxa"/>
              <w:tblLayout w:type="fixed"/>
              <w:tblLook w:val="04A0"/>
            </w:tblPr>
            <w:tblGrid>
              <w:gridCol w:w="1138"/>
              <w:gridCol w:w="1136"/>
              <w:gridCol w:w="1138"/>
              <w:gridCol w:w="1137"/>
              <w:gridCol w:w="1136"/>
              <w:gridCol w:w="1137"/>
            </w:tblGrid>
            <w:tr w:rsidR="00640E28">
              <w:tc>
                <w:tcPr>
                  <w:tcW w:w="1137" w:type="dxa"/>
                </w:tcPr>
                <w:p w:rsidR="00640E28" w:rsidRDefault="00DB2C7D">
                  <w:pPr>
                    <w:widowControl w:val="0"/>
                    <w:spacing w:after="0" w:line="240" w:lineRule="auto"/>
                    <w:contextualSpacing/>
                    <w:jc w:val="center"/>
                    <w:rPr>
                      <w:b/>
                      <w:bCs/>
                      <w:sz w:val="18"/>
                      <w:szCs w:val="18"/>
                      <w:lang w:val="en-GB"/>
                    </w:rPr>
                  </w:pPr>
                  <w:r>
                    <w:rPr>
                      <w:b/>
                      <w:bCs/>
                      <w:sz w:val="18"/>
                      <w:szCs w:val="18"/>
                      <w:lang w:val="en-GB"/>
                    </w:rPr>
                    <w:t>PRIORITY</w:t>
                  </w:r>
                </w:p>
              </w:tc>
              <w:tc>
                <w:tcPr>
                  <w:tcW w:w="1136" w:type="dxa"/>
                </w:tcPr>
                <w:p w:rsidR="00640E28" w:rsidRDefault="00DB2C7D">
                  <w:pPr>
                    <w:widowControl w:val="0"/>
                    <w:spacing w:after="0" w:line="240" w:lineRule="auto"/>
                    <w:contextualSpacing/>
                    <w:jc w:val="center"/>
                    <w:rPr>
                      <w:b/>
                      <w:bCs/>
                      <w:sz w:val="18"/>
                      <w:szCs w:val="18"/>
                      <w:lang w:val="en-GB"/>
                    </w:rPr>
                  </w:pPr>
                  <w:r>
                    <w:rPr>
                      <w:b/>
                      <w:bCs/>
                      <w:sz w:val="18"/>
                      <w:szCs w:val="18"/>
                      <w:lang w:val="en-GB"/>
                    </w:rPr>
                    <w:t>TARGET</w:t>
                  </w:r>
                </w:p>
              </w:tc>
              <w:tc>
                <w:tcPr>
                  <w:tcW w:w="1138" w:type="dxa"/>
                </w:tcPr>
                <w:p w:rsidR="00640E28" w:rsidRDefault="00DB2C7D">
                  <w:pPr>
                    <w:widowControl w:val="0"/>
                    <w:spacing w:after="0" w:line="240" w:lineRule="auto"/>
                    <w:contextualSpacing/>
                    <w:jc w:val="center"/>
                    <w:rPr>
                      <w:b/>
                      <w:bCs/>
                      <w:sz w:val="18"/>
                      <w:szCs w:val="18"/>
                      <w:lang w:val="en-GB"/>
                    </w:rPr>
                  </w:pPr>
                  <w:r>
                    <w:rPr>
                      <w:b/>
                      <w:bCs/>
                      <w:sz w:val="18"/>
                      <w:szCs w:val="18"/>
                      <w:lang w:val="en-GB"/>
                    </w:rPr>
                    <w:t>DESIRED EFFECT</w:t>
                  </w:r>
                </w:p>
              </w:tc>
              <w:tc>
                <w:tcPr>
                  <w:tcW w:w="1137" w:type="dxa"/>
                </w:tcPr>
                <w:p w:rsidR="00640E28" w:rsidRDefault="00DB2C7D">
                  <w:pPr>
                    <w:widowControl w:val="0"/>
                    <w:spacing w:after="0" w:line="240" w:lineRule="auto"/>
                    <w:contextualSpacing/>
                    <w:jc w:val="center"/>
                    <w:rPr>
                      <w:b/>
                      <w:bCs/>
                      <w:sz w:val="18"/>
                      <w:szCs w:val="18"/>
                      <w:lang w:val="en-GB"/>
                    </w:rPr>
                  </w:pPr>
                  <w:r>
                    <w:rPr>
                      <w:b/>
                      <w:bCs/>
                      <w:sz w:val="18"/>
                      <w:szCs w:val="18"/>
                      <w:lang w:val="en-GB"/>
                    </w:rPr>
                    <w:t>RISK LEVEL</w:t>
                  </w:r>
                </w:p>
              </w:tc>
              <w:tc>
                <w:tcPr>
                  <w:tcW w:w="1136" w:type="dxa"/>
                </w:tcPr>
                <w:p w:rsidR="00640E28" w:rsidRDefault="00DB2C7D">
                  <w:pPr>
                    <w:widowControl w:val="0"/>
                    <w:spacing w:after="0" w:line="240" w:lineRule="auto"/>
                    <w:contextualSpacing/>
                    <w:jc w:val="center"/>
                    <w:rPr>
                      <w:b/>
                      <w:bCs/>
                      <w:sz w:val="18"/>
                      <w:szCs w:val="18"/>
                      <w:lang w:val="en-GB"/>
                    </w:rPr>
                  </w:pPr>
                  <w:r>
                    <w:rPr>
                      <w:b/>
                      <w:bCs/>
                      <w:sz w:val="18"/>
                      <w:szCs w:val="18"/>
                      <w:lang w:val="en-GB"/>
                    </w:rPr>
                    <w:t>STATUS</w:t>
                  </w:r>
                </w:p>
              </w:tc>
              <w:tc>
                <w:tcPr>
                  <w:tcW w:w="1137" w:type="dxa"/>
                </w:tcPr>
                <w:p w:rsidR="00640E28" w:rsidRDefault="00DB2C7D">
                  <w:pPr>
                    <w:widowControl w:val="0"/>
                    <w:spacing w:after="0" w:line="240" w:lineRule="auto"/>
                    <w:contextualSpacing/>
                    <w:jc w:val="center"/>
                    <w:rPr>
                      <w:b/>
                      <w:bCs/>
                      <w:sz w:val="18"/>
                      <w:szCs w:val="18"/>
                      <w:lang w:val="en-GB"/>
                    </w:rPr>
                  </w:pPr>
                  <w:r>
                    <w:rPr>
                      <w:b/>
                      <w:bCs/>
                      <w:sz w:val="18"/>
                      <w:szCs w:val="18"/>
                      <w:lang w:val="en-GB"/>
                    </w:rPr>
                    <w:t>RMKS</w:t>
                  </w:r>
                </w:p>
              </w:tc>
            </w:tr>
            <w:tr w:rsidR="00640E28">
              <w:tc>
                <w:tcPr>
                  <w:tcW w:w="1137" w:type="dxa"/>
                </w:tcPr>
                <w:p w:rsidR="00640E28" w:rsidRDefault="00DB2C7D">
                  <w:pPr>
                    <w:widowControl w:val="0"/>
                    <w:spacing w:after="0" w:line="240" w:lineRule="auto"/>
                    <w:contextualSpacing/>
                    <w:rPr>
                      <w:sz w:val="18"/>
                      <w:szCs w:val="18"/>
                      <w:lang w:val="en-GB"/>
                    </w:rPr>
                  </w:pPr>
                  <w:r>
                    <w:rPr>
                      <w:sz w:val="18"/>
                      <w:szCs w:val="18"/>
                      <w:lang w:val="en-GB"/>
                    </w:rPr>
                    <w:t>1</w:t>
                  </w:r>
                </w:p>
              </w:tc>
              <w:tc>
                <w:tcPr>
                  <w:tcW w:w="1136" w:type="dxa"/>
                </w:tcPr>
                <w:p w:rsidR="00640E28" w:rsidRDefault="00DB2C7D">
                  <w:pPr>
                    <w:widowControl w:val="0"/>
                    <w:spacing w:after="0" w:line="240" w:lineRule="auto"/>
                    <w:contextualSpacing/>
                    <w:rPr>
                      <w:sz w:val="18"/>
                      <w:szCs w:val="18"/>
                      <w:lang w:val="en-GB"/>
                    </w:rPr>
                  </w:pPr>
                  <w:r>
                    <w:rPr>
                      <w:sz w:val="18"/>
                      <w:szCs w:val="18"/>
                      <w:lang w:val="en-GB"/>
                    </w:rPr>
                    <w:t>SCUD</w:t>
                  </w:r>
                </w:p>
              </w:tc>
              <w:tc>
                <w:tcPr>
                  <w:tcW w:w="1138" w:type="dxa"/>
                </w:tcPr>
                <w:p w:rsidR="00640E28" w:rsidRDefault="00DB2C7D">
                  <w:pPr>
                    <w:widowControl w:val="0"/>
                    <w:spacing w:after="0" w:line="240" w:lineRule="auto"/>
                    <w:contextualSpacing/>
                    <w:rPr>
                      <w:sz w:val="18"/>
                      <w:szCs w:val="18"/>
                      <w:lang w:val="en-GB"/>
                    </w:rPr>
                  </w:pPr>
                  <w:r>
                    <w:rPr>
                      <w:sz w:val="18"/>
                      <w:szCs w:val="18"/>
                      <w:lang w:val="en-GB"/>
                    </w:rPr>
                    <w:t>Destroy</w:t>
                  </w:r>
                </w:p>
              </w:tc>
              <w:tc>
                <w:tcPr>
                  <w:tcW w:w="1137" w:type="dxa"/>
                </w:tcPr>
                <w:p w:rsidR="00640E28" w:rsidRDefault="00DB2C7D">
                  <w:pPr>
                    <w:widowControl w:val="0"/>
                    <w:spacing w:after="0" w:line="240" w:lineRule="auto"/>
                    <w:contextualSpacing/>
                    <w:rPr>
                      <w:sz w:val="18"/>
                      <w:szCs w:val="18"/>
                      <w:lang w:val="en-GB"/>
                    </w:rPr>
                  </w:pPr>
                  <w:r>
                    <w:rPr>
                      <w:sz w:val="18"/>
                      <w:szCs w:val="18"/>
                      <w:lang w:val="en-GB"/>
                    </w:rPr>
                    <w:t>MEDIUM</w:t>
                  </w:r>
                </w:p>
              </w:tc>
              <w:tc>
                <w:tcPr>
                  <w:tcW w:w="1136" w:type="dxa"/>
                </w:tcPr>
                <w:p w:rsidR="00640E28" w:rsidRDefault="00DB2C7D">
                  <w:pPr>
                    <w:widowControl w:val="0"/>
                    <w:spacing w:after="0" w:line="240" w:lineRule="auto"/>
                    <w:contextualSpacing/>
                    <w:rPr>
                      <w:sz w:val="18"/>
                      <w:szCs w:val="18"/>
                      <w:lang w:val="en-GB"/>
                    </w:rPr>
                  </w:pPr>
                  <w:proofErr w:type="spellStart"/>
                  <w:r>
                    <w:rPr>
                      <w:sz w:val="18"/>
                      <w:szCs w:val="18"/>
                      <w:lang w:val="en-GB"/>
                    </w:rPr>
                    <w:t>Unlocated</w:t>
                  </w:r>
                  <w:proofErr w:type="spellEnd"/>
                </w:p>
              </w:tc>
              <w:tc>
                <w:tcPr>
                  <w:tcW w:w="1137" w:type="dxa"/>
                </w:tcPr>
                <w:p w:rsidR="00640E28" w:rsidRDefault="00DB2C7D">
                  <w:pPr>
                    <w:widowControl w:val="0"/>
                    <w:spacing w:after="0" w:line="240" w:lineRule="auto"/>
                    <w:contextualSpacing/>
                    <w:rPr>
                      <w:sz w:val="18"/>
                      <w:szCs w:val="18"/>
                      <w:lang w:val="en-GB"/>
                    </w:rPr>
                  </w:pPr>
                  <w:r>
                    <w:rPr>
                      <w:sz w:val="18"/>
                      <w:szCs w:val="18"/>
                      <w:lang w:val="en-GB"/>
                    </w:rPr>
                    <w:t>N/A</w:t>
                  </w:r>
                </w:p>
              </w:tc>
            </w:tr>
            <w:tr w:rsidR="00640E28">
              <w:tc>
                <w:tcPr>
                  <w:tcW w:w="1137" w:type="dxa"/>
                  <w:tcBorders>
                    <w:top w:val="nil"/>
                  </w:tcBorders>
                </w:tcPr>
                <w:p w:rsidR="00640E28" w:rsidRDefault="00DB2C7D">
                  <w:pPr>
                    <w:widowControl w:val="0"/>
                    <w:spacing w:after="0" w:line="240" w:lineRule="auto"/>
                    <w:contextualSpacing/>
                    <w:rPr>
                      <w:sz w:val="18"/>
                      <w:szCs w:val="18"/>
                      <w:lang w:val="en-GB"/>
                    </w:rPr>
                  </w:pPr>
                  <w:r>
                    <w:rPr>
                      <w:sz w:val="18"/>
                      <w:szCs w:val="18"/>
                      <w:lang w:val="en-GB"/>
                    </w:rPr>
                    <w:lastRenderedPageBreak/>
                    <w:t>2</w:t>
                  </w:r>
                </w:p>
              </w:tc>
              <w:tc>
                <w:tcPr>
                  <w:tcW w:w="1136" w:type="dxa"/>
                  <w:tcBorders>
                    <w:top w:val="nil"/>
                  </w:tcBorders>
                </w:tcPr>
                <w:p w:rsidR="00640E28" w:rsidRDefault="00DB2C7D">
                  <w:pPr>
                    <w:widowControl w:val="0"/>
                    <w:spacing w:after="0" w:line="240" w:lineRule="auto"/>
                    <w:contextualSpacing/>
                    <w:rPr>
                      <w:sz w:val="18"/>
                      <w:szCs w:val="18"/>
                      <w:lang w:val="en-GB"/>
                    </w:rPr>
                  </w:pPr>
                  <w:r>
                    <w:rPr>
                      <w:sz w:val="18"/>
                      <w:szCs w:val="18"/>
                      <w:lang w:val="en-GB"/>
                    </w:rPr>
                    <w:t>Fuel truck</w:t>
                  </w:r>
                  <w:r>
                    <w:rPr>
                      <w:sz w:val="18"/>
                      <w:szCs w:val="18"/>
                      <w:lang w:val="en-GB"/>
                    </w:rPr>
                    <w:t xml:space="preserve"> ATZ-10</w:t>
                  </w:r>
                </w:p>
              </w:tc>
              <w:tc>
                <w:tcPr>
                  <w:tcW w:w="1138" w:type="dxa"/>
                  <w:tcBorders>
                    <w:top w:val="nil"/>
                  </w:tcBorders>
                </w:tcPr>
                <w:p w:rsidR="00640E28" w:rsidRDefault="00DB2C7D">
                  <w:pPr>
                    <w:widowControl w:val="0"/>
                    <w:spacing w:after="0" w:line="240" w:lineRule="auto"/>
                    <w:contextualSpacing/>
                    <w:rPr>
                      <w:sz w:val="18"/>
                      <w:szCs w:val="18"/>
                      <w:lang w:val="en-GB"/>
                    </w:rPr>
                  </w:pPr>
                  <w:r>
                    <w:rPr>
                      <w:sz w:val="18"/>
                      <w:szCs w:val="18"/>
                      <w:lang w:val="en-GB"/>
                    </w:rPr>
                    <w:t>Destroy</w:t>
                  </w:r>
                </w:p>
              </w:tc>
              <w:tc>
                <w:tcPr>
                  <w:tcW w:w="1137" w:type="dxa"/>
                  <w:tcBorders>
                    <w:top w:val="nil"/>
                  </w:tcBorders>
                </w:tcPr>
                <w:p w:rsidR="00640E28" w:rsidRDefault="00DB2C7D">
                  <w:pPr>
                    <w:widowControl w:val="0"/>
                    <w:spacing w:after="0" w:line="240" w:lineRule="auto"/>
                    <w:contextualSpacing/>
                    <w:rPr>
                      <w:sz w:val="18"/>
                      <w:szCs w:val="18"/>
                      <w:lang w:val="en-GB"/>
                    </w:rPr>
                  </w:pPr>
                  <w:r>
                    <w:rPr>
                      <w:sz w:val="18"/>
                      <w:szCs w:val="18"/>
                      <w:lang w:val="en-GB"/>
                    </w:rPr>
                    <w:t>MEDIUM</w:t>
                  </w:r>
                </w:p>
              </w:tc>
              <w:tc>
                <w:tcPr>
                  <w:tcW w:w="1136" w:type="dxa"/>
                  <w:tcBorders>
                    <w:top w:val="nil"/>
                  </w:tcBorders>
                </w:tcPr>
                <w:p w:rsidR="00640E28" w:rsidRDefault="00DB2C7D">
                  <w:pPr>
                    <w:widowControl w:val="0"/>
                    <w:spacing w:after="0" w:line="240" w:lineRule="auto"/>
                    <w:contextualSpacing/>
                    <w:rPr>
                      <w:sz w:val="18"/>
                      <w:szCs w:val="18"/>
                      <w:lang w:val="en-GB"/>
                    </w:rPr>
                  </w:pPr>
                  <w:r>
                    <w:rPr>
                      <w:sz w:val="18"/>
                      <w:szCs w:val="18"/>
                      <w:lang w:val="en-GB"/>
                    </w:rPr>
                    <w:t>Likely SYTGT003/137</w:t>
                  </w:r>
                </w:p>
              </w:tc>
              <w:tc>
                <w:tcPr>
                  <w:tcW w:w="1137" w:type="dxa"/>
                  <w:tcBorders>
                    <w:top w:val="nil"/>
                  </w:tcBorders>
                </w:tcPr>
                <w:p w:rsidR="00640E28" w:rsidRDefault="00DB2C7D">
                  <w:pPr>
                    <w:widowControl w:val="0"/>
                    <w:spacing w:after="0" w:line="240" w:lineRule="auto"/>
                    <w:contextualSpacing/>
                    <w:rPr>
                      <w:sz w:val="18"/>
                      <w:szCs w:val="18"/>
                      <w:lang w:val="en-GB"/>
                    </w:rPr>
                  </w:pPr>
                  <w:r>
                    <w:rPr>
                      <w:noProof/>
                    </w:rPr>
                    <w:drawing>
                      <wp:inline distT="0" distB="0" distL="0" distR="0">
                        <wp:extent cx="585470" cy="39116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3" cstate="print"/>
                                <a:stretch>
                                  <a:fillRect/>
                                </a:stretch>
                              </pic:blipFill>
                              <pic:spPr bwMode="auto">
                                <a:xfrm>
                                  <a:off x="0" y="0"/>
                                  <a:ext cx="585470" cy="391160"/>
                                </a:xfrm>
                                <a:prstGeom prst="rect">
                                  <a:avLst/>
                                </a:prstGeom>
                              </pic:spPr>
                            </pic:pic>
                          </a:graphicData>
                        </a:graphic>
                      </wp:inline>
                    </w:drawing>
                  </w:r>
                </w:p>
              </w:tc>
            </w:tr>
          </w:tbl>
          <w:p w:rsidR="00640E28" w:rsidRDefault="00640E28">
            <w:pPr>
              <w:widowControl w:val="0"/>
              <w:contextualSpacing/>
              <w:rPr>
                <w:lang w:val="en-GB"/>
              </w:rPr>
            </w:pPr>
          </w:p>
          <w:p w:rsidR="00640E28" w:rsidRDefault="00640E28">
            <w:pPr>
              <w:widowControl w:val="0"/>
              <w:spacing w:after="0" w:line="240" w:lineRule="auto"/>
              <w:contextualSpacing/>
              <w:rPr>
                <w:lang w:val="en-GB"/>
              </w:rPr>
            </w:pPr>
          </w:p>
        </w:tc>
      </w:tr>
      <w:tr w:rsidR="00640E28" w:rsidRPr="00C3041F">
        <w:tc>
          <w:tcPr>
            <w:tcW w:w="2234" w:type="dxa"/>
          </w:tcPr>
          <w:p w:rsidR="00640E28" w:rsidRDefault="00DB2C7D">
            <w:pPr>
              <w:pStyle w:val="Ingenmellomrom"/>
              <w:widowControl w:val="0"/>
              <w:contextualSpacing/>
              <w:rPr>
                <w:b/>
                <w:bCs/>
                <w:lang w:val="en-GB"/>
              </w:rPr>
            </w:pPr>
            <w:r>
              <w:rPr>
                <w:b/>
                <w:bCs/>
                <w:lang w:val="en-GB"/>
              </w:rPr>
              <w:lastRenderedPageBreak/>
              <w:t>Intelligence, Surveillance, Reconnaissance (ISR)</w:t>
            </w:r>
            <w:r>
              <w:rPr>
                <w:lang w:val="en-GB"/>
              </w:rPr>
              <w:t xml:space="preserve"> </w:t>
            </w:r>
            <w:r>
              <w:rPr>
                <w:color w:val="BFBFBF" w:themeColor="background1" w:themeShade="BF"/>
                <w:lang w:val="en-GB"/>
              </w:rPr>
              <w:t>– If any effort should be done to support VIS with ISR to answer information gaps from VIS.</w:t>
            </w:r>
          </w:p>
        </w:tc>
        <w:tc>
          <w:tcPr>
            <w:tcW w:w="7053" w:type="dxa"/>
          </w:tcPr>
          <w:p w:rsidR="00640E28" w:rsidRDefault="00DB2C7D">
            <w:pPr>
              <w:widowControl w:val="0"/>
              <w:spacing w:after="0" w:line="240" w:lineRule="auto"/>
              <w:contextualSpacing/>
              <w:rPr>
                <w:rFonts w:ascii="Arial" w:hAnsi="Arial"/>
                <w:lang w:val="en-GB"/>
              </w:rPr>
            </w:pPr>
            <w:r>
              <w:rPr>
                <w:lang w:val="en-GB"/>
              </w:rPr>
              <w:t>All intelligence and BDA should be submitted via Campaign Manager,</w:t>
            </w:r>
            <w:r>
              <w:rPr>
                <w:lang w:val="en-GB"/>
              </w:rPr>
              <w:t xml:space="preserve"> and necessary images placed in #</w:t>
            </w:r>
            <w:proofErr w:type="spellStart"/>
            <w:r>
              <w:rPr>
                <w:lang w:val="en-GB"/>
              </w:rPr>
              <w:t>bda</w:t>
            </w:r>
            <w:proofErr w:type="spellEnd"/>
            <w:r>
              <w:rPr>
                <w:lang w:val="en-GB"/>
              </w:rPr>
              <w:t>-reports on discord IAW SPINS.</w:t>
            </w:r>
          </w:p>
          <w:p w:rsidR="00640E28" w:rsidRDefault="00640E28">
            <w:pPr>
              <w:widowControl w:val="0"/>
              <w:spacing w:after="0" w:line="240" w:lineRule="auto"/>
              <w:contextualSpacing/>
              <w:rPr>
                <w:rFonts w:ascii="Arial" w:hAnsi="Arial"/>
                <w:lang w:val="en-GB"/>
              </w:rPr>
            </w:pPr>
          </w:p>
          <w:p w:rsidR="00640E28" w:rsidRDefault="00DB2C7D">
            <w:pPr>
              <w:widowControl w:val="0"/>
              <w:spacing w:after="0" w:line="240" w:lineRule="auto"/>
              <w:contextualSpacing/>
              <w:rPr>
                <w:rFonts w:ascii="Arial" w:hAnsi="Arial"/>
                <w:lang w:val="en-GB"/>
              </w:rPr>
            </w:pPr>
            <w:r>
              <w:rPr>
                <w:lang w:val="en-GB"/>
              </w:rPr>
              <w:t>The following IRs should be supported in this AOD:</w:t>
            </w:r>
          </w:p>
          <w:p w:rsidR="00640E28" w:rsidRDefault="00DB2C7D">
            <w:pPr>
              <w:pStyle w:val="Listeavsnitt"/>
              <w:widowControl w:val="0"/>
              <w:numPr>
                <w:ilvl w:val="0"/>
                <w:numId w:val="4"/>
              </w:numPr>
              <w:spacing w:after="0" w:line="240" w:lineRule="auto"/>
              <w:rPr>
                <w:rFonts w:ascii="Arial" w:hAnsi="Arial"/>
              </w:rPr>
            </w:pPr>
            <w:r>
              <w:rPr>
                <w:lang w:val="en-GB"/>
              </w:rPr>
              <w:t xml:space="preserve">(IR35.1) </w:t>
            </w:r>
            <w:r w:rsidRPr="00C3041F">
              <w:rPr>
                <w:color w:val="000000"/>
                <w:lang w:val="en-US"/>
              </w:rPr>
              <w:t xml:space="preserve">Are there SA-6 or SA-11 within 50km of the FLOT?  </w:t>
            </w:r>
            <w:proofErr w:type="spellStart"/>
            <w:r>
              <w:rPr>
                <w:color w:val="000000"/>
              </w:rPr>
              <w:t>If</w:t>
            </w:r>
            <w:proofErr w:type="spellEnd"/>
            <w:r>
              <w:rPr>
                <w:color w:val="000000"/>
              </w:rPr>
              <w:t xml:space="preserve"> so, </w:t>
            </w:r>
            <w:proofErr w:type="spellStart"/>
            <w:r>
              <w:rPr>
                <w:color w:val="000000"/>
              </w:rPr>
              <w:t>where</w:t>
            </w:r>
            <w:proofErr w:type="spellEnd"/>
            <w:r>
              <w:rPr>
                <w:color w:val="000000"/>
              </w:rPr>
              <w:t>?</w:t>
            </w:r>
          </w:p>
          <w:p w:rsidR="00640E28" w:rsidRPr="00C3041F" w:rsidRDefault="00DB2C7D">
            <w:pPr>
              <w:widowControl w:val="0"/>
              <w:numPr>
                <w:ilvl w:val="0"/>
                <w:numId w:val="4"/>
              </w:numPr>
              <w:spacing w:after="0" w:line="240" w:lineRule="auto"/>
              <w:contextualSpacing/>
              <w:rPr>
                <w:rFonts w:ascii="Arial" w:hAnsi="Arial"/>
                <w:lang w:val="en-US"/>
              </w:rPr>
            </w:pPr>
            <w:r>
              <w:rPr>
                <w:lang w:val="en-GB"/>
              </w:rPr>
              <w:t>(IR35.5) H</w:t>
            </w:r>
            <w:proofErr w:type="spellStart"/>
            <w:r w:rsidRPr="00C3041F">
              <w:rPr>
                <w:color w:val="000000"/>
                <w:lang w:val="en-US"/>
              </w:rPr>
              <w:t>ow</w:t>
            </w:r>
            <w:proofErr w:type="spellEnd"/>
            <w:r w:rsidRPr="00C3041F">
              <w:rPr>
                <w:color w:val="000000"/>
                <w:lang w:val="en-US"/>
              </w:rPr>
              <w:t xml:space="preserve"> many SA-15s/SA-8s are located at Gaziantep?</w:t>
            </w:r>
          </w:p>
          <w:p w:rsidR="00640E28" w:rsidRPr="00C3041F" w:rsidRDefault="00DB2C7D">
            <w:pPr>
              <w:widowControl w:val="0"/>
              <w:numPr>
                <w:ilvl w:val="0"/>
                <w:numId w:val="4"/>
              </w:numPr>
              <w:spacing w:after="0" w:line="240" w:lineRule="auto"/>
              <w:contextualSpacing/>
              <w:rPr>
                <w:rFonts w:ascii="Arial" w:hAnsi="Arial"/>
                <w:lang w:val="en-US"/>
              </w:rPr>
            </w:pPr>
            <w:r>
              <w:rPr>
                <w:lang w:val="en-GB"/>
              </w:rPr>
              <w:t xml:space="preserve">(IR35.6) </w:t>
            </w:r>
            <w:r>
              <w:rPr>
                <w:color w:val="000000"/>
                <w:lang w:val="en-GB"/>
              </w:rPr>
              <w:t xml:space="preserve">How many SA-15s/SA-8s are located at </w:t>
            </w:r>
            <w:proofErr w:type="spellStart"/>
            <w:r>
              <w:rPr>
                <w:color w:val="000000"/>
                <w:lang w:val="en-GB"/>
              </w:rPr>
              <w:t>Minakh</w:t>
            </w:r>
            <w:proofErr w:type="spellEnd"/>
            <w:r>
              <w:rPr>
                <w:color w:val="000000"/>
                <w:lang w:val="en-GB"/>
              </w:rPr>
              <w:t>?</w:t>
            </w:r>
          </w:p>
          <w:p w:rsidR="00640E28" w:rsidRPr="00C3041F" w:rsidRDefault="00DB2C7D">
            <w:pPr>
              <w:widowControl w:val="0"/>
              <w:numPr>
                <w:ilvl w:val="0"/>
                <w:numId w:val="4"/>
              </w:numPr>
              <w:spacing w:after="0" w:line="240" w:lineRule="auto"/>
              <w:contextualSpacing/>
              <w:rPr>
                <w:rFonts w:ascii="Arial" w:hAnsi="Arial"/>
                <w:lang w:val="en-US"/>
              </w:rPr>
            </w:pPr>
            <w:r>
              <w:rPr>
                <w:lang w:val="en-GB"/>
              </w:rPr>
              <w:t xml:space="preserve">(IR35.10) </w:t>
            </w:r>
            <w:r>
              <w:rPr>
                <w:color w:val="000000"/>
                <w:lang w:val="en-GB"/>
              </w:rPr>
              <w:t xml:space="preserve">Are any SA-15s/SA-8s located within 50km of the FLOT but </w:t>
            </w:r>
            <w:r w:rsidRPr="00C3041F">
              <w:rPr>
                <w:color w:val="000000"/>
                <w:lang w:val="en-US"/>
              </w:rPr>
              <w:t xml:space="preserve">not IVO south of </w:t>
            </w:r>
            <w:proofErr w:type="spellStart"/>
            <w:r w:rsidRPr="00C3041F">
              <w:rPr>
                <w:color w:val="000000"/>
                <w:lang w:val="en-US"/>
              </w:rPr>
              <w:t>Hatay</w:t>
            </w:r>
            <w:proofErr w:type="spellEnd"/>
            <w:r w:rsidRPr="00C3041F">
              <w:rPr>
                <w:color w:val="000000"/>
                <w:lang w:val="en-US"/>
              </w:rPr>
              <w:t xml:space="preserve">, </w:t>
            </w:r>
            <w:proofErr w:type="spellStart"/>
            <w:r w:rsidRPr="00C3041F">
              <w:rPr>
                <w:color w:val="000000"/>
                <w:lang w:val="en-US"/>
              </w:rPr>
              <w:t>Taftanaz</w:t>
            </w:r>
            <w:proofErr w:type="spellEnd"/>
            <w:r w:rsidRPr="00C3041F">
              <w:rPr>
                <w:color w:val="000000"/>
                <w:lang w:val="en-US"/>
              </w:rPr>
              <w:t xml:space="preserve">, </w:t>
            </w:r>
            <w:proofErr w:type="spellStart"/>
            <w:r w:rsidRPr="00C3041F">
              <w:rPr>
                <w:color w:val="000000"/>
                <w:lang w:val="en-US"/>
              </w:rPr>
              <w:t>Minakh</w:t>
            </w:r>
            <w:proofErr w:type="spellEnd"/>
            <w:r w:rsidRPr="00C3041F">
              <w:rPr>
                <w:color w:val="000000"/>
                <w:lang w:val="en-US"/>
              </w:rPr>
              <w:t xml:space="preserve">, Gaziantep or </w:t>
            </w:r>
            <w:proofErr w:type="spellStart"/>
            <w:r w:rsidRPr="00C3041F">
              <w:rPr>
                <w:color w:val="000000"/>
                <w:lang w:val="en-US"/>
              </w:rPr>
              <w:t>Birecik</w:t>
            </w:r>
            <w:proofErr w:type="spellEnd"/>
            <w:r w:rsidRPr="00C3041F">
              <w:rPr>
                <w:color w:val="000000"/>
                <w:lang w:val="en-US"/>
              </w:rPr>
              <w:t xml:space="preserve"> Dam?</w:t>
            </w:r>
          </w:p>
          <w:p w:rsidR="00640E28" w:rsidRPr="00C3041F" w:rsidRDefault="00DB2C7D">
            <w:pPr>
              <w:widowControl w:val="0"/>
              <w:numPr>
                <w:ilvl w:val="0"/>
                <w:numId w:val="4"/>
              </w:numPr>
              <w:spacing w:after="0" w:line="240" w:lineRule="auto"/>
              <w:contextualSpacing/>
              <w:rPr>
                <w:rFonts w:ascii="Arial" w:hAnsi="Arial"/>
                <w:lang w:val="en-US"/>
              </w:rPr>
            </w:pPr>
            <w:r>
              <w:rPr>
                <w:lang w:val="en-GB"/>
              </w:rPr>
              <w:t xml:space="preserve">(IR35.13) </w:t>
            </w:r>
            <w:r>
              <w:rPr>
                <w:color w:val="000000"/>
                <w:lang w:val="en-GB"/>
              </w:rPr>
              <w:t>Are there enemy SAMs located IVO Aleppo Intl?</w:t>
            </w:r>
          </w:p>
          <w:p w:rsidR="00640E28" w:rsidRPr="00C3041F" w:rsidRDefault="00DB2C7D">
            <w:pPr>
              <w:widowControl w:val="0"/>
              <w:numPr>
                <w:ilvl w:val="0"/>
                <w:numId w:val="4"/>
              </w:numPr>
              <w:spacing w:after="0" w:line="240" w:lineRule="auto"/>
              <w:contextualSpacing/>
              <w:rPr>
                <w:rFonts w:ascii="Arial" w:hAnsi="Arial"/>
                <w:lang w:val="en-US"/>
              </w:rPr>
            </w:pPr>
            <w:r>
              <w:rPr>
                <w:lang w:val="en-GB"/>
              </w:rPr>
              <w:t xml:space="preserve">(IR35.14) </w:t>
            </w:r>
            <w:proofErr w:type="gramStart"/>
            <w:r>
              <w:rPr>
                <w:color w:val="000000"/>
                <w:lang w:val="en-GB"/>
              </w:rPr>
              <w:t>I</w:t>
            </w:r>
            <w:r>
              <w:rPr>
                <w:color w:val="000000"/>
                <w:lang w:val="en-GB"/>
              </w:rPr>
              <w:t>s</w:t>
            </w:r>
            <w:proofErr w:type="gramEnd"/>
            <w:r>
              <w:rPr>
                <w:color w:val="000000"/>
                <w:lang w:val="en-GB"/>
              </w:rPr>
              <w:t xml:space="preserve"> any enemy rotary wing activity observed within 200km of </w:t>
            </w:r>
            <w:r w:rsidRPr="00C3041F">
              <w:rPr>
                <w:color w:val="000000"/>
                <w:lang w:val="en-US"/>
              </w:rPr>
              <w:t>FLOT?</w:t>
            </w:r>
          </w:p>
          <w:p w:rsidR="00640E28" w:rsidRPr="00C3041F" w:rsidRDefault="00DB2C7D">
            <w:pPr>
              <w:widowControl w:val="0"/>
              <w:numPr>
                <w:ilvl w:val="0"/>
                <w:numId w:val="4"/>
              </w:numPr>
              <w:spacing w:after="0" w:line="240" w:lineRule="auto"/>
              <w:contextualSpacing/>
              <w:rPr>
                <w:rFonts w:ascii="Arial" w:hAnsi="Arial"/>
                <w:lang w:val="en-US"/>
              </w:rPr>
            </w:pPr>
            <w:r>
              <w:rPr>
                <w:lang w:val="en-GB"/>
              </w:rPr>
              <w:t xml:space="preserve">(IR35.15) </w:t>
            </w:r>
            <w:proofErr w:type="gramStart"/>
            <w:r>
              <w:rPr>
                <w:color w:val="000000"/>
                <w:lang w:val="en-GB"/>
              </w:rPr>
              <w:t>Is</w:t>
            </w:r>
            <w:proofErr w:type="gramEnd"/>
            <w:r>
              <w:rPr>
                <w:color w:val="000000"/>
                <w:lang w:val="en-GB"/>
              </w:rPr>
              <w:t xml:space="preserve"> any fixed wing activity observed into or out of front-line </w:t>
            </w:r>
            <w:r w:rsidRPr="00C3041F">
              <w:rPr>
                <w:color w:val="000000"/>
                <w:lang w:val="en-US"/>
              </w:rPr>
              <w:t>airfields (</w:t>
            </w:r>
            <w:proofErr w:type="spellStart"/>
            <w:r w:rsidRPr="00C3041F">
              <w:rPr>
                <w:color w:val="000000"/>
                <w:lang w:val="en-US"/>
              </w:rPr>
              <w:t>Kharab</w:t>
            </w:r>
            <w:proofErr w:type="spellEnd"/>
            <w:r w:rsidRPr="00C3041F">
              <w:rPr>
                <w:color w:val="000000"/>
                <w:lang w:val="en-US"/>
              </w:rPr>
              <w:t xml:space="preserve"> </w:t>
            </w:r>
            <w:proofErr w:type="spellStart"/>
            <w:r w:rsidRPr="00C3041F">
              <w:rPr>
                <w:color w:val="000000"/>
                <w:lang w:val="en-US"/>
              </w:rPr>
              <w:t>Ishk</w:t>
            </w:r>
            <w:proofErr w:type="spellEnd"/>
            <w:r w:rsidRPr="00C3041F">
              <w:rPr>
                <w:color w:val="000000"/>
                <w:lang w:val="en-US"/>
              </w:rPr>
              <w:t xml:space="preserve">, Aleppo </w:t>
            </w:r>
            <w:proofErr w:type="spellStart"/>
            <w:r w:rsidRPr="00C3041F">
              <w:rPr>
                <w:color w:val="000000"/>
                <w:lang w:val="en-US"/>
              </w:rPr>
              <w:t>Int</w:t>
            </w:r>
            <w:proofErr w:type="spellEnd"/>
            <w:r w:rsidRPr="00C3041F">
              <w:rPr>
                <w:color w:val="000000"/>
                <w:lang w:val="en-US"/>
              </w:rPr>
              <w:t xml:space="preserve">, </w:t>
            </w:r>
            <w:proofErr w:type="spellStart"/>
            <w:r w:rsidRPr="00C3041F">
              <w:rPr>
                <w:color w:val="000000"/>
                <w:lang w:val="en-US"/>
              </w:rPr>
              <w:t>Kuweires</w:t>
            </w:r>
            <w:proofErr w:type="spellEnd"/>
            <w:r w:rsidRPr="00C3041F">
              <w:rPr>
                <w:color w:val="000000"/>
                <w:lang w:val="en-US"/>
              </w:rPr>
              <w:t xml:space="preserve">, Tal </w:t>
            </w:r>
            <w:proofErr w:type="spellStart"/>
            <w:r w:rsidRPr="00C3041F">
              <w:rPr>
                <w:color w:val="000000"/>
                <w:lang w:val="en-US"/>
              </w:rPr>
              <w:t>Siman</w:t>
            </w:r>
            <w:proofErr w:type="spellEnd"/>
            <w:r w:rsidRPr="00C3041F">
              <w:rPr>
                <w:color w:val="000000"/>
                <w:lang w:val="en-US"/>
              </w:rPr>
              <w:t>?</w:t>
            </w:r>
          </w:p>
          <w:p w:rsidR="00640E28" w:rsidRPr="00C3041F" w:rsidRDefault="00DB2C7D">
            <w:pPr>
              <w:widowControl w:val="0"/>
              <w:spacing w:after="0" w:line="240" w:lineRule="auto"/>
              <w:contextualSpacing/>
              <w:rPr>
                <w:rFonts w:ascii="Arial" w:hAnsi="Arial"/>
                <w:lang w:val="en-US"/>
              </w:rPr>
            </w:pPr>
            <w:r w:rsidRPr="00C3041F">
              <w:rPr>
                <w:color w:val="000000"/>
                <w:lang w:val="en-US"/>
              </w:rPr>
              <w:t xml:space="preserve">All VIS/VID Information Requests can be found </w:t>
            </w:r>
            <w:hyperlink>
              <w:r w:rsidRPr="00C3041F">
                <w:rPr>
                  <w:rStyle w:val="Hyperkobling"/>
                  <w:color w:val="006CE7"/>
                  <w:lang w:val="en-US"/>
                </w:rPr>
                <w:t>he</w:t>
              </w:r>
              <w:r w:rsidRPr="00C3041F">
                <w:rPr>
                  <w:rStyle w:val="Hyperkobling"/>
                  <w:color w:val="006CE7"/>
                  <w:lang w:val="en-US"/>
                </w:rPr>
                <w:t>re</w:t>
              </w:r>
            </w:hyperlink>
            <w:r w:rsidRPr="00C3041F">
              <w:rPr>
                <w:color w:val="000000"/>
                <w:lang w:val="en-US"/>
              </w:rPr>
              <w:t>.</w:t>
            </w:r>
          </w:p>
        </w:tc>
      </w:tr>
      <w:tr w:rsidR="00640E28" w:rsidRPr="00C3041F">
        <w:tc>
          <w:tcPr>
            <w:tcW w:w="2234" w:type="dxa"/>
          </w:tcPr>
          <w:p w:rsidR="00640E28" w:rsidRDefault="00DB2C7D">
            <w:pPr>
              <w:pStyle w:val="Ingenmellomrom"/>
              <w:widowControl w:val="0"/>
              <w:contextualSpacing/>
              <w:rPr>
                <w:b/>
                <w:bCs/>
                <w:lang w:val="en-GB"/>
              </w:rPr>
            </w:pPr>
            <w:r>
              <w:rPr>
                <w:b/>
                <w:bCs/>
                <w:lang w:val="en-GB"/>
              </w:rPr>
              <w:t>Other issues</w:t>
            </w:r>
          </w:p>
        </w:tc>
        <w:tc>
          <w:tcPr>
            <w:tcW w:w="7053" w:type="dxa"/>
          </w:tcPr>
          <w:p w:rsidR="00640E28" w:rsidRDefault="00DB2C7D">
            <w:pPr>
              <w:widowControl w:val="0"/>
              <w:spacing w:after="0" w:line="240" w:lineRule="auto"/>
              <w:contextualSpacing/>
              <w:rPr>
                <w:lang w:val="en-GB"/>
              </w:rPr>
            </w:pPr>
            <w:r>
              <w:rPr>
                <w:lang w:val="en-GB"/>
              </w:rPr>
              <w:t>The use of GBU-38s is limited to SEAD/DEAD flights.</w:t>
            </w:r>
          </w:p>
        </w:tc>
      </w:tr>
      <w:tr w:rsidR="00640E28" w:rsidRPr="00C3041F">
        <w:tc>
          <w:tcPr>
            <w:tcW w:w="2234" w:type="dxa"/>
          </w:tcPr>
          <w:p w:rsidR="00640E28" w:rsidRDefault="00DB2C7D">
            <w:pPr>
              <w:pStyle w:val="Ingenmellomrom"/>
              <w:widowControl w:val="0"/>
              <w:contextualSpacing/>
              <w:rPr>
                <w:b/>
                <w:bCs/>
                <w:lang w:val="en-GB"/>
              </w:rPr>
            </w:pPr>
            <w:r>
              <w:rPr>
                <w:b/>
                <w:bCs/>
                <w:lang w:val="en-GB"/>
              </w:rPr>
              <w:t>Direction and Guidance</w:t>
            </w:r>
          </w:p>
        </w:tc>
        <w:tc>
          <w:tcPr>
            <w:tcW w:w="7053" w:type="dxa"/>
          </w:tcPr>
          <w:p w:rsidR="00640E28" w:rsidRDefault="00DB2C7D">
            <w:pPr>
              <w:widowControl w:val="0"/>
              <w:spacing w:after="0" w:line="240" w:lineRule="auto"/>
              <w:contextualSpacing/>
              <w:rPr>
                <w:lang w:val="en-GB"/>
              </w:rPr>
            </w:pPr>
            <w:r>
              <w:rPr>
                <w:lang w:val="en-GB"/>
              </w:rPr>
              <w:t>Aircrews must remain clear of Jordanian airspace at all times. Munitions must not be expended which may encroach on Jordanian airspace.</w:t>
            </w:r>
          </w:p>
          <w:p w:rsidR="00640E28" w:rsidRDefault="00640E28">
            <w:pPr>
              <w:widowControl w:val="0"/>
              <w:spacing w:after="0" w:line="240" w:lineRule="auto"/>
              <w:contextualSpacing/>
              <w:rPr>
                <w:lang w:val="en-GB"/>
              </w:rPr>
            </w:pPr>
          </w:p>
          <w:p w:rsidR="00640E28" w:rsidRDefault="00DB2C7D">
            <w:pPr>
              <w:widowControl w:val="0"/>
              <w:spacing w:after="0" w:line="240" w:lineRule="auto"/>
              <w:contextualSpacing/>
              <w:rPr>
                <w:lang w:val="en-GB"/>
              </w:rPr>
            </w:pPr>
            <w:r>
              <w:rPr>
                <w:lang w:val="en-GB"/>
              </w:rPr>
              <w:t xml:space="preserve">Munitions may not be </w:t>
            </w:r>
            <w:r>
              <w:rPr>
                <w:lang w:val="en-GB"/>
              </w:rPr>
              <w:t xml:space="preserve">expended in the direction of Basel Al Assad And </w:t>
            </w:r>
            <w:proofErr w:type="spellStart"/>
            <w:r>
              <w:rPr>
                <w:lang w:val="en-GB"/>
              </w:rPr>
              <w:t>Tartarus</w:t>
            </w:r>
            <w:proofErr w:type="spellEnd"/>
            <w:r>
              <w:rPr>
                <w:lang w:val="en-GB"/>
              </w:rPr>
              <w:t xml:space="preserve"> in order to avoid Russian involvement in the conflict.</w:t>
            </w:r>
          </w:p>
        </w:tc>
      </w:tr>
    </w:tbl>
    <w:p w:rsidR="00640E28" w:rsidRDefault="00640E28">
      <w:pPr>
        <w:rPr>
          <w:lang w:val="en-GB"/>
        </w:rPr>
      </w:pPr>
    </w:p>
    <w:p w:rsidR="00640E28" w:rsidRDefault="00DB2C7D">
      <w:pPr>
        <w:pStyle w:val="Heading1"/>
        <w:spacing w:before="0"/>
        <w:contextualSpacing/>
        <w:rPr>
          <w:lang w:val="en-GB"/>
        </w:rPr>
      </w:pPr>
      <w:r>
        <w:rPr>
          <w:lang w:val="en-GB"/>
        </w:rPr>
        <w:t xml:space="preserve">4.  ADMINISTRATION AND LOGISTICS </w:t>
      </w:r>
    </w:p>
    <w:p w:rsidR="00640E28" w:rsidRDefault="00DB2C7D">
      <w:pPr>
        <w:rPr>
          <w:b/>
          <w:bCs/>
          <w:lang w:val="en-GB"/>
        </w:rPr>
      </w:pPr>
      <w:r>
        <w:rPr>
          <w:lang w:val="en-GB"/>
        </w:rPr>
        <w:t>Due to other ongoing major military operations, the munitions are limited in accordance with the ‘</w:t>
      </w:r>
      <w:hyperlink>
        <w:r>
          <w:rPr>
            <w:rStyle w:val="Hyperkobling"/>
            <w:lang w:val="en-GB"/>
          </w:rPr>
          <w:t>available ordnance</w:t>
        </w:r>
      </w:hyperlink>
      <w:r>
        <w:rPr>
          <w:lang w:val="en-GB"/>
        </w:rPr>
        <w:t xml:space="preserve">’ publication available at OPAR Brief. </w:t>
      </w:r>
      <w:r>
        <w:rPr>
          <w:b/>
          <w:bCs/>
          <w:lang w:val="en-GB"/>
        </w:rPr>
        <w:t>Further limitations may be imposed by JFACC and will be detailed in the ATO.</w:t>
      </w:r>
    </w:p>
    <w:p w:rsidR="00640E28" w:rsidRDefault="00DB2C7D">
      <w:pPr>
        <w:rPr>
          <w:b/>
          <w:bCs/>
          <w:lang w:val="en-GB"/>
        </w:rPr>
      </w:pPr>
      <w:r>
        <w:rPr>
          <w:b/>
          <w:bCs/>
          <w:lang w:val="en-GB"/>
        </w:rPr>
        <w:t xml:space="preserve">Active Tanker Tracks – </w:t>
      </w:r>
      <w:r>
        <w:rPr>
          <w:lang w:val="en-GB"/>
        </w:rPr>
        <w:t>AR701 (</w:t>
      </w:r>
      <w:r>
        <w:rPr>
          <w:lang w:val="en-GB"/>
        </w:rPr>
        <w:t>ARCO-1</w:t>
      </w:r>
      <w:r>
        <w:rPr>
          <w:lang w:val="en-GB"/>
        </w:rPr>
        <w:t>)</w:t>
      </w:r>
      <w:r>
        <w:rPr>
          <w:lang w:val="en-GB"/>
        </w:rPr>
        <w:t xml:space="preserve">, </w:t>
      </w:r>
      <w:r>
        <w:rPr>
          <w:lang w:val="en-GB"/>
        </w:rPr>
        <w:t>AR803 (</w:t>
      </w:r>
      <w:r>
        <w:rPr>
          <w:lang w:val="en-GB"/>
        </w:rPr>
        <w:t>SHELL-3</w:t>
      </w:r>
      <w:r>
        <w:rPr>
          <w:lang w:val="en-GB"/>
        </w:rPr>
        <w:t>)</w:t>
      </w:r>
      <w:r>
        <w:rPr>
          <w:lang w:val="en-GB"/>
        </w:rPr>
        <w:t xml:space="preserve"> </w:t>
      </w:r>
      <w:r>
        <w:rPr>
          <w:lang w:val="en-GB"/>
        </w:rPr>
        <w:t xml:space="preserve">and AR804 (SHELL-4) </w:t>
      </w:r>
      <w:r>
        <w:rPr>
          <w:lang w:val="en-GB"/>
        </w:rPr>
        <w:t>as published in D</w:t>
      </w:r>
      <w:r>
        <w:rPr>
          <w:lang w:val="en-GB"/>
        </w:rPr>
        <w:t>5</w:t>
      </w:r>
      <w:r>
        <w:rPr>
          <w:lang w:val="en-GB"/>
        </w:rPr>
        <w:t xml:space="preserve"> ACO</w:t>
      </w:r>
    </w:p>
    <w:p w:rsidR="00640E28" w:rsidRDefault="00DB2C7D">
      <w:pPr>
        <w:pStyle w:val="Heading1"/>
        <w:spacing w:before="0"/>
        <w:contextualSpacing/>
        <w:rPr>
          <w:lang w:val="en-GB"/>
        </w:rPr>
      </w:pPr>
      <w:r>
        <w:rPr>
          <w:lang w:val="en-GB"/>
        </w:rPr>
        <w:t xml:space="preserve">5.  COMMAND AND CONTROL </w:t>
      </w:r>
    </w:p>
    <w:p w:rsidR="00640E28" w:rsidRDefault="00DB2C7D">
      <w:pPr>
        <w:pStyle w:val="Ingenmellomrom"/>
        <w:contextualSpacing/>
        <w:rPr>
          <w:lang w:val="en-GB"/>
        </w:rPr>
      </w:pPr>
      <w:r>
        <w:rPr>
          <w:lang w:val="en-GB"/>
        </w:rPr>
        <w:t xml:space="preserve">BULLSEYE </w:t>
      </w:r>
      <w:r>
        <w:rPr>
          <w:lang w:val="en-GB"/>
        </w:rPr>
        <w:t xml:space="preserve">NICOLE </w:t>
      </w:r>
      <w:r>
        <w:rPr>
          <w:lang w:val="en-GB"/>
        </w:rPr>
        <w:t>is defined at N 35 58.000 E 036 47.000.</w:t>
      </w:r>
    </w:p>
    <w:p w:rsidR="00640E28" w:rsidRDefault="00640E28">
      <w:pPr>
        <w:pStyle w:val="Ingenmellomrom"/>
        <w:contextualSpacing/>
        <w:rPr>
          <w:lang w:val="en-GB"/>
        </w:rPr>
      </w:pPr>
    </w:p>
    <w:p w:rsidR="00640E28" w:rsidRDefault="00DB2C7D">
      <w:pPr>
        <w:pStyle w:val="Ingenmellomrom"/>
        <w:contextualSpacing/>
        <w:rPr>
          <w:lang w:val="en-GB"/>
        </w:rPr>
      </w:pPr>
      <w:r>
        <w:rPr>
          <w:lang w:val="en-GB"/>
        </w:rPr>
        <w:t>There are no other specific C2 considerations for these missions. Refer to the Command, Control and Communications section of the JAOP.</w:t>
      </w:r>
    </w:p>
    <w:sectPr w:rsidR="00640E28" w:rsidSect="00640E28">
      <w:headerReference w:type="default" r:id="rId14"/>
      <w:footerReference w:type="default" r:id="rId15"/>
      <w:pgSz w:w="11906" w:h="16838"/>
      <w:pgMar w:top="1417" w:right="1417" w:bottom="1417" w:left="1417" w:header="708" w:footer="708" w:gutter="0"/>
      <w:cols w:space="708"/>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2C7D" w:rsidRDefault="00DB2C7D" w:rsidP="00640E28">
      <w:pPr>
        <w:spacing w:after="0" w:line="240" w:lineRule="auto"/>
      </w:pPr>
      <w:r>
        <w:separator/>
      </w:r>
    </w:p>
  </w:endnote>
  <w:endnote w:type="continuationSeparator" w:id="0">
    <w:p w:rsidR="00DB2C7D" w:rsidRDefault="00DB2C7D" w:rsidP="00640E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rlito">
    <w:altName w:val="Calibri"/>
    <w:charset w:val="01"/>
    <w:family w:val="roman"/>
    <w:pitch w:val="variable"/>
    <w:sig w:usb0="00000000" w:usb1="00000000" w:usb2="00000000" w:usb3="00000000" w:csb0="00000000" w:csb1="00000000"/>
  </w:font>
  <w:font w:name="Noto Sans SC Regular">
    <w:panose1 w:val="00000000000000000000"/>
    <w:charset w:val="00"/>
    <w:family w:val="roman"/>
    <w:notTrueType/>
    <w:pitch w:val="default"/>
    <w:sig w:usb0="00000000" w:usb1="00000000" w:usb2="00000000" w:usb3="00000000" w:csb0="00000000"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E28" w:rsidRDefault="00DB2C7D">
    <w:pPr>
      <w:pStyle w:val="Footer"/>
      <w:jc w:val="center"/>
      <w:rPr>
        <w:sz w:val="16"/>
        <w:lang w:val="en-US"/>
      </w:rPr>
    </w:pPr>
    <w:r>
      <w:rPr>
        <w:b/>
        <w:bCs/>
        <w:sz w:val="16"/>
        <w:lang w:val="en-US"/>
      </w:rPr>
      <w:t>DISCLAIMER:</w:t>
    </w:r>
  </w:p>
  <w:p w:rsidR="00640E28" w:rsidRDefault="00DB2C7D">
    <w:pPr>
      <w:pStyle w:val="Footer"/>
      <w:jc w:val="center"/>
      <w:rPr>
        <w:sz w:val="16"/>
        <w:lang w:val="en-US"/>
      </w:rPr>
    </w:pPr>
    <w:r>
      <w:rPr>
        <w:sz w:val="16"/>
        <w:lang w:val="en-US"/>
      </w:rPr>
      <w:t xml:space="preserve">This is for multiplayer online gaming using the Digital Combat Systems simulation software published by Eagle Dynamics. The information is not in any way suitable for </w:t>
    </w:r>
    <w:r>
      <w:rPr>
        <w:sz w:val="16"/>
        <w:lang w:val="en-US"/>
      </w:rPr>
      <w:t>real world use or operations.</w:t>
    </w:r>
  </w:p>
  <w:p w:rsidR="00640E28" w:rsidRDefault="00640E28">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2C7D" w:rsidRDefault="00DB2C7D" w:rsidP="00640E28">
      <w:pPr>
        <w:spacing w:after="0" w:line="240" w:lineRule="auto"/>
      </w:pPr>
      <w:r>
        <w:separator/>
      </w:r>
    </w:p>
  </w:footnote>
  <w:footnote w:type="continuationSeparator" w:id="0">
    <w:p w:rsidR="00DB2C7D" w:rsidRDefault="00DB2C7D" w:rsidP="00640E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E28" w:rsidRDefault="00DB2C7D">
    <w:pPr>
      <w:pStyle w:val="Header"/>
      <w:rPr>
        <w:sz w:val="18"/>
        <w:szCs w:val="30"/>
        <w:lang w:val="en-US"/>
      </w:rPr>
    </w:pPr>
    <w:r>
      <w:tab/>
    </w:r>
    <w:r>
      <w:tab/>
    </w:r>
    <w:r>
      <w:rPr>
        <w:sz w:val="18"/>
        <w:szCs w:val="30"/>
        <w:lang w:val="en-US"/>
      </w:rPr>
      <w:t xml:space="preserve">JFACC /CJTF82 </w:t>
    </w:r>
  </w:p>
  <w:p w:rsidR="00640E28" w:rsidRDefault="00DB2C7D">
    <w:pPr>
      <w:pStyle w:val="Header"/>
      <w:jc w:val="right"/>
      <w:rPr>
        <w:sz w:val="18"/>
        <w:szCs w:val="30"/>
        <w:lang w:val="en-US"/>
      </w:rPr>
    </w:pPr>
    <w:proofErr w:type="spellStart"/>
    <w:r>
      <w:rPr>
        <w:sz w:val="18"/>
        <w:szCs w:val="30"/>
        <w:lang w:val="en-US"/>
      </w:rPr>
      <w:t>Incerlik</w:t>
    </w:r>
    <w:proofErr w:type="spellEnd"/>
  </w:p>
  <w:p w:rsidR="00640E28" w:rsidRDefault="00DB2C7D">
    <w:pPr>
      <w:pStyle w:val="Header"/>
      <w:jc w:val="right"/>
      <w:rPr>
        <w:sz w:val="12"/>
        <w:lang w:val="en-US"/>
      </w:rPr>
    </w:pPr>
    <w:r>
      <w:rPr>
        <w:sz w:val="18"/>
        <w:szCs w:val="30"/>
        <w:lang w:val="en-US"/>
      </w:rPr>
      <w:t>AOD D</w:t>
    </w:r>
    <w:r w:rsidR="00926B8A">
      <w:rPr>
        <w:sz w:val="18"/>
        <w:szCs w:val="30"/>
        <w:lang w:val="en-US"/>
      </w:rPr>
      <w:t>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534673"/>
    <w:multiLevelType w:val="multilevel"/>
    <w:tmpl w:val="B90485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4FDD1DB1"/>
    <w:multiLevelType w:val="multilevel"/>
    <w:tmpl w:val="7E0C009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6F526DED"/>
    <w:multiLevelType w:val="multilevel"/>
    <w:tmpl w:val="E98ADFDC"/>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72085A51"/>
    <w:multiLevelType w:val="multilevel"/>
    <w:tmpl w:val="3ABC8B04"/>
    <w:lvl w:ilvl="0">
      <w:start w:val="2"/>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78AF1FA3"/>
    <w:multiLevelType w:val="multilevel"/>
    <w:tmpl w:val="BE600DC0"/>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7F33220C"/>
    <w:multiLevelType w:val="multilevel"/>
    <w:tmpl w:val="50AADAC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
  <w:rsids>
    <w:rsidRoot w:val="00640E28"/>
    <w:rsid w:val="003D7D20"/>
    <w:rsid w:val="00640E28"/>
    <w:rsid w:val="00900C83"/>
    <w:rsid w:val="00926B8A"/>
    <w:rsid w:val="00C3041F"/>
    <w:rsid w:val="00DB2C7D"/>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EE0"/>
    <w:pPr>
      <w:spacing w:after="200" w:line="276" w:lineRule="auto"/>
    </w:p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Heading1">
    <w:name w:val="Heading 1"/>
    <w:basedOn w:val="Normal"/>
    <w:next w:val="Normal"/>
    <w:link w:val="Heading1Char"/>
    <w:uiPriority w:val="9"/>
    <w:qFormat/>
    <w:rsid w:val="00465966"/>
    <w:pPr>
      <w:keepNext/>
      <w:keepLines/>
      <w:spacing w:before="480" w:after="0"/>
      <w:outlineLvl w:val="0"/>
    </w:pPr>
    <w:rPr>
      <w:rFonts w:asciiTheme="majorHAnsi" w:eastAsiaTheme="majorEastAsia" w:hAnsiTheme="majorHAnsi" w:cstheme="majorBidi"/>
      <w:b/>
      <w:bCs/>
      <w:color w:val="0B0BFF" w:themeColor="accent1" w:themeShade="BF"/>
      <w:sz w:val="28"/>
      <w:szCs w:val="28"/>
    </w:rPr>
  </w:style>
  <w:style w:type="paragraph" w:customStyle="1" w:styleId="Heading2">
    <w:name w:val="Heading 2"/>
    <w:basedOn w:val="Normal"/>
    <w:next w:val="Ingenmellomrom"/>
    <w:link w:val="Heading2Char"/>
    <w:uiPriority w:val="9"/>
    <w:unhideWhenUsed/>
    <w:qFormat/>
    <w:rsid w:val="00343D16"/>
    <w:pPr>
      <w:keepNext/>
      <w:keepLines/>
      <w:spacing w:before="200" w:after="0"/>
      <w:outlineLvl w:val="1"/>
    </w:pPr>
    <w:rPr>
      <w:rFonts w:asciiTheme="majorHAnsi" w:eastAsiaTheme="majorEastAsia" w:hAnsiTheme="majorHAnsi" w:cstheme="majorBidi"/>
      <w:b/>
      <w:bCs/>
      <w:color w:val="800080" w:themeColor="accent3"/>
      <w:sz w:val="26"/>
      <w:szCs w:val="26"/>
    </w:rPr>
  </w:style>
  <w:style w:type="paragraph" w:customStyle="1" w:styleId="Heading3">
    <w:name w:val="Heading 3"/>
    <w:basedOn w:val="Normal"/>
    <w:next w:val="Normal"/>
    <w:link w:val="Heading3Char"/>
    <w:uiPriority w:val="9"/>
    <w:unhideWhenUsed/>
    <w:qFormat/>
    <w:rsid w:val="00343D16"/>
    <w:pPr>
      <w:keepNext/>
      <w:keepLines/>
      <w:spacing w:before="200" w:after="0"/>
      <w:outlineLvl w:val="2"/>
    </w:pPr>
    <w:rPr>
      <w:rFonts w:asciiTheme="majorHAnsi" w:eastAsiaTheme="majorEastAsia" w:hAnsiTheme="majorHAnsi" w:cstheme="majorBidi"/>
      <w:b/>
      <w:bCs/>
      <w:color w:val="6565FF" w:themeColor="accent1"/>
    </w:rPr>
  </w:style>
  <w:style w:type="paragraph" w:customStyle="1" w:styleId="Heading4">
    <w:name w:val="Heading 4"/>
    <w:basedOn w:val="Normal"/>
    <w:next w:val="Normal"/>
    <w:link w:val="Heading4Char"/>
    <w:uiPriority w:val="9"/>
    <w:unhideWhenUsed/>
    <w:qFormat/>
    <w:rsid w:val="00211379"/>
    <w:pPr>
      <w:keepNext/>
      <w:keepLines/>
      <w:spacing w:before="40" w:after="0"/>
      <w:outlineLvl w:val="3"/>
    </w:pPr>
    <w:rPr>
      <w:rFonts w:asciiTheme="majorHAnsi" w:eastAsiaTheme="majorEastAsia" w:hAnsiTheme="majorHAnsi" w:cstheme="majorBidi"/>
      <w:i/>
      <w:iCs/>
      <w:color w:val="0B0BFF" w:themeColor="accent1" w:themeShade="BF"/>
    </w:rPr>
  </w:style>
  <w:style w:type="character" w:customStyle="1" w:styleId="Heading1Char">
    <w:name w:val="Heading 1 Char"/>
    <w:basedOn w:val="Standardskriftforavsnitt"/>
    <w:link w:val="Heading1"/>
    <w:uiPriority w:val="9"/>
    <w:qFormat/>
    <w:rsid w:val="00465966"/>
    <w:rPr>
      <w:rFonts w:asciiTheme="majorHAnsi" w:eastAsiaTheme="majorEastAsia" w:hAnsiTheme="majorHAnsi" w:cstheme="majorBidi"/>
      <w:b/>
      <w:bCs/>
      <w:color w:val="0B0BFF" w:themeColor="accent1" w:themeShade="BF"/>
      <w:sz w:val="28"/>
      <w:szCs w:val="28"/>
    </w:rPr>
  </w:style>
  <w:style w:type="character" w:customStyle="1" w:styleId="Heading2Char">
    <w:name w:val="Heading 2 Char"/>
    <w:basedOn w:val="Standardskriftforavsnitt"/>
    <w:link w:val="Heading2"/>
    <w:uiPriority w:val="9"/>
    <w:qFormat/>
    <w:rsid w:val="00343D16"/>
    <w:rPr>
      <w:rFonts w:asciiTheme="majorHAnsi" w:eastAsiaTheme="majorEastAsia" w:hAnsiTheme="majorHAnsi" w:cstheme="majorBidi"/>
      <w:b/>
      <w:bCs/>
      <w:color w:val="800080" w:themeColor="accent3"/>
      <w:sz w:val="26"/>
      <w:szCs w:val="26"/>
    </w:rPr>
  </w:style>
  <w:style w:type="character" w:customStyle="1" w:styleId="HeaderChar">
    <w:name w:val="Header Char"/>
    <w:basedOn w:val="Standardskriftforavsnitt"/>
    <w:link w:val="Header"/>
    <w:uiPriority w:val="99"/>
    <w:qFormat/>
    <w:rsid w:val="00465966"/>
  </w:style>
  <w:style w:type="character" w:customStyle="1" w:styleId="FooterChar">
    <w:name w:val="Footer Char"/>
    <w:basedOn w:val="Standardskriftforavsnitt"/>
    <w:link w:val="Footer"/>
    <w:uiPriority w:val="99"/>
    <w:qFormat/>
    <w:rsid w:val="00465966"/>
  </w:style>
  <w:style w:type="character" w:customStyle="1" w:styleId="BobletekstTegn">
    <w:name w:val="Bobletekst Tegn"/>
    <w:basedOn w:val="Standardskriftforavsnitt"/>
    <w:link w:val="Bobletekst"/>
    <w:uiPriority w:val="99"/>
    <w:semiHidden/>
    <w:qFormat/>
    <w:rsid w:val="00465966"/>
    <w:rPr>
      <w:rFonts w:ascii="Tahoma" w:hAnsi="Tahoma" w:cs="Tahoma"/>
      <w:sz w:val="16"/>
      <w:szCs w:val="16"/>
    </w:rPr>
  </w:style>
  <w:style w:type="character" w:customStyle="1" w:styleId="TittelTegn">
    <w:name w:val="Tittel Tegn"/>
    <w:basedOn w:val="Standardskriftforavsnitt"/>
    <w:link w:val="Tittel"/>
    <w:uiPriority w:val="10"/>
    <w:qFormat/>
    <w:rsid w:val="00753AD3"/>
    <w:rPr>
      <w:rFonts w:asciiTheme="majorHAnsi" w:eastAsiaTheme="majorEastAsia" w:hAnsiTheme="majorHAnsi" w:cstheme="majorBidi"/>
      <w:color w:val="17365D" w:themeColor="text2" w:themeShade="BF"/>
      <w:spacing w:val="5"/>
      <w:kern w:val="2"/>
      <w:sz w:val="52"/>
      <w:szCs w:val="52"/>
    </w:rPr>
  </w:style>
  <w:style w:type="character" w:customStyle="1" w:styleId="Heading3Char">
    <w:name w:val="Heading 3 Char"/>
    <w:basedOn w:val="Standardskriftforavsnitt"/>
    <w:link w:val="Heading3"/>
    <w:uiPriority w:val="9"/>
    <w:qFormat/>
    <w:rsid w:val="00343D16"/>
    <w:rPr>
      <w:rFonts w:asciiTheme="majorHAnsi" w:eastAsiaTheme="majorEastAsia" w:hAnsiTheme="majorHAnsi" w:cstheme="majorBidi"/>
      <w:b/>
      <w:bCs/>
      <w:color w:val="6565FF" w:themeColor="accent1"/>
    </w:rPr>
  </w:style>
  <w:style w:type="character" w:styleId="Merknadsreferanse">
    <w:name w:val="annotation reference"/>
    <w:basedOn w:val="Standardskriftforavsnitt"/>
    <w:uiPriority w:val="99"/>
    <w:semiHidden/>
    <w:unhideWhenUsed/>
    <w:qFormat/>
    <w:rsid w:val="006E6BAB"/>
    <w:rPr>
      <w:sz w:val="16"/>
      <w:szCs w:val="16"/>
    </w:rPr>
  </w:style>
  <w:style w:type="character" w:customStyle="1" w:styleId="MerknadstekstTegn">
    <w:name w:val="Merknadstekst Tegn"/>
    <w:basedOn w:val="Standardskriftforavsnitt"/>
    <w:link w:val="Merknadstekst"/>
    <w:uiPriority w:val="99"/>
    <w:semiHidden/>
    <w:qFormat/>
    <w:rsid w:val="006E6BAB"/>
    <w:rPr>
      <w:sz w:val="20"/>
      <w:szCs w:val="20"/>
    </w:rPr>
  </w:style>
  <w:style w:type="character" w:customStyle="1" w:styleId="KommentaremneTegn">
    <w:name w:val="Kommentaremne Tegn"/>
    <w:basedOn w:val="MerknadstekstTegn"/>
    <w:link w:val="Kommentaremne"/>
    <w:uiPriority w:val="99"/>
    <w:semiHidden/>
    <w:qFormat/>
    <w:rsid w:val="006E6BAB"/>
    <w:rPr>
      <w:b/>
      <w:bCs/>
      <w:sz w:val="20"/>
      <w:szCs w:val="20"/>
    </w:rPr>
  </w:style>
  <w:style w:type="character" w:styleId="Hyperkobling">
    <w:name w:val="Hyperlink"/>
    <w:basedOn w:val="Standardskriftforavsnitt"/>
    <w:uiPriority w:val="99"/>
    <w:unhideWhenUsed/>
    <w:rsid w:val="000D445D"/>
    <w:rPr>
      <w:color w:val="0000FF" w:themeColor="hyperlink"/>
      <w:u w:val="single"/>
    </w:rPr>
  </w:style>
  <w:style w:type="character" w:customStyle="1" w:styleId="Heading4Char">
    <w:name w:val="Heading 4 Char"/>
    <w:basedOn w:val="Standardskriftforavsnitt"/>
    <w:link w:val="Heading4"/>
    <w:uiPriority w:val="9"/>
    <w:qFormat/>
    <w:rsid w:val="00211379"/>
    <w:rPr>
      <w:rFonts w:asciiTheme="majorHAnsi" w:eastAsiaTheme="majorEastAsia" w:hAnsiTheme="majorHAnsi" w:cstheme="majorBidi"/>
      <w:i/>
      <w:iCs/>
      <w:color w:val="0B0BFF" w:themeColor="accent1" w:themeShade="BF"/>
    </w:rPr>
  </w:style>
  <w:style w:type="character" w:customStyle="1" w:styleId="UnresolvedMention1">
    <w:name w:val="Unresolved Mention1"/>
    <w:basedOn w:val="Standardskriftforavsnitt"/>
    <w:uiPriority w:val="99"/>
    <w:semiHidden/>
    <w:unhideWhenUsed/>
    <w:qFormat/>
    <w:rsid w:val="009A5288"/>
    <w:rPr>
      <w:color w:val="605E5C"/>
      <w:shd w:val="clear" w:color="auto" w:fill="E1DFDD"/>
    </w:rPr>
  </w:style>
  <w:style w:type="paragraph" w:customStyle="1" w:styleId="Heading">
    <w:name w:val="Heading"/>
    <w:basedOn w:val="Normal"/>
    <w:next w:val="Brdtekst"/>
    <w:qFormat/>
    <w:rsid w:val="00640E28"/>
    <w:pPr>
      <w:keepNext/>
      <w:spacing w:before="240" w:after="120"/>
    </w:pPr>
    <w:rPr>
      <w:rFonts w:ascii="Carlito" w:eastAsia="Noto Sans SC Regular" w:hAnsi="Carlito" w:cs="Noto Sans Devanagari"/>
      <w:sz w:val="28"/>
      <w:szCs w:val="28"/>
    </w:rPr>
  </w:style>
  <w:style w:type="paragraph" w:styleId="Brdtekst">
    <w:name w:val="Body Text"/>
    <w:basedOn w:val="Normal"/>
    <w:rsid w:val="00640E28"/>
    <w:pPr>
      <w:spacing w:after="140"/>
    </w:pPr>
  </w:style>
  <w:style w:type="paragraph" w:styleId="Liste">
    <w:name w:val="List"/>
    <w:basedOn w:val="Brdtekst"/>
    <w:rsid w:val="00640E28"/>
    <w:rPr>
      <w:rFonts w:cs="Noto Sans Devanagari"/>
    </w:rPr>
  </w:style>
  <w:style w:type="paragraph" w:customStyle="1" w:styleId="Caption">
    <w:name w:val="Caption"/>
    <w:basedOn w:val="Normal"/>
    <w:qFormat/>
    <w:rsid w:val="00640E28"/>
    <w:pPr>
      <w:suppressLineNumbers/>
      <w:spacing w:before="120" w:after="120"/>
    </w:pPr>
    <w:rPr>
      <w:rFonts w:cs="Noto Sans Devanagari"/>
      <w:i/>
      <w:iCs/>
      <w:sz w:val="24"/>
      <w:szCs w:val="24"/>
    </w:rPr>
  </w:style>
  <w:style w:type="paragraph" w:customStyle="1" w:styleId="Index">
    <w:name w:val="Index"/>
    <w:basedOn w:val="Normal"/>
    <w:qFormat/>
    <w:rsid w:val="00640E28"/>
    <w:pPr>
      <w:suppressLineNumbers/>
    </w:pPr>
    <w:rPr>
      <w:rFonts w:cs="Noto Sans Devanagari"/>
    </w:rPr>
  </w:style>
  <w:style w:type="paragraph" w:styleId="Ingenmellomrom">
    <w:name w:val="No Spacing"/>
    <w:uiPriority w:val="1"/>
    <w:qFormat/>
    <w:rsid w:val="00465966"/>
  </w:style>
  <w:style w:type="paragraph" w:customStyle="1" w:styleId="HeaderandFooter">
    <w:name w:val="Header and Footer"/>
    <w:basedOn w:val="Normal"/>
    <w:qFormat/>
    <w:rsid w:val="00640E28"/>
  </w:style>
  <w:style w:type="paragraph" w:customStyle="1" w:styleId="Header">
    <w:name w:val="Header"/>
    <w:basedOn w:val="Normal"/>
    <w:link w:val="HeaderChar"/>
    <w:uiPriority w:val="99"/>
    <w:unhideWhenUsed/>
    <w:rsid w:val="00465966"/>
    <w:pPr>
      <w:tabs>
        <w:tab w:val="center" w:pos="4536"/>
        <w:tab w:val="right" w:pos="9072"/>
      </w:tabs>
      <w:spacing w:after="0" w:line="240" w:lineRule="auto"/>
    </w:pPr>
  </w:style>
  <w:style w:type="paragraph" w:customStyle="1" w:styleId="Footer">
    <w:name w:val="Footer"/>
    <w:basedOn w:val="Normal"/>
    <w:link w:val="FooterChar"/>
    <w:uiPriority w:val="99"/>
    <w:unhideWhenUsed/>
    <w:rsid w:val="00465966"/>
    <w:pPr>
      <w:tabs>
        <w:tab w:val="center" w:pos="4536"/>
        <w:tab w:val="right" w:pos="9072"/>
      </w:tabs>
      <w:spacing w:after="0" w:line="240" w:lineRule="auto"/>
    </w:pPr>
  </w:style>
  <w:style w:type="paragraph" w:styleId="Bobletekst">
    <w:name w:val="Balloon Text"/>
    <w:basedOn w:val="Normal"/>
    <w:link w:val="BobletekstTegn"/>
    <w:uiPriority w:val="99"/>
    <w:semiHidden/>
    <w:unhideWhenUsed/>
    <w:qFormat/>
    <w:rsid w:val="00465966"/>
    <w:pPr>
      <w:spacing w:after="0" w:line="240" w:lineRule="auto"/>
    </w:pPr>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eavsnitt">
    <w:name w:val="List Paragraph"/>
    <w:basedOn w:val="Normal"/>
    <w:uiPriority w:val="34"/>
    <w:qFormat/>
    <w:rsid w:val="00F80695"/>
    <w:pPr>
      <w:ind w:left="720"/>
      <w:contextualSpacing/>
    </w:pPr>
  </w:style>
  <w:style w:type="paragraph" w:customStyle="1" w:styleId="Default">
    <w:name w:val="Default"/>
    <w:qFormat/>
    <w:rsid w:val="00B226BE"/>
    <w:rPr>
      <w:rFonts w:ascii="Arial" w:hAnsi="Arial" w:cs="Arial"/>
      <w:color w:val="000000"/>
      <w:sz w:val="24"/>
      <w:szCs w:val="24"/>
      <w:lang w:val="en-GB"/>
    </w:rPr>
  </w:style>
  <w:style w:type="paragraph" w:styleId="Merknadstekst">
    <w:name w:val="annotation text"/>
    <w:basedOn w:val="Normal"/>
    <w:link w:val="MerknadstekstTegn"/>
    <w:uiPriority w:val="99"/>
    <w:semiHidden/>
    <w:unhideWhenUsed/>
    <w:qFormat/>
    <w:rsid w:val="006E6BAB"/>
    <w:pPr>
      <w:spacing w:line="240" w:lineRule="auto"/>
    </w:pPr>
    <w:rPr>
      <w:sz w:val="20"/>
      <w:szCs w:val="20"/>
    </w:rPr>
  </w:style>
  <w:style w:type="paragraph" w:styleId="Kommentaremne">
    <w:name w:val="annotation subject"/>
    <w:basedOn w:val="Merknadstekst"/>
    <w:next w:val="Merknadstekst"/>
    <w:link w:val="KommentaremneTegn"/>
    <w:uiPriority w:val="99"/>
    <w:semiHidden/>
    <w:unhideWhenUsed/>
    <w:qFormat/>
    <w:rsid w:val="006E6BAB"/>
    <w:rPr>
      <w:b/>
      <w:bCs/>
    </w:rPr>
  </w:style>
  <w:style w:type="paragraph" w:customStyle="1" w:styleId="TableContents">
    <w:name w:val="Table Contents"/>
    <w:basedOn w:val="Normal"/>
    <w:qFormat/>
    <w:rsid w:val="00640E28"/>
    <w:pPr>
      <w:widowControl w:val="0"/>
      <w:suppressLineNumbers/>
    </w:pPr>
  </w:style>
  <w:style w:type="paragraph" w:customStyle="1" w:styleId="TableHeading">
    <w:name w:val="Table Heading"/>
    <w:basedOn w:val="TableContents"/>
    <w:qFormat/>
    <w:rsid w:val="00640E28"/>
    <w:pPr>
      <w:jc w:val="center"/>
    </w:pPr>
    <w:rPr>
      <w:b/>
      <w:bCs/>
    </w:rPr>
  </w:style>
  <w:style w:type="table" w:styleId="Tabellrutenett">
    <w:name w:val="Table Grid"/>
    <w:basedOn w:val="Vanligtabell"/>
    <w:uiPriority w:val="59"/>
    <w:unhideWhenUsed/>
    <w:rsid w:val="007962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pptekst">
    <w:name w:val="header"/>
    <w:basedOn w:val="Normal"/>
    <w:link w:val="TopptekstTegn"/>
    <w:uiPriority w:val="99"/>
    <w:semiHidden/>
    <w:unhideWhenUsed/>
    <w:rsid w:val="00926B8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926B8A"/>
  </w:style>
  <w:style w:type="paragraph" w:styleId="Bunntekst">
    <w:name w:val="footer"/>
    <w:basedOn w:val="Normal"/>
    <w:link w:val="BunntekstTegn"/>
    <w:uiPriority w:val="99"/>
    <w:semiHidden/>
    <w:unhideWhenUsed/>
    <w:rsid w:val="00926B8A"/>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926B8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w.githubusercontent.com/132nd-vWing/OPAR-Brief/master/INTELLIGENCE/TGT_FOLDERS/SYTGT003_922nd_SCUD_regiment_base.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w.githubusercontent.com/132nd-vWing/OPAR-Brief/master/INTELLIGENCE/TGT_FOLDERS/SYTGT002_Syrian_Army_HQ_building2.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aw.githubusercontent.com/132nd-vWing/OPAR-Brief/master/INTELLIGENCE/TGT_FOLDERS/SYTGT001_Syrian_Army_HQ_building1.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EE3BB-BC6C-49C6-AABF-9E3249BAC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1457</Words>
  <Characters>7728</Characters>
  <Application>Microsoft Office Word</Application>
  <DocSecurity>0</DocSecurity>
  <Lines>64</Lines>
  <Paragraphs>18</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9167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JFACC D5 AOD</dc:title>
  <dc:creator>Neck</dc:creator>
  <cp:lastModifiedBy>Neck</cp:lastModifiedBy>
  <cp:revision>3</cp:revision>
  <cp:lastPrinted>2022-09-16T17:48:00Z</cp:lastPrinted>
  <dcterms:created xsi:type="dcterms:W3CDTF">2022-12-02T16:15:00Z</dcterms:created>
  <dcterms:modified xsi:type="dcterms:W3CDTF">2022-12-02T16:15:00Z</dcterms:modified>
  <dc:language>en-US</dc:language>
</cp:coreProperties>
</file>