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3C" w:rsidRDefault="00AB193C">
      <w:pPr>
        <w:pStyle w:val="Tittel"/>
        <w:spacing w:after="0"/>
        <w:jc w:val="center"/>
        <w:rPr>
          <w:lang w:val="en-GB"/>
        </w:rPr>
      </w:pPr>
    </w:p>
    <w:p w:rsidR="00AB193C" w:rsidRDefault="00F354F1">
      <w:pPr>
        <w:pStyle w:val="Tittel"/>
        <w:spacing w:after="0"/>
        <w:jc w:val="center"/>
        <w:rPr>
          <w:lang w:val="en-GB"/>
        </w:rPr>
      </w:pPr>
      <w:r>
        <w:rPr>
          <w:noProof/>
        </w:rPr>
        <w:drawing>
          <wp:inline distT="0" distB="0" distL="0" distR="0">
            <wp:extent cx="1725930" cy="1761490"/>
            <wp:effectExtent l="0" t="0" r="0" b="0"/>
            <wp:docPr id="1"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C:\Users\Frode\Downloads\OPAR JFACC logo.png"/>
                    <pic:cNvPicPr>
                      <a:picLocks noChangeAspect="1" noChangeArrowheads="1"/>
                    </pic:cNvPicPr>
                  </pic:nvPicPr>
                  <pic:blipFill>
                    <a:blip r:embed="rId8" cstate="print"/>
                    <a:stretch>
                      <a:fillRect/>
                    </a:stretch>
                  </pic:blipFill>
                  <pic:spPr bwMode="auto">
                    <a:xfrm>
                      <a:off x="0" y="0"/>
                      <a:ext cx="1725930" cy="1761490"/>
                    </a:xfrm>
                    <a:prstGeom prst="rect">
                      <a:avLst/>
                    </a:prstGeom>
                  </pic:spPr>
                </pic:pic>
              </a:graphicData>
            </a:graphic>
          </wp:inline>
        </w:drawing>
      </w:r>
    </w:p>
    <w:p w:rsidR="00AB193C" w:rsidRDefault="00F354F1">
      <w:pPr>
        <w:pStyle w:val="Tittel"/>
        <w:spacing w:after="0"/>
        <w:jc w:val="center"/>
        <w:rPr>
          <w:sz w:val="48"/>
          <w:lang w:val="en-GB"/>
        </w:rPr>
      </w:pPr>
      <w:r>
        <w:rPr>
          <w:sz w:val="48"/>
          <w:lang w:val="en-GB"/>
        </w:rPr>
        <w:t>JFACC AIR OPERATIONS DIRECTIVE</w:t>
      </w:r>
    </w:p>
    <w:p w:rsidR="00AB193C" w:rsidRDefault="00F354F1">
      <w:pPr>
        <w:pStyle w:val="Tittel"/>
        <w:spacing w:after="0"/>
        <w:jc w:val="center"/>
        <w:rPr>
          <w:sz w:val="48"/>
          <w:lang w:val="en-GB"/>
        </w:rPr>
      </w:pPr>
      <w:r>
        <w:rPr>
          <w:sz w:val="48"/>
          <w:lang w:val="en-GB"/>
        </w:rPr>
        <w:t>OPERATION ACTIVE RESOLVE 2</w:t>
      </w:r>
    </w:p>
    <w:p w:rsidR="00AB193C" w:rsidRDefault="00F354F1">
      <w:pPr>
        <w:pStyle w:val="Tittel"/>
        <w:spacing w:after="0"/>
        <w:jc w:val="center"/>
        <w:rPr>
          <w:sz w:val="48"/>
          <w:lang w:val="en-GB"/>
        </w:rPr>
      </w:pPr>
      <w:r>
        <w:rPr>
          <w:sz w:val="48"/>
          <w:lang w:val="en-GB"/>
        </w:rPr>
        <w:t>D</w:t>
      </w:r>
      <w:r>
        <w:rPr>
          <w:sz w:val="48"/>
          <w:lang w:val="en-GB"/>
        </w:rPr>
        <w:t>8</w:t>
      </w:r>
    </w:p>
    <w:p w:rsidR="00AB193C" w:rsidRDefault="00F354F1">
      <w:pPr>
        <w:pStyle w:val="Heading1"/>
        <w:spacing w:before="0"/>
        <w:contextualSpacing/>
        <w:rPr>
          <w:lang w:val="en-GB"/>
        </w:rPr>
      </w:pPr>
      <w:r>
        <w:rPr>
          <w:lang w:val="en-GB"/>
        </w:rPr>
        <w:t xml:space="preserve">1.  SITUATION </w:t>
      </w:r>
    </w:p>
    <w:p w:rsidR="00AB193C" w:rsidRDefault="00F354F1">
      <w:pPr>
        <w:pStyle w:val="Heading2"/>
        <w:spacing w:before="0"/>
        <w:contextualSpacing/>
        <w:rPr>
          <w:lang w:val="en-GB"/>
        </w:rPr>
      </w:pPr>
      <w:proofErr w:type="gramStart"/>
      <w:r>
        <w:rPr>
          <w:lang w:val="en-GB"/>
        </w:rPr>
        <w:t>a.  JFC</w:t>
      </w:r>
      <w:proofErr w:type="gramEnd"/>
      <w:r>
        <w:rPr>
          <w:lang w:val="en-GB"/>
        </w:rPr>
        <w:t xml:space="preserve"> guidance (verbatim). </w:t>
      </w:r>
    </w:p>
    <w:p w:rsidR="00AB193C" w:rsidRDefault="00F354F1">
      <w:pPr>
        <w:spacing w:after="0"/>
        <w:rPr>
          <w:rFonts w:ascii="Arial" w:hAnsi="Arial"/>
        </w:rPr>
      </w:pPr>
      <w:bookmarkStart w:id="0" w:name="page28R_mcid5"/>
      <w:bookmarkEnd w:id="0"/>
      <w:r>
        <w:rPr>
          <w:rFonts w:ascii="Arial" w:hAnsi="Arial"/>
          <w:lang w:val="en-US"/>
        </w:rPr>
        <w:t>Apportionment:</w:t>
      </w:r>
    </w:p>
    <w:p w:rsidR="00AB193C" w:rsidRDefault="00F354F1">
      <w:pPr>
        <w:numPr>
          <w:ilvl w:val="0"/>
          <w:numId w:val="5"/>
        </w:numPr>
        <w:spacing w:after="0"/>
        <w:rPr>
          <w:rFonts w:ascii="Arial" w:hAnsi="Arial"/>
        </w:rPr>
      </w:pPr>
      <w:r>
        <w:rPr>
          <w:rFonts w:ascii="Arial" w:hAnsi="Arial"/>
          <w:lang w:val="en-US"/>
        </w:rPr>
        <w:t>DCA: 5</w:t>
      </w:r>
    </w:p>
    <w:p w:rsidR="00AB193C" w:rsidRDefault="00F354F1">
      <w:pPr>
        <w:numPr>
          <w:ilvl w:val="0"/>
          <w:numId w:val="5"/>
        </w:numPr>
        <w:spacing w:after="0"/>
        <w:rPr>
          <w:rFonts w:ascii="Arial" w:hAnsi="Arial"/>
        </w:rPr>
      </w:pPr>
      <w:r>
        <w:rPr>
          <w:rFonts w:ascii="Arial" w:hAnsi="Arial"/>
          <w:lang w:val="en-US"/>
        </w:rPr>
        <w:t>OCA: 40%</w:t>
      </w:r>
    </w:p>
    <w:p w:rsidR="00AB193C" w:rsidRDefault="00F354F1">
      <w:pPr>
        <w:numPr>
          <w:ilvl w:val="0"/>
          <w:numId w:val="5"/>
        </w:numPr>
        <w:spacing w:after="0"/>
        <w:rPr>
          <w:rFonts w:ascii="Arial" w:hAnsi="Arial"/>
        </w:rPr>
      </w:pPr>
      <w:r>
        <w:rPr>
          <w:rFonts w:ascii="Arial" w:hAnsi="Arial"/>
          <w:lang w:val="en-US"/>
        </w:rPr>
        <w:t>Strike/Air Inte</w:t>
      </w:r>
      <w:r>
        <w:rPr>
          <w:lang w:val="en-US"/>
        </w:rPr>
        <w:t>r</w:t>
      </w:r>
      <w:r>
        <w:rPr>
          <w:rFonts w:ascii="Arial" w:hAnsi="Arial"/>
          <w:lang w:val="en-US"/>
        </w:rPr>
        <w:t>diction: 20%</w:t>
      </w:r>
    </w:p>
    <w:p w:rsidR="00AB193C" w:rsidRDefault="00F354F1">
      <w:pPr>
        <w:numPr>
          <w:ilvl w:val="0"/>
          <w:numId w:val="5"/>
        </w:numPr>
        <w:spacing w:after="0"/>
        <w:rPr>
          <w:rFonts w:ascii="Arial" w:hAnsi="Arial"/>
        </w:rPr>
      </w:pPr>
      <w:r>
        <w:rPr>
          <w:rFonts w:ascii="Arial" w:hAnsi="Arial"/>
          <w:lang w:val="en-US"/>
        </w:rPr>
        <w:t>Support LCC: 30%</w:t>
      </w:r>
    </w:p>
    <w:p w:rsidR="00AB193C" w:rsidRDefault="00F354F1">
      <w:pPr>
        <w:numPr>
          <w:ilvl w:val="0"/>
          <w:numId w:val="5"/>
        </w:numPr>
        <w:spacing w:after="0"/>
        <w:rPr>
          <w:rFonts w:ascii="Arial" w:hAnsi="Arial"/>
        </w:rPr>
      </w:pPr>
      <w:r>
        <w:rPr>
          <w:rFonts w:ascii="Arial" w:hAnsi="Arial"/>
          <w:lang w:val="en-US"/>
        </w:rPr>
        <w:t>AR:10%</w:t>
      </w:r>
    </w:p>
    <w:p w:rsidR="00AB193C" w:rsidRDefault="00F354F1">
      <w:pPr>
        <w:numPr>
          <w:ilvl w:val="0"/>
          <w:numId w:val="5"/>
        </w:numPr>
        <w:spacing w:after="0"/>
        <w:rPr>
          <w:rFonts w:ascii="Arial" w:hAnsi="Arial"/>
        </w:rPr>
      </w:pPr>
      <w:r>
        <w:rPr>
          <w:rFonts w:ascii="Arial" w:hAnsi="Arial"/>
          <w:lang w:val="en-US"/>
        </w:rPr>
        <w:t>CAS: 20%</w:t>
      </w:r>
    </w:p>
    <w:p w:rsidR="00AB193C" w:rsidRDefault="00F354F1">
      <w:pPr>
        <w:numPr>
          <w:ilvl w:val="0"/>
          <w:numId w:val="5"/>
        </w:numPr>
        <w:spacing w:after="0"/>
        <w:rPr>
          <w:rFonts w:ascii="Arial" w:hAnsi="Arial"/>
        </w:rPr>
      </w:pPr>
      <w:r>
        <w:rPr>
          <w:rFonts w:ascii="Arial" w:hAnsi="Arial"/>
          <w:lang w:val="en-US"/>
        </w:rPr>
        <w:t>Support MCC:</w:t>
      </w:r>
    </w:p>
    <w:p w:rsidR="00AB193C" w:rsidRDefault="00F354F1">
      <w:pPr>
        <w:numPr>
          <w:ilvl w:val="0"/>
          <w:numId w:val="5"/>
        </w:numPr>
        <w:spacing w:after="0"/>
        <w:rPr>
          <w:rFonts w:ascii="Arial" w:hAnsi="Arial"/>
        </w:rPr>
      </w:pPr>
      <w:r>
        <w:rPr>
          <w:rFonts w:ascii="Arial" w:hAnsi="Arial"/>
          <w:lang w:val="en-US"/>
        </w:rPr>
        <w:t xml:space="preserve">ASUW/NTISR: 5% </w:t>
      </w:r>
    </w:p>
    <w:p w:rsidR="00AB193C" w:rsidRDefault="00AB193C">
      <w:pPr>
        <w:pStyle w:val="Ingenmellomrom"/>
        <w:rPr>
          <w:lang w:val="en-US"/>
        </w:rPr>
      </w:pPr>
    </w:p>
    <w:p w:rsidR="00AB193C" w:rsidRDefault="00F354F1">
      <w:pPr>
        <w:pStyle w:val="Ingenmellomrom"/>
        <w:rPr>
          <w:lang w:val="en-US"/>
        </w:rPr>
      </w:pPr>
      <w:r>
        <w:rPr>
          <w:lang w:val="en-US"/>
        </w:rPr>
        <w:t xml:space="preserve">Priority of effort is </w:t>
      </w:r>
      <w:r>
        <w:rPr>
          <w:lang w:val="en-US"/>
        </w:rPr>
        <w:t>on establishing Air Superiority in support of LCC and set conditions</w:t>
      </w:r>
    </w:p>
    <w:p w:rsidR="00AB193C" w:rsidRDefault="00F354F1">
      <w:pPr>
        <w:pStyle w:val="Ingenmellomrom"/>
        <w:rPr>
          <w:lang w:val="en-US"/>
        </w:rPr>
      </w:pPr>
      <w:proofErr w:type="gramStart"/>
      <w:r>
        <w:rPr>
          <w:lang w:val="en-US"/>
        </w:rPr>
        <w:t>for</w:t>
      </w:r>
      <w:proofErr w:type="gramEnd"/>
      <w:r>
        <w:rPr>
          <w:lang w:val="en-US"/>
        </w:rPr>
        <w:t xml:space="preserve"> own operations.</w:t>
      </w:r>
    </w:p>
    <w:p w:rsidR="00AB193C" w:rsidRDefault="00F354F1">
      <w:pPr>
        <w:pStyle w:val="Ingenmellomrom"/>
        <w:numPr>
          <w:ilvl w:val="0"/>
          <w:numId w:val="2"/>
        </w:numPr>
        <w:rPr>
          <w:lang w:val="en-US"/>
        </w:rPr>
      </w:pPr>
      <w:r>
        <w:rPr>
          <w:lang w:val="en-US"/>
        </w:rPr>
        <w:t>Start shaping for phase 2 in the operation (Create permissive environment).</w:t>
      </w:r>
    </w:p>
    <w:p w:rsidR="00AB193C" w:rsidRDefault="00F354F1">
      <w:pPr>
        <w:pStyle w:val="Ingenmellomrom"/>
        <w:numPr>
          <w:ilvl w:val="0"/>
          <w:numId w:val="2"/>
        </w:numPr>
        <w:rPr>
          <w:lang w:val="en-US"/>
        </w:rPr>
      </w:pPr>
      <w:r>
        <w:rPr>
          <w:lang w:val="en-US"/>
        </w:rPr>
        <w:t>Start strike operations in Syria as applicable.</w:t>
      </w:r>
    </w:p>
    <w:p w:rsidR="00AB193C" w:rsidRDefault="00F354F1">
      <w:pPr>
        <w:pStyle w:val="Ingenmellomrom"/>
        <w:numPr>
          <w:ilvl w:val="0"/>
          <w:numId w:val="2"/>
        </w:numPr>
        <w:rPr>
          <w:lang w:val="en-US"/>
        </w:rPr>
      </w:pPr>
      <w:r>
        <w:rPr>
          <w:lang w:val="en-US"/>
        </w:rPr>
        <w:t>Continue support to LCC in effort to free T</w:t>
      </w:r>
      <w:r>
        <w:rPr>
          <w:lang w:val="en-US"/>
        </w:rPr>
        <w:t>urkey.</w:t>
      </w:r>
    </w:p>
    <w:p w:rsidR="00AB193C" w:rsidRDefault="00F354F1">
      <w:pPr>
        <w:pStyle w:val="Ingenmellomrom"/>
        <w:ind w:left="1416"/>
        <w:rPr>
          <w:lang w:val="en-US"/>
        </w:rPr>
      </w:pPr>
      <w:proofErr w:type="gramStart"/>
      <w:r>
        <w:rPr>
          <w:lang w:val="en-US"/>
        </w:rPr>
        <w:t>o</w:t>
      </w:r>
      <w:proofErr w:type="gramEnd"/>
      <w:r>
        <w:rPr>
          <w:lang w:val="en-US"/>
        </w:rPr>
        <w:t xml:space="preserve"> RESTRICTION: Reduce/limit AR operations in Syrian territory until LCC have made a plan for the ground offensive into Syria. Focus the effort on CAS </w:t>
      </w:r>
      <w:proofErr w:type="gramStart"/>
      <w:r>
        <w:rPr>
          <w:lang w:val="en-US"/>
        </w:rPr>
        <w:t>and</w:t>
      </w:r>
      <w:proofErr w:type="gramEnd"/>
      <w:r>
        <w:rPr>
          <w:lang w:val="en-US"/>
        </w:rPr>
        <w:t xml:space="preserve"> AR in direct support close to the friendly forces in Turkey.</w:t>
      </w:r>
    </w:p>
    <w:p w:rsidR="00AB193C" w:rsidRDefault="00F354F1">
      <w:pPr>
        <w:pStyle w:val="Ingenmellomrom"/>
        <w:numPr>
          <w:ilvl w:val="0"/>
          <w:numId w:val="2"/>
        </w:numPr>
        <w:rPr>
          <w:lang w:val="en-US"/>
        </w:rPr>
      </w:pPr>
      <w:r>
        <w:rPr>
          <w:lang w:val="en-US"/>
        </w:rPr>
        <w:t>Start supporting MCC by monitoring</w:t>
      </w:r>
      <w:r>
        <w:rPr>
          <w:lang w:val="en-US"/>
        </w:rPr>
        <w:t xml:space="preserve"> the situation in EMED with two SAGs from Russian and China arriving in the area of operation.</w:t>
      </w:r>
    </w:p>
    <w:p w:rsidR="00AB193C" w:rsidRDefault="00F354F1">
      <w:pPr>
        <w:pStyle w:val="Ingenmellomrom"/>
        <w:numPr>
          <w:ilvl w:val="0"/>
          <w:numId w:val="2"/>
        </w:numPr>
        <w:rPr>
          <w:lang w:val="en-US"/>
        </w:rPr>
      </w:pPr>
      <w:r>
        <w:rPr>
          <w:lang w:val="en-US"/>
        </w:rPr>
        <w:t xml:space="preserve">Be prepared to prepare contingency plans for striking Syrian WMD at short notice (regardless of phase). Expect this plan to be asked for prior to commencing </w:t>
      </w:r>
      <w:r>
        <w:rPr>
          <w:lang w:val="en-US"/>
        </w:rPr>
        <w:t>phase 2. ALR: HIGH approved for such a plan.</w:t>
      </w:r>
    </w:p>
    <w:p w:rsidR="00AB193C" w:rsidRDefault="00AB193C">
      <w:pPr>
        <w:pStyle w:val="Ingenmellomrom"/>
        <w:contextualSpacing/>
        <w:rPr>
          <w:lang w:val="en-US"/>
        </w:rPr>
      </w:pPr>
    </w:p>
    <w:p w:rsidR="00AB193C" w:rsidRDefault="00F354F1">
      <w:pPr>
        <w:pStyle w:val="Heading2"/>
        <w:spacing w:before="0"/>
        <w:contextualSpacing/>
        <w:rPr>
          <w:lang w:val="en-GB"/>
        </w:rPr>
      </w:pPr>
      <w:proofErr w:type="gramStart"/>
      <w:r>
        <w:rPr>
          <w:lang w:val="en-GB"/>
        </w:rPr>
        <w:t>b.  Enemy</w:t>
      </w:r>
      <w:proofErr w:type="gramEnd"/>
      <w:r>
        <w:rPr>
          <w:lang w:val="en-GB"/>
        </w:rPr>
        <w:t xml:space="preserve"> situation. </w:t>
      </w:r>
    </w:p>
    <w:p w:rsidR="00AB193C" w:rsidRDefault="00F354F1">
      <w:pPr>
        <w:pStyle w:val="Ingenmellomrom"/>
        <w:contextualSpacing/>
        <w:rPr>
          <w:lang w:val="en-GB"/>
        </w:rPr>
      </w:pPr>
      <w:r>
        <w:rPr>
          <w:lang w:val="en-GB"/>
        </w:rPr>
        <w:t>The current enemy situation is defined in VIS INTSUM D</w:t>
      </w:r>
      <w:r>
        <w:rPr>
          <w:lang w:val="en-GB"/>
        </w:rPr>
        <w:t>7</w:t>
      </w:r>
      <w:r>
        <w:rPr>
          <w:lang w:val="en-GB"/>
        </w:rPr>
        <w:t>, available at OPAR BRIEF.</w:t>
      </w:r>
    </w:p>
    <w:p w:rsidR="00AB193C" w:rsidRDefault="00AB193C">
      <w:pPr>
        <w:pStyle w:val="Ingenmellomrom"/>
        <w:contextualSpacing/>
        <w:rPr>
          <w:lang w:val="en-GB"/>
        </w:rPr>
      </w:pPr>
    </w:p>
    <w:p w:rsidR="00AB193C" w:rsidRDefault="00F354F1">
      <w:pPr>
        <w:pStyle w:val="Heading2"/>
        <w:spacing w:before="0"/>
        <w:contextualSpacing/>
        <w:rPr>
          <w:lang w:val="en-GB"/>
        </w:rPr>
      </w:pPr>
      <w:proofErr w:type="gramStart"/>
      <w:r>
        <w:rPr>
          <w:lang w:val="en-GB"/>
        </w:rPr>
        <w:lastRenderedPageBreak/>
        <w:t>c.  Friendly</w:t>
      </w:r>
      <w:proofErr w:type="gramEnd"/>
      <w:r>
        <w:rPr>
          <w:lang w:val="en-GB"/>
        </w:rPr>
        <w:t xml:space="preserve"> situation (by joint force component). </w:t>
      </w:r>
    </w:p>
    <w:p w:rsidR="00AB193C" w:rsidRDefault="00F354F1">
      <w:pPr>
        <w:pStyle w:val="Heading3"/>
        <w:rPr>
          <w:lang w:val="en-GB"/>
        </w:rPr>
      </w:pPr>
      <w:r>
        <w:rPr>
          <w:lang w:val="en-GB"/>
        </w:rPr>
        <w:t>Land Component Command (LCC)</w:t>
      </w:r>
    </w:p>
    <w:p w:rsidR="00AB193C" w:rsidRDefault="00F354F1">
      <w:pPr>
        <w:pStyle w:val="Heading4"/>
        <w:rPr>
          <w:lang w:val="en-US"/>
        </w:rPr>
      </w:pPr>
      <w:r>
        <w:rPr>
          <w:lang w:val="en-US"/>
        </w:rPr>
        <w:t>IV Corps</w:t>
      </w:r>
    </w:p>
    <w:p w:rsidR="00AB193C" w:rsidRDefault="00F354F1">
      <w:pPr>
        <w:pStyle w:val="Ingenmellomrom"/>
        <w:contextualSpacing/>
        <w:rPr>
          <w:lang w:val="en-US"/>
        </w:rPr>
      </w:pPr>
      <w:r>
        <w:rPr>
          <w:lang w:val="en-US"/>
        </w:rPr>
        <w:t xml:space="preserve">The 55th </w:t>
      </w:r>
      <w:r>
        <w:rPr>
          <w:lang w:val="en-US"/>
        </w:rPr>
        <w:t xml:space="preserve">Mechanized Division has secured HATAY and </w:t>
      </w:r>
      <w:proofErr w:type="gramStart"/>
      <w:r>
        <w:rPr>
          <w:lang w:val="en-US"/>
        </w:rPr>
        <w:t>have</w:t>
      </w:r>
      <w:proofErr w:type="gramEnd"/>
      <w:r>
        <w:rPr>
          <w:lang w:val="en-US"/>
        </w:rPr>
        <w:t xml:space="preserve"> moved forward battalions to screening positions along the FLOT.</w:t>
      </w:r>
    </w:p>
    <w:p w:rsidR="00AB193C" w:rsidRDefault="00AB193C">
      <w:pPr>
        <w:pStyle w:val="Ingenmellomrom"/>
        <w:contextualSpacing/>
        <w:rPr>
          <w:lang w:val="en-US"/>
        </w:rPr>
      </w:pPr>
    </w:p>
    <w:p w:rsidR="00AB193C" w:rsidRDefault="00F354F1">
      <w:pPr>
        <w:pStyle w:val="Ingenmellomrom"/>
        <w:contextualSpacing/>
        <w:rPr>
          <w:lang w:val="en-US"/>
        </w:rPr>
      </w:pPr>
      <w:r>
        <w:rPr>
          <w:lang w:val="en-US"/>
        </w:rPr>
        <w:t>56th Armor Division has its forward elements at the southern outskirt of Gaziantep and are</w:t>
      </w:r>
    </w:p>
    <w:p w:rsidR="00AB193C" w:rsidRDefault="00F354F1">
      <w:pPr>
        <w:pStyle w:val="Ingenmellomrom"/>
        <w:contextualSpacing/>
        <w:rPr>
          <w:lang w:val="en-US"/>
        </w:rPr>
      </w:pPr>
      <w:proofErr w:type="gramStart"/>
      <w:r>
        <w:rPr>
          <w:lang w:val="en-US"/>
        </w:rPr>
        <w:t>moving</w:t>
      </w:r>
      <w:proofErr w:type="gramEnd"/>
      <w:r>
        <w:rPr>
          <w:lang w:val="en-US"/>
        </w:rPr>
        <w:t xml:space="preserve"> according to LCC plan. Gaziantep Airfield is n</w:t>
      </w:r>
      <w:r>
        <w:rPr>
          <w:lang w:val="en-US"/>
        </w:rPr>
        <w:t>ow fully under allied control and</w:t>
      </w:r>
    </w:p>
    <w:p w:rsidR="00AB193C" w:rsidRDefault="00F354F1">
      <w:pPr>
        <w:pStyle w:val="Ingenmellomrom"/>
        <w:contextualSpacing/>
        <w:rPr>
          <w:lang w:val="en-US"/>
        </w:rPr>
      </w:pPr>
      <w:proofErr w:type="gramStart"/>
      <w:r>
        <w:rPr>
          <w:lang w:val="en-US"/>
        </w:rPr>
        <w:t>shipments</w:t>
      </w:r>
      <w:proofErr w:type="gramEnd"/>
      <w:r>
        <w:rPr>
          <w:lang w:val="en-US"/>
        </w:rPr>
        <w:t xml:space="preserve"> of fuel and ordnance have started to arrive. The airfield can now be used for AH-</w:t>
      </w:r>
    </w:p>
    <w:p w:rsidR="00AB193C" w:rsidRDefault="00F354F1">
      <w:pPr>
        <w:pStyle w:val="Ingenmellomrom"/>
        <w:contextualSpacing/>
        <w:rPr>
          <w:lang w:val="en-US"/>
        </w:rPr>
      </w:pPr>
      <w:proofErr w:type="gramStart"/>
      <w:r>
        <w:rPr>
          <w:lang w:val="en-US"/>
        </w:rPr>
        <w:t>64s and A-10s.</w:t>
      </w:r>
      <w:proofErr w:type="gramEnd"/>
    </w:p>
    <w:p w:rsidR="00AB193C" w:rsidRDefault="00F354F1">
      <w:pPr>
        <w:pStyle w:val="Ingenmellomrom"/>
        <w:contextualSpacing/>
        <w:rPr>
          <w:lang w:val="en-US"/>
        </w:rPr>
      </w:pPr>
      <w:r>
        <w:rPr>
          <w:noProof/>
        </w:rPr>
        <w:drawing>
          <wp:inline distT="0" distB="0" distL="0" distR="0">
            <wp:extent cx="5760720" cy="311975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5760720" cy="3119755"/>
                    </a:xfrm>
                    <a:prstGeom prst="rect">
                      <a:avLst/>
                    </a:prstGeom>
                  </pic:spPr>
                </pic:pic>
              </a:graphicData>
            </a:graphic>
          </wp:inline>
        </w:drawing>
      </w:r>
    </w:p>
    <w:p w:rsidR="00AB193C" w:rsidRDefault="00AB193C">
      <w:pPr>
        <w:pStyle w:val="Ingenmellomrom"/>
        <w:contextualSpacing/>
        <w:rPr>
          <w:lang w:val="en-US"/>
        </w:rPr>
      </w:pPr>
    </w:p>
    <w:p w:rsidR="00AB193C" w:rsidRDefault="00F354F1">
      <w:pPr>
        <w:pStyle w:val="Heading4"/>
        <w:rPr>
          <w:lang w:val="en-US"/>
        </w:rPr>
      </w:pPr>
      <w:r>
        <w:rPr>
          <w:lang w:val="en-US"/>
        </w:rPr>
        <w:t>Turkish local forces</w:t>
      </w:r>
    </w:p>
    <w:p w:rsidR="00AB193C" w:rsidRDefault="00F354F1">
      <w:pPr>
        <w:pStyle w:val="Ingenmellomrom"/>
        <w:contextualSpacing/>
        <w:rPr>
          <w:lang w:val="en-US"/>
        </w:rPr>
      </w:pPr>
      <w:r>
        <w:rPr>
          <w:lang w:val="en-US"/>
        </w:rPr>
        <w:t>The Turkish 33rd Brigade have been neutralized and Syrian forces have now taken</w:t>
      </w:r>
    </w:p>
    <w:p w:rsidR="00AB193C" w:rsidRDefault="00F354F1">
      <w:pPr>
        <w:pStyle w:val="Ingenmellomrom"/>
        <w:contextualSpacing/>
        <w:rPr>
          <w:lang w:val="en-US"/>
        </w:rPr>
      </w:pPr>
      <w:proofErr w:type="gramStart"/>
      <w:r>
        <w:rPr>
          <w:lang w:val="en-US"/>
        </w:rPr>
        <w:t>control</w:t>
      </w:r>
      <w:proofErr w:type="gramEnd"/>
      <w:r>
        <w:rPr>
          <w:lang w:val="en-US"/>
        </w:rPr>
        <w:t xml:space="preserve"> of </w:t>
      </w:r>
      <w:proofErr w:type="spellStart"/>
      <w:r>
        <w:rPr>
          <w:lang w:val="en-US"/>
        </w:rPr>
        <w:t>Sanliurfa</w:t>
      </w:r>
      <w:proofErr w:type="spellEnd"/>
    </w:p>
    <w:p w:rsidR="00AB193C" w:rsidRDefault="00AB193C">
      <w:pPr>
        <w:pStyle w:val="Ingenmellomrom"/>
        <w:contextualSpacing/>
        <w:rPr>
          <w:lang w:val="en-US"/>
        </w:rPr>
      </w:pPr>
    </w:p>
    <w:p w:rsidR="00AB193C" w:rsidRDefault="00F354F1">
      <w:pPr>
        <w:pStyle w:val="Heading3"/>
        <w:rPr>
          <w:lang w:val="en-US"/>
        </w:rPr>
      </w:pPr>
      <w:r>
        <w:rPr>
          <w:lang w:val="en-US"/>
        </w:rPr>
        <w:t>Maritime Component Command (MCC)</w:t>
      </w:r>
    </w:p>
    <w:p w:rsidR="00AB193C" w:rsidRDefault="00F354F1">
      <w:pPr>
        <w:pStyle w:val="Ingenmellomrom"/>
        <w:contextualSpacing/>
        <w:rPr>
          <w:lang w:val="en-US"/>
        </w:rPr>
      </w:pPr>
      <w:r>
        <w:rPr>
          <w:lang w:val="en-US"/>
        </w:rPr>
        <w:t>CSG-1 continues to support the mission from CSG-1 operations box.</w:t>
      </w:r>
    </w:p>
    <w:p w:rsidR="00AB193C" w:rsidRDefault="00F354F1">
      <w:pPr>
        <w:pStyle w:val="Ingenmellomrom"/>
        <w:contextualSpacing/>
        <w:rPr>
          <w:lang w:val="en-US"/>
        </w:rPr>
      </w:pPr>
      <w:proofErr w:type="gramStart"/>
      <w:r>
        <w:rPr>
          <w:lang w:val="en-US"/>
        </w:rPr>
        <w:t>SAG</w:t>
      </w:r>
      <w:proofErr w:type="gramEnd"/>
      <w:r>
        <w:rPr>
          <w:lang w:val="en-US"/>
        </w:rPr>
        <w:t xml:space="preserve"> 1 remains outside the AO, having been directed to support shipping movements elsewhere.</w:t>
      </w:r>
    </w:p>
    <w:p w:rsidR="00AB193C" w:rsidRDefault="00AB193C">
      <w:pPr>
        <w:pStyle w:val="Ingenmellomrom"/>
        <w:contextualSpacing/>
        <w:rPr>
          <w:lang w:val="en-US"/>
        </w:rPr>
      </w:pPr>
    </w:p>
    <w:p w:rsidR="00AB193C" w:rsidRDefault="00F354F1">
      <w:pPr>
        <w:pStyle w:val="Heading3"/>
        <w:rPr>
          <w:lang w:val="en-US"/>
        </w:rPr>
      </w:pPr>
      <w:r>
        <w:rPr>
          <w:lang w:val="en-US"/>
        </w:rPr>
        <w:t>Special Operations Component Command (SOCC)</w:t>
      </w:r>
    </w:p>
    <w:p w:rsidR="00AB193C" w:rsidRDefault="00F354F1">
      <w:pPr>
        <w:pStyle w:val="Ingenmellomrom"/>
        <w:contextualSpacing/>
        <w:rPr>
          <w:lang w:val="en-US"/>
        </w:rPr>
      </w:pPr>
      <w:r>
        <w:rPr>
          <w:lang w:val="en-US"/>
        </w:rPr>
        <w:t>SOF teams</w:t>
      </w:r>
      <w:r>
        <w:rPr>
          <w:lang w:val="en-US"/>
        </w:rPr>
        <w:t xml:space="preserve"> are standing by to support with reconnaissance as required and requested by JFACC.</w:t>
      </w:r>
    </w:p>
    <w:p w:rsidR="00AB193C" w:rsidRDefault="00F354F1">
      <w:pPr>
        <w:pStyle w:val="Ingenmellomrom"/>
        <w:numPr>
          <w:ilvl w:val="0"/>
          <w:numId w:val="3"/>
        </w:numPr>
        <w:contextualSpacing/>
        <w:rPr>
          <w:lang w:val="en-US"/>
        </w:rPr>
      </w:pPr>
      <w:r>
        <w:rPr>
          <w:lang w:val="en-US"/>
        </w:rPr>
        <w:t>Three SOF teams were inserted into theatre in support of the observation of strategic objectives.</w:t>
      </w:r>
    </w:p>
    <w:p w:rsidR="00AB193C" w:rsidRDefault="00F354F1">
      <w:pPr>
        <w:rPr>
          <w:lang w:val="en-US"/>
        </w:rPr>
      </w:pPr>
      <w:r w:rsidRPr="004B6772">
        <w:rPr>
          <w:lang w:val="en-US"/>
        </w:rPr>
        <w:br w:type="page"/>
      </w:r>
    </w:p>
    <w:p w:rsidR="00AB193C" w:rsidRDefault="00F354F1">
      <w:pPr>
        <w:pStyle w:val="Heading1"/>
        <w:spacing w:before="0"/>
        <w:contextualSpacing/>
        <w:rPr>
          <w:lang w:val="en-GB"/>
        </w:rPr>
      </w:pPr>
      <w:r>
        <w:rPr>
          <w:lang w:val="en-GB"/>
        </w:rPr>
        <w:lastRenderedPageBreak/>
        <w:t xml:space="preserve">2.  MISSION - The JFACC’s mission statement (verbatim). </w:t>
      </w:r>
    </w:p>
    <w:p w:rsidR="00AB193C" w:rsidRDefault="00F354F1">
      <w:pPr>
        <w:pStyle w:val="Ingenmellomrom"/>
        <w:contextualSpacing/>
        <w:rPr>
          <w:rFonts w:eastAsia="Times New Roman"/>
          <w:lang w:val="en-GB"/>
        </w:rPr>
      </w:pPr>
      <w:r>
        <w:rPr>
          <w:rFonts w:eastAsia="Times New Roman"/>
          <w:lang w:val="en-GB"/>
        </w:rPr>
        <w:t xml:space="preserve">JFACC will </w:t>
      </w:r>
      <w:r>
        <w:rPr>
          <w:rFonts w:eastAsia="Times New Roman"/>
          <w:lang w:val="en-GB"/>
        </w:rPr>
        <w:t>establish air superiority in the area of operations and defeat Syrian offensive capability in support of CJTF-82’s offensive operations to neutralize Syrian’</w:t>
      </w:r>
      <w:r>
        <w:rPr>
          <w:rFonts w:eastAsia="Times New Roman"/>
          <w:lang w:val="en-GB"/>
        </w:rPr>
        <w:t>s c</w:t>
      </w:r>
      <w:r>
        <w:rPr>
          <w:rFonts w:eastAsia="Times New Roman"/>
          <w:lang w:val="en-GB"/>
        </w:rPr>
        <w:t>apability to conduct offensives in the region.</w:t>
      </w:r>
    </w:p>
    <w:p w:rsidR="00AB193C" w:rsidRDefault="00AB193C">
      <w:pPr>
        <w:pStyle w:val="Ingenmellomrom"/>
        <w:contextualSpacing/>
        <w:rPr>
          <w:rFonts w:asciiTheme="majorHAnsi" w:eastAsiaTheme="majorEastAsia" w:hAnsiTheme="majorHAnsi" w:cstheme="majorBidi"/>
          <w:b/>
          <w:bCs/>
          <w:color w:val="0B0BFF" w:themeColor="accent1" w:themeShade="BF"/>
          <w:sz w:val="28"/>
          <w:szCs w:val="28"/>
          <w:lang w:val="en-GB"/>
        </w:rPr>
      </w:pPr>
    </w:p>
    <w:p w:rsidR="00AB193C" w:rsidRDefault="00F354F1">
      <w:pPr>
        <w:pStyle w:val="Heading1"/>
        <w:spacing w:before="0"/>
        <w:contextualSpacing/>
        <w:rPr>
          <w:lang w:val="en-GB"/>
        </w:rPr>
      </w:pPr>
      <w:r>
        <w:rPr>
          <w:lang w:val="en-GB"/>
        </w:rPr>
        <w:t xml:space="preserve">3.  EXECUTION – AIR OPERATIONS </w:t>
      </w:r>
    </w:p>
    <w:tbl>
      <w:tblPr>
        <w:tblStyle w:val="Tabellrutenett"/>
        <w:tblW w:w="9288" w:type="dxa"/>
        <w:tblLayout w:type="fixed"/>
        <w:tblLook w:val="04A0"/>
      </w:tblPr>
      <w:tblGrid>
        <w:gridCol w:w="2234"/>
        <w:gridCol w:w="7054"/>
      </w:tblGrid>
      <w:tr w:rsidR="00AB193C" w:rsidRPr="004B6772">
        <w:tc>
          <w:tcPr>
            <w:tcW w:w="2234" w:type="dxa"/>
          </w:tcPr>
          <w:p w:rsidR="00AB193C" w:rsidRDefault="00F354F1">
            <w:pPr>
              <w:widowControl w:val="0"/>
              <w:spacing w:after="0" w:line="240" w:lineRule="auto"/>
              <w:contextualSpacing/>
              <w:rPr>
                <w:b/>
                <w:bCs/>
                <w:lang w:val="en-GB"/>
              </w:rPr>
            </w:pPr>
            <w:r>
              <w:rPr>
                <w:b/>
                <w:bCs/>
                <w:lang w:val="en-GB"/>
              </w:rPr>
              <w:t>JFACC’s Intent</w:t>
            </w: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F354F1">
            <w:pPr>
              <w:pStyle w:val="Listeavsnitt"/>
              <w:widowControl w:val="0"/>
              <w:numPr>
                <w:ilvl w:val="0"/>
                <w:numId w:val="1"/>
              </w:numPr>
              <w:spacing w:after="0" w:line="240" w:lineRule="auto"/>
              <w:rPr>
                <w:b/>
                <w:bCs/>
                <w:lang w:val="en-GB"/>
              </w:rPr>
            </w:pPr>
            <w:r>
              <w:rPr>
                <w:b/>
                <w:bCs/>
                <w:lang w:val="en-GB"/>
              </w:rPr>
              <w:t>Purpose</w:t>
            </w: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AB193C">
            <w:pPr>
              <w:widowControl w:val="0"/>
              <w:spacing w:after="0" w:line="240" w:lineRule="auto"/>
              <w:contextualSpacing/>
              <w:rPr>
                <w:b/>
                <w:bCs/>
                <w:lang w:val="en-GB"/>
              </w:rPr>
            </w:pPr>
          </w:p>
          <w:p w:rsidR="00AB193C" w:rsidRDefault="00F354F1">
            <w:pPr>
              <w:pStyle w:val="Listeavsnitt"/>
              <w:widowControl w:val="0"/>
              <w:numPr>
                <w:ilvl w:val="0"/>
                <w:numId w:val="1"/>
              </w:numPr>
              <w:spacing w:after="0" w:line="240" w:lineRule="auto"/>
              <w:rPr>
                <w:b/>
                <w:bCs/>
                <w:lang w:val="en-GB"/>
              </w:rPr>
            </w:pPr>
            <w:r>
              <w:rPr>
                <w:b/>
                <w:bCs/>
                <w:lang w:val="en-GB"/>
              </w:rPr>
              <w:t>End State</w:t>
            </w:r>
          </w:p>
          <w:p w:rsidR="00AB193C" w:rsidRDefault="00AB193C">
            <w:pPr>
              <w:widowControl w:val="0"/>
              <w:spacing w:after="0" w:line="240" w:lineRule="auto"/>
              <w:rPr>
                <w:b/>
                <w:bCs/>
                <w:lang w:val="en-GB"/>
              </w:rPr>
            </w:pPr>
          </w:p>
        </w:tc>
        <w:tc>
          <w:tcPr>
            <w:tcW w:w="7053" w:type="dxa"/>
          </w:tcPr>
          <w:p w:rsidR="00AB193C" w:rsidRDefault="00F354F1">
            <w:pPr>
              <w:widowControl w:val="0"/>
              <w:spacing w:after="0" w:line="240" w:lineRule="auto"/>
              <w:contextualSpacing/>
              <w:rPr>
                <w:lang w:val="en-GB"/>
              </w:rPr>
            </w:pPr>
            <w:r>
              <w:rPr>
                <w:lang w:val="en-GB"/>
              </w:rPr>
              <w:t xml:space="preserve">JFACC’s intent for this day is to </w:t>
            </w:r>
            <w:r>
              <w:rPr>
                <w:lang w:val="en-GB"/>
              </w:rPr>
              <w:t>continue to work toward air superiority and freedom of movement as well as providing the LCC with CAS flights in order to support the ground offensive to push out Syrian forces out Turkey</w:t>
            </w:r>
          </w:p>
          <w:p w:rsidR="00AB193C" w:rsidRDefault="00F354F1">
            <w:pPr>
              <w:widowControl w:val="0"/>
              <w:spacing w:after="0" w:line="240" w:lineRule="auto"/>
              <w:contextualSpacing/>
              <w:rPr>
                <w:lang w:val="en-GB"/>
              </w:rPr>
            </w:pPr>
            <w:r>
              <w:rPr>
                <w:lang w:val="en-GB"/>
              </w:rPr>
              <w:t>Priorities are:</w:t>
            </w:r>
          </w:p>
          <w:p w:rsidR="00AB193C" w:rsidRDefault="00F354F1">
            <w:pPr>
              <w:pStyle w:val="Listeavsnitt"/>
              <w:widowControl w:val="0"/>
              <w:numPr>
                <w:ilvl w:val="0"/>
                <w:numId w:val="4"/>
              </w:numPr>
              <w:spacing w:after="0" w:line="240" w:lineRule="auto"/>
              <w:rPr>
                <w:lang w:val="en-GB"/>
              </w:rPr>
            </w:pPr>
            <w:r>
              <w:rPr>
                <w:lang w:val="en-GB"/>
              </w:rPr>
              <w:t>Support the LCC with CAS flights, coordinate with LCC for information</w:t>
            </w:r>
          </w:p>
          <w:p w:rsidR="00AB193C" w:rsidRDefault="00F354F1">
            <w:pPr>
              <w:pStyle w:val="Listeavsnitt"/>
              <w:widowControl w:val="0"/>
              <w:numPr>
                <w:ilvl w:val="0"/>
                <w:numId w:val="4"/>
              </w:numPr>
              <w:spacing w:after="0" w:line="240" w:lineRule="auto"/>
              <w:rPr>
                <w:lang w:val="en-GB"/>
              </w:rPr>
            </w:pPr>
            <w:r>
              <w:rPr>
                <w:lang w:val="en-GB"/>
              </w:rPr>
              <w:t xml:space="preserve">Acquire </w:t>
            </w:r>
            <w:proofErr w:type="spellStart"/>
            <w:r>
              <w:rPr>
                <w:lang w:val="en-GB"/>
              </w:rPr>
              <w:t>intel</w:t>
            </w:r>
            <w:proofErr w:type="spellEnd"/>
            <w:r>
              <w:rPr>
                <w:lang w:val="en-GB"/>
              </w:rPr>
              <w:t xml:space="preserve"> and prosecute Syrian ground forces:</w:t>
            </w:r>
          </w:p>
          <w:p w:rsidR="00AB193C" w:rsidRDefault="00F354F1">
            <w:pPr>
              <w:pStyle w:val="Listeavsnitt"/>
              <w:widowControl w:val="0"/>
              <w:numPr>
                <w:ilvl w:val="1"/>
                <w:numId w:val="4"/>
              </w:numPr>
              <w:spacing w:after="0" w:line="240" w:lineRule="auto"/>
              <w:rPr>
                <w:lang w:val="en-GB"/>
              </w:rPr>
            </w:pPr>
            <w:r>
              <w:rPr>
                <w:lang w:val="en-GB"/>
              </w:rPr>
              <w:t xml:space="preserve">East of </w:t>
            </w:r>
            <w:proofErr w:type="spellStart"/>
            <w:r>
              <w:rPr>
                <w:lang w:val="en-GB"/>
              </w:rPr>
              <w:t>Euphrate</w:t>
            </w:r>
            <w:proofErr w:type="spellEnd"/>
            <w:r>
              <w:rPr>
                <w:lang w:val="en-GB"/>
              </w:rPr>
              <w:t xml:space="preserve"> river in KB BD</w:t>
            </w:r>
          </w:p>
          <w:p w:rsidR="00AB193C" w:rsidRDefault="00F354F1">
            <w:pPr>
              <w:pStyle w:val="Listeavsnitt"/>
              <w:widowControl w:val="0"/>
              <w:numPr>
                <w:ilvl w:val="1"/>
                <w:numId w:val="4"/>
              </w:numPr>
              <w:spacing w:after="0" w:line="240" w:lineRule="auto"/>
              <w:rPr>
                <w:lang w:val="en-GB"/>
              </w:rPr>
            </w:pPr>
            <w:proofErr w:type="spellStart"/>
            <w:r>
              <w:rPr>
                <w:lang w:val="en-GB"/>
              </w:rPr>
              <w:t>Killbox</w:t>
            </w:r>
            <w:proofErr w:type="spellEnd"/>
            <w:r>
              <w:rPr>
                <w:lang w:val="en-GB"/>
              </w:rPr>
              <w:t xml:space="preserve"> AE</w:t>
            </w:r>
          </w:p>
          <w:p w:rsidR="00AB193C" w:rsidRDefault="00F354F1">
            <w:pPr>
              <w:pStyle w:val="Listeavsnitt"/>
              <w:widowControl w:val="0"/>
              <w:numPr>
                <w:ilvl w:val="1"/>
                <w:numId w:val="4"/>
              </w:numPr>
              <w:spacing w:after="0" w:line="240" w:lineRule="auto"/>
              <w:rPr>
                <w:lang w:val="en-GB"/>
              </w:rPr>
            </w:pPr>
            <w:proofErr w:type="spellStart"/>
            <w:r>
              <w:rPr>
                <w:lang w:val="en-GB"/>
              </w:rPr>
              <w:t>Killbox</w:t>
            </w:r>
            <w:proofErr w:type="spellEnd"/>
            <w:r>
              <w:rPr>
                <w:lang w:val="en-GB"/>
              </w:rPr>
              <w:t xml:space="preserve"> BE IVO </w:t>
            </w:r>
            <w:proofErr w:type="spellStart"/>
            <w:r>
              <w:rPr>
                <w:lang w:val="en-GB"/>
              </w:rPr>
              <w:t>Sanliurfa</w:t>
            </w:r>
            <w:proofErr w:type="spellEnd"/>
          </w:p>
          <w:p w:rsidR="00AB193C" w:rsidRDefault="00F354F1">
            <w:pPr>
              <w:pStyle w:val="Listeavsnitt"/>
              <w:widowControl w:val="0"/>
              <w:numPr>
                <w:ilvl w:val="0"/>
                <w:numId w:val="4"/>
              </w:numPr>
              <w:spacing w:after="0" w:line="240" w:lineRule="auto"/>
              <w:rPr>
                <w:lang w:val="en-GB"/>
              </w:rPr>
            </w:pPr>
            <w:r>
              <w:rPr>
                <w:lang w:val="en-GB"/>
              </w:rPr>
              <w:t xml:space="preserve">SEAD/DEAD in </w:t>
            </w:r>
            <w:proofErr w:type="spellStart"/>
            <w:r>
              <w:rPr>
                <w:lang w:val="en-GB"/>
              </w:rPr>
              <w:t>Killbox</w:t>
            </w:r>
            <w:proofErr w:type="spellEnd"/>
            <w:r>
              <w:rPr>
                <w:lang w:val="en-GB"/>
              </w:rPr>
              <w:t xml:space="preserve"> CE to clear SAM threats in that</w:t>
            </w:r>
            <w:r>
              <w:rPr>
                <w:lang w:val="en-GB"/>
              </w:rPr>
              <w:t xml:space="preserve"> area</w:t>
            </w:r>
          </w:p>
          <w:p w:rsidR="00AB193C" w:rsidRDefault="00F354F1">
            <w:pPr>
              <w:pStyle w:val="Listeavsnitt"/>
              <w:widowControl w:val="0"/>
              <w:numPr>
                <w:ilvl w:val="0"/>
                <w:numId w:val="4"/>
              </w:numPr>
              <w:spacing w:after="0" w:line="240" w:lineRule="auto"/>
              <w:rPr>
                <w:lang w:val="en-GB"/>
              </w:rPr>
            </w:pPr>
            <w:r>
              <w:rPr>
                <w:lang w:val="en-GB"/>
              </w:rPr>
              <w:t>Strike SCC EAST, SYTGT068</w:t>
            </w:r>
          </w:p>
          <w:p w:rsidR="00AB193C" w:rsidRDefault="00F354F1">
            <w:pPr>
              <w:pStyle w:val="Listeavsnitt"/>
              <w:widowControl w:val="0"/>
              <w:numPr>
                <w:ilvl w:val="0"/>
                <w:numId w:val="4"/>
              </w:numPr>
              <w:spacing w:after="0" w:line="240" w:lineRule="auto"/>
              <w:rPr>
                <w:lang w:val="en-GB"/>
              </w:rPr>
            </w:pPr>
            <w:r>
              <w:rPr>
                <w:lang w:val="en-GB"/>
              </w:rPr>
              <w:t xml:space="preserve">Provide CAP for Turkish forces in and near </w:t>
            </w:r>
            <w:proofErr w:type="spellStart"/>
            <w:r>
              <w:rPr>
                <w:lang w:val="en-GB"/>
              </w:rPr>
              <w:t>Sanliurfa</w:t>
            </w:r>
            <w:proofErr w:type="spellEnd"/>
          </w:p>
          <w:p w:rsidR="00AB193C" w:rsidRDefault="00AB193C">
            <w:pPr>
              <w:pStyle w:val="Listeavsnitt"/>
              <w:widowControl w:val="0"/>
              <w:spacing w:after="0" w:line="240" w:lineRule="auto"/>
              <w:rPr>
                <w:lang w:val="en-GB"/>
              </w:rPr>
            </w:pPr>
          </w:p>
          <w:p w:rsidR="00AB193C" w:rsidRDefault="00F354F1">
            <w:pPr>
              <w:widowControl w:val="0"/>
              <w:spacing w:after="0" w:line="240" w:lineRule="auto"/>
              <w:contextualSpacing/>
              <w:rPr>
                <w:lang w:val="en-GB"/>
              </w:rPr>
            </w:pPr>
            <w:r>
              <w:rPr>
                <w:lang w:val="en-GB"/>
              </w:rPr>
              <w:t xml:space="preserve">The end state of this ATO sees the </w:t>
            </w:r>
            <w:r>
              <w:rPr>
                <w:lang w:val="en-GB"/>
              </w:rPr>
              <w:t>LCC been supported with CAS flight in order to support the ground offensive and achieve the goals set by the LCC for this day.</w:t>
            </w:r>
          </w:p>
          <w:p w:rsidR="00AB193C" w:rsidRDefault="00AB193C">
            <w:pPr>
              <w:widowControl w:val="0"/>
              <w:spacing w:after="0" w:line="240" w:lineRule="auto"/>
              <w:contextualSpacing/>
              <w:rPr>
                <w:lang w:val="en-GB"/>
              </w:rPr>
            </w:pPr>
          </w:p>
          <w:p w:rsidR="00AB193C" w:rsidRDefault="00F354F1">
            <w:pPr>
              <w:widowControl w:val="0"/>
              <w:spacing w:after="0" w:line="240" w:lineRule="auto"/>
              <w:contextualSpacing/>
              <w:rPr>
                <w:lang w:val="en-GB"/>
              </w:rPr>
            </w:pPr>
            <w:r>
              <w:rPr>
                <w:lang w:val="en-GB"/>
              </w:rPr>
              <w:t>The SCC</w:t>
            </w:r>
            <w:r>
              <w:rPr>
                <w:lang w:val="en-GB"/>
              </w:rPr>
              <w:t xml:space="preserve"> East, SYTGT068 will be destroyed, rendering the IADS in SCC east unusable.</w:t>
            </w:r>
          </w:p>
          <w:p w:rsidR="00AB193C" w:rsidRDefault="00F354F1">
            <w:pPr>
              <w:widowControl w:val="0"/>
              <w:spacing w:after="0" w:line="240" w:lineRule="auto"/>
              <w:contextualSpacing/>
              <w:rPr>
                <w:lang w:val="en-GB"/>
              </w:rPr>
            </w:pPr>
            <w:r>
              <w:rPr>
                <w:lang w:val="en-GB"/>
              </w:rPr>
              <w:t xml:space="preserve">Intel gained will provide knowledge about enemy force disposition and composition in KB BD and IVO </w:t>
            </w:r>
            <w:proofErr w:type="spellStart"/>
            <w:r>
              <w:rPr>
                <w:lang w:val="en-GB"/>
              </w:rPr>
              <w:t>Sanliurfa</w:t>
            </w:r>
            <w:proofErr w:type="spellEnd"/>
            <w:r>
              <w:rPr>
                <w:lang w:val="en-GB"/>
              </w:rPr>
              <w:t xml:space="preserve"> for further analysis and prosecution.</w:t>
            </w:r>
          </w:p>
          <w:p w:rsidR="00AB193C" w:rsidRDefault="00F354F1">
            <w:pPr>
              <w:widowControl w:val="0"/>
              <w:spacing w:after="0" w:line="240" w:lineRule="auto"/>
              <w:contextualSpacing/>
              <w:rPr>
                <w:lang w:val="en-GB"/>
              </w:rPr>
            </w:pPr>
            <w:r>
              <w:rPr>
                <w:lang w:val="en-GB"/>
              </w:rPr>
              <w:t xml:space="preserve">DEAD will </w:t>
            </w:r>
            <w:proofErr w:type="spellStart"/>
            <w:r>
              <w:rPr>
                <w:lang w:val="en-GB"/>
              </w:rPr>
              <w:t>attrit</w:t>
            </w:r>
            <w:proofErr w:type="spellEnd"/>
            <w:r>
              <w:rPr>
                <w:lang w:val="en-GB"/>
              </w:rPr>
              <w:t xml:space="preserve"> the SAMs in the </w:t>
            </w:r>
            <w:proofErr w:type="spellStart"/>
            <w:r>
              <w:rPr>
                <w:lang w:val="en-GB"/>
              </w:rPr>
              <w:t>killbox</w:t>
            </w:r>
            <w:proofErr w:type="spellEnd"/>
            <w:r>
              <w:rPr>
                <w:lang w:val="en-GB"/>
              </w:rPr>
              <w:t xml:space="preserve"> CE</w:t>
            </w:r>
          </w:p>
        </w:tc>
      </w:tr>
      <w:tr w:rsidR="00AB193C" w:rsidRPr="004B6772">
        <w:tc>
          <w:tcPr>
            <w:tcW w:w="2234" w:type="dxa"/>
          </w:tcPr>
          <w:p w:rsidR="00AB193C" w:rsidRDefault="00F354F1">
            <w:pPr>
              <w:widowControl w:val="0"/>
              <w:spacing w:after="0" w:line="240" w:lineRule="auto"/>
              <w:contextualSpacing/>
              <w:rPr>
                <w:b/>
                <w:bCs/>
                <w:lang w:val="en-GB"/>
              </w:rPr>
            </w:pPr>
            <w:r>
              <w:rPr>
                <w:b/>
                <w:bCs/>
                <w:lang w:val="en-GB"/>
              </w:rPr>
              <w:t>Execution</w:t>
            </w:r>
            <w:r>
              <w:rPr>
                <w:lang w:val="en-GB"/>
              </w:rPr>
              <w:t xml:space="preserve"> What to do, when. </w:t>
            </w:r>
            <w:r>
              <w:rPr>
                <w:color w:val="BFBFBF" w:themeColor="background1" w:themeShade="BF"/>
                <w:lang w:val="en-GB"/>
              </w:rPr>
              <w:t>– Any detailed instructions if needed</w:t>
            </w:r>
          </w:p>
        </w:tc>
        <w:tc>
          <w:tcPr>
            <w:tcW w:w="7053" w:type="dxa"/>
          </w:tcPr>
          <w:p w:rsidR="00AB193C" w:rsidRDefault="00F354F1">
            <w:pPr>
              <w:widowControl w:val="0"/>
              <w:spacing w:after="0" w:line="240" w:lineRule="auto"/>
              <w:rPr>
                <w:lang w:val="en-GB"/>
              </w:rPr>
            </w:pPr>
            <w:r>
              <w:rPr>
                <w:lang w:val="en-GB"/>
              </w:rPr>
              <w:t>CAS flights wi</w:t>
            </w:r>
            <w:r w:rsidR="004B6772">
              <w:rPr>
                <w:lang w:val="en-GB"/>
              </w:rPr>
              <w:t>ll operate under JTAC control in</w:t>
            </w:r>
            <w:r>
              <w:rPr>
                <w:lang w:val="en-GB"/>
              </w:rPr>
              <w:t xml:space="preserve"> KB BC and BD, all WEST of </w:t>
            </w:r>
            <w:proofErr w:type="spellStart"/>
            <w:r>
              <w:rPr>
                <w:lang w:val="en-GB"/>
              </w:rPr>
              <w:t>Euphrate</w:t>
            </w:r>
            <w:proofErr w:type="spellEnd"/>
            <w:r>
              <w:rPr>
                <w:lang w:val="en-GB"/>
              </w:rPr>
              <w:t xml:space="preserve"> </w:t>
            </w:r>
            <w:proofErr w:type="gramStart"/>
            <w:r>
              <w:rPr>
                <w:lang w:val="en-GB"/>
              </w:rPr>
              <w:t>river</w:t>
            </w:r>
            <w:proofErr w:type="gramEnd"/>
            <w:r>
              <w:rPr>
                <w:lang w:val="en-GB"/>
              </w:rPr>
              <w:t>.</w:t>
            </w:r>
          </w:p>
          <w:p w:rsidR="00AB193C" w:rsidRDefault="00F354F1">
            <w:pPr>
              <w:widowControl w:val="0"/>
              <w:spacing w:after="0" w:line="240" w:lineRule="auto"/>
              <w:rPr>
                <w:lang w:val="en-GB"/>
              </w:rPr>
            </w:pPr>
            <w:r>
              <w:rPr>
                <w:lang w:val="en-GB"/>
              </w:rPr>
              <w:t xml:space="preserve">All other flights are to remain clear of </w:t>
            </w:r>
            <w:proofErr w:type="spellStart"/>
            <w:r>
              <w:rPr>
                <w:lang w:val="en-GB"/>
              </w:rPr>
              <w:t>killbox</w:t>
            </w:r>
            <w:proofErr w:type="spellEnd"/>
            <w:r>
              <w:rPr>
                <w:lang w:val="en-GB"/>
              </w:rPr>
              <w:t xml:space="preserve"> BC and BD WEST of </w:t>
            </w:r>
            <w:proofErr w:type="spellStart"/>
            <w:r>
              <w:rPr>
                <w:lang w:val="en-GB"/>
              </w:rPr>
              <w:t>Euphrate</w:t>
            </w:r>
            <w:proofErr w:type="spellEnd"/>
            <w:r>
              <w:rPr>
                <w:lang w:val="en-GB"/>
              </w:rPr>
              <w:t xml:space="preserve"> river</w:t>
            </w:r>
            <w:r>
              <w:rPr>
                <w:lang w:val="en-GB"/>
              </w:rPr>
              <w:t>.</w:t>
            </w:r>
          </w:p>
          <w:p w:rsidR="00AB193C" w:rsidRDefault="00AB193C">
            <w:pPr>
              <w:widowControl w:val="0"/>
              <w:spacing w:after="0" w:line="240" w:lineRule="auto"/>
              <w:rPr>
                <w:lang w:val="en-GB"/>
              </w:rPr>
            </w:pPr>
          </w:p>
          <w:p w:rsidR="00AB193C" w:rsidRDefault="00F354F1">
            <w:pPr>
              <w:widowControl w:val="0"/>
              <w:spacing w:after="0" w:line="240" w:lineRule="auto"/>
              <w:rPr>
                <w:lang w:val="en-GB"/>
              </w:rPr>
            </w:pPr>
            <w:r>
              <w:rPr>
                <w:lang w:val="en-GB"/>
              </w:rPr>
              <w:t xml:space="preserve">AR flights IVO </w:t>
            </w:r>
            <w:proofErr w:type="spellStart"/>
            <w:r>
              <w:rPr>
                <w:lang w:val="en-GB"/>
              </w:rPr>
              <w:t>Killbox</w:t>
            </w:r>
            <w:proofErr w:type="spellEnd"/>
            <w:r>
              <w:rPr>
                <w:lang w:val="en-GB"/>
              </w:rPr>
              <w:t xml:space="preserve"> BC needing to shoot in the direction of </w:t>
            </w:r>
            <w:proofErr w:type="spellStart"/>
            <w:r>
              <w:rPr>
                <w:lang w:val="en-GB"/>
              </w:rPr>
              <w:t>killbox</w:t>
            </w:r>
            <w:proofErr w:type="spellEnd"/>
            <w:r>
              <w:rPr>
                <w:lang w:val="en-GB"/>
              </w:rPr>
              <w:t xml:space="preserve"> BC or WEST of </w:t>
            </w:r>
            <w:proofErr w:type="spellStart"/>
            <w:r>
              <w:rPr>
                <w:lang w:val="en-GB"/>
              </w:rPr>
              <w:t>Euphrate</w:t>
            </w:r>
            <w:proofErr w:type="spellEnd"/>
            <w:r>
              <w:rPr>
                <w:lang w:val="en-GB"/>
              </w:rPr>
              <w:t xml:space="preserve"> river in </w:t>
            </w:r>
            <w:proofErr w:type="spellStart"/>
            <w:r>
              <w:rPr>
                <w:lang w:val="en-GB"/>
              </w:rPr>
              <w:t>killbox</w:t>
            </w:r>
            <w:proofErr w:type="spellEnd"/>
            <w:r>
              <w:rPr>
                <w:lang w:val="en-GB"/>
              </w:rPr>
              <w:t xml:space="preserve"> BD will contact the JTAC in charge to get clearance to fire.</w:t>
            </w:r>
          </w:p>
          <w:p w:rsidR="00AB193C" w:rsidRDefault="00AB193C">
            <w:pPr>
              <w:widowControl w:val="0"/>
              <w:spacing w:after="0" w:line="240" w:lineRule="auto"/>
              <w:rPr>
                <w:lang w:val="en-GB"/>
              </w:rPr>
            </w:pPr>
          </w:p>
          <w:p w:rsidR="00AB193C" w:rsidRDefault="00F354F1">
            <w:pPr>
              <w:widowControl w:val="0"/>
              <w:spacing w:after="0" w:line="240" w:lineRule="auto"/>
              <w:rPr>
                <w:lang w:val="en-GB"/>
              </w:rPr>
            </w:pPr>
            <w:r>
              <w:rPr>
                <w:lang w:val="en-GB"/>
              </w:rPr>
              <w:t xml:space="preserve">Any flight may get </w:t>
            </w:r>
            <w:proofErr w:type="spellStart"/>
            <w:r>
              <w:rPr>
                <w:lang w:val="en-GB"/>
              </w:rPr>
              <w:t>retasked</w:t>
            </w:r>
            <w:proofErr w:type="spellEnd"/>
            <w:r>
              <w:rPr>
                <w:lang w:val="en-GB"/>
              </w:rPr>
              <w:t xml:space="preserve"> prior to the mission based on availability of flight</w:t>
            </w:r>
            <w:r>
              <w:rPr>
                <w:lang w:val="en-GB"/>
              </w:rPr>
              <w:t>s and priorities to be fulfilled.</w:t>
            </w:r>
          </w:p>
        </w:tc>
      </w:tr>
      <w:tr w:rsidR="00AB193C" w:rsidRPr="004B6772">
        <w:tc>
          <w:tcPr>
            <w:tcW w:w="2234" w:type="dxa"/>
          </w:tcPr>
          <w:p w:rsidR="00AB193C" w:rsidRDefault="00F354F1">
            <w:pPr>
              <w:widowControl w:val="0"/>
              <w:spacing w:after="0" w:line="240" w:lineRule="auto"/>
              <w:contextualSpacing/>
              <w:rPr>
                <w:b/>
                <w:bCs/>
                <w:lang w:val="en-GB"/>
              </w:rPr>
            </w:pPr>
            <w:r>
              <w:rPr>
                <w:b/>
                <w:bCs/>
                <w:lang w:val="en-GB"/>
              </w:rPr>
              <w:t>Focus of effort by objective</w:t>
            </w:r>
          </w:p>
        </w:tc>
        <w:tc>
          <w:tcPr>
            <w:tcW w:w="7053" w:type="dxa"/>
          </w:tcPr>
          <w:p w:rsidR="00AB193C" w:rsidRDefault="00F354F1">
            <w:pPr>
              <w:widowControl w:val="0"/>
              <w:spacing w:after="0" w:line="240" w:lineRule="auto"/>
              <w:rPr>
                <w:lang w:val="en-GB"/>
              </w:rPr>
            </w:pPr>
            <w:r>
              <w:rPr>
                <w:lang w:val="en-GB"/>
              </w:rPr>
              <w:t>In accordance with JFACC objectives (JAOP) 3.2.</w:t>
            </w:r>
            <w:r>
              <w:rPr>
                <w:lang w:val="en-GB"/>
              </w:rPr>
              <w:t>2,</w:t>
            </w:r>
            <w:r>
              <w:rPr>
                <w:lang w:val="en-GB"/>
              </w:rPr>
              <w:t xml:space="preserve"> this AOD </w:t>
            </w:r>
            <w:r>
              <w:rPr>
                <w:lang w:val="en-GB"/>
              </w:rPr>
              <w:t>supports the LCC in achieving its objectives as well as shape the environment for future flights and missions.</w:t>
            </w:r>
          </w:p>
        </w:tc>
      </w:tr>
      <w:tr w:rsidR="00AB193C">
        <w:tc>
          <w:tcPr>
            <w:tcW w:w="2234" w:type="dxa"/>
          </w:tcPr>
          <w:p w:rsidR="00AB193C" w:rsidRDefault="00AB193C">
            <w:pPr>
              <w:pStyle w:val="Ingenmellomrom"/>
              <w:widowControl w:val="0"/>
              <w:contextualSpacing/>
              <w:rPr>
                <w:lang w:val="en-GB"/>
              </w:rPr>
            </w:pPr>
          </w:p>
          <w:p w:rsidR="00AB193C" w:rsidRDefault="00F354F1">
            <w:pPr>
              <w:pStyle w:val="Ingenmellomrom"/>
              <w:widowControl w:val="0"/>
              <w:contextualSpacing/>
              <w:rPr>
                <w:lang w:val="en-GB"/>
              </w:rPr>
            </w:pPr>
            <w:r>
              <w:rPr>
                <w:b/>
                <w:bCs/>
                <w:lang w:val="en-GB"/>
              </w:rPr>
              <w:t xml:space="preserve">Acceptable level of </w:t>
            </w:r>
            <w:r>
              <w:rPr>
                <w:b/>
                <w:bCs/>
                <w:lang w:val="en-GB"/>
              </w:rPr>
              <w:t>risk</w:t>
            </w:r>
            <w:r>
              <w:rPr>
                <w:lang w:val="en-GB"/>
              </w:rPr>
              <w:t xml:space="preserve">. </w:t>
            </w:r>
            <w:r>
              <w:rPr>
                <w:color w:val="BFBFBF" w:themeColor="background1" w:themeShade="BF"/>
                <w:lang w:val="en-GB"/>
              </w:rPr>
              <w:t>(including for AWACS and tankers: forward or rear)</w:t>
            </w:r>
          </w:p>
          <w:p w:rsidR="00AB193C" w:rsidRDefault="00AB193C">
            <w:pPr>
              <w:widowControl w:val="0"/>
              <w:spacing w:after="0" w:line="240" w:lineRule="auto"/>
              <w:contextualSpacing/>
              <w:rPr>
                <w:lang w:val="en-GB"/>
              </w:rPr>
            </w:pPr>
          </w:p>
        </w:tc>
        <w:tc>
          <w:tcPr>
            <w:tcW w:w="7053" w:type="dxa"/>
          </w:tcPr>
          <w:p w:rsidR="00AB193C" w:rsidRDefault="00AB193C">
            <w:pPr>
              <w:widowControl w:val="0"/>
              <w:spacing w:after="0" w:line="240" w:lineRule="auto"/>
              <w:contextualSpacing/>
              <w:rPr>
                <w:b/>
                <w:bCs/>
                <w:lang w:val="en-GB"/>
              </w:rPr>
            </w:pPr>
          </w:p>
          <w:p w:rsidR="00AB193C" w:rsidRDefault="00F354F1">
            <w:pPr>
              <w:widowControl w:val="0"/>
              <w:spacing w:after="0" w:line="240" w:lineRule="auto"/>
              <w:contextualSpacing/>
              <w:rPr>
                <w:b/>
                <w:bCs/>
                <w:lang w:val="en-GB"/>
              </w:rPr>
            </w:pPr>
            <w:r>
              <w:rPr>
                <w:lang w:val="en-GB"/>
              </w:rPr>
              <w:t>As per SPINS</w:t>
            </w:r>
            <w:r>
              <w:rPr>
                <w:b/>
                <w:bCs/>
                <w:lang w:val="en-GB"/>
              </w:rPr>
              <w:t>, MEDIUM</w:t>
            </w:r>
          </w:p>
        </w:tc>
      </w:tr>
      <w:tr w:rsidR="00AB193C" w:rsidRPr="004B6772">
        <w:tc>
          <w:tcPr>
            <w:tcW w:w="2234" w:type="dxa"/>
          </w:tcPr>
          <w:p w:rsidR="00AB193C" w:rsidRDefault="00F354F1">
            <w:pPr>
              <w:pStyle w:val="Ingenmellomrom"/>
              <w:widowControl w:val="0"/>
              <w:contextualSpacing/>
              <w:rPr>
                <w:b/>
                <w:bCs/>
                <w:lang w:val="en-GB"/>
              </w:rPr>
            </w:pPr>
            <w:r>
              <w:rPr>
                <w:b/>
                <w:bCs/>
                <w:lang w:val="en-GB"/>
              </w:rPr>
              <w:t xml:space="preserve">Collateral damage </w:t>
            </w:r>
            <w:r>
              <w:rPr>
                <w:b/>
                <w:bCs/>
                <w:lang w:val="en-GB"/>
              </w:rPr>
              <w:lastRenderedPageBreak/>
              <w:t>and civilian casualty guidance</w:t>
            </w:r>
          </w:p>
        </w:tc>
        <w:tc>
          <w:tcPr>
            <w:tcW w:w="7053" w:type="dxa"/>
          </w:tcPr>
          <w:p w:rsidR="00AB193C" w:rsidRDefault="00F354F1">
            <w:pPr>
              <w:widowControl w:val="0"/>
              <w:spacing w:after="0" w:line="240" w:lineRule="auto"/>
              <w:contextualSpacing/>
              <w:rPr>
                <w:lang w:val="en-GB"/>
              </w:rPr>
            </w:pPr>
            <w:r>
              <w:rPr>
                <w:lang w:val="en-GB"/>
              </w:rPr>
              <w:lastRenderedPageBreak/>
              <w:t xml:space="preserve">Every attempt should be taken to minimise collateral damage in the </w:t>
            </w:r>
            <w:r>
              <w:rPr>
                <w:lang w:val="en-GB"/>
              </w:rPr>
              <w:lastRenderedPageBreak/>
              <w:t>execution of these missions.</w:t>
            </w:r>
          </w:p>
          <w:p w:rsidR="00AB193C" w:rsidRDefault="00AB193C">
            <w:pPr>
              <w:widowControl w:val="0"/>
              <w:spacing w:after="0" w:line="240" w:lineRule="auto"/>
              <w:contextualSpacing/>
              <w:rPr>
                <w:lang w:val="en-GB"/>
              </w:rPr>
            </w:pPr>
          </w:p>
          <w:p w:rsidR="00AB193C" w:rsidRDefault="00F354F1">
            <w:pPr>
              <w:widowControl w:val="0"/>
              <w:spacing w:after="0" w:line="240" w:lineRule="auto"/>
              <w:contextualSpacing/>
              <w:rPr>
                <w:lang w:val="en-GB"/>
              </w:rPr>
            </w:pPr>
            <w:r>
              <w:rPr>
                <w:lang w:val="en-GB"/>
              </w:rPr>
              <w:t>Suspected civilian casualties</w:t>
            </w:r>
            <w:r>
              <w:rPr>
                <w:lang w:val="en-GB"/>
              </w:rPr>
              <w:t xml:space="preserve"> should be reported as soon as is practicable.</w:t>
            </w:r>
          </w:p>
        </w:tc>
      </w:tr>
      <w:tr w:rsidR="00AB193C">
        <w:tc>
          <w:tcPr>
            <w:tcW w:w="2234" w:type="dxa"/>
          </w:tcPr>
          <w:p w:rsidR="00AB193C" w:rsidRDefault="00F354F1">
            <w:pPr>
              <w:pStyle w:val="Ingenmellomrom"/>
              <w:widowControl w:val="0"/>
              <w:contextualSpacing/>
              <w:rPr>
                <w:b/>
                <w:bCs/>
                <w:lang w:val="en-GB"/>
              </w:rPr>
            </w:pPr>
            <w:r>
              <w:rPr>
                <w:b/>
                <w:bCs/>
                <w:lang w:val="en-GB"/>
              </w:rPr>
              <w:lastRenderedPageBreak/>
              <w:t>TST guidance</w:t>
            </w:r>
          </w:p>
        </w:tc>
        <w:tc>
          <w:tcPr>
            <w:tcW w:w="7053" w:type="dxa"/>
          </w:tcPr>
          <w:p w:rsidR="00AB193C" w:rsidRDefault="00F354F1">
            <w:pPr>
              <w:widowControl w:val="0"/>
              <w:spacing w:after="0" w:line="240" w:lineRule="auto"/>
              <w:contextualSpacing/>
              <w:rPr>
                <w:lang w:val="en-GB"/>
              </w:rPr>
            </w:pPr>
            <w:r>
              <w:rPr>
                <w:lang w:val="en-GB"/>
              </w:rPr>
              <w:t xml:space="preserve">Where they are identified, items from the TST matrix must be prosecuted. The outcome should be reported on the in-flight report net. If prosecution is not possible, the location must be reported </w:t>
            </w:r>
            <w:r>
              <w:rPr>
                <w:lang w:val="en-GB"/>
              </w:rPr>
              <w:t>for re-tasking.</w:t>
            </w:r>
          </w:p>
          <w:p w:rsidR="00AB193C" w:rsidRDefault="00AB193C">
            <w:pPr>
              <w:widowControl w:val="0"/>
              <w:spacing w:after="0" w:line="240" w:lineRule="auto"/>
              <w:contextualSpacing/>
              <w:rPr>
                <w:lang w:val="en-GB"/>
              </w:rPr>
            </w:pPr>
          </w:p>
          <w:tbl>
            <w:tblPr>
              <w:tblStyle w:val="Tabellrutenett"/>
              <w:tblW w:w="6822" w:type="dxa"/>
              <w:tblLayout w:type="fixed"/>
              <w:tblLook w:val="04A0"/>
            </w:tblPr>
            <w:tblGrid>
              <w:gridCol w:w="1138"/>
              <w:gridCol w:w="1136"/>
              <w:gridCol w:w="1138"/>
              <w:gridCol w:w="1137"/>
              <w:gridCol w:w="1136"/>
              <w:gridCol w:w="1137"/>
            </w:tblGrid>
            <w:tr w:rsidR="00AB193C">
              <w:tc>
                <w:tcPr>
                  <w:tcW w:w="1137" w:type="dxa"/>
                </w:tcPr>
                <w:p w:rsidR="00AB193C" w:rsidRDefault="00F354F1">
                  <w:pPr>
                    <w:widowControl w:val="0"/>
                    <w:spacing w:after="0" w:line="240" w:lineRule="auto"/>
                    <w:contextualSpacing/>
                    <w:jc w:val="center"/>
                    <w:rPr>
                      <w:b/>
                      <w:bCs/>
                      <w:sz w:val="18"/>
                      <w:szCs w:val="18"/>
                      <w:lang w:val="en-GB"/>
                    </w:rPr>
                  </w:pPr>
                  <w:r>
                    <w:rPr>
                      <w:b/>
                      <w:bCs/>
                      <w:sz w:val="18"/>
                      <w:szCs w:val="18"/>
                      <w:lang w:val="en-GB"/>
                    </w:rPr>
                    <w:t>PRIORITY</w:t>
                  </w:r>
                </w:p>
              </w:tc>
              <w:tc>
                <w:tcPr>
                  <w:tcW w:w="1136" w:type="dxa"/>
                </w:tcPr>
                <w:p w:rsidR="00AB193C" w:rsidRDefault="00F354F1">
                  <w:pPr>
                    <w:widowControl w:val="0"/>
                    <w:spacing w:after="0" w:line="240" w:lineRule="auto"/>
                    <w:contextualSpacing/>
                    <w:jc w:val="center"/>
                    <w:rPr>
                      <w:b/>
                      <w:bCs/>
                      <w:sz w:val="18"/>
                      <w:szCs w:val="18"/>
                      <w:lang w:val="en-GB"/>
                    </w:rPr>
                  </w:pPr>
                  <w:r>
                    <w:rPr>
                      <w:b/>
                      <w:bCs/>
                      <w:sz w:val="18"/>
                      <w:szCs w:val="18"/>
                      <w:lang w:val="en-GB"/>
                    </w:rPr>
                    <w:t>TARGET</w:t>
                  </w:r>
                </w:p>
              </w:tc>
              <w:tc>
                <w:tcPr>
                  <w:tcW w:w="1138" w:type="dxa"/>
                </w:tcPr>
                <w:p w:rsidR="00AB193C" w:rsidRDefault="00F354F1">
                  <w:pPr>
                    <w:widowControl w:val="0"/>
                    <w:spacing w:after="0" w:line="240" w:lineRule="auto"/>
                    <w:contextualSpacing/>
                    <w:jc w:val="center"/>
                    <w:rPr>
                      <w:b/>
                      <w:bCs/>
                      <w:sz w:val="18"/>
                      <w:szCs w:val="18"/>
                      <w:lang w:val="en-GB"/>
                    </w:rPr>
                  </w:pPr>
                  <w:r>
                    <w:rPr>
                      <w:b/>
                      <w:bCs/>
                      <w:sz w:val="18"/>
                      <w:szCs w:val="18"/>
                      <w:lang w:val="en-GB"/>
                    </w:rPr>
                    <w:t>DESIRED EFFECT</w:t>
                  </w:r>
                </w:p>
              </w:tc>
              <w:tc>
                <w:tcPr>
                  <w:tcW w:w="1137" w:type="dxa"/>
                </w:tcPr>
                <w:p w:rsidR="00AB193C" w:rsidRDefault="00F354F1">
                  <w:pPr>
                    <w:widowControl w:val="0"/>
                    <w:spacing w:after="0" w:line="240" w:lineRule="auto"/>
                    <w:contextualSpacing/>
                    <w:jc w:val="center"/>
                    <w:rPr>
                      <w:b/>
                      <w:bCs/>
                      <w:sz w:val="18"/>
                      <w:szCs w:val="18"/>
                      <w:lang w:val="en-GB"/>
                    </w:rPr>
                  </w:pPr>
                  <w:r>
                    <w:rPr>
                      <w:b/>
                      <w:bCs/>
                      <w:sz w:val="18"/>
                      <w:szCs w:val="18"/>
                      <w:lang w:val="en-GB"/>
                    </w:rPr>
                    <w:t>RISK LEVEL</w:t>
                  </w:r>
                </w:p>
              </w:tc>
              <w:tc>
                <w:tcPr>
                  <w:tcW w:w="1136" w:type="dxa"/>
                </w:tcPr>
                <w:p w:rsidR="00AB193C" w:rsidRDefault="00F354F1">
                  <w:pPr>
                    <w:widowControl w:val="0"/>
                    <w:spacing w:after="0" w:line="240" w:lineRule="auto"/>
                    <w:contextualSpacing/>
                    <w:jc w:val="center"/>
                    <w:rPr>
                      <w:b/>
                      <w:bCs/>
                      <w:sz w:val="18"/>
                      <w:szCs w:val="18"/>
                      <w:lang w:val="en-GB"/>
                    </w:rPr>
                  </w:pPr>
                  <w:r>
                    <w:rPr>
                      <w:b/>
                      <w:bCs/>
                      <w:sz w:val="18"/>
                      <w:szCs w:val="18"/>
                      <w:lang w:val="en-GB"/>
                    </w:rPr>
                    <w:t>STATUS</w:t>
                  </w:r>
                </w:p>
              </w:tc>
              <w:tc>
                <w:tcPr>
                  <w:tcW w:w="1137" w:type="dxa"/>
                </w:tcPr>
                <w:p w:rsidR="00AB193C" w:rsidRDefault="00F354F1">
                  <w:pPr>
                    <w:widowControl w:val="0"/>
                    <w:spacing w:after="0" w:line="240" w:lineRule="auto"/>
                    <w:contextualSpacing/>
                    <w:jc w:val="center"/>
                    <w:rPr>
                      <w:b/>
                      <w:bCs/>
                      <w:sz w:val="18"/>
                      <w:szCs w:val="18"/>
                      <w:lang w:val="en-GB"/>
                    </w:rPr>
                  </w:pPr>
                  <w:r>
                    <w:rPr>
                      <w:b/>
                      <w:bCs/>
                      <w:sz w:val="18"/>
                      <w:szCs w:val="18"/>
                      <w:lang w:val="en-GB"/>
                    </w:rPr>
                    <w:t>RMKS</w:t>
                  </w:r>
                </w:p>
              </w:tc>
            </w:tr>
            <w:tr w:rsidR="00AB193C">
              <w:tc>
                <w:tcPr>
                  <w:tcW w:w="1137" w:type="dxa"/>
                </w:tcPr>
                <w:p w:rsidR="00AB193C" w:rsidRDefault="00F354F1">
                  <w:pPr>
                    <w:widowControl w:val="0"/>
                    <w:spacing w:after="0" w:line="240" w:lineRule="auto"/>
                    <w:contextualSpacing/>
                    <w:rPr>
                      <w:sz w:val="18"/>
                      <w:szCs w:val="18"/>
                      <w:lang w:val="en-GB"/>
                    </w:rPr>
                  </w:pPr>
                  <w:r>
                    <w:rPr>
                      <w:sz w:val="18"/>
                      <w:szCs w:val="18"/>
                      <w:lang w:val="en-GB"/>
                    </w:rPr>
                    <w:t>1</w:t>
                  </w:r>
                </w:p>
              </w:tc>
              <w:tc>
                <w:tcPr>
                  <w:tcW w:w="1136" w:type="dxa"/>
                </w:tcPr>
                <w:p w:rsidR="00AB193C" w:rsidRDefault="00F354F1">
                  <w:pPr>
                    <w:widowControl w:val="0"/>
                    <w:spacing w:after="0" w:line="240" w:lineRule="auto"/>
                    <w:contextualSpacing/>
                    <w:rPr>
                      <w:sz w:val="18"/>
                      <w:szCs w:val="18"/>
                      <w:lang w:val="en-GB"/>
                    </w:rPr>
                  </w:pPr>
                  <w:r>
                    <w:rPr>
                      <w:sz w:val="18"/>
                      <w:szCs w:val="18"/>
                      <w:lang w:val="en-GB"/>
                    </w:rPr>
                    <w:t>SCUD</w:t>
                  </w:r>
                </w:p>
              </w:tc>
              <w:tc>
                <w:tcPr>
                  <w:tcW w:w="1138" w:type="dxa"/>
                </w:tcPr>
                <w:p w:rsidR="00AB193C" w:rsidRDefault="00F354F1">
                  <w:pPr>
                    <w:widowControl w:val="0"/>
                    <w:spacing w:after="0" w:line="240" w:lineRule="auto"/>
                    <w:contextualSpacing/>
                    <w:rPr>
                      <w:sz w:val="18"/>
                      <w:szCs w:val="18"/>
                      <w:lang w:val="en-GB"/>
                    </w:rPr>
                  </w:pPr>
                  <w:r>
                    <w:rPr>
                      <w:sz w:val="18"/>
                      <w:szCs w:val="18"/>
                      <w:lang w:val="en-GB"/>
                    </w:rPr>
                    <w:t>Destroy</w:t>
                  </w:r>
                </w:p>
              </w:tc>
              <w:tc>
                <w:tcPr>
                  <w:tcW w:w="1137" w:type="dxa"/>
                </w:tcPr>
                <w:p w:rsidR="00AB193C" w:rsidRDefault="00F354F1">
                  <w:pPr>
                    <w:widowControl w:val="0"/>
                    <w:spacing w:after="0" w:line="240" w:lineRule="auto"/>
                    <w:contextualSpacing/>
                    <w:rPr>
                      <w:sz w:val="18"/>
                      <w:szCs w:val="18"/>
                      <w:lang w:val="en-GB"/>
                    </w:rPr>
                  </w:pPr>
                  <w:r>
                    <w:rPr>
                      <w:sz w:val="18"/>
                      <w:szCs w:val="18"/>
                      <w:lang w:val="en-GB"/>
                    </w:rPr>
                    <w:t>MEDIUM</w:t>
                  </w:r>
                </w:p>
              </w:tc>
              <w:tc>
                <w:tcPr>
                  <w:tcW w:w="1136" w:type="dxa"/>
                </w:tcPr>
                <w:p w:rsidR="00AB193C" w:rsidRDefault="00F354F1">
                  <w:pPr>
                    <w:widowControl w:val="0"/>
                    <w:spacing w:after="0" w:line="240" w:lineRule="auto"/>
                    <w:contextualSpacing/>
                    <w:rPr>
                      <w:sz w:val="18"/>
                      <w:szCs w:val="18"/>
                      <w:lang w:val="en-GB"/>
                    </w:rPr>
                  </w:pPr>
                  <w:proofErr w:type="spellStart"/>
                  <w:r>
                    <w:rPr>
                      <w:sz w:val="18"/>
                      <w:szCs w:val="18"/>
                      <w:lang w:val="en-GB"/>
                    </w:rPr>
                    <w:t>Unlocated</w:t>
                  </w:r>
                  <w:proofErr w:type="spellEnd"/>
                </w:p>
              </w:tc>
              <w:tc>
                <w:tcPr>
                  <w:tcW w:w="1137" w:type="dxa"/>
                </w:tcPr>
                <w:p w:rsidR="00AB193C" w:rsidRDefault="00F354F1">
                  <w:pPr>
                    <w:widowControl w:val="0"/>
                    <w:spacing w:after="0" w:line="240" w:lineRule="auto"/>
                    <w:contextualSpacing/>
                    <w:rPr>
                      <w:sz w:val="18"/>
                      <w:szCs w:val="18"/>
                      <w:lang w:val="en-GB"/>
                    </w:rPr>
                  </w:pPr>
                  <w:r>
                    <w:rPr>
                      <w:sz w:val="18"/>
                      <w:szCs w:val="18"/>
                      <w:lang w:val="en-GB"/>
                    </w:rPr>
                    <w:t>N/A</w:t>
                  </w:r>
                </w:p>
              </w:tc>
            </w:tr>
            <w:tr w:rsidR="00AB193C">
              <w:tc>
                <w:tcPr>
                  <w:tcW w:w="1137" w:type="dxa"/>
                  <w:tcBorders>
                    <w:top w:val="nil"/>
                  </w:tcBorders>
                </w:tcPr>
                <w:p w:rsidR="00AB193C" w:rsidRDefault="00F354F1">
                  <w:pPr>
                    <w:widowControl w:val="0"/>
                    <w:spacing w:after="0" w:line="240" w:lineRule="auto"/>
                    <w:contextualSpacing/>
                    <w:rPr>
                      <w:sz w:val="18"/>
                      <w:szCs w:val="18"/>
                      <w:lang w:val="en-GB"/>
                    </w:rPr>
                  </w:pPr>
                  <w:r>
                    <w:rPr>
                      <w:sz w:val="18"/>
                      <w:szCs w:val="18"/>
                      <w:lang w:val="en-GB"/>
                    </w:rPr>
                    <w:t>2</w:t>
                  </w:r>
                </w:p>
              </w:tc>
              <w:tc>
                <w:tcPr>
                  <w:tcW w:w="1136" w:type="dxa"/>
                  <w:tcBorders>
                    <w:top w:val="nil"/>
                  </w:tcBorders>
                </w:tcPr>
                <w:p w:rsidR="00AB193C" w:rsidRDefault="00F354F1">
                  <w:pPr>
                    <w:widowControl w:val="0"/>
                    <w:spacing w:after="0" w:line="240" w:lineRule="auto"/>
                    <w:contextualSpacing/>
                    <w:rPr>
                      <w:sz w:val="18"/>
                      <w:szCs w:val="18"/>
                      <w:lang w:val="en-GB"/>
                    </w:rPr>
                  </w:pPr>
                  <w:r>
                    <w:rPr>
                      <w:sz w:val="18"/>
                      <w:szCs w:val="18"/>
                      <w:lang w:val="en-GB"/>
                    </w:rPr>
                    <w:t>Fuel truck ATZ-10</w:t>
                  </w:r>
                </w:p>
              </w:tc>
              <w:tc>
                <w:tcPr>
                  <w:tcW w:w="1138" w:type="dxa"/>
                  <w:tcBorders>
                    <w:top w:val="nil"/>
                  </w:tcBorders>
                </w:tcPr>
                <w:p w:rsidR="00AB193C" w:rsidRDefault="00F354F1">
                  <w:pPr>
                    <w:widowControl w:val="0"/>
                    <w:spacing w:after="0" w:line="240" w:lineRule="auto"/>
                    <w:contextualSpacing/>
                    <w:rPr>
                      <w:sz w:val="18"/>
                      <w:szCs w:val="18"/>
                      <w:lang w:val="en-GB"/>
                    </w:rPr>
                  </w:pPr>
                  <w:r>
                    <w:rPr>
                      <w:sz w:val="18"/>
                      <w:szCs w:val="18"/>
                      <w:lang w:val="en-GB"/>
                    </w:rPr>
                    <w:t>Destroy</w:t>
                  </w:r>
                </w:p>
              </w:tc>
              <w:tc>
                <w:tcPr>
                  <w:tcW w:w="1137" w:type="dxa"/>
                  <w:tcBorders>
                    <w:top w:val="nil"/>
                  </w:tcBorders>
                </w:tcPr>
                <w:p w:rsidR="00AB193C" w:rsidRDefault="00F354F1">
                  <w:pPr>
                    <w:widowControl w:val="0"/>
                    <w:spacing w:after="0" w:line="240" w:lineRule="auto"/>
                    <w:contextualSpacing/>
                    <w:rPr>
                      <w:sz w:val="18"/>
                      <w:szCs w:val="18"/>
                      <w:lang w:val="en-GB"/>
                    </w:rPr>
                  </w:pPr>
                  <w:r>
                    <w:rPr>
                      <w:sz w:val="18"/>
                      <w:szCs w:val="18"/>
                      <w:lang w:val="en-GB"/>
                    </w:rPr>
                    <w:t>MEDIUM</w:t>
                  </w:r>
                </w:p>
              </w:tc>
              <w:tc>
                <w:tcPr>
                  <w:tcW w:w="1136" w:type="dxa"/>
                  <w:tcBorders>
                    <w:top w:val="nil"/>
                  </w:tcBorders>
                </w:tcPr>
                <w:p w:rsidR="00AB193C" w:rsidRDefault="00F354F1">
                  <w:pPr>
                    <w:widowControl w:val="0"/>
                    <w:spacing w:after="0" w:line="240" w:lineRule="auto"/>
                    <w:contextualSpacing/>
                    <w:rPr>
                      <w:sz w:val="18"/>
                      <w:szCs w:val="18"/>
                      <w:lang w:val="en-GB"/>
                    </w:rPr>
                  </w:pPr>
                  <w:r>
                    <w:rPr>
                      <w:sz w:val="18"/>
                      <w:szCs w:val="18"/>
                      <w:lang w:val="en-GB"/>
                    </w:rPr>
                    <w:t>Likely SYTGT003/137</w:t>
                  </w:r>
                </w:p>
              </w:tc>
              <w:tc>
                <w:tcPr>
                  <w:tcW w:w="1137" w:type="dxa"/>
                  <w:tcBorders>
                    <w:top w:val="nil"/>
                  </w:tcBorders>
                </w:tcPr>
                <w:p w:rsidR="00AB193C" w:rsidRDefault="00F354F1">
                  <w:pPr>
                    <w:widowControl w:val="0"/>
                    <w:spacing w:after="0" w:line="240" w:lineRule="auto"/>
                    <w:contextualSpacing/>
                    <w:rPr>
                      <w:sz w:val="18"/>
                      <w:szCs w:val="18"/>
                      <w:lang w:val="en-GB"/>
                    </w:rPr>
                  </w:pPr>
                  <w:r>
                    <w:rPr>
                      <w:noProof/>
                    </w:rPr>
                    <w:drawing>
                      <wp:inline distT="0" distB="0" distL="0" distR="0">
                        <wp:extent cx="585470" cy="39116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cstate="print"/>
                                <a:stretch>
                                  <a:fillRect/>
                                </a:stretch>
                              </pic:blipFill>
                              <pic:spPr bwMode="auto">
                                <a:xfrm>
                                  <a:off x="0" y="0"/>
                                  <a:ext cx="585470" cy="391160"/>
                                </a:xfrm>
                                <a:prstGeom prst="rect">
                                  <a:avLst/>
                                </a:prstGeom>
                              </pic:spPr>
                            </pic:pic>
                          </a:graphicData>
                        </a:graphic>
                      </wp:inline>
                    </w:drawing>
                  </w:r>
                </w:p>
              </w:tc>
            </w:tr>
          </w:tbl>
          <w:p w:rsidR="00AB193C" w:rsidRDefault="00AB193C">
            <w:pPr>
              <w:widowControl w:val="0"/>
              <w:contextualSpacing/>
              <w:rPr>
                <w:lang w:val="en-GB"/>
              </w:rPr>
            </w:pPr>
          </w:p>
          <w:p w:rsidR="00AB193C" w:rsidRDefault="00AB193C">
            <w:pPr>
              <w:widowControl w:val="0"/>
              <w:spacing w:after="0" w:line="240" w:lineRule="auto"/>
              <w:contextualSpacing/>
              <w:rPr>
                <w:lang w:val="en-GB"/>
              </w:rPr>
            </w:pPr>
          </w:p>
        </w:tc>
      </w:tr>
      <w:tr w:rsidR="00AB193C" w:rsidRPr="004B6772">
        <w:tc>
          <w:tcPr>
            <w:tcW w:w="2234" w:type="dxa"/>
          </w:tcPr>
          <w:p w:rsidR="00AB193C" w:rsidRDefault="00F354F1">
            <w:pPr>
              <w:pStyle w:val="Ingenmellomrom"/>
              <w:widowControl w:val="0"/>
              <w:contextualSpacing/>
              <w:rPr>
                <w:b/>
                <w:bCs/>
                <w:lang w:val="en-GB"/>
              </w:rPr>
            </w:pPr>
            <w:r>
              <w:rPr>
                <w:b/>
                <w:bCs/>
                <w:lang w:val="en-GB"/>
              </w:rPr>
              <w:t>Intelligence, Surveillance, Reconnaissance (ISR)</w:t>
            </w:r>
            <w:r>
              <w:rPr>
                <w:lang w:val="en-GB"/>
              </w:rPr>
              <w:t xml:space="preserve"> </w:t>
            </w:r>
            <w:r>
              <w:rPr>
                <w:color w:val="BFBFBF" w:themeColor="background1" w:themeShade="BF"/>
                <w:lang w:val="en-GB"/>
              </w:rPr>
              <w:t xml:space="preserve">– If any effort should be done to </w:t>
            </w:r>
            <w:r>
              <w:rPr>
                <w:color w:val="BFBFBF" w:themeColor="background1" w:themeShade="BF"/>
                <w:lang w:val="en-GB"/>
              </w:rPr>
              <w:t>support VIS with ISR to answer information gaps from VIS.</w:t>
            </w:r>
          </w:p>
        </w:tc>
        <w:tc>
          <w:tcPr>
            <w:tcW w:w="7053" w:type="dxa"/>
          </w:tcPr>
          <w:p w:rsidR="00AB193C" w:rsidRDefault="00F354F1">
            <w:pPr>
              <w:widowControl w:val="0"/>
              <w:spacing w:after="0" w:line="240" w:lineRule="auto"/>
              <w:contextualSpacing/>
              <w:rPr>
                <w:rFonts w:ascii="Arial" w:hAnsi="Arial"/>
                <w:lang w:val="en-GB"/>
              </w:rPr>
            </w:pPr>
            <w:r>
              <w:rPr>
                <w:lang w:val="en-GB"/>
              </w:rPr>
              <w:t>All intelligence and BDA should be submitted via Campaign Manager, and necessary images placed in #</w:t>
            </w:r>
            <w:proofErr w:type="spellStart"/>
            <w:r>
              <w:rPr>
                <w:lang w:val="en-GB"/>
              </w:rPr>
              <w:t>bda</w:t>
            </w:r>
            <w:proofErr w:type="spellEnd"/>
            <w:r>
              <w:rPr>
                <w:lang w:val="en-GB"/>
              </w:rPr>
              <w:t>-reports on discord IAW SPINS.</w:t>
            </w:r>
          </w:p>
          <w:p w:rsidR="00AB193C" w:rsidRDefault="00AB193C">
            <w:pPr>
              <w:widowControl w:val="0"/>
              <w:spacing w:after="0" w:line="240" w:lineRule="auto"/>
              <w:contextualSpacing/>
              <w:rPr>
                <w:rFonts w:ascii="Arial" w:hAnsi="Arial"/>
                <w:lang w:val="en-GB"/>
              </w:rPr>
            </w:pPr>
          </w:p>
          <w:p w:rsidR="00AB193C" w:rsidRDefault="00F354F1">
            <w:pPr>
              <w:widowControl w:val="0"/>
              <w:spacing w:after="0" w:line="240" w:lineRule="auto"/>
              <w:contextualSpacing/>
              <w:rPr>
                <w:rFonts w:ascii="Arial" w:hAnsi="Arial"/>
                <w:lang w:val="en-GB"/>
              </w:rPr>
            </w:pPr>
            <w:r>
              <w:rPr>
                <w:lang w:val="en-GB"/>
              </w:rPr>
              <w:t>The following IRs should be supported in this AOD:</w:t>
            </w:r>
          </w:p>
          <w:p w:rsidR="00AB193C" w:rsidRPr="004B6772" w:rsidRDefault="00AB193C">
            <w:pPr>
              <w:pStyle w:val="Listeavsnitt"/>
              <w:widowControl w:val="0"/>
              <w:spacing w:after="0" w:line="240" w:lineRule="auto"/>
              <w:rPr>
                <w:rFonts w:ascii="Arial" w:hAnsi="Arial"/>
                <w:lang w:val="en-US"/>
              </w:rPr>
            </w:pPr>
          </w:p>
          <w:p w:rsidR="00AB193C" w:rsidRPr="004B6772" w:rsidRDefault="00AB193C">
            <w:pPr>
              <w:pStyle w:val="Listeavsnitt"/>
              <w:widowControl w:val="0"/>
              <w:spacing w:after="0" w:line="240" w:lineRule="auto"/>
              <w:rPr>
                <w:rFonts w:ascii="Arial" w:hAnsi="Arial"/>
                <w:lang w:val="en-US"/>
              </w:rPr>
            </w:pPr>
          </w:p>
          <w:p w:rsidR="00AB193C" w:rsidRPr="004B6772" w:rsidRDefault="00F354F1">
            <w:pPr>
              <w:widowControl w:val="0"/>
              <w:spacing w:after="0" w:line="240" w:lineRule="auto"/>
              <w:contextualSpacing/>
              <w:rPr>
                <w:rFonts w:ascii="Arial" w:hAnsi="Arial"/>
                <w:lang w:val="en-US"/>
              </w:rPr>
            </w:pPr>
            <w:r w:rsidRPr="004B6772">
              <w:rPr>
                <w:color w:val="000000"/>
                <w:lang w:val="en-US"/>
              </w:rPr>
              <w:t xml:space="preserve">All VIS/VID Information Requests can be found </w:t>
            </w:r>
            <w:hyperlink>
              <w:r w:rsidRPr="004B6772">
                <w:rPr>
                  <w:rStyle w:val="Hyperkobling"/>
                  <w:color w:val="006CE7"/>
                  <w:lang w:val="en-US"/>
                </w:rPr>
                <w:t>here</w:t>
              </w:r>
            </w:hyperlink>
            <w:r w:rsidRPr="004B6772">
              <w:rPr>
                <w:color w:val="000000"/>
                <w:lang w:val="en-US"/>
              </w:rPr>
              <w:t>.</w:t>
            </w:r>
          </w:p>
        </w:tc>
      </w:tr>
      <w:tr w:rsidR="00AB193C" w:rsidRPr="004B6772">
        <w:tc>
          <w:tcPr>
            <w:tcW w:w="2234" w:type="dxa"/>
          </w:tcPr>
          <w:p w:rsidR="00AB193C" w:rsidRDefault="00F354F1">
            <w:pPr>
              <w:pStyle w:val="Ingenmellomrom"/>
              <w:widowControl w:val="0"/>
              <w:contextualSpacing/>
              <w:rPr>
                <w:b/>
                <w:bCs/>
                <w:lang w:val="en-GB"/>
              </w:rPr>
            </w:pPr>
            <w:r>
              <w:rPr>
                <w:b/>
                <w:bCs/>
                <w:lang w:val="en-GB"/>
              </w:rPr>
              <w:t>Other issues</w:t>
            </w:r>
          </w:p>
        </w:tc>
        <w:tc>
          <w:tcPr>
            <w:tcW w:w="7053" w:type="dxa"/>
          </w:tcPr>
          <w:p w:rsidR="00AB193C" w:rsidRDefault="00F354F1">
            <w:pPr>
              <w:widowControl w:val="0"/>
              <w:spacing w:after="0" w:line="240" w:lineRule="auto"/>
              <w:contextualSpacing/>
              <w:rPr>
                <w:lang w:val="en-GB"/>
              </w:rPr>
            </w:pPr>
            <w:r>
              <w:rPr>
                <w:lang w:val="en-GB"/>
              </w:rPr>
              <w:t xml:space="preserve">Standard Combat </w:t>
            </w:r>
            <w:proofErr w:type="spellStart"/>
            <w:r>
              <w:rPr>
                <w:lang w:val="en-GB"/>
              </w:rPr>
              <w:t>Loadouts</w:t>
            </w:r>
            <w:proofErr w:type="spellEnd"/>
            <w:r>
              <w:rPr>
                <w:lang w:val="en-GB"/>
              </w:rPr>
              <w:t xml:space="preserve"> </w:t>
            </w:r>
            <w:r w:rsidR="004B6772">
              <w:rPr>
                <w:lang w:val="en-GB"/>
              </w:rPr>
              <w:t xml:space="preserve">(SCL) </w:t>
            </w:r>
            <w:proofErr w:type="gramStart"/>
            <w:r w:rsidR="004B6772">
              <w:rPr>
                <w:lang w:val="en-GB"/>
              </w:rPr>
              <w:t>are</w:t>
            </w:r>
            <w:proofErr w:type="gramEnd"/>
            <w:r w:rsidR="004B6772">
              <w:rPr>
                <w:lang w:val="en-GB"/>
              </w:rPr>
              <w:t xml:space="preserve"> to be used in this </w:t>
            </w:r>
            <w:proofErr w:type="spellStart"/>
            <w:r w:rsidR="004B6772">
              <w:rPr>
                <w:lang w:val="en-GB"/>
              </w:rPr>
              <w:t>m</w:t>
            </w:r>
            <w:r>
              <w:rPr>
                <w:lang w:val="en-GB"/>
              </w:rPr>
              <w:t>i</w:t>
            </w:r>
            <w:r w:rsidR="004B6772">
              <w:rPr>
                <w:lang w:val="en-GB"/>
              </w:rPr>
              <w:t>s</w:t>
            </w:r>
            <w:r>
              <w:rPr>
                <w:lang w:val="en-GB"/>
              </w:rPr>
              <w:t>son</w:t>
            </w:r>
            <w:proofErr w:type="spellEnd"/>
            <w:r>
              <w:rPr>
                <w:lang w:val="en-GB"/>
              </w:rPr>
              <w:t>.</w:t>
            </w:r>
          </w:p>
        </w:tc>
      </w:tr>
      <w:tr w:rsidR="00AB193C" w:rsidRPr="004B6772">
        <w:tc>
          <w:tcPr>
            <w:tcW w:w="2234" w:type="dxa"/>
          </w:tcPr>
          <w:p w:rsidR="00AB193C" w:rsidRDefault="00F354F1">
            <w:pPr>
              <w:pStyle w:val="Ingenmellomrom"/>
              <w:widowControl w:val="0"/>
              <w:contextualSpacing/>
              <w:rPr>
                <w:b/>
                <w:bCs/>
                <w:lang w:val="en-GB"/>
              </w:rPr>
            </w:pPr>
            <w:r>
              <w:rPr>
                <w:b/>
                <w:bCs/>
                <w:lang w:val="en-GB"/>
              </w:rPr>
              <w:t>Direction and Guidance</w:t>
            </w:r>
          </w:p>
        </w:tc>
        <w:tc>
          <w:tcPr>
            <w:tcW w:w="7053" w:type="dxa"/>
          </w:tcPr>
          <w:p w:rsidR="00AB193C" w:rsidRDefault="00F354F1">
            <w:pPr>
              <w:widowControl w:val="0"/>
              <w:spacing w:after="0" w:line="240" w:lineRule="auto"/>
              <w:contextualSpacing/>
              <w:rPr>
                <w:lang w:val="en-GB"/>
              </w:rPr>
            </w:pPr>
            <w:r>
              <w:rPr>
                <w:lang w:val="en-GB"/>
              </w:rPr>
              <w:t xml:space="preserve">Aircrews must remain clear of Jordanian airspace at all times. Munitions must not be </w:t>
            </w:r>
            <w:r>
              <w:rPr>
                <w:lang w:val="en-GB"/>
              </w:rPr>
              <w:t>expended which may encroach on Jordanian airspace.</w:t>
            </w:r>
          </w:p>
          <w:p w:rsidR="00AB193C" w:rsidRDefault="00AB193C">
            <w:pPr>
              <w:widowControl w:val="0"/>
              <w:spacing w:after="0" w:line="240" w:lineRule="auto"/>
              <w:contextualSpacing/>
              <w:rPr>
                <w:lang w:val="en-GB"/>
              </w:rPr>
            </w:pPr>
          </w:p>
          <w:p w:rsidR="00AB193C" w:rsidRDefault="00F354F1">
            <w:pPr>
              <w:widowControl w:val="0"/>
              <w:spacing w:after="0" w:line="240" w:lineRule="auto"/>
              <w:contextualSpacing/>
              <w:rPr>
                <w:lang w:val="en-GB"/>
              </w:rPr>
            </w:pPr>
            <w:r>
              <w:rPr>
                <w:lang w:val="en-GB"/>
              </w:rPr>
              <w:t xml:space="preserve">Munitions may not be expended in the direction of Basel Al Assad And </w:t>
            </w:r>
            <w:proofErr w:type="spellStart"/>
            <w:r>
              <w:rPr>
                <w:lang w:val="en-GB"/>
              </w:rPr>
              <w:t>Tartarus</w:t>
            </w:r>
            <w:proofErr w:type="spellEnd"/>
            <w:r>
              <w:rPr>
                <w:lang w:val="en-GB"/>
              </w:rPr>
              <w:t xml:space="preserve"> in order to avoid Russian involvement in the conflict.</w:t>
            </w:r>
          </w:p>
        </w:tc>
      </w:tr>
    </w:tbl>
    <w:p w:rsidR="00AB193C" w:rsidRDefault="00F354F1">
      <w:pPr>
        <w:pStyle w:val="Heading1"/>
        <w:spacing w:before="0"/>
        <w:contextualSpacing/>
        <w:rPr>
          <w:lang w:val="en-GB"/>
        </w:rPr>
      </w:pPr>
      <w:r>
        <w:rPr>
          <w:lang w:val="en-GB"/>
        </w:rPr>
        <w:t xml:space="preserve">4.  ADMINISTRATION AND LOGISTICS </w:t>
      </w:r>
    </w:p>
    <w:p w:rsidR="00AB193C" w:rsidRDefault="00F354F1">
      <w:pPr>
        <w:rPr>
          <w:b/>
          <w:bCs/>
          <w:lang w:val="en-GB"/>
        </w:rPr>
      </w:pPr>
      <w:r>
        <w:rPr>
          <w:lang w:val="en-GB"/>
        </w:rPr>
        <w:t xml:space="preserve">Due to other ongoing major military </w:t>
      </w:r>
      <w:r>
        <w:rPr>
          <w:lang w:val="en-GB"/>
        </w:rPr>
        <w:t>operations, the munitions are limited in accordance with the ‘</w:t>
      </w:r>
      <w:hyperlink>
        <w:r>
          <w:rPr>
            <w:rStyle w:val="Hyperkobling"/>
            <w:lang w:val="en-GB"/>
          </w:rPr>
          <w:t>available ordnance</w:t>
        </w:r>
      </w:hyperlink>
      <w:r>
        <w:rPr>
          <w:lang w:val="en-GB"/>
        </w:rPr>
        <w:t xml:space="preserve">’ publication available at OPAR Brief. </w:t>
      </w:r>
      <w:r>
        <w:rPr>
          <w:b/>
          <w:bCs/>
          <w:lang w:val="en-GB"/>
        </w:rPr>
        <w:t>Further limitations may be imposed by JFACC and will be detailed in the ATO.</w:t>
      </w:r>
    </w:p>
    <w:p w:rsidR="00AB193C" w:rsidRDefault="00F354F1">
      <w:pPr>
        <w:rPr>
          <w:b/>
          <w:bCs/>
          <w:lang w:val="en-GB"/>
        </w:rPr>
      </w:pPr>
      <w:proofErr w:type="gramStart"/>
      <w:r>
        <w:rPr>
          <w:b/>
          <w:bCs/>
          <w:lang w:val="en-GB"/>
        </w:rPr>
        <w:t xml:space="preserve">Active Tanker Tracks – </w:t>
      </w:r>
      <w:r>
        <w:rPr>
          <w:lang w:val="en-GB"/>
        </w:rPr>
        <w:t>AR701 (</w:t>
      </w:r>
      <w:r>
        <w:rPr>
          <w:lang w:val="en-GB"/>
        </w:rPr>
        <w:t>ARCO-1</w:t>
      </w:r>
      <w:r>
        <w:rPr>
          <w:lang w:val="en-GB"/>
        </w:rPr>
        <w:t>)</w:t>
      </w:r>
      <w:r>
        <w:rPr>
          <w:lang w:val="en-GB"/>
        </w:rPr>
        <w:t xml:space="preserve">, </w:t>
      </w:r>
      <w:r>
        <w:rPr>
          <w:lang w:val="en-GB"/>
        </w:rPr>
        <w:t xml:space="preserve">AR803 </w:t>
      </w:r>
      <w:r>
        <w:rPr>
          <w:lang w:val="en-GB"/>
        </w:rPr>
        <w:t>(</w:t>
      </w:r>
      <w:r>
        <w:rPr>
          <w:lang w:val="en-GB"/>
        </w:rPr>
        <w:t>SHELL-3</w:t>
      </w:r>
      <w:r>
        <w:rPr>
          <w:lang w:val="en-GB"/>
        </w:rPr>
        <w:t>)</w:t>
      </w:r>
      <w:r>
        <w:rPr>
          <w:lang w:val="en-GB"/>
        </w:rPr>
        <w:t xml:space="preserve"> </w:t>
      </w:r>
      <w:r>
        <w:rPr>
          <w:lang w:val="en-GB"/>
        </w:rPr>
        <w:t>and AR804 (SHELL-4)</w:t>
      </w:r>
      <w:r w:rsidR="004B6772">
        <w:rPr>
          <w:lang w:val="en-GB"/>
        </w:rPr>
        <w:t>.</w:t>
      </w:r>
      <w:proofErr w:type="gramEnd"/>
    </w:p>
    <w:p w:rsidR="00AB193C" w:rsidRDefault="00F354F1">
      <w:pPr>
        <w:pStyle w:val="Heading1"/>
        <w:spacing w:before="0"/>
        <w:contextualSpacing/>
        <w:rPr>
          <w:lang w:val="en-GB"/>
        </w:rPr>
      </w:pPr>
      <w:r>
        <w:rPr>
          <w:lang w:val="en-GB"/>
        </w:rPr>
        <w:t xml:space="preserve">5.  COMMAND AND CONTROL </w:t>
      </w:r>
    </w:p>
    <w:p w:rsidR="00AB193C" w:rsidRDefault="00F354F1">
      <w:pPr>
        <w:pStyle w:val="Ingenmellomrom"/>
        <w:contextualSpacing/>
        <w:rPr>
          <w:lang w:val="en-GB"/>
        </w:rPr>
      </w:pPr>
      <w:r>
        <w:rPr>
          <w:lang w:val="en-GB"/>
        </w:rPr>
        <w:t xml:space="preserve">BULLSEYE </w:t>
      </w:r>
      <w:r>
        <w:rPr>
          <w:lang w:val="en-GB"/>
        </w:rPr>
        <w:t xml:space="preserve">NICOLE </w:t>
      </w:r>
      <w:r>
        <w:rPr>
          <w:lang w:val="en-GB"/>
        </w:rPr>
        <w:t>is defined at N 35 58.000 E 036 47.000.</w:t>
      </w:r>
    </w:p>
    <w:p w:rsidR="00AB193C" w:rsidRDefault="00AB193C">
      <w:pPr>
        <w:pStyle w:val="Ingenmellomrom"/>
        <w:contextualSpacing/>
        <w:rPr>
          <w:lang w:val="en-GB"/>
        </w:rPr>
      </w:pPr>
    </w:p>
    <w:p w:rsidR="00AB193C" w:rsidRDefault="00F354F1">
      <w:pPr>
        <w:pStyle w:val="Ingenmellomrom"/>
        <w:contextualSpacing/>
        <w:rPr>
          <w:lang w:val="en-GB"/>
        </w:rPr>
      </w:pPr>
      <w:r>
        <w:rPr>
          <w:lang w:val="en-GB"/>
        </w:rPr>
        <w:t xml:space="preserve">There are no other specific C2 considerations for these missions. Refer to the Command, Control and Communications </w:t>
      </w:r>
      <w:r>
        <w:rPr>
          <w:lang w:val="en-GB"/>
        </w:rPr>
        <w:t>section of the JAOP.</w:t>
      </w:r>
    </w:p>
    <w:sectPr w:rsidR="00AB193C" w:rsidSect="00AB193C">
      <w:headerReference w:type="default" r:id="rId11"/>
      <w:footerReference w:type="default" r:id="rId12"/>
      <w:pgSz w:w="11906" w:h="16838"/>
      <w:pgMar w:top="1417" w:right="1417" w:bottom="1417" w:left="1417" w:header="708" w:footer="708"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4F1" w:rsidRDefault="00F354F1" w:rsidP="00AB193C">
      <w:pPr>
        <w:spacing w:after="0" w:line="240" w:lineRule="auto"/>
      </w:pPr>
      <w:r>
        <w:separator/>
      </w:r>
    </w:p>
  </w:endnote>
  <w:endnote w:type="continuationSeparator" w:id="0">
    <w:p w:rsidR="00F354F1" w:rsidRDefault="00F354F1" w:rsidP="00AB1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sig w:usb0="00000000" w:usb1="00000000" w:usb2="00000000" w:usb3="00000000" w:csb0="00000000" w:csb1="00000000"/>
  </w:font>
  <w:font w:name="Noto Sans SC Regular">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3C" w:rsidRDefault="00F354F1">
    <w:pPr>
      <w:pStyle w:val="Footer"/>
      <w:jc w:val="center"/>
      <w:rPr>
        <w:sz w:val="16"/>
        <w:lang w:val="en-US"/>
      </w:rPr>
    </w:pPr>
    <w:r>
      <w:rPr>
        <w:b/>
        <w:bCs/>
        <w:sz w:val="16"/>
        <w:lang w:val="en-US"/>
      </w:rPr>
      <w:t>DISCLAIMER:</w:t>
    </w:r>
  </w:p>
  <w:p w:rsidR="00AB193C" w:rsidRDefault="00F354F1">
    <w:pPr>
      <w:pStyle w:val="Footer"/>
      <w:jc w:val="center"/>
      <w:rPr>
        <w:sz w:val="16"/>
        <w:lang w:val="en-US"/>
      </w:rPr>
    </w:pPr>
    <w:r>
      <w:rPr>
        <w:sz w:val="16"/>
        <w:lang w:val="en-US"/>
      </w:rPr>
      <w:t xml:space="preserve">This is for multiplayer online gaming using the Digital Combat Systems simulation software published by Eagle </w:t>
    </w:r>
    <w:r>
      <w:rPr>
        <w:sz w:val="16"/>
        <w:lang w:val="en-US"/>
      </w:rPr>
      <w:t>Dynamics. The information is not in any way suitable for real world use or operations.</w:t>
    </w:r>
  </w:p>
  <w:p w:rsidR="00AB193C" w:rsidRDefault="00AB193C">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4F1" w:rsidRDefault="00F354F1" w:rsidP="00AB193C">
      <w:pPr>
        <w:spacing w:after="0" w:line="240" w:lineRule="auto"/>
      </w:pPr>
      <w:r>
        <w:separator/>
      </w:r>
    </w:p>
  </w:footnote>
  <w:footnote w:type="continuationSeparator" w:id="0">
    <w:p w:rsidR="00F354F1" w:rsidRDefault="00F354F1" w:rsidP="00AB1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3C" w:rsidRDefault="00F354F1">
    <w:pPr>
      <w:pStyle w:val="Header"/>
      <w:rPr>
        <w:sz w:val="18"/>
        <w:szCs w:val="30"/>
        <w:lang w:val="en-US"/>
      </w:rPr>
    </w:pPr>
    <w:r>
      <w:tab/>
    </w:r>
    <w:r>
      <w:tab/>
    </w:r>
    <w:r>
      <w:rPr>
        <w:sz w:val="18"/>
        <w:szCs w:val="30"/>
        <w:lang w:val="en-US"/>
      </w:rPr>
      <w:t xml:space="preserve">JFACC /CJTF82 </w:t>
    </w:r>
  </w:p>
  <w:p w:rsidR="00AB193C" w:rsidRDefault="00F354F1">
    <w:pPr>
      <w:pStyle w:val="Header"/>
      <w:jc w:val="right"/>
      <w:rPr>
        <w:sz w:val="18"/>
        <w:szCs w:val="30"/>
        <w:lang w:val="en-US"/>
      </w:rPr>
    </w:pPr>
    <w:proofErr w:type="spellStart"/>
    <w:r>
      <w:rPr>
        <w:sz w:val="18"/>
        <w:szCs w:val="30"/>
        <w:lang w:val="en-US"/>
      </w:rPr>
      <w:t>Incerlik</w:t>
    </w:r>
    <w:proofErr w:type="spellEnd"/>
  </w:p>
  <w:p w:rsidR="00AB193C" w:rsidRDefault="00F354F1">
    <w:pPr>
      <w:pStyle w:val="Header"/>
      <w:jc w:val="right"/>
      <w:rPr>
        <w:sz w:val="18"/>
        <w:szCs w:val="30"/>
        <w:lang w:val="en-US"/>
      </w:rPr>
    </w:pPr>
    <w:r>
      <w:rPr>
        <w:sz w:val="18"/>
        <w:szCs w:val="30"/>
        <w:lang w:val="en-US"/>
      </w:rPr>
      <w:t>AOD D</w:t>
    </w:r>
    <w:r w:rsidR="004B6772">
      <w:rPr>
        <w:sz w:val="18"/>
        <w:szCs w:val="30"/>
        <w:lang w:val="en-US"/>
      </w:rPr>
      <w:t>8</w:t>
    </w:r>
  </w:p>
  <w:p w:rsidR="00AB193C" w:rsidRDefault="00AB193C">
    <w:pPr>
      <w:pStyle w:val="Header"/>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14EE"/>
    <w:multiLevelType w:val="multilevel"/>
    <w:tmpl w:val="37042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34A245B"/>
    <w:multiLevelType w:val="multilevel"/>
    <w:tmpl w:val="EF226D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2E40575"/>
    <w:multiLevelType w:val="multilevel"/>
    <w:tmpl w:val="FD8A53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CBC539F"/>
    <w:multiLevelType w:val="multilevel"/>
    <w:tmpl w:val="7BB6828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5EC44865"/>
    <w:multiLevelType w:val="multilevel"/>
    <w:tmpl w:val="FCC832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69610737"/>
    <w:multiLevelType w:val="multilevel"/>
    <w:tmpl w:val="D236FBE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AB193C"/>
    <w:rsid w:val="004B6772"/>
    <w:rsid w:val="00AB193C"/>
    <w:rsid w:val="00F354F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1">
    <w:name w:val="Heading 1"/>
    <w:basedOn w:val="Normal"/>
    <w:next w:val="Normal"/>
    <w:link w:val="Heading1Char"/>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customStyle="1" w:styleId="Heading2">
    <w:name w:val="Heading 2"/>
    <w:basedOn w:val="Normal"/>
    <w:next w:val="Ingenmellomrom"/>
    <w:link w:val="Heading2Char"/>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customStyle="1" w:styleId="Heading3">
    <w:name w:val="Heading 3"/>
    <w:basedOn w:val="Normal"/>
    <w:next w:val="Normal"/>
    <w:link w:val="Heading3Char"/>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paragraph" w:customStyle="1" w:styleId="Heading4">
    <w:name w:val="Heading 4"/>
    <w:basedOn w:val="Normal"/>
    <w:next w:val="Normal"/>
    <w:link w:val="Heading4Char"/>
    <w:uiPriority w:val="9"/>
    <w:unhideWhenUsed/>
    <w:qFormat/>
    <w:rsid w:val="00211379"/>
    <w:pPr>
      <w:keepNext/>
      <w:keepLines/>
      <w:spacing w:before="40" w:after="0"/>
      <w:outlineLvl w:val="3"/>
    </w:pPr>
    <w:rPr>
      <w:rFonts w:asciiTheme="majorHAnsi" w:eastAsiaTheme="majorEastAsia" w:hAnsiTheme="majorHAnsi" w:cstheme="majorBidi"/>
      <w:i/>
      <w:iCs/>
      <w:color w:val="0B0BFF" w:themeColor="accent1" w:themeShade="BF"/>
    </w:rPr>
  </w:style>
  <w:style w:type="character" w:customStyle="1" w:styleId="Heading1Char">
    <w:name w:val="Heading 1 Char"/>
    <w:basedOn w:val="Standardskriftforavsnitt"/>
    <w:link w:val="Heading1"/>
    <w:uiPriority w:val="9"/>
    <w:qFormat/>
    <w:rsid w:val="00465966"/>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Standardskriftforavsnitt"/>
    <w:link w:val="Heading2"/>
    <w:uiPriority w:val="9"/>
    <w:qFormat/>
    <w:rsid w:val="00343D16"/>
    <w:rPr>
      <w:rFonts w:asciiTheme="majorHAnsi" w:eastAsiaTheme="majorEastAsia" w:hAnsiTheme="majorHAnsi" w:cstheme="majorBidi"/>
      <w:b/>
      <w:bCs/>
      <w:color w:val="800080" w:themeColor="accent3"/>
      <w:sz w:val="26"/>
      <w:szCs w:val="26"/>
    </w:rPr>
  </w:style>
  <w:style w:type="character" w:customStyle="1" w:styleId="HeaderChar">
    <w:name w:val="Header Char"/>
    <w:basedOn w:val="Standardskriftforavsnitt"/>
    <w:link w:val="Header"/>
    <w:uiPriority w:val="99"/>
    <w:qFormat/>
    <w:rsid w:val="00465966"/>
  </w:style>
  <w:style w:type="character" w:customStyle="1" w:styleId="FooterChar">
    <w:name w:val="Footer Char"/>
    <w:basedOn w:val="Standardskriftforavsnitt"/>
    <w:link w:val="Footer"/>
    <w:uiPriority w:val="99"/>
    <w:qFormat/>
    <w:rsid w:val="00465966"/>
  </w:style>
  <w:style w:type="character" w:customStyle="1" w:styleId="BobletekstTegn">
    <w:name w:val="Bobletekst Tegn"/>
    <w:basedOn w:val="Standardskriftforavsnitt"/>
    <w:link w:val="Bobletekst"/>
    <w:uiPriority w:val="99"/>
    <w:semiHidden/>
    <w:qFormat/>
    <w:rsid w:val="00465966"/>
    <w:rPr>
      <w:rFonts w:ascii="Tahoma" w:hAnsi="Tahoma" w:cs="Tahoma"/>
      <w:sz w:val="16"/>
      <w:szCs w:val="16"/>
    </w:rPr>
  </w:style>
  <w:style w:type="character" w:customStyle="1" w:styleId="TittelTegn">
    <w:name w:val="Tittel Tegn"/>
    <w:basedOn w:val="Standardskriftforavsnitt"/>
    <w:link w:val="Tittel"/>
    <w:uiPriority w:val="10"/>
    <w:qFormat/>
    <w:rsid w:val="00753AD3"/>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Standardskriftforavsnitt"/>
    <w:link w:val="Heading3"/>
    <w:uiPriority w:val="9"/>
    <w:qFormat/>
    <w:rsid w:val="00343D16"/>
    <w:rPr>
      <w:rFonts w:asciiTheme="majorHAnsi" w:eastAsiaTheme="majorEastAsia" w:hAnsiTheme="majorHAnsi" w:cstheme="majorBidi"/>
      <w:b/>
      <w:bCs/>
      <w:color w:val="6565FF" w:themeColor="accent1"/>
    </w:rPr>
  </w:style>
  <w:style w:type="character" w:styleId="Merknadsreferanse">
    <w:name w:val="annotation reference"/>
    <w:basedOn w:val="Standardskriftforavsnitt"/>
    <w:uiPriority w:val="99"/>
    <w:semiHidden/>
    <w:unhideWhenUsed/>
    <w:qFormat/>
    <w:rsid w:val="006E6BAB"/>
    <w:rPr>
      <w:sz w:val="16"/>
      <w:szCs w:val="16"/>
    </w:rPr>
  </w:style>
  <w:style w:type="character" w:customStyle="1" w:styleId="MerknadstekstTegn">
    <w:name w:val="Merknadstekst Tegn"/>
    <w:basedOn w:val="Standardskriftforavsnitt"/>
    <w:link w:val="Merknadstekst"/>
    <w:uiPriority w:val="99"/>
    <w:semiHidden/>
    <w:qFormat/>
    <w:rsid w:val="006E6BAB"/>
    <w:rPr>
      <w:sz w:val="20"/>
      <w:szCs w:val="20"/>
    </w:rPr>
  </w:style>
  <w:style w:type="character" w:customStyle="1" w:styleId="KommentaremneTegn">
    <w:name w:val="Kommentaremne Tegn"/>
    <w:basedOn w:val="MerknadstekstTegn"/>
    <w:link w:val="Kommentaremne"/>
    <w:uiPriority w:val="99"/>
    <w:semiHidden/>
    <w:qFormat/>
    <w:rsid w:val="006E6BAB"/>
    <w:rPr>
      <w:b/>
      <w:bCs/>
      <w:sz w:val="20"/>
      <w:szCs w:val="20"/>
    </w:rPr>
  </w:style>
  <w:style w:type="character" w:styleId="Hyperkobling">
    <w:name w:val="Hyperlink"/>
    <w:basedOn w:val="Standardskriftforavsnitt"/>
    <w:uiPriority w:val="99"/>
    <w:unhideWhenUsed/>
    <w:rsid w:val="000D445D"/>
    <w:rPr>
      <w:color w:val="0000FF" w:themeColor="hyperlink"/>
      <w:u w:val="single"/>
    </w:rPr>
  </w:style>
  <w:style w:type="character" w:customStyle="1" w:styleId="Heading4Char">
    <w:name w:val="Heading 4 Char"/>
    <w:basedOn w:val="Standardskriftforavsnitt"/>
    <w:link w:val="Heading4"/>
    <w:uiPriority w:val="9"/>
    <w:qFormat/>
    <w:rsid w:val="00211379"/>
    <w:rPr>
      <w:rFonts w:asciiTheme="majorHAnsi" w:eastAsiaTheme="majorEastAsia" w:hAnsiTheme="majorHAnsi" w:cstheme="majorBidi"/>
      <w:i/>
      <w:iCs/>
      <w:color w:val="0B0BFF" w:themeColor="accent1" w:themeShade="BF"/>
    </w:rPr>
  </w:style>
  <w:style w:type="character" w:customStyle="1" w:styleId="UnresolvedMention1">
    <w:name w:val="Unresolved Mention1"/>
    <w:basedOn w:val="Standardskriftforavsnitt"/>
    <w:uiPriority w:val="99"/>
    <w:semiHidden/>
    <w:unhideWhenUsed/>
    <w:qFormat/>
    <w:rsid w:val="009A5288"/>
    <w:rPr>
      <w:color w:val="605E5C"/>
      <w:shd w:val="clear" w:color="auto" w:fill="E1DFDD"/>
    </w:rPr>
  </w:style>
  <w:style w:type="character" w:customStyle="1" w:styleId="NumberingSymbols">
    <w:name w:val="Numbering Symbols"/>
    <w:qFormat/>
    <w:rsid w:val="00AB193C"/>
  </w:style>
  <w:style w:type="character" w:customStyle="1" w:styleId="Bullets">
    <w:name w:val="Bullets"/>
    <w:qFormat/>
    <w:rsid w:val="00AB193C"/>
    <w:rPr>
      <w:rFonts w:ascii="OpenSymbol" w:eastAsia="OpenSymbol" w:hAnsi="OpenSymbol" w:cs="OpenSymbol"/>
    </w:rPr>
  </w:style>
  <w:style w:type="paragraph" w:customStyle="1" w:styleId="Heading">
    <w:name w:val="Heading"/>
    <w:basedOn w:val="Normal"/>
    <w:next w:val="Brdtekst"/>
    <w:qFormat/>
    <w:rsid w:val="00AB193C"/>
    <w:pPr>
      <w:keepNext/>
      <w:spacing w:before="240" w:after="120"/>
    </w:pPr>
    <w:rPr>
      <w:rFonts w:ascii="Carlito" w:eastAsia="Noto Sans SC Regular" w:hAnsi="Carlito" w:cs="Noto Sans Devanagari"/>
      <w:sz w:val="28"/>
      <w:szCs w:val="28"/>
    </w:rPr>
  </w:style>
  <w:style w:type="paragraph" w:styleId="Brdtekst">
    <w:name w:val="Body Text"/>
    <w:basedOn w:val="Normal"/>
    <w:rsid w:val="00AB193C"/>
    <w:pPr>
      <w:spacing w:after="140"/>
    </w:pPr>
  </w:style>
  <w:style w:type="paragraph" w:styleId="Liste">
    <w:name w:val="List"/>
    <w:basedOn w:val="Brdtekst"/>
    <w:rsid w:val="00AB193C"/>
    <w:rPr>
      <w:rFonts w:cs="Noto Sans Devanagari"/>
    </w:rPr>
  </w:style>
  <w:style w:type="paragraph" w:customStyle="1" w:styleId="Caption">
    <w:name w:val="Caption"/>
    <w:basedOn w:val="Normal"/>
    <w:qFormat/>
    <w:rsid w:val="00AB193C"/>
    <w:pPr>
      <w:suppressLineNumbers/>
      <w:spacing w:before="120" w:after="120"/>
    </w:pPr>
    <w:rPr>
      <w:rFonts w:cs="Noto Sans Devanagari"/>
      <w:i/>
      <w:iCs/>
      <w:sz w:val="24"/>
      <w:szCs w:val="24"/>
    </w:rPr>
  </w:style>
  <w:style w:type="paragraph" w:customStyle="1" w:styleId="Index">
    <w:name w:val="Index"/>
    <w:basedOn w:val="Normal"/>
    <w:qFormat/>
    <w:rsid w:val="00AB193C"/>
    <w:pPr>
      <w:suppressLineNumbers/>
    </w:pPr>
    <w:rPr>
      <w:rFonts w:cs="Noto Sans Devanagari"/>
    </w:rPr>
  </w:style>
  <w:style w:type="paragraph" w:styleId="Ingenmellomrom">
    <w:name w:val="No Spacing"/>
    <w:uiPriority w:val="1"/>
    <w:qFormat/>
    <w:rsid w:val="00465966"/>
  </w:style>
  <w:style w:type="paragraph" w:customStyle="1" w:styleId="HeaderandFooter">
    <w:name w:val="Header and Footer"/>
    <w:basedOn w:val="Normal"/>
    <w:qFormat/>
    <w:rsid w:val="00AB193C"/>
  </w:style>
  <w:style w:type="paragraph" w:customStyle="1" w:styleId="Header">
    <w:name w:val="Header"/>
    <w:basedOn w:val="Normal"/>
    <w:link w:val="HeaderChar"/>
    <w:uiPriority w:val="99"/>
    <w:unhideWhenUsed/>
    <w:rsid w:val="00465966"/>
    <w:pPr>
      <w:tabs>
        <w:tab w:val="center" w:pos="4536"/>
        <w:tab w:val="right" w:pos="9072"/>
      </w:tabs>
      <w:spacing w:after="0" w:line="240" w:lineRule="auto"/>
    </w:pPr>
  </w:style>
  <w:style w:type="paragraph" w:customStyle="1" w:styleId="Footer">
    <w:name w:val="Footer"/>
    <w:basedOn w:val="Normal"/>
    <w:link w:val="FooterChar"/>
    <w:uiPriority w:val="99"/>
    <w:unhideWhenUsed/>
    <w:rsid w:val="00465966"/>
    <w:pPr>
      <w:tabs>
        <w:tab w:val="center" w:pos="4536"/>
        <w:tab w:val="right" w:pos="9072"/>
      </w:tabs>
      <w:spacing w:after="0" w:line="240" w:lineRule="auto"/>
    </w:pPr>
  </w:style>
  <w:style w:type="paragraph" w:styleId="Bobletekst">
    <w:name w:val="Balloon Text"/>
    <w:basedOn w:val="Normal"/>
    <w:link w:val="BobletekstTegn"/>
    <w:uiPriority w:val="99"/>
    <w:semiHidden/>
    <w:unhideWhenUsed/>
    <w:qFormat/>
    <w:rsid w:val="00465966"/>
    <w:pPr>
      <w:spacing w:after="0" w:line="240" w:lineRule="auto"/>
    </w:pPr>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avsnitt">
    <w:name w:val="List Paragraph"/>
    <w:basedOn w:val="Normal"/>
    <w:uiPriority w:val="34"/>
    <w:qFormat/>
    <w:rsid w:val="00F80695"/>
    <w:pPr>
      <w:ind w:left="720"/>
      <w:contextualSpacing/>
    </w:pPr>
  </w:style>
  <w:style w:type="paragraph" w:customStyle="1" w:styleId="Default">
    <w:name w:val="Default"/>
    <w:qFormat/>
    <w:rsid w:val="00B226BE"/>
    <w:rPr>
      <w:rFonts w:ascii="Arial" w:hAnsi="Arial" w:cs="Arial"/>
      <w:color w:val="000000"/>
      <w:sz w:val="24"/>
      <w:szCs w:val="24"/>
      <w:lang w:val="en-GB"/>
    </w:rPr>
  </w:style>
  <w:style w:type="paragraph" w:styleId="Merknadstekst">
    <w:name w:val="annotation text"/>
    <w:basedOn w:val="Normal"/>
    <w:link w:val="MerknadstekstTegn"/>
    <w:uiPriority w:val="99"/>
    <w:semiHidden/>
    <w:unhideWhenUsed/>
    <w:qFormat/>
    <w:rsid w:val="006E6BAB"/>
    <w:pPr>
      <w:spacing w:line="240" w:lineRule="auto"/>
    </w:pPr>
    <w:rPr>
      <w:sz w:val="20"/>
      <w:szCs w:val="20"/>
    </w:rPr>
  </w:style>
  <w:style w:type="paragraph" w:styleId="Kommentaremne">
    <w:name w:val="annotation subject"/>
    <w:basedOn w:val="Merknadstekst"/>
    <w:next w:val="Merknadstekst"/>
    <w:link w:val="KommentaremneTegn"/>
    <w:uiPriority w:val="99"/>
    <w:semiHidden/>
    <w:unhideWhenUsed/>
    <w:qFormat/>
    <w:rsid w:val="006E6BAB"/>
    <w:rPr>
      <w:b/>
      <w:bCs/>
    </w:rPr>
  </w:style>
  <w:style w:type="paragraph" w:customStyle="1" w:styleId="TableContents">
    <w:name w:val="Table Contents"/>
    <w:basedOn w:val="Normal"/>
    <w:qFormat/>
    <w:rsid w:val="00AB193C"/>
    <w:pPr>
      <w:widowControl w:val="0"/>
      <w:suppressLineNumbers/>
    </w:pPr>
  </w:style>
  <w:style w:type="paragraph" w:customStyle="1" w:styleId="TableHeading">
    <w:name w:val="Table Heading"/>
    <w:basedOn w:val="TableContents"/>
    <w:qFormat/>
    <w:rsid w:val="00AB193C"/>
    <w:pPr>
      <w:jc w:val="center"/>
    </w:pPr>
    <w:rPr>
      <w:b/>
      <w:bCs/>
    </w:rPr>
  </w:style>
  <w:style w:type="table" w:styleId="Tabellrutenett">
    <w:name w:val="Table Grid"/>
    <w:basedOn w:val="Vanligtabell"/>
    <w:uiPriority w:val="59"/>
    <w:unhideWhenUsed/>
    <w:rsid w:val="00796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uiPriority w:val="99"/>
    <w:semiHidden/>
    <w:unhideWhenUsed/>
    <w:rsid w:val="004B677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B6772"/>
  </w:style>
  <w:style w:type="paragraph" w:styleId="Bunntekst">
    <w:name w:val="footer"/>
    <w:basedOn w:val="Normal"/>
    <w:link w:val="BunntekstTegn"/>
    <w:uiPriority w:val="99"/>
    <w:semiHidden/>
    <w:unhideWhenUsed/>
    <w:rsid w:val="004B677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B67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70EAC-0DD3-44AD-A5A0-F3C54712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4</Pages>
  <Words>1008</Words>
  <Characters>5343</Characters>
  <Application>Microsoft Office Word</Application>
  <DocSecurity>0</DocSecurity>
  <Lines>44</Lines>
  <Paragraphs>12</Paragraphs>
  <ScaleCrop>false</ScaleCrop>
  <Company>HP</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JFACC D8 AOD</dc:title>
  <dc:creator>Neck</dc:creator>
  <cp:lastModifiedBy>Neck</cp:lastModifiedBy>
  <cp:revision>1</cp:revision>
  <cp:lastPrinted>2022-09-16T17:48:00Z</cp:lastPrinted>
  <dcterms:created xsi:type="dcterms:W3CDTF">2022-09-04T11:26:00Z</dcterms:created>
  <dcterms:modified xsi:type="dcterms:W3CDTF">2023-04-28T17:45:00Z</dcterms:modified>
  <dc:language>en-US</dc:language>
</cp:coreProperties>
</file>