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725149" w:rsidRDefault="00753AD3" w:rsidP="00753AD3">
      <w:pPr>
        <w:pStyle w:val="Tittel"/>
        <w:jc w:val="center"/>
        <w:rPr>
          <w:lang w:val="en-GB"/>
        </w:rPr>
      </w:pPr>
    </w:p>
    <w:p w:rsidR="00753AD3" w:rsidRPr="00725149" w:rsidRDefault="00753AD3" w:rsidP="00753AD3">
      <w:pPr>
        <w:pStyle w:val="Tittel"/>
        <w:jc w:val="center"/>
        <w:rPr>
          <w:lang w:val="en-GB"/>
        </w:rPr>
      </w:pPr>
      <w:r w:rsidRPr="00725149">
        <w:rPr>
          <w:noProof/>
        </w:rPr>
        <w:drawing>
          <wp:inline distT="0" distB="0" distL="0" distR="0">
            <wp:extent cx="1726086" cy="1761451"/>
            <wp:effectExtent l="0" t="0" r="0" b="0"/>
            <wp:docPr id="6"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1727182" cy="1762569"/>
                    </a:xfrm>
                    <a:prstGeom prst="rect">
                      <a:avLst/>
                    </a:prstGeom>
                    <a:noFill/>
                    <a:ln w="9525">
                      <a:noFill/>
                      <a:miter lim="800000"/>
                      <a:headEnd/>
                      <a:tailEnd/>
                    </a:ln>
                  </pic:spPr>
                </pic:pic>
              </a:graphicData>
            </a:graphic>
          </wp:inline>
        </w:drawing>
      </w:r>
    </w:p>
    <w:p w:rsidR="00753AD3" w:rsidRPr="00725149" w:rsidRDefault="00753AD3" w:rsidP="00753AD3">
      <w:pPr>
        <w:pStyle w:val="Tittel"/>
        <w:jc w:val="center"/>
        <w:rPr>
          <w:sz w:val="48"/>
          <w:lang w:val="en-GB"/>
        </w:rPr>
      </w:pPr>
      <w:r w:rsidRPr="00725149">
        <w:rPr>
          <w:sz w:val="48"/>
          <w:lang w:val="en-GB"/>
        </w:rPr>
        <w:t>JFACC AIR OPERATIONS DIRECTIVE</w:t>
      </w:r>
    </w:p>
    <w:p w:rsidR="00343D16" w:rsidRPr="00725149" w:rsidRDefault="00343D16" w:rsidP="00753AD3">
      <w:pPr>
        <w:pStyle w:val="Tittel"/>
        <w:jc w:val="center"/>
        <w:rPr>
          <w:sz w:val="48"/>
          <w:lang w:val="en-GB"/>
        </w:rPr>
      </w:pPr>
      <w:r w:rsidRPr="00725149">
        <w:rPr>
          <w:sz w:val="48"/>
          <w:lang w:val="en-GB"/>
        </w:rPr>
        <w:t>OPERATION ACTIVE RESOLVE</w:t>
      </w:r>
    </w:p>
    <w:p w:rsidR="00753AD3" w:rsidRPr="00725149" w:rsidRDefault="0046501B" w:rsidP="00753AD3">
      <w:pPr>
        <w:pStyle w:val="Tittel"/>
        <w:jc w:val="center"/>
        <w:rPr>
          <w:sz w:val="48"/>
          <w:lang w:val="en-GB"/>
        </w:rPr>
      </w:pPr>
      <w:r w:rsidRPr="00725149">
        <w:rPr>
          <w:sz w:val="48"/>
          <w:lang w:val="en-GB"/>
        </w:rPr>
        <w:t>D+</w:t>
      </w:r>
      <w:r w:rsidR="0077011A" w:rsidRPr="00725149">
        <w:rPr>
          <w:sz w:val="48"/>
          <w:lang w:val="en-GB"/>
        </w:rPr>
        <w:t>1</w:t>
      </w:r>
    </w:p>
    <w:p w:rsidR="00465966" w:rsidRPr="00725149" w:rsidRDefault="00465966" w:rsidP="00465966">
      <w:pPr>
        <w:pStyle w:val="Overskrift1"/>
        <w:rPr>
          <w:lang w:val="en-GB"/>
        </w:rPr>
      </w:pPr>
      <w:r w:rsidRPr="00725149">
        <w:rPr>
          <w:lang w:val="en-GB"/>
        </w:rPr>
        <w:t xml:space="preserve">1.  SITUATION </w:t>
      </w:r>
    </w:p>
    <w:p w:rsidR="00465966" w:rsidRPr="00725149" w:rsidRDefault="00465966" w:rsidP="00343D16">
      <w:pPr>
        <w:pStyle w:val="Overskrift2"/>
        <w:rPr>
          <w:lang w:val="en-GB"/>
        </w:rPr>
      </w:pPr>
      <w:r w:rsidRPr="00725149">
        <w:rPr>
          <w:lang w:val="en-GB"/>
        </w:rPr>
        <w:t xml:space="preserve">a.  JFC guidance (verbatim). </w:t>
      </w:r>
    </w:p>
    <w:p w:rsidR="00677360" w:rsidRPr="00725149" w:rsidRDefault="00677360" w:rsidP="00465966">
      <w:pPr>
        <w:pStyle w:val="Ingenmellomrom"/>
        <w:rPr>
          <w:lang w:val="en-GB"/>
        </w:rPr>
      </w:pPr>
      <w:r w:rsidRPr="00725149">
        <w:rPr>
          <w:highlight w:val="yellow"/>
          <w:lang w:val="en-GB"/>
        </w:rPr>
        <w:t>GIVEN BY CJTF HQ (MISSION DESIGNERS)</w:t>
      </w:r>
    </w:p>
    <w:p w:rsidR="00465966" w:rsidRPr="00725149" w:rsidRDefault="00465966" w:rsidP="00465966">
      <w:pPr>
        <w:pStyle w:val="Ingenmellomrom"/>
        <w:rPr>
          <w:lang w:val="en-GB"/>
        </w:rPr>
      </w:pPr>
      <w:r w:rsidRPr="00725149">
        <w:rPr>
          <w:lang w:val="en-GB"/>
        </w:rPr>
        <w:t xml:space="preserve">(1)  JFC’s intent statement. </w:t>
      </w:r>
    </w:p>
    <w:p w:rsidR="00465966" w:rsidRPr="00725149" w:rsidRDefault="00465966" w:rsidP="00465966">
      <w:pPr>
        <w:pStyle w:val="Ingenmellomrom"/>
        <w:rPr>
          <w:lang w:val="en-GB"/>
        </w:rPr>
      </w:pPr>
      <w:r w:rsidRPr="00725149">
        <w:rPr>
          <w:lang w:val="en-GB"/>
        </w:rPr>
        <w:t xml:space="preserve">(2)  Execution guidance (if issued). </w:t>
      </w:r>
    </w:p>
    <w:p w:rsidR="00465966" w:rsidRPr="00725149" w:rsidRDefault="00465966" w:rsidP="00465966">
      <w:pPr>
        <w:pStyle w:val="Ingenmellomrom"/>
        <w:rPr>
          <w:lang w:val="en-GB"/>
        </w:rPr>
      </w:pPr>
      <w:r w:rsidRPr="00725149">
        <w:rPr>
          <w:lang w:val="en-GB"/>
        </w:rPr>
        <w:t xml:space="preserve">(3)  Supported and supporting command relationships. </w:t>
      </w:r>
    </w:p>
    <w:p w:rsidR="00677360" w:rsidRPr="00725149" w:rsidRDefault="00677360" w:rsidP="00465966">
      <w:pPr>
        <w:pStyle w:val="Ingenmellomrom"/>
        <w:rPr>
          <w:lang w:val="en-GB"/>
        </w:rPr>
      </w:pPr>
    </w:p>
    <w:p w:rsidR="003553B0" w:rsidRPr="00725149" w:rsidRDefault="00465966" w:rsidP="00343D16">
      <w:pPr>
        <w:pStyle w:val="Overskrift2"/>
        <w:rPr>
          <w:lang w:val="en-GB"/>
        </w:rPr>
      </w:pPr>
      <w:r w:rsidRPr="00725149">
        <w:rPr>
          <w:lang w:val="en-GB"/>
        </w:rPr>
        <w:t>b.  Enemy situation.</w:t>
      </w:r>
      <w:r w:rsidR="003553B0" w:rsidRPr="00725149">
        <w:rPr>
          <w:lang w:val="en-GB"/>
        </w:rPr>
        <w:t xml:space="preserve"> </w:t>
      </w:r>
    </w:p>
    <w:p w:rsidR="00465966" w:rsidRPr="00725149" w:rsidRDefault="003553B0" w:rsidP="00465966">
      <w:pPr>
        <w:pStyle w:val="Ingenmellomrom"/>
        <w:rPr>
          <w:lang w:val="en-GB"/>
        </w:rPr>
      </w:pPr>
      <w:r w:rsidRPr="00725149">
        <w:rPr>
          <w:highlight w:val="yellow"/>
          <w:lang w:val="en-GB"/>
        </w:rPr>
        <w:t>GIVEN BY VIS</w:t>
      </w:r>
      <w:r w:rsidR="00465966" w:rsidRPr="00725149">
        <w:rPr>
          <w:lang w:val="en-GB"/>
        </w:rPr>
        <w:t xml:space="preserve"> </w:t>
      </w:r>
    </w:p>
    <w:p w:rsidR="00465966" w:rsidRPr="00725149" w:rsidRDefault="00465966" w:rsidP="00343D16">
      <w:pPr>
        <w:pStyle w:val="Overskrift2"/>
        <w:rPr>
          <w:lang w:val="en-GB"/>
        </w:rPr>
      </w:pPr>
      <w:r w:rsidRPr="00725149">
        <w:rPr>
          <w:lang w:val="en-GB"/>
        </w:rPr>
        <w:t xml:space="preserve">c.  Friendly situation (by joint force component). </w:t>
      </w:r>
    </w:p>
    <w:p w:rsidR="00465966" w:rsidRPr="00725149" w:rsidRDefault="00AA472B" w:rsidP="00465966">
      <w:pPr>
        <w:pStyle w:val="Ingenmellomrom"/>
        <w:rPr>
          <w:lang w:val="en-GB"/>
        </w:rPr>
      </w:pPr>
      <w:r>
        <w:rPr>
          <w:lang w:val="en-GB"/>
        </w:rPr>
        <w:t xml:space="preserve">See </w:t>
      </w:r>
      <w:hyperlink r:id="rId9" w:history="1">
        <w:r w:rsidRPr="00AA472B">
          <w:rPr>
            <w:rStyle w:val="Hyperkobling"/>
            <w:lang w:val="en-GB"/>
          </w:rPr>
          <w:t>CJTF Operations Order</w:t>
        </w:r>
      </w:hyperlink>
      <w:r>
        <w:rPr>
          <w:lang w:val="en-GB"/>
        </w:rPr>
        <w:t xml:space="preserve"> and </w:t>
      </w:r>
      <w:hyperlink r:id="rId10" w:history="1">
        <w:r w:rsidRPr="00AA472B">
          <w:rPr>
            <w:rStyle w:val="Hyperkobling"/>
            <w:lang w:val="en-GB"/>
          </w:rPr>
          <w:t xml:space="preserve">LCC III Corps </w:t>
        </w:r>
        <w:proofErr w:type="spellStart"/>
        <w:r w:rsidRPr="00AA472B">
          <w:rPr>
            <w:rStyle w:val="Hyperkobling"/>
            <w:lang w:val="en-GB"/>
          </w:rPr>
          <w:t>Conops</w:t>
        </w:r>
        <w:proofErr w:type="spellEnd"/>
      </w:hyperlink>
      <w:r>
        <w:rPr>
          <w:lang w:val="en-GB"/>
        </w:rPr>
        <w:t xml:space="preserve"> and </w:t>
      </w:r>
      <w:hyperlink r:id="rId11" w:history="1">
        <w:r w:rsidRPr="00AA472B">
          <w:rPr>
            <w:rStyle w:val="Hyperkobling"/>
            <w:lang w:val="en-GB"/>
          </w:rPr>
          <w:t xml:space="preserve">LCC IV Corps </w:t>
        </w:r>
        <w:proofErr w:type="spellStart"/>
        <w:r w:rsidRPr="00AA472B">
          <w:rPr>
            <w:rStyle w:val="Hyperkobling"/>
            <w:lang w:val="en-GB"/>
          </w:rPr>
          <w:t>Conops</w:t>
        </w:r>
        <w:proofErr w:type="spellEnd"/>
      </w:hyperlink>
    </w:p>
    <w:p w:rsidR="00465966" w:rsidRPr="00725149" w:rsidRDefault="00465966" w:rsidP="00465966">
      <w:pPr>
        <w:pStyle w:val="Overskrift1"/>
        <w:rPr>
          <w:lang w:val="en-GB"/>
        </w:rPr>
      </w:pPr>
      <w:r w:rsidRPr="00725149">
        <w:rPr>
          <w:lang w:val="en-GB"/>
        </w:rPr>
        <w:t xml:space="preserve">2.  MISSION </w:t>
      </w:r>
      <w:r w:rsidR="001868B0" w:rsidRPr="00725149">
        <w:rPr>
          <w:lang w:val="en-GB"/>
        </w:rPr>
        <w:t xml:space="preserve">- </w:t>
      </w:r>
      <w:r w:rsidRPr="00725149">
        <w:rPr>
          <w:lang w:val="en-GB"/>
        </w:rPr>
        <w:t xml:space="preserve">The JFACC’s mission statement (verbatim). </w:t>
      </w:r>
    </w:p>
    <w:p w:rsidR="001078D2" w:rsidRPr="00725149" w:rsidRDefault="001078D2" w:rsidP="001078D2">
      <w:pPr>
        <w:pStyle w:val="Ingenmellomrom"/>
        <w:rPr>
          <w:rFonts w:eastAsia="Times New Roman"/>
          <w:lang w:val="en-GB"/>
        </w:rPr>
      </w:pPr>
      <w:r w:rsidRPr="00725149">
        <w:rPr>
          <w:rFonts w:eastAsia="Times New Roman"/>
          <w:lang w:val="en-GB"/>
        </w:rPr>
        <w:t>JFACC will establish air superiority in the area of operations and defeat Syrian offensive capability in support of CJTF-82 offensive operations to neutralize Syrian offensive capability to conduct offensives in the region.</w:t>
      </w:r>
    </w:p>
    <w:p w:rsidR="00465966" w:rsidRPr="00725149" w:rsidRDefault="00465966" w:rsidP="00465966">
      <w:pPr>
        <w:pStyle w:val="Overskrift1"/>
        <w:rPr>
          <w:lang w:val="en-GB"/>
        </w:rPr>
      </w:pPr>
      <w:r w:rsidRPr="00725149">
        <w:rPr>
          <w:lang w:val="en-GB"/>
        </w:rPr>
        <w:t>3.  EXECUTION</w:t>
      </w:r>
      <w:r w:rsidR="001868B0" w:rsidRPr="00725149">
        <w:rPr>
          <w:lang w:val="en-GB"/>
        </w:rPr>
        <w:t xml:space="preserve"> </w:t>
      </w:r>
      <w:r w:rsidRPr="00725149">
        <w:rPr>
          <w:lang w:val="en-GB"/>
        </w:rPr>
        <w:t>–</w:t>
      </w:r>
      <w:r w:rsidR="001868B0" w:rsidRPr="00725149">
        <w:rPr>
          <w:lang w:val="en-GB"/>
        </w:rPr>
        <w:t xml:space="preserve"> </w:t>
      </w:r>
      <w:r w:rsidRPr="00725149">
        <w:rPr>
          <w:lang w:val="en-GB"/>
        </w:rPr>
        <w:t xml:space="preserve">AIR OPERATIONS </w:t>
      </w:r>
    </w:p>
    <w:tbl>
      <w:tblPr>
        <w:tblStyle w:val="Tabellrutenett"/>
        <w:tblW w:w="0" w:type="auto"/>
        <w:tblLook w:val="04A0"/>
      </w:tblPr>
      <w:tblGrid>
        <w:gridCol w:w="4644"/>
        <w:gridCol w:w="4644"/>
      </w:tblGrid>
      <w:tr w:rsidR="00796298" w:rsidRPr="00AA472B" w:rsidTr="00796298">
        <w:tc>
          <w:tcPr>
            <w:tcW w:w="4644" w:type="dxa"/>
          </w:tcPr>
          <w:p w:rsidR="00796298" w:rsidRPr="00725149" w:rsidRDefault="00796298" w:rsidP="00796298">
            <w:pPr>
              <w:rPr>
                <w:b/>
                <w:bCs/>
                <w:lang w:val="en-GB"/>
              </w:rPr>
            </w:pPr>
            <w:r w:rsidRPr="00725149">
              <w:rPr>
                <w:b/>
                <w:bCs/>
                <w:lang w:val="en-GB"/>
              </w:rPr>
              <w:t>JFACC’s Intent</w:t>
            </w: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61199B" w:rsidRPr="00725149" w:rsidRDefault="0061199B" w:rsidP="00796298">
            <w:pPr>
              <w:rPr>
                <w:b/>
                <w:bCs/>
                <w:lang w:val="en-GB"/>
              </w:rPr>
            </w:pPr>
          </w:p>
          <w:p w:rsidR="0061199B" w:rsidRPr="00725149" w:rsidRDefault="0061199B" w:rsidP="00796298">
            <w:pPr>
              <w:rPr>
                <w:b/>
                <w:bCs/>
                <w:lang w:val="en-GB"/>
              </w:rPr>
            </w:pPr>
          </w:p>
          <w:p w:rsidR="0061199B" w:rsidRPr="00725149" w:rsidRDefault="0061199B" w:rsidP="00796298">
            <w:pPr>
              <w:rPr>
                <w:b/>
                <w:bCs/>
                <w:lang w:val="en-GB"/>
              </w:rPr>
            </w:pPr>
          </w:p>
          <w:p w:rsidR="0061199B" w:rsidRPr="00725149" w:rsidRDefault="0061199B" w:rsidP="00796298">
            <w:pPr>
              <w:rPr>
                <w:b/>
                <w:bCs/>
                <w:lang w:val="en-GB"/>
              </w:rPr>
            </w:pPr>
          </w:p>
          <w:p w:rsidR="0061199B" w:rsidRPr="00725149" w:rsidRDefault="0061199B"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F80695" w:rsidP="00F80695">
            <w:pPr>
              <w:pStyle w:val="Listeavsnitt"/>
              <w:numPr>
                <w:ilvl w:val="0"/>
                <w:numId w:val="1"/>
              </w:numPr>
              <w:rPr>
                <w:b/>
                <w:bCs/>
                <w:lang w:val="en-GB"/>
              </w:rPr>
            </w:pPr>
            <w:r w:rsidRPr="00725149">
              <w:rPr>
                <w:b/>
                <w:bCs/>
                <w:lang w:val="en-GB"/>
              </w:rPr>
              <w:t>Purpose</w:t>
            </w: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80695" w:rsidRPr="00725149" w:rsidRDefault="00F80695" w:rsidP="00F80695">
            <w:pPr>
              <w:pStyle w:val="Listeavsnitt"/>
              <w:numPr>
                <w:ilvl w:val="0"/>
                <w:numId w:val="1"/>
              </w:numPr>
              <w:rPr>
                <w:b/>
                <w:bCs/>
                <w:lang w:val="en-GB"/>
              </w:rPr>
            </w:pPr>
            <w:r w:rsidRPr="00725149">
              <w:rPr>
                <w:b/>
                <w:bCs/>
                <w:lang w:val="en-GB"/>
              </w:rPr>
              <w:t>End State</w:t>
            </w:r>
          </w:p>
        </w:tc>
        <w:tc>
          <w:tcPr>
            <w:tcW w:w="4644" w:type="dxa"/>
          </w:tcPr>
          <w:p w:rsidR="00796298" w:rsidRPr="00725149" w:rsidRDefault="00796298" w:rsidP="00796298">
            <w:pPr>
              <w:pStyle w:val="Ingenmellomrom"/>
              <w:rPr>
                <w:lang w:val="en-GB"/>
              </w:rPr>
            </w:pPr>
            <w:r w:rsidRPr="00725149">
              <w:rPr>
                <w:lang w:val="en-GB"/>
              </w:rPr>
              <w:lastRenderedPageBreak/>
              <w:t xml:space="preserve">JFACC’s intent is to provide airborne assets in order to achieve air superiority in Turkish and </w:t>
            </w:r>
            <w:proofErr w:type="spellStart"/>
            <w:r w:rsidRPr="00725149">
              <w:rPr>
                <w:lang w:val="en-GB"/>
              </w:rPr>
              <w:t>Isreali</w:t>
            </w:r>
            <w:proofErr w:type="spellEnd"/>
            <w:r w:rsidRPr="00725149">
              <w:rPr>
                <w:lang w:val="en-GB"/>
              </w:rPr>
              <w:t xml:space="preserve"> airspace, such that Syrian aggression into this airspace is prevented, ensuring the protection of ground forces from Syrian air attacks.</w:t>
            </w:r>
          </w:p>
          <w:p w:rsidR="00796298" w:rsidRPr="00725149" w:rsidRDefault="00796298" w:rsidP="00796298">
            <w:pPr>
              <w:pStyle w:val="Ingenmellomrom"/>
              <w:rPr>
                <w:lang w:val="en-GB"/>
              </w:rPr>
            </w:pPr>
          </w:p>
          <w:p w:rsidR="00796298" w:rsidRPr="00725149" w:rsidRDefault="00796298" w:rsidP="00796298">
            <w:pPr>
              <w:pStyle w:val="Ingenmellomrom"/>
              <w:rPr>
                <w:lang w:val="en-GB"/>
              </w:rPr>
            </w:pPr>
            <w:r w:rsidRPr="00725149">
              <w:rPr>
                <w:lang w:val="en-GB"/>
              </w:rPr>
              <w:lastRenderedPageBreak/>
              <w:t>Further, it is intended that support be provided to friendly ground forces through the availability of air-to-ground strike aircraft, performing a variety of missions throughout the AO.</w:t>
            </w:r>
          </w:p>
          <w:p w:rsidR="0061199B" w:rsidRPr="00725149" w:rsidRDefault="0061199B" w:rsidP="00796298">
            <w:pPr>
              <w:pStyle w:val="Ingenmellomrom"/>
              <w:rPr>
                <w:lang w:val="en-GB"/>
              </w:rPr>
            </w:pPr>
          </w:p>
          <w:p w:rsidR="0061199B" w:rsidRPr="00725149" w:rsidRDefault="0061199B" w:rsidP="00796298">
            <w:pPr>
              <w:pStyle w:val="Ingenmellomrom"/>
              <w:rPr>
                <w:lang w:val="en-GB"/>
              </w:rPr>
            </w:pPr>
            <w:r w:rsidRPr="00725149">
              <w:rPr>
                <w:lang w:val="en-GB"/>
              </w:rPr>
              <w:t>It is intended that such operations be complemented by a small number of Air Interdiction operations in order to meet strategic objectives as outlined by CJTF82.</w:t>
            </w:r>
          </w:p>
          <w:p w:rsidR="00796298" w:rsidRPr="00725149" w:rsidRDefault="00796298" w:rsidP="00796298">
            <w:pPr>
              <w:rPr>
                <w:lang w:val="en-GB"/>
              </w:rPr>
            </w:pPr>
          </w:p>
          <w:p w:rsidR="0061199B" w:rsidRPr="00725149" w:rsidRDefault="0061199B" w:rsidP="00796298">
            <w:pPr>
              <w:rPr>
                <w:lang w:val="en-GB"/>
              </w:rPr>
            </w:pPr>
          </w:p>
          <w:p w:rsidR="00F80695" w:rsidRPr="00725149" w:rsidRDefault="00F80695" w:rsidP="00796298">
            <w:pPr>
              <w:rPr>
                <w:lang w:val="en-GB"/>
              </w:rPr>
            </w:pPr>
            <w:r w:rsidRPr="00725149">
              <w:rPr>
                <w:lang w:val="en-GB"/>
              </w:rPr>
              <w:t>The purpose of such operations is t</w:t>
            </w:r>
            <w:r w:rsidR="000907F0" w:rsidRPr="00725149">
              <w:rPr>
                <w:lang w:val="en-GB"/>
              </w:rPr>
              <w:t>hree-</w:t>
            </w:r>
            <w:r w:rsidRPr="00725149">
              <w:rPr>
                <w:lang w:val="en-GB"/>
              </w:rPr>
              <w:t>fold:</w:t>
            </w:r>
          </w:p>
          <w:p w:rsidR="000907F0" w:rsidRPr="00725149" w:rsidRDefault="000907F0" w:rsidP="00F80695">
            <w:pPr>
              <w:pStyle w:val="Listeavsnitt"/>
              <w:numPr>
                <w:ilvl w:val="0"/>
                <w:numId w:val="2"/>
              </w:numPr>
              <w:rPr>
                <w:lang w:val="en-GB"/>
              </w:rPr>
            </w:pPr>
            <w:r w:rsidRPr="00725149">
              <w:rPr>
                <w:lang w:val="en-GB"/>
              </w:rPr>
              <w:t xml:space="preserve">To shape the </w:t>
            </w:r>
            <w:proofErr w:type="gramStart"/>
            <w:r w:rsidRPr="00725149">
              <w:rPr>
                <w:lang w:val="en-GB"/>
              </w:rPr>
              <w:t xml:space="preserve">AO </w:t>
            </w:r>
            <w:r w:rsidR="00FE69B4" w:rsidRPr="00725149">
              <w:rPr>
                <w:lang w:val="en-GB"/>
              </w:rPr>
              <w:t>.</w:t>
            </w:r>
            <w:proofErr w:type="gramEnd"/>
          </w:p>
          <w:p w:rsidR="00F80695" w:rsidRPr="00725149" w:rsidRDefault="00F80695" w:rsidP="00F80695">
            <w:pPr>
              <w:pStyle w:val="Listeavsnitt"/>
              <w:numPr>
                <w:ilvl w:val="0"/>
                <w:numId w:val="2"/>
              </w:numPr>
              <w:rPr>
                <w:lang w:val="en-GB"/>
              </w:rPr>
            </w:pPr>
            <w:r w:rsidRPr="00725149">
              <w:rPr>
                <w:lang w:val="en-GB"/>
              </w:rPr>
              <w:t xml:space="preserve">To deny Syrian air forces the use of the air </w:t>
            </w:r>
            <w:r w:rsidR="0061199B" w:rsidRPr="00725149">
              <w:rPr>
                <w:lang w:val="en-GB"/>
              </w:rPr>
              <w:t>in order to aggress against friendly ground forces.</w:t>
            </w:r>
          </w:p>
          <w:p w:rsidR="0061199B" w:rsidRPr="00725149" w:rsidRDefault="00FE69B4" w:rsidP="00F80695">
            <w:pPr>
              <w:pStyle w:val="Listeavsnitt"/>
              <w:numPr>
                <w:ilvl w:val="0"/>
                <w:numId w:val="2"/>
              </w:numPr>
              <w:rPr>
                <w:lang w:val="en-GB"/>
              </w:rPr>
            </w:pPr>
            <w:r w:rsidRPr="00725149">
              <w:rPr>
                <w:lang w:val="en-GB"/>
              </w:rPr>
              <w:t>To provide direct support to friendly ground forces by attempting to attrit enemy ground forces.</w:t>
            </w:r>
          </w:p>
          <w:p w:rsidR="00A13E7B" w:rsidRPr="00725149" w:rsidRDefault="00A13E7B" w:rsidP="00A13E7B">
            <w:pPr>
              <w:rPr>
                <w:lang w:val="en-GB"/>
              </w:rPr>
            </w:pPr>
          </w:p>
          <w:p w:rsidR="00A13E7B" w:rsidRPr="00725149" w:rsidRDefault="00322FED" w:rsidP="00A13E7B">
            <w:pPr>
              <w:rPr>
                <w:lang w:val="en-GB"/>
              </w:rPr>
            </w:pPr>
            <w:r w:rsidRPr="00725149">
              <w:rPr>
                <w:lang w:val="en-GB"/>
              </w:rPr>
              <w:t xml:space="preserve">The desired end state of these operations is one in which </w:t>
            </w:r>
            <w:r w:rsidR="009C71BF" w:rsidRPr="00725149">
              <w:rPr>
                <w:lang w:val="en-GB"/>
              </w:rPr>
              <w:t xml:space="preserve">Syrian forces have been expelled from Turkey and </w:t>
            </w:r>
            <w:proofErr w:type="spellStart"/>
            <w:r w:rsidR="009C71BF" w:rsidRPr="00725149">
              <w:rPr>
                <w:lang w:val="en-GB"/>
              </w:rPr>
              <w:t>Isreal</w:t>
            </w:r>
            <w:proofErr w:type="spellEnd"/>
            <w:r w:rsidR="009C71BF" w:rsidRPr="00725149">
              <w:rPr>
                <w:lang w:val="en-GB"/>
              </w:rPr>
              <w:t xml:space="preserve">, with respect to both ground and air forces. </w:t>
            </w:r>
          </w:p>
        </w:tc>
      </w:tr>
      <w:tr w:rsidR="00796298" w:rsidRPr="00AA472B" w:rsidTr="00796298">
        <w:tc>
          <w:tcPr>
            <w:tcW w:w="4644" w:type="dxa"/>
          </w:tcPr>
          <w:p w:rsidR="00796298" w:rsidRPr="00725149" w:rsidRDefault="009C71BF" w:rsidP="00796298">
            <w:pPr>
              <w:rPr>
                <w:b/>
                <w:bCs/>
                <w:lang w:val="en-GB"/>
              </w:rPr>
            </w:pPr>
            <w:r w:rsidRPr="00725149">
              <w:rPr>
                <w:b/>
                <w:bCs/>
                <w:lang w:val="en-GB"/>
              </w:rPr>
              <w:lastRenderedPageBreak/>
              <w:t>Execution</w:t>
            </w:r>
            <w:r w:rsidRPr="00725149">
              <w:rPr>
                <w:lang w:val="en-GB"/>
              </w:rPr>
              <w:t xml:space="preserve"> What to do, when. </w:t>
            </w:r>
            <w:r w:rsidRPr="00725149">
              <w:rPr>
                <w:color w:val="BFBFBF" w:themeColor="background1" w:themeShade="BF"/>
                <w:lang w:val="en-GB"/>
              </w:rPr>
              <w:t>– Any detailed instructions if needed</w:t>
            </w:r>
          </w:p>
        </w:tc>
        <w:tc>
          <w:tcPr>
            <w:tcW w:w="4644" w:type="dxa"/>
          </w:tcPr>
          <w:p w:rsidR="00796298" w:rsidRPr="00725149" w:rsidRDefault="00486B96" w:rsidP="00796298">
            <w:pPr>
              <w:rPr>
                <w:lang w:val="en-GB"/>
              </w:rPr>
            </w:pPr>
            <w:r w:rsidRPr="00725149">
              <w:rPr>
                <w:lang w:val="en-GB"/>
              </w:rPr>
              <w:t xml:space="preserve">In the execution of these missions, the AO is divided into two sectors – Sector NORTH and </w:t>
            </w:r>
            <w:r w:rsidR="00203646">
              <w:rPr>
                <w:lang w:val="en-GB"/>
              </w:rPr>
              <w:t>S</w:t>
            </w:r>
            <w:r w:rsidRPr="00725149">
              <w:rPr>
                <w:lang w:val="en-GB"/>
              </w:rPr>
              <w:t xml:space="preserve">ector SOUTH. These sectors are </w:t>
            </w:r>
            <w:r w:rsidR="00113F1B">
              <w:rPr>
                <w:lang w:val="en-GB"/>
              </w:rPr>
              <w:t>visible in the Airspace Control Plan (</w:t>
            </w:r>
            <w:hyperlink r:id="rId12" w:history="1">
              <w:r w:rsidR="00113F1B" w:rsidRPr="00113F1B">
                <w:rPr>
                  <w:rStyle w:val="Hyperkobling"/>
                  <w:lang w:val="en-GB"/>
                </w:rPr>
                <w:t>ACP</w:t>
              </w:r>
            </w:hyperlink>
            <w:r w:rsidR="00113F1B">
              <w:rPr>
                <w:lang w:val="en-GB"/>
              </w:rPr>
              <w:t>)</w:t>
            </w:r>
            <w:r w:rsidRPr="00725149">
              <w:rPr>
                <w:lang w:val="en-GB"/>
              </w:rPr>
              <w:t>.</w:t>
            </w:r>
          </w:p>
          <w:p w:rsidR="00927B91" w:rsidRPr="00725149" w:rsidRDefault="00927B91" w:rsidP="00796298">
            <w:pPr>
              <w:rPr>
                <w:lang w:val="en-GB"/>
              </w:rPr>
            </w:pPr>
          </w:p>
          <w:p w:rsidR="00FB7923" w:rsidRDefault="00203646" w:rsidP="00796298">
            <w:pPr>
              <w:rPr>
                <w:lang w:val="en-GB"/>
              </w:rPr>
            </w:pPr>
            <w:r>
              <w:rPr>
                <w:lang w:val="en-GB"/>
              </w:rPr>
              <w:t xml:space="preserve">Operations are to be conducted in both Sectors NORTH and SOUTH, in addition to </w:t>
            </w:r>
            <w:r w:rsidR="00FB7923">
              <w:rPr>
                <w:lang w:val="en-GB"/>
              </w:rPr>
              <w:t>AO operations in support of the destruction of targets from the JPTL.</w:t>
            </w:r>
          </w:p>
          <w:p w:rsidR="00FB7923" w:rsidRDefault="00FB7923" w:rsidP="00796298">
            <w:pPr>
              <w:rPr>
                <w:lang w:val="en-GB"/>
              </w:rPr>
            </w:pPr>
          </w:p>
          <w:p w:rsidR="00FB7923" w:rsidRPr="00725149" w:rsidRDefault="00FB7923" w:rsidP="00796298">
            <w:pPr>
              <w:rPr>
                <w:lang w:val="en-GB"/>
              </w:rPr>
            </w:pPr>
            <w:r>
              <w:rPr>
                <w:lang w:val="en-GB"/>
              </w:rPr>
              <w:t>Operations are to be supported by friend AWACS and Tanker support</w:t>
            </w:r>
          </w:p>
        </w:tc>
      </w:tr>
      <w:tr w:rsidR="00796298" w:rsidRPr="00AA472B" w:rsidTr="00796298">
        <w:tc>
          <w:tcPr>
            <w:tcW w:w="4644" w:type="dxa"/>
          </w:tcPr>
          <w:p w:rsidR="00796298" w:rsidRPr="00725149" w:rsidRDefault="007461F7" w:rsidP="00796298">
            <w:pPr>
              <w:rPr>
                <w:b/>
                <w:bCs/>
                <w:lang w:val="en-GB"/>
              </w:rPr>
            </w:pPr>
            <w:r w:rsidRPr="00725149">
              <w:rPr>
                <w:b/>
                <w:bCs/>
                <w:lang w:val="en-GB"/>
              </w:rPr>
              <w:t>Focus of effort by objective</w:t>
            </w:r>
          </w:p>
        </w:tc>
        <w:tc>
          <w:tcPr>
            <w:tcW w:w="4644" w:type="dxa"/>
          </w:tcPr>
          <w:p w:rsidR="00796298" w:rsidRDefault="00C33F17" w:rsidP="00796298">
            <w:pPr>
              <w:rPr>
                <w:lang w:val="en-GB"/>
              </w:rPr>
            </w:pPr>
            <w:r>
              <w:rPr>
                <w:lang w:val="en-GB"/>
              </w:rPr>
              <w:t>Three areas of focus are addressed in this AOD:</w:t>
            </w:r>
          </w:p>
          <w:p w:rsidR="00C33F17" w:rsidRDefault="00C33F17" w:rsidP="00796298">
            <w:pPr>
              <w:rPr>
                <w:lang w:val="en-GB"/>
              </w:rPr>
            </w:pPr>
          </w:p>
          <w:p w:rsidR="00C33F17" w:rsidRDefault="00C33F17" w:rsidP="00796298">
            <w:pPr>
              <w:rPr>
                <w:b/>
                <w:bCs/>
                <w:lang w:val="en-GB"/>
              </w:rPr>
            </w:pPr>
            <w:r>
              <w:rPr>
                <w:b/>
                <w:bCs/>
                <w:lang w:val="en-GB"/>
              </w:rPr>
              <w:t>Sector NORTH</w:t>
            </w:r>
          </w:p>
          <w:p w:rsidR="00C33F17" w:rsidRDefault="00C33F17" w:rsidP="00796298">
            <w:pPr>
              <w:rPr>
                <w:lang w:val="en-GB"/>
              </w:rPr>
            </w:pPr>
            <w:r>
              <w:rPr>
                <w:lang w:val="en-GB"/>
              </w:rPr>
              <w:t xml:space="preserve">In this sector, the majority of effort should be directed towards </w:t>
            </w:r>
            <w:r w:rsidR="00113F1B">
              <w:rPr>
                <w:lang w:val="en-GB"/>
              </w:rPr>
              <w:t xml:space="preserve">LCC IV Corps </w:t>
            </w:r>
            <w:r>
              <w:rPr>
                <w:lang w:val="en-GB"/>
              </w:rPr>
              <w:t>Objective BRAVO</w:t>
            </w:r>
            <w:r w:rsidR="00491C5F">
              <w:rPr>
                <w:lang w:val="en-GB"/>
              </w:rPr>
              <w:t xml:space="preserve"> and the attrition of HQ assets in and around HATAY AIRFIELD and the area surrounding HATAY city.</w:t>
            </w:r>
          </w:p>
          <w:p w:rsidR="007631D2" w:rsidRDefault="007631D2" w:rsidP="00796298">
            <w:pPr>
              <w:rPr>
                <w:lang w:val="en-GB"/>
              </w:rPr>
            </w:pPr>
          </w:p>
          <w:p w:rsidR="00F2680E" w:rsidRDefault="009F00E5" w:rsidP="00796298">
            <w:pPr>
              <w:rPr>
                <w:lang w:val="en-GB"/>
              </w:rPr>
            </w:pPr>
            <w:r>
              <w:rPr>
                <w:lang w:val="en-GB"/>
              </w:rPr>
              <w:t xml:space="preserve">Some focus should be directed towards </w:t>
            </w:r>
            <w:r w:rsidR="00113F1B">
              <w:rPr>
                <w:lang w:val="en-GB"/>
              </w:rPr>
              <w:t xml:space="preserve">LCC IV CORPS </w:t>
            </w:r>
            <w:r>
              <w:rPr>
                <w:lang w:val="en-GB"/>
              </w:rPr>
              <w:t xml:space="preserve">Objective ALPHA and the attrition of </w:t>
            </w:r>
            <w:r w:rsidR="00F2680E">
              <w:rPr>
                <w:lang w:val="en-GB"/>
              </w:rPr>
              <w:t>enemy ground forces, prioritising air defence assets, followed by the division of MBTs therein.</w:t>
            </w:r>
          </w:p>
          <w:p w:rsidR="00F2680E" w:rsidRDefault="00F2680E" w:rsidP="00796298">
            <w:pPr>
              <w:rPr>
                <w:lang w:val="en-GB"/>
              </w:rPr>
            </w:pPr>
          </w:p>
          <w:p w:rsidR="00F2680E" w:rsidRDefault="00F2680E" w:rsidP="00796298">
            <w:pPr>
              <w:rPr>
                <w:b/>
                <w:bCs/>
                <w:lang w:val="en-GB"/>
              </w:rPr>
            </w:pPr>
            <w:r>
              <w:rPr>
                <w:b/>
                <w:bCs/>
                <w:lang w:val="en-GB"/>
              </w:rPr>
              <w:t>Sector SOUTH</w:t>
            </w:r>
          </w:p>
          <w:p w:rsidR="007631D2" w:rsidRPr="00C33F17" w:rsidRDefault="00566F71" w:rsidP="00796298">
            <w:pPr>
              <w:rPr>
                <w:lang w:val="en-GB"/>
              </w:rPr>
            </w:pPr>
            <w:r>
              <w:rPr>
                <w:lang w:val="en-GB"/>
              </w:rPr>
              <w:lastRenderedPageBreak/>
              <w:t xml:space="preserve">Equal effort should be directed towards the attrition of </w:t>
            </w:r>
            <w:r w:rsidR="00113F1B">
              <w:rPr>
                <w:lang w:val="en-GB"/>
              </w:rPr>
              <w:t xml:space="preserve">LCC III Corps </w:t>
            </w:r>
            <w:r>
              <w:rPr>
                <w:lang w:val="en-GB"/>
              </w:rPr>
              <w:t>Objectives ALPHA and BRAVO.</w:t>
            </w:r>
          </w:p>
        </w:tc>
      </w:tr>
      <w:tr w:rsidR="00796298" w:rsidRPr="00AA472B" w:rsidTr="00796298">
        <w:tc>
          <w:tcPr>
            <w:tcW w:w="4644" w:type="dxa"/>
          </w:tcPr>
          <w:p w:rsidR="007461F7" w:rsidRPr="00725149" w:rsidRDefault="007461F7" w:rsidP="007461F7">
            <w:pPr>
              <w:pStyle w:val="Ingenmellomrom"/>
              <w:rPr>
                <w:lang w:val="en-GB"/>
              </w:rPr>
            </w:pPr>
            <w:r w:rsidRPr="00725149">
              <w:rPr>
                <w:b/>
                <w:bCs/>
                <w:lang w:val="en-GB"/>
              </w:rPr>
              <w:lastRenderedPageBreak/>
              <w:t>Allocation of sorties</w:t>
            </w:r>
            <w:r w:rsidRPr="00725149">
              <w:rPr>
                <w:lang w:val="en-GB"/>
              </w:rPr>
              <w:t xml:space="preserve"> </w:t>
            </w:r>
            <w:r w:rsidRPr="00725149">
              <w:rPr>
                <w:color w:val="BFBFBF" w:themeColor="background1" w:themeShade="BF"/>
                <w:lang w:val="en-GB"/>
              </w:rPr>
              <w:t>(in percent)</w:t>
            </w:r>
            <w:r w:rsidRPr="00725149">
              <w:rPr>
                <w:lang w:val="en-GB"/>
              </w:rPr>
              <w:t xml:space="preserve"> </w:t>
            </w:r>
            <w:r w:rsidRPr="00725149">
              <w:rPr>
                <w:color w:val="BFBFBF" w:themeColor="background1" w:themeShade="BF"/>
                <w:lang w:val="en-GB"/>
              </w:rPr>
              <w:t xml:space="preserve"> - CAS, AR, AI,DCA, OCA (SEAD is part of OCA) </w:t>
            </w:r>
          </w:p>
          <w:p w:rsidR="00796298" w:rsidRPr="00725149" w:rsidRDefault="00796298" w:rsidP="00796298">
            <w:pPr>
              <w:rPr>
                <w:lang w:val="en-GB"/>
              </w:rPr>
            </w:pPr>
          </w:p>
        </w:tc>
        <w:tc>
          <w:tcPr>
            <w:tcW w:w="4644" w:type="dxa"/>
          </w:tcPr>
          <w:p w:rsidR="00796298" w:rsidRDefault="00C96EA5" w:rsidP="00796298">
            <w:pPr>
              <w:rPr>
                <w:b/>
                <w:bCs/>
                <w:lang w:val="en-GB"/>
              </w:rPr>
            </w:pPr>
            <w:r>
              <w:rPr>
                <w:b/>
                <w:bCs/>
                <w:lang w:val="en-GB"/>
              </w:rPr>
              <w:t>Sector NORTH – 40% Total</w:t>
            </w:r>
          </w:p>
          <w:p w:rsidR="00C96EA5" w:rsidRDefault="00F703A3" w:rsidP="00796298">
            <w:pPr>
              <w:rPr>
                <w:lang w:val="en-GB"/>
              </w:rPr>
            </w:pPr>
            <w:r>
              <w:rPr>
                <w:lang w:val="en-GB"/>
              </w:rPr>
              <w:t xml:space="preserve">50% </w:t>
            </w:r>
            <w:r w:rsidR="00754667">
              <w:rPr>
                <w:lang w:val="en-GB"/>
              </w:rPr>
              <w:t xml:space="preserve">- AI against </w:t>
            </w:r>
            <w:r w:rsidR="00113F1B">
              <w:rPr>
                <w:lang w:val="en-GB"/>
              </w:rPr>
              <w:t xml:space="preserve">LCC IV Corps </w:t>
            </w:r>
            <w:r w:rsidR="00754667">
              <w:rPr>
                <w:lang w:val="en-GB"/>
              </w:rPr>
              <w:t>Objective BRAVO</w:t>
            </w:r>
          </w:p>
          <w:p w:rsidR="00754667" w:rsidRDefault="00754667" w:rsidP="00796298">
            <w:pPr>
              <w:rPr>
                <w:lang w:val="en-GB"/>
              </w:rPr>
            </w:pPr>
            <w:r>
              <w:rPr>
                <w:lang w:val="en-GB"/>
              </w:rPr>
              <w:t xml:space="preserve">30% - AR against </w:t>
            </w:r>
            <w:r w:rsidR="00113F1B">
              <w:rPr>
                <w:lang w:val="en-GB"/>
              </w:rPr>
              <w:t xml:space="preserve">LCC IV Corps </w:t>
            </w:r>
            <w:r>
              <w:rPr>
                <w:lang w:val="en-GB"/>
              </w:rPr>
              <w:t>Objective ALPHA</w:t>
            </w:r>
          </w:p>
          <w:p w:rsidR="00754667" w:rsidRDefault="00754667" w:rsidP="00796298">
            <w:pPr>
              <w:rPr>
                <w:lang w:val="en-GB"/>
              </w:rPr>
            </w:pPr>
            <w:r>
              <w:rPr>
                <w:lang w:val="en-GB"/>
              </w:rPr>
              <w:t>20% - DCA in support of friendly forces</w:t>
            </w:r>
          </w:p>
          <w:p w:rsidR="00754667" w:rsidRDefault="00754667" w:rsidP="00796298">
            <w:pPr>
              <w:rPr>
                <w:lang w:val="en-GB"/>
              </w:rPr>
            </w:pPr>
          </w:p>
          <w:p w:rsidR="00754667" w:rsidRDefault="00754667" w:rsidP="00796298">
            <w:pPr>
              <w:rPr>
                <w:b/>
                <w:bCs/>
                <w:lang w:val="en-GB"/>
              </w:rPr>
            </w:pPr>
            <w:r>
              <w:rPr>
                <w:b/>
                <w:bCs/>
                <w:lang w:val="en-GB"/>
              </w:rPr>
              <w:t>Sector SOUTH – 40% Total</w:t>
            </w:r>
          </w:p>
          <w:p w:rsidR="00754667" w:rsidRDefault="007B60BA" w:rsidP="00796298">
            <w:pPr>
              <w:rPr>
                <w:lang w:val="en-GB"/>
              </w:rPr>
            </w:pPr>
            <w:r>
              <w:rPr>
                <w:lang w:val="en-GB"/>
              </w:rPr>
              <w:t xml:space="preserve">40% - AR against </w:t>
            </w:r>
            <w:r w:rsidR="00113F1B">
              <w:rPr>
                <w:lang w:val="en-GB"/>
              </w:rPr>
              <w:t xml:space="preserve">LCC III Corps </w:t>
            </w:r>
            <w:r>
              <w:rPr>
                <w:lang w:val="en-GB"/>
              </w:rPr>
              <w:t>Objective ALPHA</w:t>
            </w:r>
          </w:p>
          <w:p w:rsidR="007B60BA" w:rsidRDefault="007B60BA" w:rsidP="00796298">
            <w:pPr>
              <w:rPr>
                <w:lang w:val="en-GB"/>
              </w:rPr>
            </w:pPr>
            <w:r>
              <w:rPr>
                <w:lang w:val="en-GB"/>
              </w:rPr>
              <w:t xml:space="preserve">40% - AR against </w:t>
            </w:r>
            <w:r w:rsidR="00113F1B">
              <w:rPr>
                <w:lang w:val="en-GB"/>
              </w:rPr>
              <w:t xml:space="preserve">LCC III Corps </w:t>
            </w:r>
            <w:r>
              <w:rPr>
                <w:lang w:val="en-GB"/>
              </w:rPr>
              <w:t>Objective BRAVO</w:t>
            </w:r>
          </w:p>
          <w:p w:rsidR="007B60BA" w:rsidRDefault="007B60BA" w:rsidP="00796298">
            <w:pPr>
              <w:rPr>
                <w:lang w:val="en-GB"/>
              </w:rPr>
            </w:pPr>
            <w:r>
              <w:rPr>
                <w:lang w:val="en-GB"/>
              </w:rPr>
              <w:t>20% - Joint DCA/SEAD operations in support of the sector</w:t>
            </w:r>
          </w:p>
          <w:p w:rsidR="007B60BA" w:rsidRDefault="007B60BA" w:rsidP="00796298">
            <w:pPr>
              <w:rPr>
                <w:lang w:val="en-GB"/>
              </w:rPr>
            </w:pPr>
          </w:p>
          <w:p w:rsidR="007B60BA" w:rsidRDefault="007B60BA" w:rsidP="00796298">
            <w:pPr>
              <w:rPr>
                <w:b/>
                <w:bCs/>
                <w:lang w:val="en-GB"/>
              </w:rPr>
            </w:pPr>
            <w:r>
              <w:rPr>
                <w:b/>
                <w:bCs/>
                <w:lang w:val="en-GB"/>
              </w:rPr>
              <w:t>STRIKE – 20% Total</w:t>
            </w:r>
          </w:p>
          <w:p w:rsidR="007B60BA" w:rsidRDefault="007B60BA" w:rsidP="00796298">
            <w:pPr>
              <w:rPr>
                <w:lang w:val="en-GB"/>
              </w:rPr>
            </w:pPr>
            <w:r>
              <w:rPr>
                <w:lang w:val="en-GB"/>
              </w:rPr>
              <w:t>70% - AI against JTPL targets</w:t>
            </w:r>
          </w:p>
          <w:p w:rsidR="00931063" w:rsidRDefault="007B60BA" w:rsidP="00796298">
            <w:pPr>
              <w:rPr>
                <w:lang w:val="en-GB"/>
              </w:rPr>
            </w:pPr>
            <w:r>
              <w:rPr>
                <w:lang w:val="en-GB"/>
              </w:rPr>
              <w:t>30% - Escort of AI flights, should resources permit</w:t>
            </w:r>
          </w:p>
          <w:p w:rsidR="00931063" w:rsidRDefault="00931063" w:rsidP="00796298">
            <w:pPr>
              <w:rPr>
                <w:lang w:val="en-GB"/>
              </w:rPr>
            </w:pPr>
          </w:p>
          <w:p w:rsidR="00931063" w:rsidRDefault="00931063" w:rsidP="00796298">
            <w:pPr>
              <w:rPr>
                <w:b/>
                <w:bCs/>
                <w:lang w:val="en-GB"/>
              </w:rPr>
            </w:pPr>
            <w:r>
              <w:rPr>
                <w:b/>
                <w:bCs/>
                <w:lang w:val="en-GB"/>
              </w:rPr>
              <w:t>LOGISTICS</w:t>
            </w:r>
          </w:p>
          <w:p w:rsidR="007B60BA" w:rsidRPr="00931063" w:rsidRDefault="00931063" w:rsidP="00796298">
            <w:pPr>
              <w:rPr>
                <w:lang w:val="en-GB"/>
              </w:rPr>
            </w:pPr>
            <w:r>
              <w:rPr>
                <w:lang w:val="en-GB"/>
              </w:rPr>
              <w:t xml:space="preserve">100% of logistical operations should be directed towards the deployment of </w:t>
            </w:r>
            <w:r w:rsidR="00505AD6">
              <w:rPr>
                <w:lang w:val="en-GB"/>
              </w:rPr>
              <w:t>air defence assets in friendly airspace.</w:t>
            </w:r>
          </w:p>
        </w:tc>
      </w:tr>
      <w:tr w:rsidR="00796298" w:rsidRPr="00AA472B" w:rsidTr="00796298">
        <w:tc>
          <w:tcPr>
            <w:tcW w:w="4644" w:type="dxa"/>
          </w:tcPr>
          <w:p w:rsidR="007461F7" w:rsidRPr="00725149" w:rsidRDefault="007461F7" w:rsidP="007461F7">
            <w:pPr>
              <w:pStyle w:val="Ingenmellomrom"/>
              <w:rPr>
                <w:lang w:val="en-GB"/>
              </w:rPr>
            </w:pPr>
            <w:r w:rsidRPr="00725149">
              <w:rPr>
                <w:b/>
                <w:bCs/>
                <w:lang w:val="en-GB"/>
              </w:rPr>
              <w:t>Acceptable level of risk</w:t>
            </w:r>
            <w:r w:rsidRPr="00725149">
              <w:rPr>
                <w:lang w:val="en-GB"/>
              </w:rPr>
              <w:t xml:space="preserve">. </w:t>
            </w:r>
            <w:r w:rsidRPr="00725149">
              <w:rPr>
                <w:color w:val="BFBFBF" w:themeColor="background1" w:themeShade="BF"/>
                <w:lang w:val="en-GB"/>
              </w:rPr>
              <w:t>(including for AWACS and tankers: forward or rear)</w:t>
            </w:r>
          </w:p>
          <w:p w:rsidR="00796298" w:rsidRPr="00725149" w:rsidRDefault="00796298" w:rsidP="00796298">
            <w:pPr>
              <w:rPr>
                <w:lang w:val="en-GB"/>
              </w:rPr>
            </w:pPr>
          </w:p>
        </w:tc>
        <w:tc>
          <w:tcPr>
            <w:tcW w:w="4644" w:type="dxa"/>
          </w:tcPr>
          <w:p w:rsidR="00796298" w:rsidRPr="00725149" w:rsidRDefault="00971C30" w:rsidP="00796298">
            <w:pPr>
              <w:rPr>
                <w:lang w:val="en-GB"/>
              </w:rPr>
            </w:pPr>
            <w:r w:rsidRPr="00725149">
              <w:rPr>
                <w:lang w:val="en-GB"/>
              </w:rPr>
              <w:t>Tolerance of risk should be minimal in the execution of these missions – ground forces are currently not engaged in conflict and there should be no desire to unnecessarily persecute enemy forces in the execution of these missions.</w:t>
            </w:r>
          </w:p>
        </w:tc>
      </w:tr>
      <w:tr w:rsidR="007461F7" w:rsidRPr="00AA472B" w:rsidTr="00796298">
        <w:tc>
          <w:tcPr>
            <w:tcW w:w="4644" w:type="dxa"/>
          </w:tcPr>
          <w:p w:rsidR="007461F7" w:rsidRPr="00725149" w:rsidRDefault="007461F7" w:rsidP="007461F7">
            <w:pPr>
              <w:pStyle w:val="Ingenmellomrom"/>
              <w:rPr>
                <w:b/>
                <w:bCs/>
                <w:lang w:val="en-GB"/>
              </w:rPr>
            </w:pPr>
            <w:r w:rsidRPr="00725149">
              <w:rPr>
                <w:b/>
                <w:bCs/>
                <w:lang w:val="en-GB"/>
              </w:rPr>
              <w:t>Collateral damage and civilian casualty guidance</w:t>
            </w:r>
          </w:p>
        </w:tc>
        <w:tc>
          <w:tcPr>
            <w:tcW w:w="4644" w:type="dxa"/>
          </w:tcPr>
          <w:p w:rsidR="005812C3" w:rsidRDefault="00725149" w:rsidP="00796298">
            <w:pPr>
              <w:rPr>
                <w:lang w:val="en-GB"/>
              </w:rPr>
            </w:pPr>
            <w:r w:rsidRPr="00725149">
              <w:rPr>
                <w:lang w:val="en-GB"/>
              </w:rPr>
              <w:t>Every attempt should be taken to minimise collateral damage in the execution of these missions</w:t>
            </w:r>
            <w:r>
              <w:rPr>
                <w:lang w:val="en-GB"/>
              </w:rPr>
              <w:t>. Civilian casualties should be avoided at all costs.</w:t>
            </w:r>
          </w:p>
          <w:p w:rsidR="005812C3" w:rsidRDefault="005812C3" w:rsidP="00796298">
            <w:pPr>
              <w:rPr>
                <w:lang w:val="en-GB"/>
              </w:rPr>
            </w:pPr>
          </w:p>
          <w:p w:rsidR="007461F7" w:rsidRPr="00725149" w:rsidRDefault="00725149" w:rsidP="00796298">
            <w:pPr>
              <w:rPr>
                <w:lang w:val="en-GB"/>
              </w:rPr>
            </w:pPr>
            <w:r>
              <w:rPr>
                <w:lang w:val="en-GB"/>
              </w:rPr>
              <w:t xml:space="preserve">Suspected </w:t>
            </w:r>
            <w:r w:rsidR="005812C3">
              <w:rPr>
                <w:lang w:val="en-GB"/>
              </w:rPr>
              <w:t>civilian casualties should be reported through the C2 network as soon as is practicable.</w:t>
            </w:r>
          </w:p>
        </w:tc>
      </w:tr>
      <w:tr w:rsidR="007461F7" w:rsidRPr="00AA472B" w:rsidTr="00796298">
        <w:tc>
          <w:tcPr>
            <w:tcW w:w="4644" w:type="dxa"/>
          </w:tcPr>
          <w:p w:rsidR="007461F7" w:rsidRPr="00725149" w:rsidRDefault="007461F7" w:rsidP="007461F7">
            <w:pPr>
              <w:pStyle w:val="Ingenmellomrom"/>
              <w:rPr>
                <w:b/>
                <w:bCs/>
                <w:lang w:val="en-GB"/>
              </w:rPr>
            </w:pPr>
            <w:r w:rsidRPr="00725149">
              <w:rPr>
                <w:b/>
                <w:bCs/>
                <w:lang w:val="en-GB"/>
              </w:rPr>
              <w:t>TST guidance</w:t>
            </w:r>
          </w:p>
        </w:tc>
        <w:tc>
          <w:tcPr>
            <w:tcW w:w="4644" w:type="dxa"/>
          </w:tcPr>
          <w:p w:rsidR="007461F7" w:rsidRPr="00725149" w:rsidRDefault="009D6985" w:rsidP="00796298">
            <w:pPr>
              <w:rPr>
                <w:lang w:val="en-GB"/>
              </w:rPr>
            </w:pPr>
            <w:r>
              <w:rPr>
                <w:lang w:val="en-GB"/>
              </w:rPr>
              <w:t xml:space="preserve">Should </w:t>
            </w:r>
            <w:r w:rsidR="00D64D09">
              <w:rPr>
                <w:lang w:val="en-GB"/>
              </w:rPr>
              <w:t xml:space="preserve">opportunities present, </w:t>
            </w:r>
            <w:r w:rsidR="0052261E">
              <w:rPr>
                <w:lang w:val="en-GB"/>
              </w:rPr>
              <w:t xml:space="preserve">items from the TST matrix should be prosecuted. The outcome should be reported to the relevant C2 agency. </w:t>
            </w:r>
          </w:p>
        </w:tc>
      </w:tr>
      <w:tr w:rsidR="007461F7" w:rsidRPr="00AA472B" w:rsidTr="00796298">
        <w:tc>
          <w:tcPr>
            <w:tcW w:w="4644" w:type="dxa"/>
          </w:tcPr>
          <w:p w:rsidR="007461F7" w:rsidRPr="00725149" w:rsidRDefault="007461F7" w:rsidP="007461F7">
            <w:pPr>
              <w:pStyle w:val="Ingenmellomrom"/>
              <w:rPr>
                <w:b/>
                <w:bCs/>
                <w:lang w:val="en-GB"/>
              </w:rPr>
            </w:pPr>
            <w:r w:rsidRPr="00725149">
              <w:rPr>
                <w:b/>
                <w:bCs/>
                <w:lang w:val="en-GB"/>
              </w:rPr>
              <w:t>Intelligence, Surveillance, Reconnaissance (ISR)</w:t>
            </w:r>
            <w:r w:rsidRPr="00725149">
              <w:rPr>
                <w:lang w:val="en-GB"/>
              </w:rPr>
              <w:t xml:space="preserve"> </w:t>
            </w:r>
            <w:r w:rsidRPr="00725149">
              <w:rPr>
                <w:color w:val="BFBFBF" w:themeColor="background1" w:themeShade="BF"/>
                <w:lang w:val="en-GB"/>
              </w:rPr>
              <w:t>– If any effort should be done to support VIS with ISR to answer information gaps from VIS.</w:t>
            </w:r>
          </w:p>
        </w:tc>
        <w:tc>
          <w:tcPr>
            <w:tcW w:w="4644" w:type="dxa"/>
          </w:tcPr>
          <w:p w:rsidR="007461F7" w:rsidRDefault="004217E0" w:rsidP="00796298">
            <w:pPr>
              <w:rPr>
                <w:lang w:val="en-GB"/>
              </w:rPr>
            </w:pPr>
            <w:r>
              <w:rPr>
                <w:lang w:val="en-GB"/>
              </w:rPr>
              <w:t>All notifications of enemy air defence assets – ground- and air-based – must be reported as soon as is practicable. Reports should, where possible, include the observing aircraft’s currently position, a relative bearing to the threat and the type of threat.</w:t>
            </w:r>
          </w:p>
          <w:p w:rsidR="00431E45" w:rsidRDefault="00431E45" w:rsidP="00796298">
            <w:pPr>
              <w:rPr>
                <w:lang w:val="en-GB"/>
              </w:rPr>
            </w:pPr>
          </w:p>
          <w:p w:rsidR="00431E45" w:rsidRPr="00725149" w:rsidRDefault="00431E45" w:rsidP="00796298">
            <w:pPr>
              <w:rPr>
                <w:lang w:val="en-GB"/>
              </w:rPr>
            </w:pPr>
            <w:r>
              <w:rPr>
                <w:lang w:val="en-GB"/>
              </w:rPr>
              <w:t xml:space="preserve">No specific ISR tasking </w:t>
            </w:r>
            <w:proofErr w:type="gramStart"/>
            <w:r>
              <w:rPr>
                <w:lang w:val="en-GB"/>
              </w:rPr>
              <w:t>are</w:t>
            </w:r>
            <w:proofErr w:type="gramEnd"/>
            <w:r>
              <w:rPr>
                <w:lang w:val="en-GB"/>
              </w:rPr>
              <w:t xml:space="preserve"> planned for this mission.</w:t>
            </w:r>
          </w:p>
        </w:tc>
      </w:tr>
      <w:tr w:rsidR="007461F7" w:rsidRPr="00725149" w:rsidTr="00796298">
        <w:tc>
          <w:tcPr>
            <w:tcW w:w="4644" w:type="dxa"/>
          </w:tcPr>
          <w:p w:rsidR="007461F7" w:rsidRPr="00725149" w:rsidRDefault="007461F7" w:rsidP="007461F7">
            <w:pPr>
              <w:pStyle w:val="Ingenmellomrom"/>
              <w:rPr>
                <w:b/>
                <w:bCs/>
                <w:lang w:val="en-GB"/>
              </w:rPr>
            </w:pPr>
            <w:r w:rsidRPr="00725149">
              <w:rPr>
                <w:b/>
                <w:bCs/>
                <w:lang w:val="en-GB"/>
              </w:rPr>
              <w:lastRenderedPageBreak/>
              <w:t>Other issues</w:t>
            </w:r>
          </w:p>
        </w:tc>
        <w:tc>
          <w:tcPr>
            <w:tcW w:w="4644" w:type="dxa"/>
          </w:tcPr>
          <w:p w:rsidR="007461F7" w:rsidRPr="00725149" w:rsidRDefault="00B762B0" w:rsidP="00796298">
            <w:pPr>
              <w:rPr>
                <w:lang w:val="en-GB"/>
              </w:rPr>
            </w:pPr>
            <w:r>
              <w:rPr>
                <w:lang w:val="en-GB"/>
              </w:rPr>
              <w:t>N/A</w:t>
            </w:r>
          </w:p>
        </w:tc>
      </w:tr>
      <w:tr w:rsidR="007461F7" w:rsidRPr="00AA472B" w:rsidTr="00796298">
        <w:tc>
          <w:tcPr>
            <w:tcW w:w="4644" w:type="dxa"/>
          </w:tcPr>
          <w:p w:rsidR="007461F7" w:rsidRPr="00725149" w:rsidRDefault="007461F7" w:rsidP="00C66F23">
            <w:pPr>
              <w:pStyle w:val="Ingenmellomrom"/>
              <w:rPr>
                <w:b/>
                <w:bCs/>
                <w:lang w:val="en-GB"/>
              </w:rPr>
            </w:pPr>
            <w:r w:rsidRPr="00725149">
              <w:rPr>
                <w:b/>
                <w:bCs/>
                <w:lang w:val="en-GB"/>
              </w:rPr>
              <w:t>Direction and Guidance</w:t>
            </w:r>
            <w:r w:rsidRPr="00725149">
              <w:rPr>
                <w:color w:val="BFBFBF" w:themeColor="background1" w:themeShade="BF"/>
                <w:lang w:val="en-GB"/>
              </w:rPr>
              <w:t xml:space="preserve"> </w:t>
            </w:r>
          </w:p>
        </w:tc>
        <w:tc>
          <w:tcPr>
            <w:tcW w:w="4644" w:type="dxa"/>
          </w:tcPr>
          <w:p w:rsidR="007461F7" w:rsidRPr="00725149" w:rsidRDefault="00AD7368" w:rsidP="00796298">
            <w:pPr>
              <w:rPr>
                <w:lang w:val="en-GB"/>
              </w:rPr>
            </w:pPr>
            <w:r>
              <w:rPr>
                <w:lang w:val="en-GB"/>
              </w:rPr>
              <w:t>Aircrews must remain clear of Jordanian airspace at all times. Munitions must not be expended which may encroach on Jordanian airspace.</w:t>
            </w:r>
          </w:p>
        </w:tc>
      </w:tr>
    </w:tbl>
    <w:p w:rsidR="00465966" w:rsidRPr="00725149" w:rsidRDefault="00465966" w:rsidP="00465966">
      <w:pPr>
        <w:pStyle w:val="Overskrift1"/>
        <w:rPr>
          <w:lang w:val="en-GB"/>
        </w:rPr>
      </w:pPr>
      <w:r w:rsidRPr="00725149">
        <w:rPr>
          <w:lang w:val="en-GB"/>
        </w:rPr>
        <w:t xml:space="preserve">4.  ADMINISTRATION AND LOGISTICS </w:t>
      </w:r>
    </w:p>
    <w:p w:rsidR="00465966" w:rsidRPr="00725149" w:rsidRDefault="00AE19C9" w:rsidP="00465966">
      <w:pPr>
        <w:pStyle w:val="Ingenmellomrom"/>
        <w:rPr>
          <w:lang w:val="en-GB"/>
        </w:rPr>
      </w:pPr>
      <w:r>
        <w:rPr>
          <w:lang w:val="en-GB"/>
        </w:rPr>
        <w:t>There are no known administrative or logistical considerations for these missions.</w:t>
      </w:r>
    </w:p>
    <w:p w:rsidR="00465966" w:rsidRPr="00725149" w:rsidRDefault="00465966" w:rsidP="00465966">
      <w:pPr>
        <w:pStyle w:val="Overskrift1"/>
        <w:rPr>
          <w:lang w:val="en-GB"/>
        </w:rPr>
      </w:pPr>
      <w:r w:rsidRPr="00725149">
        <w:rPr>
          <w:lang w:val="en-GB"/>
        </w:rPr>
        <w:t xml:space="preserve">5.  COMMAND AND CONTROL </w:t>
      </w:r>
    </w:p>
    <w:p w:rsidR="00465966" w:rsidRPr="00725149" w:rsidRDefault="00C90331" w:rsidP="00465966">
      <w:pPr>
        <w:pStyle w:val="Ingenmellomrom"/>
        <w:rPr>
          <w:lang w:val="en-GB"/>
        </w:rPr>
      </w:pPr>
      <w:r>
        <w:rPr>
          <w:lang w:val="en-GB"/>
        </w:rPr>
        <w:t xml:space="preserve">There are no known, specific C2 considerations for these missions. Refer to the </w:t>
      </w:r>
      <w:r w:rsidR="00EE1A8D">
        <w:rPr>
          <w:lang w:val="en-GB"/>
        </w:rPr>
        <w:t>Command, Control and Communications section of the JAOP.</w:t>
      </w:r>
    </w:p>
    <w:sectPr w:rsidR="00465966" w:rsidRPr="00725149" w:rsidSect="00ED4EE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F18" w:rsidRDefault="004E1F18" w:rsidP="00465966">
      <w:pPr>
        <w:spacing w:after="0" w:line="240" w:lineRule="auto"/>
      </w:pPr>
      <w:r>
        <w:separator/>
      </w:r>
    </w:p>
  </w:endnote>
  <w:endnote w:type="continuationSeparator" w:id="0">
    <w:p w:rsidR="004E1F18" w:rsidRDefault="004E1F18"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241D68" w:rsidRDefault="00753AD3" w:rsidP="00753AD3">
    <w:pPr>
      <w:pStyle w:val="Bunntekst"/>
      <w:jc w:val="center"/>
      <w:rPr>
        <w:sz w:val="16"/>
        <w:lang w:val="en-US"/>
      </w:rPr>
    </w:pPr>
    <w:r w:rsidRPr="00241D68">
      <w:rPr>
        <w:b/>
        <w:bCs/>
        <w:sz w:val="16"/>
        <w:lang w:val="en-US"/>
      </w:rPr>
      <w:t>DISCLAIMER:</w:t>
    </w:r>
  </w:p>
  <w:p w:rsidR="00753AD3" w:rsidRPr="00241D6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241D6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F18" w:rsidRDefault="004E1F18" w:rsidP="00465966">
      <w:pPr>
        <w:spacing w:after="0" w:line="240" w:lineRule="auto"/>
      </w:pPr>
      <w:r>
        <w:separator/>
      </w:r>
    </w:p>
  </w:footnote>
  <w:footnote w:type="continuationSeparator" w:id="0">
    <w:p w:rsidR="004E1F18" w:rsidRDefault="004E1F18"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241D68" w:rsidRDefault="00465966">
    <w:pPr>
      <w:pStyle w:val="Topptekst"/>
      <w:rPr>
        <w:sz w:val="18"/>
        <w:szCs w:val="30"/>
        <w:lang w:val="en-US"/>
      </w:rPr>
    </w:pPr>
    <w:r>
      <w:tab/>
    </w:r>
    <w:r>
      <w:tab/>
    </w:r>
    <w:r w:rsidRPr="00241D68">
      <w:rPr>
        <w:sz w:val="18"/>
        <w:szCs w:val="30"/>
        <w:lang w:val="en-US"/>
      </w:rPr>
      <w:t xml:space="preserve">JFACC /CJTF82 </w:t>
    </w:r>
  </w:p>
  <w:p w:rsidR="00465966" w:rsidRPr="00241D68" w:rsidRDefault="00465966" w:rsidP="00465966">
    <w:pPr>
      <w:pStyle w:val="Topptekst"/>
      <w:jc w:val="right"/>
      <w:rPr>
        <w:sz w:val="18"/>
        <w:szCs w:val="30"/>
        <w:lang w:val="en-US"/>
      </w:rPr>
    </w:pPr>
    <w:r w:rsidRPr="00241D68">
      <w:rPr>
        <w:sz w:val="18"/>
        <w:szCs w:val="30"/>
        <w:lang w:val="en-US"/>
      </w:rPr>
      <w:t>Incerlik</w:t>
    </w:r>
  </w:p>
  <w:p w:rsidR="00465966" w:rsidRPr="00241D68" w:rsidRDefault="00753AD3" w:rsidP="00465966">
    <w:pPr>
      <w:pStyle w:val="Topptekst"/>
      <w:jc w:val="right"/>
      <w:rPr>
        <w:sz w:val="18"/>
        <w:szCs w:val="30"/>
        <w:lang w:val="en-US"/>
      </w:rPr>
    </w:pPr>
    <w:r w:rsidRPr="00241D68">
      <w:rPr>
        <w:sz w:val="18"/>
        <w:szCs w:val="30"/>
        <w:lang w:val="en-US"/>
      </w:rPr>
      <w:t xml:space="preserve">AOD </w:t>
    </w:r>
    <w:r w:rsidR="0046501B" w:rsidRPr="00241D68">
      <w:rPr>
        <w:sz w:val="18"/>
        <w:szCs w:val="30"/>
        <w:lang w:val="en-US"/>
      </w:rPr>
      <w:t>D+</w:t>
    </w:r>
    <w:r w:rsidR="0077011A">
      <w:rPr>
        <w:sz w:val="18"/>
        <w:szCs w:val="30"/>
        <w:lang w:val="en-US"/>
      </w:rPr>
      <w:t>1</w:t>
    </w:r>
    <w:r w:rsidR="00465966" w:rsidRPr="00241D68">
      <w:rPr>
        <w:sz w:val="18"/>
        <w:szCs w:val="30"/>
        <w:lang w:val="en-US"/>
      </w:rPr>
      <w:t xml:space="preserve"> </w:t>
    </w:r>
  </w:p>
  <w:p w:rsidR="00465966" w:rsidRPr="00241D68"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64E9"/>
    <w:multiLevelType w:val="hybridMultilevel"/>
    <w:tmpl w:val="DA04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CE43AB"/>
    <w:multiLevelType w:val="hybridMultilevel"/>
    <w:tmpl w:val="08CE2D74"/>
    <w:lvl w:ilvl="0" w:tplc="DF788648">
      <w:start w:val="1"/>
      <w:numFmt w:val="bullet"/>
      <w:lvlText w:val=""/>
      <w:lvlJc w:val="left"/>
      <w:pPr>
        <w:ind w:left="420" w:hanging="360"/>
      </w:pPr>
      <w:rPr>
        <w:rFonts w:ascii="Symbol" w:eastAsiaTheme="minorEastAsia" w:hAnsi="Symbol"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useFELayout/>
  </w:compat>
  <w:rsids>
    <w:rsidRoot w:val="00465966"/>
    <w:rsid w:val="00057796"/>
    <w:rsid w:val="000907F0"/>
    <w:rsid w:val="001078D2"/>
    <w:rsid w:val="00113F1B"/>
    <w:rsid w:val="001868B0"/>
    <w:rsid w:val="00203646"/>
    <w:rsid w:val="00217F58"/>
    <w:rsid w:val="00241D68"/>
    <w:rsid w:val="002C2AD2"/>
    <w:rsid w:val="00322FED"/>
    <w:rsid w:val="00343D16"/>
    <w:rsid w:val="003553B0"/>
    <w:rsid w:val="004217E0"/>
    <w:rsid w:val="00431E45"/>
    <w:rsid w:val="00443D7E"/>
    <w:rsid w:val="00443F66"/>
    <w:rsid w:val="0046501B"/>
    <w:rsid w:val="00465966"/>
    <w:rsid w:val="00486B96"/>
    <w:rsid w:val="00491C5F"/>
    <w:rsid w:val="004E1F18"/>
    <w:rsid w:val="00505AD6"/>
    <w:rsid w:val="0051382F"/>
    <w:rsid w:val="0052261E"/>
    <w:rsid w:val="00566F71"/>
    <w:rsid w:val="005812C3"/>
    <w:rsid w:val="005D09F6"/>
    <w:rsid w:val="005E0FBC"/>
    <w:rsid w:val="005E306F"/>
    <w:rsid w:val="0061199B"/>
    <w:rsid w:val="00635405"/>
    <w:rsid w:val="00677360"/>
    <w:rsid w:val="006A1C3F"/>
    <w:rsid w:val="00725149"/>
    <w:rsid w:val="007461F7"/>
    <w:rsid w:val="00753AD3"/>
    <w:rsid w:val="00754667"/>
    <w:rsid w:val="007601DA"/>
    <w:rsid w:val="007631D2"/>
    <w:rsid w:val="0077011A"/>
    <w:rsid w:val="00796298"/>
    <w:rsid w:val="007B2BB0"/>
    <w:rsid w:val="007B60BA"/>
    <w:rsid w:val="00854EAE"/>
    <w:rsid w:val="00856444"/>
    <w:rsid w:val="00902997"/>
    <w:rsid w:val="00920131"/>
    <w:rsid w:val="00927B91"/>
    <w:rsid w:val="00931063"/>
    <w:rsid w:val="00971C30"/>
    <w:rsid w:val="009C71BF"/>
    <w:rsid w:val="009D6985"/>
    <w:rsid w:val="009D73F8"/>
    <w:rsid w:val="009F00E5"/>
    <w:rsid w:val="00A13E7B"/>
    <w:rsid w:val="00AA23A4"/>
    <w:rsid w:val="00AA472B"/>
    <w:rsid w:val="00AD7368"/>
    <w:rsid w:val="00AE19C9"/>
    <w:rsid w:val="00B4796A"/>
    <w:rsid w:val="00B5756E"/>
    <w:rsid w:val="00B762B0"/>
    <w:rsid w:val="00BA3913"/>
    <w:rsid w:val="00C33F17"/>
    <w:rsid w:val="00C66F23"/>
    <w:rsid w:val="00C90331"/>
    <w:rsid w:val="00C96EA5"/>
    <w:rsid w:val="00D64D09"/>
    <w:rsid w:val="00ED4EE0"/>
    <w:rsid w:val="00EE1A8D"/>
    <w:rsid w:val="00EF4320"/>
    <w:rsid w:val="00F2680E"/>
    <w:rsid w:val="00F703A3"/>
    <w:rsid w:val="00F80695"/>
    <w:rsid w:val="00F93FCC"/>
    <w:rsid w:val="00FA5212"/>
    <w:rsid w:val="00FB1C7C"/>
    <w:rsid w:val="00FB7923"/>
    <w:rsid w:val="00FE69B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style>
  <w:style w:type="paragraph" w:styleId="Overskrift1">
    <w:name w:val="heading 1"/>
    <w:basedOn w:val="Normal"/>
    <w:next w:val="Normal"/>
    <w:link w:val="Overskrift1Tegn"/>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Normal"/>
    <w:next w:val="Ingenmellomrom"/>
    <w:link w:val="Overskrift2Tegn"/>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Normal"/>
    <w:next w:val="Normal"/>
    <w:link w:val="Overskrift3Tegn"/>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465966"/>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343D16"/>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343D16"/>
    <w:rPr>
      <w:rFonts w:asciiTheme="majorHAnsi" w:eastAsiaTheme="majorEastAsia" w:hAnsiTheme="majorHAnsi" w:cstheme="majorBidi"/>
      <w:b/>
      <w:bCs/>
      <w:color w:val="6565FF" w:themeColor="accent1"/>
    </w:rPr>
  </w:style>
  <w:style w:type="table" w:styleId="Tabellrutenett">
    <w:name w:val="Table Grid"/>
    <w:basedOn w:val="Vanligtabell"/>
    <w:uiPriority w:val="59"/>
    <w:unhideWhenUsed/>
    <w:rsid w:val="00796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F80695"/>
    <w:pPr>
      <w:ind w:left="720"/>
      <w:contextualSpacing/>
    </w:pPr>
  </w:style>
  <w:style w:type="character" w:styleId="Hyperkobling">
    <w:name w:val="Hyperlink"/>
    <w:basedOn w:val="Standardskriftforavsnitt"/>
    <w:uiPriority w:val="99"/>
    <w:unhideWhenUsed/>
    <w:rsid w:val="00113F1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MISSION%20INFORMATION/AirspaceControlPlan.c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ORDERS/OPAR%20LCC%20IV%20CORPS%20CONCEPT%20OF%20OPERATIONS%20PHASE%20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132nd-vwing.github.io/OPAR-Brief/ORDERS/OPAR%20LCC%20III%20CORPS%20CONCEPT%20OF%20OPERATIONS%20PHASE%201.pdf" TargetMode="External"/><Relationship Id="rId4" Type="http://schemas.openxmlformats.org/officeDocument/2006/relationships/settings" Target="settings.xml"/><Relationship Id="rId9" Type="http://schemas.openxmlformats.org/officeDocument/2006/relationships/hyperlink" Target="https://132nd-vwing.github.io/OPAR-Brief/ORDERS/OPAR%20CJTF82%20OPERATION%20ORDER.pdf" TargetMode="Externa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52F6A-9B59-499D-80DD-6E7DDD3E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894</Words>
  <Characters>4743</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5626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OPAR_JFACC_AOD_D1</dc:title>
  <dc:creator>132nd Virtual Wing</dc:creator>
  <cp:lastModifiedBy>Neck</cp:lastModifiedBy>
  <cp:revision>4</cp:revision>
  <dcterms:created xsi:type="dcterms:W3CDTF">2020-09-11T18:50:00Z</dcterms:created>
  <dcterms:modified xsi:type="dcterms:W3CDTF">2020-09-11T18:59:00Z</dcterms:modified>
</cp:coreProperties>
</file>