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pPr>
      <w:r w:rsidRPr="002146F6">
        <w:rPr>
          <w:lang w:val="en-US"/>
        </w:rPr>
        <w:t xml:space="preserve"> </w:t>
      </w:r>
      <w:hyperlink r:id="rId9" w:history="1">
        <w:r w:rsidR="00051EF1">
          <w:rPr>
            <w:rStyle w:val="Hyperkobling"/>
          </w:rPr>
          <w:t>132-TTP-1 CAS Manual v1.2</w:t>
        </w:r>
      </w:hyperlink>
    </w:p>
    <w:p w:rsidR="003F1572" w:rsidRDefault="003F1572" w:rsidP="00051EF1">
      <w:pPr>
        <w:pStyle w:val="Ingenmellomrom"/>
        <w:rPr>
          <w:rFonts w:ascii="Arial" w:hAnsi="Arial" w:cs="Arial"/>
        </w:rPr>
      </w:pPr>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E231DA"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E231DA"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E231DA"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proofErr w:type="spellStart"/>
      <w:r w:rsidRPr="00EE0D98">
        <w:t>Command</w:t>
      </w:r>
      <w:proofErr w:type="spellEnd"/>
      <w:r w:rsidRPr="00EE0D98">
        <w:t xml:space="preserve"> and Control (C2)</w:t>
      </w:r>
    </w:p>
    <w:p w:rsidR="00EE0D98" w:rsidRPr="00EE0D98" w:rsidRDefault="00EE0D98" w:rsidP="00EE0D98">
      <w:pPr>
        <w:pStyle w:val="Ingenmellomrom"/>
        <w:rPr>
          <w:rFonts w:ascii="Arial" w:hAnsi="Arial" w:cs="Arial"/>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On AR missions with multiple flights, AR flights will normally be directed by a SCA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Default="00EE0D98" w:rsidP="00EE0D98">
      <w:pPr>
        <w:pStyle w:val="Ingenmellomrom"/>
        <w:rPr>
          <w:rFonts w:ascii="Arial" w:hAnsi="Arial" w:cs="Arial"/>
        </w:rPr>
      </w:pPr>
      <w:r w:rsidRPr="002146F6">
        <w:rPr>
          <w:rFonts w:ascii="Arial" w:hAnsi="Arial" w:cs="Arial"/>
          <w:lang w:val="en-US"/>
        </w:rPr>
        <w:t xml:space="preserve"> All flights shall remain on a C2 frequency at all times, unless approved by a C2 agency to do something else. </w:t>
      </w:r>
      <w:r w:rsidRPr="00EE0D98">
        <w:rPr>
          <w:rFonts w:ascii="Arial" w:hAnsi="Arial" w:cs="Arial"/>
        </w:rPr>
        <w:t xml:space="preserve">(C2 </w:t>
      </w:r>
      <w:proofErr w:type="spellStart"/>
      <w:r w:rsidRPr="00EE0D98">
        <w:rPr>
          <w:rFonts w:ascii="Arial" w:hAnsi="Arial" w:cs="Arial"/>
        </w:rPr>
        <w:t>frequency</w:t>
      </w:r>
      <w:proofErr w:type="spellEnd"/>
      <w:r w:rsidRPr="00EE0D98">
        <w:rPr>
          <w:rFonts w:ascii="Arial" w:hAnsi="Arial" w:cs="Arial"/>
        </w:rPr>
        <w:t xml:space="preserve">: </w:t>
      </w:r>
      <w:proofErr w:type="spellStart"/>
      <w:r w:rsidRPr="00EE0D98">
        <w:rPr>
          <w:rFonts w:ascii="Arial" w:hAnsi="Arial" w:cs="Arial"/>
        </w:rPr>
        <w:t>Ground/Tower/Approach/AWACS</w:t>
      </w:r>
      <w:proofErr w:type="spellEnd"/>
      <w:r w:rsidRPr="00EE0D98">
        <w:rPr>
          <w:rFonts w:ascii="Arial" w:hAnsi="Arial" w:cs="Arial"/>
        </w:rPr>
        <w:t xml:space="preserve">) </w:t>
      </w:r>
    </w:p>
    <w:p w:rsidR="00275099" w:rsidRDefault="00275099" w:rsidP="00EE0D98">
      <w:pPr>
        <w:pStyle w:val="Ingenmellomrom"/>
        <w:rPr>
          <w:rFonts w:ascii="Arial" w:hAnsi="Arial" w:cs="Arial"/>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Every squadron is assigned SADL Group ID's in section 11 of this document. Flights will use their flight number for Own ID's. For example: TUSK 2-1 and 2-2 will use </w:t>
      </w:r>
      <w:proofErr w:type="gramStart"/>
      <w:r w:rsidRPr="002146F6">
        <w:rPr>
          <w:rFonts w:ascii="Arial" w:hAnsi="Arial" w:cs="Arial"/>
          <w:lang w:val="en-US"/>
        </w:rPr>
        <w:t>a</w:t>
      </w:r>
      <w:proofErr w:type="gramEnd"/>
      <w:r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t>Authentication</w:t>
      </w:r>
      <w:proofErr w:type="spellEnd"/>
      <w:r w:rsidRPr="00EE0D98">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r w:rsidR="003C035E">
        <w:rPr>
          <w:lang w:val="en-US"/>
        </w:rPr>
        <w:t xml:space="preserve"> 231.500 (GREEN 7)</w:t>
      </w:r>
    </w:p>
    <w:p w:rsidR="00CD2827" w:rsidRDefault="00CD2827" w:rsidP="00CD2827">
      <w:pPr>
        <w:pStyle w:val="Ingenmellomrom"/>
        <w:rPr>
          <w:lang w:val="en-US"/>
        </w:rPr>
      </w:pPr>
      <w:r>
        <w:rPr>
          <w:lang w:val="en-US"/>
        </w:rPr>
        <w:t>In Flight Report Net</w:t>
      </w:r>
      <w:r w:rsidR="003C035E">
        <w:rPr>
          <w:lang w:val="en-US"/>
        </w:rPr>
        <w:t>: 228.0 (ORANGE 10)</w:t>
      </w:r>
    </w:p>
    <w:p w:rsidR="00CD2827" w:rsidRDefault="00CD2827" w:rsidP="00CD2827">
      <w:pPr>
        <w:pStyle w:val="Ingenmellomrom"/>
        <w:rPr>
          <w:lang w:val="en-US"/>
        </w:rPr>
      </w:pPr>
      <w:r>
        <w:rPr>
          <w:lang w:val="en-US"/>
        </w:rPr>
        <w:t>Air Request Net</w:t>
      </w:r>
      <w:r w:rsidR="003C035E">
        <w:rPr>
          <w:lang w:val="en-US"/>
        </w:rPr>
        <w:t>: 21.00 FM</w:t>
      </w:r>
    </w:p>
    <w:p w:rsidR="00CD2827" w:rsidRDefault="00CD2827" w:rsidP="00CD2827">
      <w:pPr>
        <w:pStyle w:val="Ingenmellomrom"/>
        <w:rPr>
          <w:lang w:val="en-US"/>
        </w:rPr>
      </w:pPr>
      <w:r>
        <w:rPr>
          <w:lang w:val="en-US"/>
        </w:rPr>
        <w:t>CSAR Net</w:t>
      </w:r>
      <w:r w:rsidR="003C035E">
        <w:rPr>
          <w:lang w:val="en-US"/>
        </w:rPr>
        <w:t>: 233.0 (PINK 1)</w:t>
      </w:r>
    </w:p>
    <w:p w:rsidR="00CD2827" w:rsidRDefault="00CD2827" w:rsidP="00CD2827">
      <w:pPr>
        <w:pStyle w:val="Ingenmellomrom"/>
        <w:rPr>
          <w:lang w:val="en-US"/>
        </w:rPr>
      </w:pPr>
      <w:r>
        <w:rPr>
          <w:lang w:val="en-US"/>
        </w:rPr>
        <w:t>VHF Backup</w:t>
      </w:r>
      <w:r w:rsidR="003C035E">
        <w:rPr>
          <w:lang w:val="en-US"/>
        </w:rPr>
        <w:t>: 122.250 (GRAY 10)</w:t>
      </w:r>
    </w:p>
    <w:p w:rsidR="00CD2827" w:rsidRDefault="00CD2827" w:rsidP="00CD2827">
      <w:pPr>
        <w:pStyle w:val="Ingenmellomrom"/>
        <w:rPr>
          <w:lang w:val="en-US"/>
        </w:rPr>
      </w:pPr>
      <w:r>
        <w:rPr>
          <w:lang w:val="en-US"/>
        </w:rPr>
        <w:t>Ground Alert frequency (Scramble frequency)</w:t>
      </w:r>
      <w:r w:rsidR="003C035E">
        <w:rPr>
          <w:lang w:val="en-US"/>
        </w:rPr>
        <w:t>: 248.75 (GREEN 6)</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CD2827" w:rsidRDefault="00CD2827" w:rsidP="00CD2827">
      <w:pPr>
        <w:pStyle w:val="Ingenmellomrom"/>
        <w:rPr>
          <w:lang w:val="en-US"/>
        </w:rPr>
      </w:pPr>
      <w:r>
        <w:rPr>
          <w:lang w:val="en-US"/>
        </w:rPr>
        <w:t>Tactical 1</w:t>
      </w:r>
    </w:p>
    <w:p w:rsidR="00CD2827" w:rsidRDefault="00CD2827" w:rsidP="00CD2827">
      <w:pPr>
        <w:pStyle w:val="Ingenmellomrom"/>
        <w:rPr>
          <w:lang w:val="en-US"/>
        </w:rPr>
      </w:pPr>
      <w:r>
        <w:rPr>
          <w:lang w:val="en-US"/>
        </w:rPr>
        <w:t>Tactical 2</w:t>
      </w:r>
    </w:p>
    <w:p w:rsidR="00CD2827" w:rsidRDefault="00CD2827" w:rsidP="00CD2827">
      <w:pPr>
        <w:pStyle w:val="Ingenmellomrom"/>
        <w:rPr>
          <w:lang w:val="en-US"/>
        </w:rPr>
      </w:pPr>
      <w:r>
        <w:rPr>
          <w:lang w:val="en-US"/>
        </w:rPr>
        <w:t>Tactical 3</w:t>
      </w:r>
    </w:p>
    <w:p w:rsidR="00CD2827" w:rsidRDefault="00CD2827" w:rsidP="00CD2827">
      <w:pPr>
        <w:pStyle w:val="Ingenmellomrom"/>
        <w:rPr>
          <w:lang w:val="en-US"/>
        </w:rPr>
      </w:pPr>
      <w:r>
        <w:rPr>
          <w:lang w:val="en-US"/>
        </w:rPr>
        <w:t>Tactical 4</w:t>
      </w:r>
    </w:p>
    <w:p w:rsidR="00CD2827" w:rsidRDefault="00CD2827" w:rsidP="00CD2827">
      <w:pPr>
        <w:pStyle w:val="Ingenmellomrom"/>
        <w:rPr>
          <w:lang w:val="en-US"/>
        </w:rPr>
      </w:pPr>
      <w:r>
        <w:rPr>
          <w:lang w:val="en-US"/>
        </w:rPr>
        <w:t>Tactical 5</w:t>
      </w:r>
    </w:p>
    <w:p w:rsidR="00CD2827" w:rsidRDefault="00CD2827" w:rsidP="00CD2827">
      <w:pPr>
        <w:pStyle w:val="Ingenmellomrom"/>
        <w:rPr>
          <w:lang w:val="en-US"/>
        </w:rPr>
      </w:pPr>
      <w:r>
        <w:rPr>
          <w:lang w:val="en-US"/>
        </w:rPr>
        <w:t>Tactical 6</w:t>
      </w:r>
    </w:p>
    <w:p w:rsidR="00CD2827" w:rsidRDefault="00CD2827" w:rsidP="00CD2827">
      <w:pPr>
        <w:pStyle w:val="Ingenmellomrom"/>
        <w:rPr>
          <w:lang w:val="en-US"/>
        </w:rPr>
      </w:pPr>
      <w:r>
        <w:rPr>
          <w:lang w:val="en-US"/>
        </w:rPr>
        <w:t>Tactical 7</w:t>
      </w:r>
    </w:p>
    <w:p w:rsidR="00CD2827" w:rsidRDefault="00CD2827" w:rsidP="00CD2827">
      <w:pPr>
        <w:pStyle w:val="Ingenmellomrom"/>
        <w:rPr>
          <w:lang w:val="en-US"/>
        </w:rPr>
      </w:pPr>
      <w:r>
        <w:rPr>
          <w:lang w:val="en-US"/>
        </w:rPr>
        <w:t>Tactical 8 (VHF)</w:t>
      </w:r>
    </w:p>
    <w:p w:rsidR="00CD2827" w:rsidRDefault="00CD2827" w:rsidP="00CD2827">
      <w:pPr>
        <w:pStyle w:val="Ingenmellomrom"/>
        <w:rPr>
          <w:lang w:val="en-US"/>
        </w:rPr>
      </w:pPr>
      <w:r>
        <w:rPr>
          <w:lang w:val="en-US"/>
        </w:rPr>
        <w:t>Tactical 9 (VHF)</w:t>
      </w:r>
    </w:p>
    <w:p w:rsidR="00CD2827" w:rsidRDefault="00CD2827" w:rsidP="00CD2827">
      <w:pPr>
        <w:pStyle w:val="Ingenmellomrom"/>
        <w:rPr>
          <w:lang w:val="en-US"/>
        </w:rPr>
      </w:pPr>
      <w:r>
        <w:rPr>
          <w:lang w:val="en-US"/>
        </w:rPr>
        <w:t>Tactical 10 (VHF)</w:t>
      </w: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CD2827" w:rsidRDefault="00CD2827" w:rsidP="00CD2827">
      <w:pPr>
        <w:pStyle w:val="Ingenmellomrom"/>
        <w:rPr>
          <w:lang w:val="en-US"/>
        </w:rPr>
      </w:pPr>
      <w:r>
        <w:rPr>
          <w:lang w:val="en-US"/>
        </w:rPr>
        <w:t>JTAC HITMAN</w:t>
      </w:r>
    </w:p>
    <w:p w:rsidR="00CD2827" w:rsidRDefault="00CD2827" w:rsidP="00CD2827">
      <w:pPr>
        <w:pStyle w:val="Ingenmellomrom"/>
        <w:rPr>
          <w:lang w:val="en-US"/>
        </w:rPr>
      </w:pPr>
      <w:r>
        <w:rPr>
          <w:lang w:val="en-US"/>
        </w:rPr>
        <w:t>JTAC SPARTAN</w:t>
      </w:r>
    </w:p>
    <w:p w:rsidR="00CD2827" w:rsidRDefault="00CD2827" w:rsidP="00CD2827">
      <w:pPr>
        <w:pStyle w:val="Ingenmellomrom"/>
        <w:rPr>
          <w:lang w:val="en-US"/>
        </w:rPr>
      </w:pPr>
      <w:r>
        <w:rPr>
          <w:lang w:val="en-US"/>
        </w:rPr>
        <w:t>JTAC WARRIOR</w:t>
      </w:r>
    </w:p>
    <w:p w:rsidR="00EE0D98" w:rsidRDefault="00EE0D98" w:rsidP="00EE0D98">
      <w:pPr>
        <w:pStyle w:val="Ingenmellomrom"/>
        <w:rPr>
          <w:lang w:val="en-US"/>
        </w:rPr>
      </w:pPr>
    </w:p>
    <w:p w:rsidR="00C21D7E" w:rsidRDefault="00C21D7E" w:rsidP="00C21D7E">
      <w:pPr>
        <w:pStyle w:val="Overskrift1"/>
        <w:rPr>
          <w:lang w:val="en-US"/>
        </w:rPr>
      </w:pPr>
      <w:r>
        <w:rPr>
          <w:lang w:val="en-US"/>
        </w:rPr>
        <w:lastRenderedPageBreak/>
        <w:t>Air to Air Instructions</w:t>
      </w:r>
    </w:p>
    <w:p w:rsidR="00C21D7E" w:rsidRDefault="00C21D7E" w:rsidP="00C21D7E">
      <w:pPr>
        <w:pStyle w:val="Default"/>
      </w:pP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t>Default</w:t>
      </w:r>
      <w:proofErr w:type="spellEnd"/>
      <w:r>
        <w:t xml:space="preserve"> status</w:t>
      </w:r>
    </w:p>
    <w:p w:rsidR="000B57E9" w:rsidRDefault="000B57E9" w:rsidP="000B57E9">
      <w:pPr>
        <w:pStyle w:val="Ingenmellomrom"/>
        <w:rPr>
          <w:lang w:val="en-US"/>
        </w:rPr>
      </w:pPr>
      <w:r w:rsidRPr="000B57E9">
        <w:rPr>
          <w:lang w:val="en-US"/>
        </w:rPr>
        <w:t>Unless something else is briefed, the default status is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proofErr w:type="gramStart"/>
      <w:r w:rsidRPr="000B57E9">
        <w:rPr>
          <w:rFonts w:eastAsia="Times New Roman"/>
          <w:lang w:val="en-US"/>
        </w:rPr>
        <w:t>pilots</w:t>
      </w:r>
      <w:proofErr w:type="gramEnd"/>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lastRenderedPageBreak/>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proofErr w:type="spellStart"/>
      <w:r w:rsidRPr="005978F0">
        <w:rPr>
          <w:lang w:val="en-US"/>
        </w:rPr>
        <w:t>disadvantegous</w:t>
      </w:r>
      <w:proofErr w:type="spellEnd"/>
      <w:r w:rsidRPr="005978F0">
        <w:rPr>
          <w:lang w:val="en-US"/>
        </w:rPr>
        <w:t xml:space="preserve"> engagements.  </w:t>
      </w:r>
      <w:proofErr w:type="gramStart"/>
      <w:r w:rsidRPr="005978F0">
        <w:rPr>
          <w:lang w:val="en-US"/>
        </w:rPr>
        <w:t>Can withdraw to prevent heavy losses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proofErr w:type="gramStart"/>
      <w:r w:rsidRPr="005978F0">
        <w:rPr>
          <w:lang w:val="en-US"/>
        </w:rPr>
        <w:t>reattack</w:t>
      </w:r>
      <w:proofErr w:type="spellEnd"/>
      <w:proofErr w:type="gramEnd"/>
      <w:r w:rsidRPr="005978F0">
        <w:rPr>
          <w:lang w:val="en-US"/>
        </w:rPr>
        <w:t xml:space="preserve"> </w:t>
      </w:r>
      <w:proofErr w:type="spellStart"/>
      <w:r w:rsidRPr="005978F0">
        <w:rPr>
          <w:lang w:val="en-US"/>
        </w:rPr>
        <w:t>authiorized</w:t>
      </w:r>
      <w:proofErr w:type="spellEnd"/>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lastRenderedPageBreak/>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proofErr w:type="gramStart"/>
      <w:r>
        <w:rPr>
          <w:rFonts w:asciiTheme="minorHAnsi" w:hAnsiTheme="minorHAnsi" w:cstheme="minorBidi"/>
          <w:color w:val="auto"/>
          <w:sz w:val="22"/>
          <w:szCs w:val="22"/>
          <w:lang w:val="en-US"/>
        </w:rPr>
        <w:t>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w:t>
      </w:r>
      <w:proofErr w:type="gramEnd"/>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targeted ,</w:t>
      </w:r>
      <w:proofErr w:type="gramEnd"/>
      <w:r w:rsidRPr="00C21D7E">
        <w:rPr>
          <w:lang w:val="en-US"/>
        </w:rPr>
        <w:t xml:space="preserve"> negative consequence </w:t>
      </w:r>
      <w:proofErr w:type="spellStart"/>
      <w:r w:rsidRPr="00C21D7E">
        <w:rPr>
          <w:lang w:val="en-US"/>
        </w:rPr>
        <w:t>smay</w:t>
      </w:r>
      <w:proofErr w:type="spellEnd"/>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proofErr w:type="spellStart"/>
      <w:r>
        <w:rPr>
          <w:lang w:val="en-US"/>
        </w:rPr>
        <w:t>oppertunity</w:t>
      </w:r>
      <w:proofErr w:type="spellEnd"/>
      <w:r>
        <w:rPr>
          <w:lang w:val="en-US"/>
        </w:rPr>
        <w:t xml:space="preserve"> if:</w:t>
      </w:r>
    </w:p>
    <w:p w:rsidR="00E675D6" w:rsidRDefault="00C21D7E" w:rsidP="00E675D6">
      <w:pPr>
        <w:pStyle w:val="Ingenmellomrom"/>
        <w:numPr>
          <w:ilvl w:val="0"/>
          <w:numId w:val="26"/>
        </w:numPr>
        <w:rPr>
          <w:lang w:val="en-US"/>
        </w:rPr>
      </w:pPr>
      <w:proofErr w:type="gramStart"/>
      <w:r w:rsidRPr="00C21D7E">
        <w:rPr>
          <w:lang w:val="en-US"/>
        </w:rPr>
        <w:t>other</w:t>
      </w:r>
      <w:proofErr w:type="gramEnd"/>
      <w:r w:rsidRPr="00C21D7E">
        <w:rPr>
          <w:lang w:val="en-US"/>
        </w:rPr>
        <w:t xml:space="preserve">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proofErr w:type="spellStart"/>
      <w:r w:rsidRPr="00D85852">
        <w:rPr>
          <w:lang w:val="en-US"/>
        </w:rPr>
        <w:t>can not</w:t>
      </w:r>
      <w:proofErr w:type="spellEnd"/>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 xml:space="preserve">2) Damage done to the function is </w:t>
      </w:r>
      <w:proofErr w:type="spellStart"/>
      <w:r w:rsidRPr="00D85852">
        <w:rPr>
          <w:lang w:val="en-US"/>
        </w:rPr>
        <w:t>permanen</w:t>
      </w:r>
      <w:proofErr w:type="spellEnd"/>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lastRenderedPageBreak/>
        <w:t>Neutralize</w:t>
      </w:r>
    </w:p>
    <w:p w:rsidR="00D85852" w:rsidRPr="00D85852" w:rsidRDefault="00D85852" w:rsidP="00D85852">
      <w:pPr>
        <w:pStyle w:val="Ingenmellomrom"/>
        <w:rPr>
          <w:lang w:val="en-US"/>
        </w:rPr>
      </w:pPr>
      <w:r w:rsidRPr="00D85852">
        <w:rPr>
          <w:lang w:val="en-US"/>
        </w:rPr>
        <w:t xml:space="preserve">1) To render an enemy weapon </w:t>
      </w:r>
      <w:proofErr w:type="spellStart"/>
      <w:r w:rsidRPr="00D85852">
        <w:rPr>
          <w:lang w:val="en-US"/>
        </w:rPr>
        <w:t>systen</w:t>
      </w:r>
      <w:proofErr w:type="spellEnd"/>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proofErr w:type="spellStart"/>
      <w:r w:rsidRPr="00D85852">
        <w:rPr>
          <w:lang w:val="en-US"/>
        </w:rPr>
        <w:t>activiy</w:t>
      </w:r>
      <w:proofErr w:type="spellEnd"/>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proofErr w:type="spellStart"/>
      <w:r w:rsidRPr="00237DA9">
        <w:rPr>
          <w:lang w:val="en-US"/>
        </w:rPr>
        <w:t>imparied</w:t>
      </w:r>
      <w:proofErr w:type="spellEnd"/>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proofErr w:type="spellStart"/>
      <w:r w:rsidRPr="00D85852">
        <w:rPr>
          <w:lang w:val="en-US"/>
        </w:rPr>
        <w:t>personel</w:t>
      </w:r>
      <w:proofErr w:type="spellEnd"/>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401FF4"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lastRenderedPageBreak/>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401FF4"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Default="00F65F14" w:rsidP="00F40A93">
      <w:pPr>
        <w:pStyle w:val="Overskrift1"/>
        <w:rPr>
          <w:lang w:val="en-US"/>
        </w:rPr>
      </w:pPr>
      <w:r>
        <w:rPr>
          <w:lang w:val="en-US"/>
        </w:rPr>
        <w:t>Tanker information</w:t>
      </w:r>
    </w:p>
    <w:p w:rsidR="00401FF4" w:rsidRDefault="00401FF4" w:rsidP="00401FF4">
      <w:pPr>
        <w:pStyle w:val="Ingenmellomrom"/>
        <w:rPr>
          <w:lang w:val="en-US"/>
        </w:rPr>
      </w:pPr>
      <w:r>
        <w:rPr>
          <w:lang w:val="en-US"/>
        </w:rPr>
        <w:t>KC-135 are used for boom operations (F-16 / A-10)</w:t>
      </w:r>
    </w:p>
    <w:p w:rsidR="00401FF4" w:rsidRDefault="00401FF4" w:rsidP="00401FF4">
      <w:pPr>
        <w:pStyle w:val="Ingenmellomrom"/>
        <w:rPr>
          <w:lang w:val="en-US"/>
        </w:rPr>
      </w:pPr>
      <w:r>
        <w:rPr>
          <w:lang w:val="en-US"/>
        </w:rPr>
        <w:t>KC-135 MPRS are used for drogue operations (F/A-18 / F-14)</w:t>
      </w:r>
    </w:p>
    <w:p w:rsidR="00401FF4" w:rsidRDefault="00401FF4" w:rsidP="00401FF4">
      <w:pPr>
        <w:pStyle w:val="Ingenmellomrom"/>
        <w:rPr>
          <w:lang w:val="en-US"/>
        </w:rPr>
      </w:pPr>
    </w:p>
    <w:p w:rsidR="00401FF4" w:rsidRDefault="00401FF4" w:rsidP="00401FF4">
      <w:pPr>
        <w:pStyle w:val="Ingenmellomrom"/>
        <w:rPr>
          <w:lang w:val="en-US"/>
        </w:rPr>
      </w:pPr>
      <w:r>
        <w:rPr>
          <w:lang w:val="en-US"/>
        </w:rPr>
        <w:t>Tanker tracks.</w:t>
      </w:r>
    </w:p>
    <w:p w:rsidR="00401FF4" w:rsidRDefault="00401FF4" w:rsidP="00401FF4">
      <w:pPr>
        <w:pStyle w:val="Ingenmellomrom"/>
        <w:rPr>
          <w:lang w:val="en-US"/>
        </w:rPr>
      </w:pPr>
      <w:r>
        <w:rPr>
          <w:lang w:val="en-US"/>
        </w:rPr>
        <w:t>Tanker tracks will be named ARXXX.</w:t>
      </w:r>
    </w:p>
    <w:p w:rsidR="00401FF4" w:rsidRDefault="00401FF4" w:rsidP="00401FF4">
      <w:pPr>
        <w:pStyle w:val="Ingenmellomrom"/>
        <w:rPr>
          <w:lang w:val="en-US"/>
        </w:rPr>
      </w:pPr>
      <w:r>
        <w:rPr>
          <w:lang w:val="en-US"/>
        </w:rPr>
        <w:t>AR6XX (</w:t>
      </w:r>
      <w:proofErr w:type="spellStart"/>
      <w:r>
        <w:rPr>
          <w:lang w:val="en-US"/>
        </w:rPr>
        <w:t>Callsign</w:t>
      </w:r>
      <w:proofErr w:type="spellEnd"/>
      <w:r>
        <w:rPr>
          <w:lang w:val="en-US"/>
        </w:rPr>
        <w:t xml:space="preserve"> TEXACO) fo</w:t>
      </w:r>
      <w:r w:rsidR="001730C6">
        <w:rPr>
          <w:lang w:val="en-US"/>
        </w:rPr>
        <w:t>r boom operations lower speed (speed 220kts FL115)</w:t>
      </w:r>
      <w:r>
        <w:rPr>
          <w:lang w:val="en-US"/>
        </w:rPr>
        <w:t>.</w:t>
      </w:r>
    </w:p>
    <w:p w:rsidR="00401FF4" w:rsidRDefault="00401FF4" w:rsidP="00401FF4">
      <w:pPr>
        <w:pStyle w:val="Ingenmellomrom"/>
        <w:rPr>
          <w:lang w:val="en-US"/>
        </w:rPr>
      </w:pPr>
      <w:proofErr w:type="gramStart"/>
      <w:r>
        <w:rPr>
          <w:lang w:val="en-US"/>
        </w:rPr>
        <w:t>AR7XX  (</w:t>
      </w:r>
      <w:proofErr w:type="spellStart"/>
      <w:proofErr w:type="gramEnd"/>
      <w:r>
        <w:rPr>
          <w:lang w:val="en-US"/>
        </w:rPr>
        <w:t>Callsign</w:t>
      </w:r>
      <w:proofErr w:type="spellEnd"/>
      <w:r>
        <w:rPr>
          <w:lang w:val="en-US"/>
        </w:rPr>
        <w:t xml:space="preserve"> ARCO) for boom operations higher speed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Pr>
          <w:lang w:val="en-US"/>
        </w:rPr>
        <w:t>AR8XX (</w:t>
      </w:r>
      <w:proofErr w:type="spellStart"/>
      <w:r>
        <w:rPr>
          <w:lang w:val="en-US"/>
        </w:rPr>
        <w:t>Callsign</w:t>
      </w:r>
      <w:proofErr w:type="spellEnd"/>
      <w:r>
        <w:rPr>
          <w:lang w:val="en-US"/>
        </w:rPr>
        <w:t xml:space="preserve"> SHELL) for drogue operations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sidRPr="00401FF4">
        <w:rPr>
          <w:lang w:val="en-US"/>
        </w:rPr>
        <w:t xml:space="preserve">Altimeter </w:t>
      </w:r>
      <w:proofErr w:type="spellStart"/>
      <w:r w:rsidRPr="00401FF4">
        <w:rPr>
          <w:lang w:val="en-US"/>
        </w:rPr>
        <w:t>setting.Unless</w:t>
      </w:r>
      <w:proofErr w:type="spellEnd"/>
      <w:r w:rsidRPr="00401FF4">
        <w:rPr>
          <w:lang w:val="en-US"/>
        </w:rPr>
        <w:t xml:space="preserve"> otherwise directed an altimeter setting of standard pressure setting (29.92) is to be used for AAR operations.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 xml:space="preserve">Vertical </w:t>
      </w:r>
      <w:proofErr w:type="spellStart"/>
      <w:r w:rsidRPr="00401FF4">
        <w:rPr>
          <w:lang w:val="en-US"/>
        </w:rPr>
        <w:t>separation.Receivers</w:t>
      </w:r>
      <w:proofErr w:type="spellEnd"/>
      <w:r w:rsidRPr="00401FF4">
        <w:rPr>
          <w:lang w:val="en-US"/>
        </w:rPr>
        <w:t xml:space="preserve"> are to join from below and are to maintain a minimum of 1000ft vertical separation (unless otherwise directed by the controlling agency) , until visual contact have been made.</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11.3</w:t>
      </w:r>
      <w:proofErr w:type="gramStart"/>
      <w:r w:rsidRPr="00401FF4">
        <w:rPr>
          <w:lang w:val="en-US"/>
        </w:rPr>
        <w:t>.Clearance.Receivers</w:t>
      </w:r>
      <w:proofErr w:type="gramEnd"/>
      <w:r w:rsidRPr="00401FF4">
        <w:rPr>
          <w:lang w:val="en-US"/>
        </w:rPr>
        <w:t xml:space="preserve"> must receive clearance from the controlling agency (AWACS) before contacting the tanker.</w:t>
      </w:r>
    </w:p>
    <w:p w:rsidR="00401FF4" w:rsidRDefault="00401FF4" w:rsidP="00401FF4">
      <w:pPr>
        <w:pStyle w:val="Ingenmellomrom"/>
        <w:rPr>
          <w:lang w:val="en-US"/>
        </w:rPr>
      </w:pPr>
    </w:p>
    <w:p w:rsidR="00401FF4" w:rsidRPr="00401FF4" w:rsidRDefault="00401FF4" w:rsidP="00401FF4">
      <w:pPr>
        <w:pStyle w:val="Ingenmellomrom"/>
        <w:rPr>
          <w:lang w:val="en-US"/>
        </w:rPr>
      </w:pPr>
      <w:r w:rsidRPr="00401FF4">
        <w:rPr>
          <w:lang w:val="en-US"/>
        </w:rPr>
        <w:lastRenderedPageBreak/>
        <w:t>11.4</w:t>
      </w:r>
      <w:proofErr w:type="gramStart"/>
      <w:r w:rsidRPr="00401FF4">
        <w:rPr>
          <w:lang w:val="en-US"/>
        </w:rPr>
        <w:t>.Joining</w:t>
      </w:r>
      <w:proofErr w:type="gramEnd"/>
      <w:r w:rsidRPr="00401FF4">
        <w:rPr>
          <w:lang w:val="en-US"/>
        </w:rPr>
        <w:t xml:space="preserve"> </w:t>
      </w:r>
      <w:proofErr w:type="spellStart"/>
      <w:r w:rsidRPr="00401FF4">
        <w:rPr>
          <w:lang w:val="en-US"/>
        </w:rPr>
        <w:t>procedures.The</w:t>
      </w:r>
      <w:proofErr w:type="spellEnd"/>
      <w:r w:rsidRPr="00401FF4">
        <w:rPr>
          <w:lang w:val="en-US"/>
        </w:rPr>
        <w:t xml:space="preserve"> left side of the tanker is to be used for joining aircraft. The first </w:t>
      </w:r>
      <w:proofErr w:type="spellStart"/>
      <w:r w:rsidRPr="00401FF4">
        <w:rPr>
          <w:lang w:val="en-US"/>
        </w:rPr>
        <w:t>reciver</w:t>
      </w:r>
      <w:proofErr w:type="spellEnd"/>
      <w:r w:rsidRPr="00401FF4">
        <w:rPr>
          <w:lang w:val="en-US"/>
        </w:rPr>
        <w:t xml:space="preserve"> of a formation may join directly astern the boom, when the </w:t>
      </w:r>
      <w:proofErr w:type="spellStart"/>
      <w:r w:rsidRPr="00401FF4">
        <w:rPr>
          <w:lang w:val="en-US"/>
        </w:rPr>
        <w:t>reciver</w:t>
      </w:r>
      <w:proofErr w:type="spellEnd"/>
      <w:r w:rsidRPr="00401FF4">
        <w:rPr>
          <w:lang w:val="en-US"/>
        </w:rPr>
        <w:t xml:space="preserve"> has visually confirmed that no refueling is in progress.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r>
        <w:rPr>
          <w:lang w:val="en-US"/>
        </w:rPr>
        <w:t>Airspace information</w:t>
      </w:r>
    </w:p>
    <w:p w:rsid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proofErr w:type="gramStart"/>
      <w:r w:rsidRPr="00401FF4">
        <w:rPr>
          <w:lang w:val="en-US"/>
        </w:rPr>
        <w:t>Airspace Control Measures.</w:t>
      </w:r>
      <w:proofErr w:type="gramEnd"/>
      <w:r w:rsidRPr="00401FF4">
        <w:rPr>
          <w:lang w:val="en-US"/>
        </w:rPr>
        <w:t xml:space="preserve"> Control/Initial Points are to be used for command </w:t>
      </w:r>
      <w:proofErr w:type="spellStart"/>
      <w:proofErr w:type="gramStart"/>
      <w:r w:rsidRPr="00401FF4">
        <w:rPr>
          <w:lang w:val="en-US"/>
        </w:rPr>
        <w:t>an</w:t>
      </w:r>
      <w:proofErr w:type="spellEnd"/>
      <w:proofErr w:type="gramEnd"/>
      <w:r w:rsidRPr="00401FF4">
        <w:rPr>
          <w:lang w:val="en-US"/>
        </w:rPr>
        <w:t xml:space="preserve"> control of the airspace. These points can be used in </w:t>
      </w:r>
      <w:proofErr w:type="spellStart"/>
      <w:r w:rsidRPr="00401FF4">
        <w:rPr>
          <w:lang w:val="en-US"/>
        </w:rPr>
        <w:t>flightplans</w:t>
      </w:r>
      <w:proofErr w:type="spellEnd"/>
      <w:r w:rsidRPr="00401FF4">
        <w:rPr>
          <w:lang w:val="en-US"/>
        </w:rPr>
        <w:t xml:space="preserve">. Minimum Risk Routes will be routes between Control/Initial Points. </w:t>
      </w:r>
    </w:p>
    <w:p w:rsidR="00401FF4" w:rsidRDefault="00401FF4" w:rsidP="00401FF4">
      <w:pPr>
        <w:pStyle w:val="Ingenmellomrom"/>
        <w:rPr>
          <w:lang w:val="en-US"/>
        </w:rPr>
      </w:pPr>
      <w:r w:rsidRPr="00401FF4">
        <w:rPr>
          <w:lang w:val="en-US"/>
        </w:rPr>
        <w:t xml:space="preserve">See Appendix </w:t>
      </w:r>
      <w:proofErr w:type="spellStart"/>
      <w:r w:rsidRPr="00401FF4">
        <w:rPr>
          <w:lang w:val="en-US"/>
        </w:rPr>
        <w:t>Afor</w:t>
      </w:r>
      <w:proofErr w:type="spellEnd"/>
      <w:r w:rsidRPr="00401FF4">
        <w:rPr>
          <w:lang w:val="en-US"/>
        </w:rPr>
        <w:t xml:space="preserve"> a list and map of Control/Initial Points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9.1.1</w:t>
      </w:r>
      <w:proofErr w:type="gramStart"/>
      <w:r w:rsidRPr="00401FF4">
        <w:rPr>
          <w:lang w:val="en-US"/>
        </w:rPr>
        <w:t>.Control</w:t>
      </w:r>
      <w:proofErr w:type="gramEnd"/>
      <w:r w:rsidRPr="00401FF4">
        <w:rPr>
          <w:lang w:val="en-US"/>
        </w:rPr>
        <w:t xml:space="preserve"> Points (CP).Control Points are points to be used to establish communications (check-in) with AWACS/FAC(A)/SCAR-C/JTAC’s.</w:t>
      </w:r>
    </w:p>
    <w:p w:rsidR="00401FF4" w:rsidRDefault="00401FF4" w:rsidP="00401FF4">
      <w:pPr>
        <w:pStyle w:val="Ingenmellomrom"/>
        <w:rPr>
          <w:lang w:val="en-US"/>
        </w:rPr>
      </w:pPr>
    </w:p>
    <w:p w:rsidR="00401FF4" w:rsidRDefault="00401FF4" w:rsidP="00401FF4">
      <w:pPr>
        <w:pStyle w:val="Ingenmellomrom"/>
        <w:rPr>
          <w:lang w:val="en-US"/>
        </w:rPr>
      </w:pPr>
      <w:r w:rsidRPr="00401FF4">
        <w:rPr>
          <w:lang w:val="en-US"/>
        </w:rPr>
        <w:t>9.1.2</w:t>
      </w:r>
      <w:proofErr w:type="gramStart"/>
      <w:r w:rsidRPr="00401FF4">
        <w:rPr>
          <w:lang w:val="en-US"/>
        </w:rPr>
        <w:t>.Initial</w:t>
      </w:r>
      <w:proofErr w:type="gramEnd"/>
      <w:r w:rsidRPr="00401FF4">
        <w:rPr>
          <w:lang w:val="en-US"/>
        </w:rPr>
        <w:t xml:space="preserve"> Points (IP).Initial points are primarily designed to facilitate initial points for attack runs in CAS operations. A secondary use is that they can be used as control points</w:t>
      </w:r>
    </w:p>
    <w:p w:rsid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401FF4">
      <w:pPr>
        <w:pStyle w:val="Ingenmellomrom"/>
        <w:rPr>
          <w:lang w:val="en-US"/>
        </w:rPr>
      </w:pPr>
      <w:proofErr w:type="spellStart"/>
      <w:r w:rsidRPr="00401FF4">
        <w:rPr>
          <w:lang w:val="en-US"/>
        </w:rPr>
        <w:t>Killbox.Killbox</w:t>
      </w:r>
      <w:proofErr w:type="spellEnd"/>
      <w:r w:rsidRPr="00401FF4">
        <w:rPr>
          <w:lang w:val="en-US"/>
        </w:rPr>
        <w:t xml:space="preserve"> is a three-dimensional target </w:t>
      </w:r>
      <w:proofErr w:type="spellStart"/>
      <w:r w:rsidRPr="00401FF4">
        <w:rPr>
          <w:lang w:val="en-US"/>
        </w:rPr>
        <w:t>area.It</w:t>
      </w:r>
      <w:proofErr w:type="spellEnd"/>
      <w:r w:rsidRPr="00401FF4">
        <w:rPr>
          <w:lang w:val="en-US"/>
        </w:rPr>
        <w:t xml:space="preserve"> is a coordination measure enabling air assets to engage surface targets without needing further coordination with commanders and without terminal attack control. A </w:t>
      </w:r>
      <w:proofErr w:type="spellStart"/>
      <w:r w:rsidRPr="00401FF4">
        <w:rPr>
          <w:lang w:val="en-US"/>
        </w:rPr>
        <w:t>killbox</w:t>
      </w:r>
      <w:proofErr w:type="spellEnd"/>
      <w:r w:rsidRPr="00401FF4">
        <w:rPr>
          <w:lang w:val="en-US"/>
        </w:rPr>
        <w:t xml:space="preserve"> </w:t>
      </w:r>
      <w:proofErr w:type="spellStart"/>
      <w:r w:rsidRPr="00401FF4">
        <w:rPr>
          <w:lang w:val="en-US"/>
        </w:rPr>
        <w:t>canbe</w:t>
      </w:r>
      <w:proofErr w:type="spellEnd"/>
      <w:r w:rsidRPr="00401FF4">
        <w:rPr>
          <w:lang w:val="en-US"/>
        </w:rPr>
        <w:t xml:space="preserve"> under the control of a </w:t>
      </w:r>
      <w:proofErr w:type="gramStart"/>
      <w:r w:rsidRPr="00401FF4">
        <w:rPr>
          <w:lang w:val="en-US"/>
        </w:rPr>
        <w:t>FAC(</w:t>
      </w:r>
      <w:proofErr w:type="gramEnd"/>
      <w:r w:rsidRPr="00401FF4">
        <w:rPr>
          <w:lang w:val="en-US"/>
        </w:rPr>
        <w:t xml:space="preserve">A) or a SCAR commander. The space is defined by an area reference system. Each </w:t>
      </w:r>
      <w:proofErr w:type="spellStart"/>
      <w:r w:rsidRPr="00401FF4">
        <w:rPr>
          <w:lang w:val="en-US"/>
        </w:rPr>
        <w:t>killbox</w:t>
      </w:r>
      <w:proofErr w:type="spellEnd"/>
      <w:r w:rsidRPr="00401FF4">
        <w:rPr>
          <w:lang w:val="en-US"/>
        </w:rPr>
        <w:t xml:space="preserve"> is divided into 20x20 </w:t>
      </w:r>
      <w:proofErr w:type="spellStart"/>
      <w:r w:rsidRPr="00401FF4">
        <w:rPr>
          <w:lang w:val="en-US"/>
        </w:rPr>
        <w:t>minutesquares</w:t>
      </w:r>
      <w:proofErr w:type="spellEnd"/>
      <w:r w:rsidRPr="00401FF4">
        <w:rPr>
          <w:lang w:val="en-US"/>
        </w:rPr>
        <w:t xml:space="preserve">. A </w:t>
      </w:r>
      <w:proofErr w:type="spellStart"/>
      <w:r w:rsidRPr="00401FF4">
        <w:rPr>
          <w:lang w:val="en-US"/>
        </w:rPr>
        <w:t>Killbox</w:t>
      </w:r>
      <w:proofErr w:type="spellEnd"/>
      <w:r w:rsidRPr="00401FF4">
        <w:rPr>
          <w:lang w:val="en-US"/>
        </w:rPr>
        <w:t xml:space="preserve"> can be either active or closed. </w:t>
      </w:r>
    </w:p>
    <w:p w:rsidR="00401FF4" w:rsidRDefault="00401FF4" w:rsidP="00401FF4">
      <w:pPr>
        <w:pStyle w:val="Ingenmellomrom"/>
        <w:rPr>
          <w:lang w:val="en-US"/>
        </w:rPr>
      </w:pPr>
      <w:r w:rsidRPr="00401FF4">
        <w:rPr>
          <w:lang w:val="en-US"/>
        </w:rPr>
        <w:t>9.2.1</w:t>
      </w:r>
      <w:proofErr w:type="gramStart"/>
      <w:r w:rsidRPr="00401FF4">
        <w:rPr>
          <w:lang w:val="en-US"/>
        </w:rPr>
        <w:t>.Active</w:t>
      </w:r>
      <w:proofErr w:type="gramEnd"/>
      <w:r w:rsidRPr="00401FF4">
        <w:rPr>
          <w:lang w:val="en-US"/>
        </w:rPr>
        <w:t xml:space="preserve"> </w:t>
      </w:r>
      <w:proofErr w:type="spellStart"/>
      <w:r w:rsidRPr="00401FF4">
        <w:rPr>
          <w:lang w:val="en-US"/>
        </w:rPr>
        <w:t>Killbox.This</w:t>
      </w:r>
      <w:proofErr w:type="spellEnd"/>
      <w:r w:rsidRPr="00401FF4">
        <w:rPr>
          <w:lang w:val="en-US"/>
        </w:rPr>
        <w:t xml:space="preserve"> is a </w:t>
      </w:r>
      <w:proofErr w:type="spellStart"/>
      <w:r w:rsidRPr="00401FF4">
        <w:rPr>
          <w:lang w:val="en-US"/>
        </w:rPr>
        <w:t>killbox</w:t>
      </w:r>
      <w:proofErr w:type="spellEnd"/>
      <w:r w:rsidRPr="00401FF4">
        <w:rPr>
          <w:lang w:val="en-US"/>
        </w:rPr>
        <w:t xml:space="preserve"> in use by someone. </w:t>
      </w:r>
      <w:proofErr w:type="spellStart"/>
      <w:r w:rsidRPr="00401FF4">
        <w:rPr>
          <w:lang w:val="en-US"/>
        </w:rPr>
        <w:t>Killboxes</w:t>
      </w:r>
      <w:proofErr w:type="spellEnd"/>
      <w:r w:rsidRPr="00401FF4">
        <w:rPr>
          <w:lang w:val="en-US"/>
        </w:rPr>
        <w:t xml:space="preserve"> can be requested by </w:t>
      </w:r>
      <w:proofErr w:type="spellStart"/>
      <w:r w:rsidRPr="00401FF4">
        <w:rPr>
          <w:lang w:val="en-US"/>
        </w:rPr>
        <w:t>flightplan</w:t>
      </w:r>
      <w:proofErr w:type="spellEnd"/>
      <w:r w:rsidRPr="00401FF4">
        <w:rPr>
          <w:lang w:val="en-US"/>
        </w:rPr>
        <w:t xml:space="preserve"> request or through a C2 agency (AWACS).</w:t>
      </w:r>
    </w:p>
    <w:p w:rsidR="00401FF4" w:rsidRDefault="00401FF4" w:rsidP="00401FF4">
      <w:pPr>
        <w:pStyle w:val="Ingenmellomrom"/>
        <w:rPr>
          <w:lang w:val="en-US"/>
        </w:rPr>
      </w:pPr>
      <w:r w:rsidRPr="00401FF4">
        <w:rPr>
          <w:lang w:val="en-US"/>
        </w:rPr>
        <w:t>9.2.2</w:t>
      </w:r>
      <w:proofErr w:type="gramStart"/>
      <w:r w:rsidRPr="00401FF4">
        <w:rPr>
          <w:lang w:val="en-US"/>
        </w:rPr>
        <w:t>.Closed</w:t>
      </w:r>
      <w:proofErr w:type="gramEnd"/>
      <w:r w:rsidRPr="00401FF4">
        <w:rPr>
          <w:lang w:val="en-US"/>
        </w:rPr>
        <w:t xml:space="preserve"> </w:t>
      </w:r>
      <w:proofErr w:type="spellStart"/>
      <w:r w:rsidRPr="00401FF4">
        <w:rPr>
          <w:lang w:val="en-US"/>
        </w:rPr>
        <w:t>Killbox.This</w:t>
      </w:r>
      <w:proofErr w:type="spellEnd"/>
      <w:r w:rsidRPr="00401FF4">
        <w:rPr>
          <w:lang w:val="en-US"/>
        </w:rPr>
        <w:t xml:space="preserve"> is a </w:t>
      </w:r>
      <w:proofErr w:type="spellStart"/>
      <w:r w:rsidRPr="00401FF4">
        <w:rPr>
          <w:lang w:val="en-US"/>
        </w:rPr>
        <w:t>killbox</w:t>
      </w:r>
      <w:proofErr w:type="spellEnd"/>
      <w:r w:rsidRPr="00401FF4">
        <w:rPr>
          <w:lang w:val="en-US"/>
        </w:rPr>
        <w:t xml:space="preserve"> currently not in use by anyone, and impose no restrictions on air operations. This is the default value for </w:t>
      </w:r>
      <w:proofErr w:type="spellStart"/>
      <w:r w:rsidRPr="00401FF4">
        <w:rPr>
          <w:lang w:val="en-US"/>
        </w:rPr>
        <w:t>killboxes</w:t>
      </w:r>
      <w:proofErr w:type="spellEnd"/>
      <w:r w:rsidRPr="00401FF4">
        <w:rPr>
          <w:lang w:val="en-US"/>
        </w:rPr>
        <w:t>.</w:t>
      </w:r>
    </w:p>
    <w:p w:rsidR="00401FF4" w:rsidRDefault="00401FF4" w:rsidP="00401FF4">
      <w:pPr>
        <w:pStyle w:val="Ingenmellomrom"/>
        <w:rPr>
          <w:lang w:val="en-US"/>
        </w:rPr>
      </w:pPr>
      <w:r w:rsidRPr="00401FF4">
        <w:rPr>
          <w:lang w:val="en-US"/>
        </w:rPr>
        <w:t>9.2.3</w:t>
      </w:r>
      <w:proofErr w:type="gramStart"/>
      <w:r w:rsidRPr="00401FF4">
        <w:rPr>
          <w:lang w:val="en-US"/>
        </w:rPr>
        <w:t>.Airspace.A</w:t>
      </w:r>
      <w:proofErr w:type="gramEnd"/>
      <w:r w:rsidRPr="00401FF4">
        <w:rPr>
          <w:lang w:val="en-US"/>
        </w:rPr>
        <w:t xml:space="preserve"> active </w:t>
      </w:r>
      <w:proofErr w:type="spellStart"/>
      <w:r w:rsidRPr="00401FF4">
        <w:rPr>
          <w:lang w:val="en-US"/>
        </w:rPr>
        <w:t>killbox</w:t>
      </w:r>
      <w:proofErr w:type="spellEnd"/>
      <w:r w:rsidRPr="00401FF4">
        <w:rPr>
          <w:lang w:val="en-US"/>
        </w:rPr>
        <w:t xml:space="preserve"> is active from GND and up to 15000ft AGL.9.2.4.Entry.Prior to entering an active </w:t>
      </w:r>
      <w:proofErr w:type="spellStart"/>
      <w:r w:rsidRPr="00401FF4">
        <w:rPr>
          <w:lang w:val="en-US"/>
        </w:rPr>
        <w:t>kilbox</w:t>
      </w:r>
      <w:proofErr w:type="spellEnd"/>
      <w:r w:rsidRPr="00401FF4">
        <w:rPr>
          <w:lang w:val="en-US"/>
        </w:rPr>
        <w:t>, clearance must be given by the current controlling agency (FAC(A), SCAR-C, JTAC).</w:t>
      </w:r>
    </w:p>
    <w:p w:rsidR="00401FF4" w:rsidRDefault="00401FF4" w:rsidP="00401FF4">
      <w:pPr>
        <w:pStyle w:val="Ingenmellomrom"/>
        <w:rPr>
          <w:lang w:val="en-US"/>
        </w:rPr>
      </w:pPr>
      <w:r w:rsidRPr="00401FF4">
        <w:rPr>
          <w:lang w:val="en-US"/>
        </w:rPr>
        <w:t>9.2.5</w:t>
      </w:r>
      <w:proofErr w:type="gramStart"/>
      <w:r w:rsidRPr="00401FF4">
        <w:rPr>
          <w:lang w:val="en-US"/>
        </w:rPr>
        <w:t>.Quadrants.The</w:t>
      </w:r>
      <w:proofErr w:type="gramEnd"/>
      <w:r w:rsidRPr="00401FF4">
        <w:rPr>
          <w:lang w:val="en-US"/>
        </w:rPr>
        <w:t xml:space="preserve"> </w:t>
      </w:r>
      <w:proofErr w:type="spellStart"/>
      <w:r w:rsidRPr="00401FF4">
        <w:rPr>
          <w:lang w:val="en-US"/>
        </w:rPr>
        <w:t>Killbox</w:t>
      </w:r>
      <w:proofErr w:type="spellEnd"/>
      <w:r w:rsidRPr="00401FF4">
        <w:rPr>
          <w:lang w:val="en-US"/>
        </w:rPr>
        <w:t xml:space="preserve"> can be further divided into 4 quadrants named A, B,C and D. The NORTH-WESTERN </w:t>
      </w:r>
      <w:proofErr w:type="spellStart"/>
      <w:r w:rsidRPr="00401FF4">
        <w:rPr>
          <w:lang w:val="en-US"/>
        </w:rPr>
        <w:t>cornerof</w:t>
      </w:r>
      <w:proofErr w:type="spellEnd"/>
      <w:r w:rsidRPr="00401FF4">
        <w:rPr>
          <w:lang w:val="en-US"/>
        </w:rPr>
        <w:t xml:space="preserve"> the </w:t>
      </w:r>
      <w:proofErr w:type="spellStart"/>
      <w:r w:rsidRPr="00401FF4">
        <w:rPr>
          <w:lang w:val="en-US"/>
        </w:rPr>
        <w:t>killbox</w:t>
      </w:r>
      <w:proofErr w:type="spellEnd"/>
      <w:r w:rsidRPr="00401FF4">
        <w:rPr>
          <w:lang w:val="en-US"/>
        </w:rPr>
        <w:t xml:space="preserve"> is named A, and the SOUTH EASTERN corner is named D. See Appendix B/</w:t>
      </w:r>
      <w:proofErr w:type="spellStart"/>
      <w:r w:rsidRPr="00401FF4">
        <w:rPr>
          <w:lang w:val="en-US"/>
        </w:rPr>
        <w:t>Cfor</w:t>
      </w:r>
      <w:proofErr w:type="spellEnd"/>
      <w:r w:rsidRPr="00401FF4">
        <w:rPr>
          <w:lang w:val="en-US"/>
        </w:rPr>
        <w:t xml:space="preserve"> graphical overlay.</w:t>
      </w:r>
    </w:p>
    <w:p w:rsidR="00401FF4" w:rsidRDefault="00401FF4" w:rsidP="00401FF4">
      <w:pPr>
        <w:pStyle w:val="Ingenmellomrom"/>
        <w:rPr>
          <w:lang w:val="en-US"/>
        </w:rPr>
      </w:pPr>
    </w:p>
    <w:p w:rsidR="00401FF4" w:rsidRDefault="00401FF4" w:rsidP="00401FF4">
      <w:pPr>
        <w:pStyle w:val="Ingenmellomrom"/>
        <w:rPr>
          <w:lang w:val="en-US"/>
        </w:rPr>
      </w:pPr>
    </w:p>
    <w:p w:rsidR="00401FF4" w:rsidRPr="00401FF4" w:rsidRDefault="00401FF4" w:rsidP="00401FF4">
      <w:pPr>
        <w:pStyle w:val="Ingenmellomrom"/>
        <w:rPr>
          <w:lang w:val="en-US"/>
        </w:rPr>
      </w:pPr>
      <w:proofErr w:type="gramStart"/>
      <w:r w:rsidRPr="00401FF4">
        <w:rPr>
          <w:lang w:val="en-US"/>
        </w:rPr>
        <w:t>Restricted Operating Zone (ROZ).</w:t>
      </w:r>
      <w:proofErr w:type="gramEnd"/>
      <w:r w:rsidRPr="00401FF4">
        <w:rPr>
          <w:lang w:val="en-US"/>
        </w:rPr>
        <w:t xml:space="preserve"> ROZ are a temporarily airspace zone established for a specific mission. ROZ can be used to facilitate SCAR, CAS or any other mission. As with </w:t>
      </w:r>
      <w:proofErr w:type="spellStart"/>
      <w:r w:rsidRPr="00401FF4">
        <w:rPr>
          <w:lang w:val="en-US"/>
        </w:rPr>
        <w:t>Killbox</w:t>
      </w:r>
      <w:proofErr w:type="spellEnd"/>
      <w:r w:rsidRPr="00401FF4">
        <w:rPr>
          <w:lang w:val="en-US"/>
        </w:rPr>
        <w:t xml:space="preserve">, a ROZ have a owner that control that ROZ, and to enter the ROZ one need to establish </w:t>
      </w:r>
      <w:proofErr w:type="spellStart"/>
      <w:r w:rsidRPr="00401FF4">
        <w:rPr>
          <w:lang w:val="en-US"/>
        </w:rPr>
        <w:t>comms</w:t>
      </w:r>
      <w:proofErr w:type="spellEnd"/>
      <w:r w:rsidRPr="00401FF4">
        <w:rPr>
          <w:lang w:val="en-US"/>
        </w:rPr>
        <w:t xml:space="preserve"> with the current controlling agency (</w:t>
      </w:r>
      <w:proofErr w:type="gramStart"/>
      <w:r w:rsidRPr="00401FF4">
        <w:rPr>
          <w:lang w:val="en-US"/>
        </w:rPr>
        <w:t>FAC(</w:t>
      </w:r>
      <w:proofErr w:type="gramEnd"/>
      <w:r w:rsidRPr="00401FF4">
        <w:rPr>
          <w:lang w:val="en-US"/>
        </w:rPr>
        <w:t>A), SCAR-C, Flight, JTAC, AWACS).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Pr="00401FF4" w:rsidRDefault="00401FF4" w:rsidP="00401FF4">
      <w:pPr>
        <w:pStyle w:val="Ingenmellomrom"/>
        <w:rPr>
          <w:lang w:val="en-US"/>
        </w:rPr>
      </w:pPr>
      <w:proofErr w:type="gramStart"/>
      <w:r w:rsidRPr="00401FF4">
        <w:rPr>
          <w:lang w:val="en-US"/>
        </w:rPr>
        <w:t>Altimeter settings.</w:t>
      </w:r>
      <w:proofErr w:type="gramEnd"/>
      <w:r w:rsidRPr="00401FF4">
        <w:rPr>
          <w:lang w:val="en-US"/>
        </w:rPr>
        <w:t xml:space="preserve"> QNH is the altimeter pressure setting to be used by all aircrafts.</w:t>
      </w:r>
    </w:p>
    <w:p w:rsidR="00401FF4" w:rsidRDefault="00401FF4" w:rsidP="00401FF4">
      <w:pPr>
        <w:pStyle w:val="Ingenmellomrom"/>
        <w:rPr>
          <w:lang w:val="en-US"/>
        </w:rPr>
      </w:pPr>
    </w:p>
    <w:p w:rsidR="00401FF4" w:rsidRDefault="00401FF4" w:rsidP="00401FF4">
      <w:pPr>
        <w:pStyle w:val="Ingenmellomrom"/>
        <w:rPr>
          <w:lang w:val="en-US"/>
        </w:rPr>
      </w:pPr>
      <w:proofErr w:type="gramStart"/>
      <w:r w:rsidRPr="00401FF4">
        <w:rPr>
          <w:lang w:val="en-US"/>
        </w:rPr>
        <w:t>Standard Pressure Settings (SPS).</w:t>
      </w:r>
      <w:proofErr w:type="gramEnd"/>
      <w:r w:rsidRPr="00401FF4">
        <w:rPr>
          <w:lang w:val="en-US"/>
        </w:rPr>
        <w:t xml:space="preserve"> For operations in 132nd Virtual Wing hosted events we use standard pressure setting at altitudes above 5000ft AMSL. When climbing above 5000ft, switch to standard pressure setting (29.92). Altitudes will be given as flight </w:t>
      </w:r>
      <w:proofErr w:type="gramStart"/>
      <w:r w:rsidRPr="00401FF4">
        <w:rPr>
          <w:lang w:val="en-US"/>
        </w:rPr>
        <w:t>levels(</w:t>
      </w:r>
      <w:proofErr w:type="gramEnd"/>
      <w:r w:rsidRPr="00401FF4">
        <w:rPr>
          <w:lang w:val="en-US"/>
        </w:rPr>
        <w:t>FL)when operating on SPS. When descending below FL050, switch back to local QNH as given by TWR</w:t>
      </w:r>
    </w:p>
    <w:p w:rsidR="00401FF4" w:rsidRDefault="00401FF4" w:rsidP="00401FF4">
      <w:pPr>
        <w:pStyle w:val="Ingenmellomrom"/>
        <w:rPr>
          <w:lang w:val="en-US"/>
        </w:rPr>
      </w:pPr>
    </w:p>
    <w:p w:rsidR="00401FF4" w:rsidRPr="00401FF4" w:rsidRDefault="00401FF4" w:rsidP="00401FF4">
      <w:pPr>
        <w:pStyle w:val="Ingenmellomrom"/>
        <w:rPr>
          <w:lang w:val="en-US"/>
        </w:rPr>
      </w:pPr>
      <w:r w:rsidRPr="00401FF4">
        <w:rPr>
          <w:lang w:val="en-US"/>
        </w:rPr>
        <w:lastRenderedPageBreak/>
        <w:t xml:space="preserve">Force QNH. Any C2 agency (including </w:t>
      </w:r>
      <w:proofErr w:type="gramStart"/>
      <w:r w:rsidRPr="00401FF4">
        <w:rPr>
          <w:lang w:val="en-US"/>
        </w:rPr>
        <w:t>FAC(</w:t>
      </w:r>
      <w:proofErr w:type="gramEnd"/>
      <w:r w:rsidRPr="00401FF4">
        <w:rPr>
          <w:lang w:val="en-US"/>
        </w:rPr>
        <w:t xml:space="preserve">A) and SCAR-C can establish a force QNH within his area of responsibility. This in-order to avoid </w:t>
      </w:r>
      <w:proofErr w:type="spellStart"/>
      <w:r w:rsidRPr="00401FF4">
        <w:rPr>
          <w:lang w:val="en-US"/>
        </w:rPr>
        <w:t>unnecessaryQNH</w:t>
      </w:r>
      <w:proofErr w:type="spellEnd"/>
      <w:r w:rsidRPr="00401FF4">
        <w:rPr>
          <w:lang w:val="en-US"/>
        </w:rPr>
        <w:t xml:space="preserve"> </w:t>
      </w:r>
      <w:proofErr w:type="spellStart"/>
      <w:r w:rsidRPr="00401FF4">
        <w:rPr>
          <w:lang w:val="en-US"/>
        </w:rPr>
        <w:t>changes.When</w:t>
      </w:r>
      <w:proofErr w:type="spellEnd"/>
      <w:r w:rsidRPr="00401FF4">
        <w:rPr>
          <w:lang w:val="en-US"/>
        </w:rPr>
        <w:t xml:space="preserve"> operating on force QNH, the C2 agency need to make sure all assets are briefed on the QNH in use prior to entering the area.</w:t>
      </w:r>
    </w:p>
    <w:sectPr w:rsidR="00401FF4" w:rsidRPr="00401FF4"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E03" w:rsidRDefault="00395E03" w:rsidP="00465966">
      <w:pPr>
        <w:spacing w:after="0" w:line="240" w:lineRule="auto"/>
      </w:pPr>
      <w:r>
        <w:separator/>
      </w:r>
    </w:p>
  </w:endnote>
  <w:endnote w:type="continuationSeparator" w:id="0">
    <w:p w:rsidR="00395E03" w:rsidRDefault="00395E0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753AD3">
    <w:pPr>
      <w:pStyle w:val="Bunntekst"/>
      <w:jc w:val="center"/>
      <w:rPr>
        <w:sz w:val="16"/>
        <w:lang w:val="en-US"/>
      </w:rPr>
    </w:pPr>
    <w:r w:rsidRPr="008275B5">
      <w:rPr>
        <w:b/>
        <w:bCs/>
        <w:sz w:val="16"/>
        <w:lang w:val="en-US"/>
      </w:rPr>
      <w:t>DISCLAIMER:</w:t>
    </w:r>
  </w:p>
  <w:p w:rsidR="00401FF4" w:rsidRPr="008275B5" w:rsidRDefault="00401FF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01FF4" w:rsidRPr="008275B5" w:rsidRDefault="00401FF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E03" w:rsidRDefault="00395E03" w:rsidP="00465966">
      <w:pPr>
        <w:spacing w:after="0" w:line="240" w:lineRule="auto"/>
      </w:pPr>
      <w:r>
        <w:separator/>
      </w:r>
    </w:p>
  </w:footnote>
  <w:footnote w:type="continuationSeparator" w:id="0">
    <w:p w:rsidR="00395E03" w:rsidRDefault="00395E03"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863CD0">
    <w:pPr>
      <w:pStyle w:val="Topptekst"/>
      <w:rPr>
        <w:sz w:val="18"/>
        <w:szCs w:val="30"/>
        <w:lang w:val="en-US"/>
      </w:rPr>
    </w:pPr>
    <w:r>
      <w:tab/>
    </w:r>
    <w:r>
      <w:tab/>
    </w:r>
    <w:r w:rsidRPr="008275B5">
      <w:rPr>
        <w:sz w:val="18"/>
        <w:szCs w:val="30"/>
        <w:lang w:val="en-US"/>
      </w:rPr>
      <w:t>JFACC</w:t>
    </w:r>
  </w:p>
  <w:p w:rsidR="00401FF4" w:rsidRPr="008275B5" w:rsidRDefault="00401FF4" w:rsidP="00465966">
    <w:pPr>
      <w:pStyle w:val="Topptekst"/>
      <w:jc w:val="right"/>
      <w:rPr>
        <w:sz w:val="18"/>
        <w:szCs w:val="30"/>
        <w:lang w:val="en-US"/>
      </w:rPr>
    </w:pPr>
    <w:r w:rsidRPr="008275B5">
      <w:rPr>
        <w:sz w:val="18"/>
        <w:szCs w:val="30"/>
        <w:lang w:val="en-US"/>
      </w:rPr>
      <w:t xml:space="preserve"> OP ACTIVE RESOLVE </w:t>
    </w:r>
  </w:p>
  <w:p w:rsidR="00401FF4" w:rsidRPr="008275B5" w:rsidRDefault="00401FF4" w:rsidP="00465966">
    <w:pPr>
      <w:pStyle w:val="Topptekst"/>
      <w:jc w:val="right"/>
      <w:rPr>
        <w:sz w:val="18"/>
        <w:szCs w:val="30"/>
        <w:lang w:val="en-US"/>
      </w:rPr>
    </w:pPr>
    <w:r>
      <w:rPr>
        <w:sz w:val="18"/>
        <w:szCs w:val="30"/>
        <w:lang w:val="en-US"/>
      </w:rPr>
      <w:t>SPINS</w:t>
    </w:r>
  </w:p>
  <w:p w:rsidR="00401FF4" w:rsidRPr="008275B5" w:rsidRDefault="00401FF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5298"/>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B7B70"/>
    <w:rsid w:val="000C2807"/>
    <w:rsid w:val="000C2DE1"/>
    <w:rsid w:val="000E081B"/>
    <w:rsid w:val="000F1505"/>
    <w:rsid w:val="000F6997"/>
    <w:rsid w:val="000F7526"/>
    <w:rsid w:val="00104BC9"/>
    <w:rsid w:val="00133A97"/>
    <w:rsid w:val="00137685"/>
    <w:rsid w:val="001730C6"/>
    <w:rsid w:val="0017604D"/>
    <w:rsid w:val="001A6540"/>
    <w:rsid w:val="001B0B38"/>
    <w:rsid w:val="001B79F2"/>
    <w:rsid w:val="001C307F"/>
    <w:rsid w:val="001C37CB"/>
    <w:rsid w:val="001E22C5"/>
    <w:rsid w:val="002146F6"/>
    <w:rsid w:val="00216944"/>
    <w:rsid w:val="00222BA4"/>
    <w:rsid w:val="00237DA9"/>
    <w:rsid w:val="00275099"/>
    <w:rsid w:val="002F5D69"/>
    <w:rsid w:val="00343D16"/>
    <w:rsid w:val="003553B0"/>
    <w:rsid w:val="00395E03"/>
    <w:rsid w:val="003C035E"/>
    <w:rsid w:val="003D487A"/>
    <w:rsid w:val="003F1572"/>
    <w:rsid w:val="00401FF4"/>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9231F8"/>
    <w:rsid w:val="00950D9B"/>
    <w:rsid w:val="009527FF"/>
    <w:rsid w:val="00971426"/>
    <w:rsid w:val="009D73F8"/>
    <w:rsid w:val="009D78DE"/>
    <w:rsid w:val="009F08B6"/>
    <w:rsid w:val="00B13063"/>
    <w:rsid w:val="00B14BDB"/>
    <w:rsid w:val="00B26D93"/>
    <w:rsid w:val="00B43144"/>
    <w:rsid w:val="00B6217E"/>
    <w:rsid w:val="00B64EA9"/>
    <w:rsid w:val="00B822B4"/>
    <w:rsid w:val="00BB549A"/>
    <w:rsid w:val="00BE0B57"/>
    <w:rsid w:val="00C10CD8"/>
    <w:rsid w:val="00C1173E"/>
    <w:rsid w:val="00C21D7E"/>
    <w:rsid w:val="00C30FF9"/>
    <w:rsid w:val="00C3574A"/>
    <w:rsid w:val="00C82AB4"/>
    <w:rsid w:val="00C91188"/>
    <w:rsid w:val="00CD2827"/>
    <w:rsid w:val="00CD4C7B"/>
    <w:rsid w:val="00CE043F"/>
    <w:rsid w:val="00CE203F"/>
    <w:rsid w:val="00D12A41"/>
    <w:rsid w:val="00D212FA"/>
    <w:rsid w:val="00D3024F"/>
    <w:rsid w:val="00D85852"/>
    <w:rsid w:val="00DB5A55"/>
    <w:rsid w:val="00E04374"/>
    <w:rsid w:val="00E06754"/>
    <w:rsid w:val="00E231DA"/>
    <w:rsid w:val="00E23880"/>
    <w:rsid w:val="00E559B2"/>
    <w:rsid w:val="00E675D6"/>
    <w:rsid w:val="00E75D4E"/>
    <w:rsid w:val="00EA40A5"/>
    <w:rsid w:val="00EA64D3"/>
    <w:rsid w:val="00EC4236"/>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74BD-7AF0-4E9B-8EDC-4C48427F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12</Pages>
  <Words>2861</Words>
  <Characters>15165</Characters>
  <Application>Microsoft Office Word</Application>
  <DocSecurity>0</DocSecurity>
  <Lines>126</Lines>
  <Paragraphs>35</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20</cp:revision>
  <dcterms:created xsi:type="dcterms:W3CDTF">2020-08-25T20:50:00Z</dcterms:created>
  <dcterms:modified xsi:type="dcterms:W3CDTF">2020-09-11T17:50:00Z</dcterms:modified>
</cp:coreProperties>
</file>