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w:t>
      </w:r>
      <w:r w:rsidR="004C2067">
        <w:rPr>
          <w:lang w:val="en-US"/>
        </w:rPr>
        <w:lastRenderedPageBreak/>
        <w:t xml:space="preserve">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Pr="002B558D"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w:t>
      </w:r>
      <w:r w:rsidR="005060B9">
        <w:rPr>
          <w:lang w:val="en-US"/>
        </w:rPr>
        <w:lastRenderedPageBreak/>
        <w:t xml:space="preserve">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184160" w:rsidRDefault="00184160" w:rsidP="00184160">
      <w:pPr>
        <w:pStyle w:val="Ingenmellomrom"/>
        <w:rPr>
          <w:lang w:val="en-US"/>
        </w:rPr>
      </w:pPr>
    </w:p>
    <w:p w:rsidR="00D80AFA" w:rsidRDefault="00637748" w:rsidP="00D80AFA">
      <w:pPr>
        <w:pStyle w:val="Overskrift2"/>
        <w:rPr>
          <w:lang w:val="en-US"/>
        </w:rPr>
      </w:pPr>
      <w:r>
        <w:rPr>
          <w:lang w:val="en-US"/>
        </w:rPr>
        <w:t>Notian</w:t>
      </w:r>
      <w:r w:rsidR="0031581F">
        <w:rPr>
          <w:lang w:val="en-US"/>
        </w:rPr>
        <w:t xml:space="preserve"> </w:t>
      </w:r>
      <w:r w:rsidR="00D80AFA">
        <w:rPr>
          <w:lang w:val="en-US"/>
        </w:rPr>
        <w:t>Air</w:t>
      </w:r>
      <w:r w:rsidR="0031581F">
        <w:rPr>
          <w:lang w:val="en-US"/>
        </w:rPr>
        <w:t>force</w:t>
      </w:r>
    </w:p>
    <w:p w:rsidR="00184160" w:rsidRDefault="00184160" w:rsidP="00184160">
      <w:pPr>
        <w:rPr>
          <w:lang w:val="en-US"/>
        </w:rPr>
      </w:pPr>
    </w:p>
    <w:p w:rsidR="00B51ACA" w:rsidRPr="0031581F" w:rsidRDefault="00637748" w:rsidP="00B51ACA">
      <w:pPr>
        <w:pStyle w:val="Overskrift2"/>
        <w:rPr>
          <w:lang w:val="en-US"/>
        </w:rPr>
      </w:pPr>
      <w:r>
        <w:rPr>
          <w:lang w:val="en-US"/>
        </w:rPr>
        <w:t>Notian</w:t>
      </w:r>
      <w:r w:rsidR="0031581F">
        <w:rPr>
          <w:lang w:val="en-US"/>
        </w:rPr>
        <w:t xml:space="preserve"> Navy</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Pr="00AE183D" w:rsidRDefault="0031581F" w:rsidP="00DA6E20">
      <w:pPr>
        <w:pStyle w:val="Ingenmellomrom"/>
        <w:rPr>
          <w:lang w:val="en-US"/>
        </w:rPr>
      </w:pPr>
      <w:bookmarkStart w:id="0" w:name="_Al_Safira_Military"/>
      <w:bookmarkEnd w:id="0"/>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lastRenderedPageBreak/>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lastRenderedPageBreak/>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F1330B" w:rsidRDefault="00F1330B" w:rsidP="00F1330B">
      <w:pPr>
        <w:pStyle w:val="Ingenmellomrom"/>
        <w:rPr>
          <w:lang w:val="en-US"/>
        </w:rPr>
      </w:pP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lastRenderedPageBreak/>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Pr>
          <w:lang w:val="en-US"/>
        </w:rPr>
        <w:t xml:space="preserve"> Army</w:t>
      </w: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w:t>
      </w:r>
      <w:r>
        <w:rPr>
          <w:lang w:val="en-US"/>
        </w:rPr>
        <w:lastRenderedPageBreak/>
        <w:t xml:space="preserve">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501382" w:rsidRPr="00D96DFB" w:rsidRDefault="00501382" w:rsidP="00DA6E20">
      <w:pPr>
        <w:pStyle w:val="Overskrift3"/>
        <w:rPr>
          <w:lang w:val="en-US"/>
        </w:rPr>
      </w:pPr>
      <w:r w:rsidRPr="00D96DFB">
        <w:rPr>
          <w:lang w:val="en-US"/>
        </w:rPr>
        <w:t>Aircraft and aircraft parts factories</w:t>
      </w:r>
    </w:p>
    <w:p w:rsidR="009023F3" w:rsidRDefault="00542B25" w:rsidP="009023F3">
      <w:pPr>
        <w:pStyle w:val="Overskrift3"/>
        <w:rPr>
          <w:lang w:val="en-US"/>
        </w:rPr>
      </w:pPr>
      <w:r>
        <w:rPr>
          <w:lang w:val="en-US"/>
        </w:rPr>
        <w:t>Munition Factories - Shells</w:t>
      </w:r>
    </w:p>
    <w:p w:rsidR="00542B25" w:rsidRDefault="00542B25" w:rsidP="009023F3">
      <w:pPr>
        <w:pStyle w:val="Overskrift3"/>
        <w:rPr>
          <w:lang w:val="en-US"/>
        </w:rPr>
      </w:pPr>
      <w:r>
        <w:rPr>
          <w:lang w:val="en-US"/>
        </w:rPr>
        <w:t>Munition Factories - Rockets</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685F43" w:rsidRDefault="00685F43" w:rsidP="00685F43">
      <w:pPr>
        <w:pStyle w:val="Overskrift3"/>
        <w:rPr>
          <w:lang w:val="en-US"/>
        </w:rPr>
      </w:pPr>
      <w:r>
        <w:rPr>
          <w:lang w:val="en-US"/>
        </w:rPr>
        <w:t>Uranium enrichment centrifuges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 xml:space="preserve">The </w:t>
      </w:r>
      <w:r w:rsidR="009F2DA7">
        <w:rPr>
          <w:lang w:val="en-US"/>
        </w:rPr>
        <w:t>Supreme Council</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w:t>
      </w:r>
      <w:r w:rsidR="009F2DA7">
        <w:rPr>
          <w:lang w:val="en-US"/>
        </w:rPr>
        <w:t xml:space="preserve"> </w:t>
      </w:r>
      <w:r w:rsidRPr="00F94518">
        <w:rPr>
          <w:lang w:val="en-US"/>
        </w:rPr>
        <w:t xml:space="preserve">essentially a war cabinet with oversight of the political, diplomatic, and economic aspects of the nation at war, as well </w:t>
      </w:r>
      <w:r w:rsidRPr="00F94518">
        <w:rPr>
          <w:lang w:val="en-US"/>
        </w:rPr>
        <w:lastRenderedPageBreak/>
        <w:t>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B17" w:rsidRDefault="002C2B17" w:rsidP="00465966">
      <w:pPr>
        <w:spacing w:after="0" w:line="240" w:lineRule="auto"/>
      </w:pPr>
      <w:r>
        <w:separator/>
      </w:r>
    </w:p>
  </w:endnote>
  <w:endnote w:type="continuationSeparator" w:id="1">
    <w:p w:rsidR="002C2B17" w:rsidRDefault="002C2B1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B17" w:rsidRDefault="002C2B17" w:rsidP="00465966">
      <w:pPr>
        <w:spacing w:after="0" w:line="240" w:lineRule="auto"/>
      </w:pPr>
      <w:r>
        <w:separator/>
      </w:r>
    </w:p>
  </w:footnote>
  <w:footnote w:type="continuationSeparator" w:id="1">
    <w:p w:rsidR="002C2B17" w:rsidRDefault="002C2B17" w:rsidP="00465966">
      <w:pPr>
        <w:spacing w:after="0" w:line="240" w:lineRule="auto"/>
      </w:pPr>
      <w:r>
        <w:continuationSeparator/>
      </w:r>
    </w:p>
  </w:footnote>
  <w:footnote w:id="2">
    <w:p w:rsidR="00733CA8" w:rsidRDefault="00733CA8">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D5CEF"/>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37748"/>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33CA8"/>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7AF"/>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3619"/>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s>
</file>

<file path=word/webSettings.xml><?xml version="1.0" encoding="utf-8"?>
<w:webSettings xmlns:r="http://schemas.openxmlformats.org/officeDocument/2006/relationships" xmlns:w="http://schemas.openxmlformats.org/wordprocessingml/2006/main">
  <w:divs>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3355</Words>
  <Characters>17787</Characters>
  <Application>Microsoft Office Word</Application>
  <DocSecurity>0</DocSecurity>
  <Lines>148</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8</cp:revision>
  <dcterms:created xsi:type="dcterms:W3CDTF">2022-09-09T14:24:00Z</dcterms:created>
  <dcterms:modified xsi:type="dcterms:W3CDTF">2024-12-26T23:46:00Z</dcterms:modified>
</cp:coreProperties>
</file>