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A2" w:rsidRDefault="00B63EA6" w:rsidP="00217028">
      <w:pPr>
        <w:pStyle w:val="Title"/>
        <w:outlineLvl w:val="0"/>
      </w:pPr>
      <w:bookmarkStart w:id="0" w:name="_Toc359077851"/>
      <w:bookmarkStart w:id="1" w:name="OLE_LINK1"/>
      <w:bookmarkStart w:id="2" w:name="OLE_LINK2"/>
      <w:r>
        <w:t>Demonstration of DOCX support in calibre</w:t>
      </w:r>
      <w:bookmarkEnd w:id="0"/>
    </w:p>
    <w:bookmarkEnd w:id="1"/>
    <w:bookmarkEnd w:id="2"/>
    <w:p w:rsidR="00B63EA6" w:rsidRDefault="00B63EA6" w:rsidP="00230C50">
      <w:r>
        <w:t xml:space="preserve">This document demonstrates the ability of the calibre DOCX Input plugin to convert the various typographic features in a Microsoft Word (2007 and newer) document. Convert this document to a modern ebook format, such as AZW3 for Kindles or EPUB for other ebook readers, to </w:t>
      </w:r>
      <w:bookmarkStart w:id="3" w:name="_GoBack"/>
      <w:bookmarkEnd w:id="3"/>
      <w:r>
        <w:t>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4" w:name="_Toc359077852"/>
      <w:r>
        <w:lastRenderedPageBreak/>
        <w:t>Text Formatting</w:t>
      </w:r>
      <w:bookmarkEnd w:id="4"/>
    </w:p>
    <w:p w:rsidR="00386659" w:rsidRDefault="00753CF0" w:rsidP="00753CF0">
      <w:pPr>
        <w:pStyle w:val="Heading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7" w:name="_Paragraph_level_formatting"/>
      <w:bookmarkStart w:id="8" w:name="_Toc359077855"/>
      <w:bookmarkEnd w:id="7"/>
      <w:r>
        <w:rPr>
          <w:rStyle w:val="IntenseEmphasis"/>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9" w:name="_Toc359077856"/>
      <w:r>
        <w:lastRenderedPageBreak/>
        <w:t>Tables</w:t>
      </w:r>
      <w:bookmarkEnd w:id="9"/>
    </w:p>
    <w:tbl>
      <w:tblPr>
        <w:tblStyle w:val="LightList-Accent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leGrid"/>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1" w:name="_Toc359077858"/>
      <w:r>
        <w:t>Footnotes &amp; Endnotes</w:t>
      </w:r>
      <w:bookmarkEnd w:id="11"/>
    </w:p>
    <w:p w:rsidR="00E7307D" w:rsidRDefault="00E7307D" w:rsidP="00E7307D">
      <w:r>
        <w:t>Footnotes</w:t>
      </w:r>
      <w:r>
        <w:rPr>
          <w:rStyle w:val="FootnoteReference"/>
        </w:rPr>
        <w:footnoteReference w:id="1"/>
      </w:r>
      <w:r>
        <w:t xml:space="preserve"> and endnotes</w:t>
      </w:r>
      <w:r>
        <w:rPr>
          <w:rStyle w:val="EndnoteReference"/>
        </w:rPr>
        <w:endnoteReference w:id="1"/>
      </w:r>
      <w:r>
        <w:t xml:space="preserve"> are automatically recognized and both are converted to endnotes, with backlinks for maximum ease of use in ebook devices.</w:t>
      </w:r>
    </w:p>
    <w:p w:rsidR="004C7966" w:rsidRDefault="004C7966" w:rsidP="004C7966">
      <w:pPr>
        <w:pStyle w:val="Heading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B92418">
      <w:pPr>
        <w:pStyle w:val="TOC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2</w:t>
        </w:r>
        <w:r w:rsidR="00936DB5" w:rsidRPr="00747584">
          <w:rPr>
            <w:noProof/>
            <w:webHidden/>
            <w:sz w:val="24"/>
            <w:szCs w:val="24"/>
          </w:rPr>
          <w:fldChar w:fldCharType="end"/>
        </w:r>
      </w:hyperlink>
    </w:p>
    <w:p w:rsidR="00936DB5" w:rsidRPr="00747584" w:rsidRDefault="00B92418">
      <w:pPr>
        <w:pStyle w:val="TOC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3</w:t>
        </w:r>
        <w:r w:rsidR="00936DB5" w:rsidRPr="00747584">
          <w:rPr>
            <w:noProof/>
            <w:webHidden/>
            <w:sz w:val="24"/>
            <w:szCs w:val="24"/>
          </w:rPr>
          <w:fldChar w:fldCharType="end"/>
        </w:r>
      </w:hyperlink>
    </w:p>
    <w:p w:rsidR="00936DB5" w:rsidRPr="00747584" w:rsidRDefault="00B92418">
      <w:pPr>
        <w:pStyle w:val="TOC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5</w:t>
        </w:r>
        <w:r w:rsidR="00936DB5" w:rsidRPr="00747584">
          <w:rPr>
            <w:noProof/>
            <w:webHidden/>
            <w:sz w:val="24"/>
            <w:szCs w:val="24"/>
          </w:rPr>
          <w:fldChar w:fldCharType="end"/>
        </w:r>
      </w:hyperlink>
    </w:p>
    <w:p w:rsidR="00936DB5" w:rsidRPr="00747584" w:rsidRDefault="00B92418">
      <w:pPr>
        <w:pStyle w:val="TOC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7</w:t>
        </w:r>
        <w:r w:rsidR="00936DB5" w:rsidRPr="00747584">
          <w:rPr>
            <w:noProof/>
            <w:webHidden/>
            <w:sz w:val="24"/>
            <w:szCs w:val="24"/>
          </w:rPr>
          <w:fldChar w:fldCharType="end"/>
        </w:r>
      </w:hyperlink>
    </w:p>
    <w:p w:rsidR="00936DB5" w:rsidRPr="00747584" w:rsidRDefault="00B92418">
      <w:pPr>
        <w:pStyle w:val="TOC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Pr="00747584" w:rsidRDefault="00B92418">
      <w:pPr>
        <w:pStyle w:val="TOC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936DB5" w:rsidRDefault="00B92418">
      <w:pPr>
        <w:pStyle w:val="TOC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sidR="00936DB5" w:rsidRPr="00747584">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ru-RU" w:eastAsia="ru-RU"/>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ru-RU" w:eastAsia="ru-RU"/>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ru-RU" w:eastAsia="ru-RU"/>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ru-RU" w:eastAsia="ru-RU"/>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7" w:name="_Toc359077864"/>
      <w:r>
        <w:t>Bulleted List</w:t>
      </w:r>
      <w:bookmarkEnd w:id="17"/>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8" w:name="_Toc359077865"/>
      <w:r>
        <w:t>Numbered List</w:t>
      </w:r>
      <w:bookmarkEnd w:id="18"/>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9" w:name="_Toc359077866"/>
      <w:r>
        <w:t>Multi-level List</w:t>
      </w:r>
      <w:r w:rsidR="00C65C40">
        <w:t>s</w:t>
      </w:r>
      <w:bookmarkEnd w:id="19"/>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20" w:name="_Toc359077867"/>
      <w:r>
        <w:t>Continued Lists</w:t>
      </w:r>
      <w:bookmarkEnd w:id="20"/>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418" w:rsidRDefault="00B92418" w:rsidP="00E7307D">
      <w:pPr>
        <w:spacing w:line="240" w:lineRule="auto"/>
      </w:pPr>
      <w:r>
        <w:separator/>
      </w:r>
    </w:p>
  </w:endnote>
  <w:endnote w:type="continuationSeparator" w:id="0">
    <w:p w:rsidR="00B92418" w:rsidRDefault="00B92418" w:rsidP="00E7307D">
      <w:pPr>
        <w:spacing w:line="240" w:lineRule="auto"/>
      </w:pPr>
      <w:r>
        <w:continuationSeparator/>
      </w:r>
    </w:p>
  </w:endnote>
  <w:endnote w:id="1">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CB7BC03B-D442-41D4-A3A5-776C85DB6EB3}"/>
    <w:embedBold r:id="rId2" w:fontKey="{EFFFADEB-DF0B-457E-B247-5413BF6852B6}"/>
    <w:embedItalic r:id="rId3" w:fontKey="{B6705065-604A-439F-84BA-FAB1165845B7}"/>
    <w:embedBoldItalic r:id="rId4" w:fontKey="{4D422FEC-DA0F-47CC-9D8C-B8BA54CCA22E}"/>
  </w:font>
  <w:font w:name="Tahoma">
    <w:panose1 w:val="020B0604030504040204"/>
    <w:charset w:val="00"/>
    <w:family w:val="swiss"/>
    <w:pitch w:val="variable"/>
    <w:sig w:usb0="E1002EFF" w:usb1="C000605B" w:usb2="00000029" w:usb3="00000000" w:csb0="000101FF" w:csb1="00000000"/>
    <w:embedRegular r:id="rId5" w:fontKey="{9C66E9BD-4C59-44B3-B239-F2D16DDD4EB4}"/>
  </w:font>
  <w:font w:name="Ubuntu Mono">
    <w:charset w:val="00"/>
    <w:family w:val="modern"/>
    <w:pitch w:val="fixed"/>
    <w:sig w:usb0="E00002FF" w:usb1="5000205B" w:usb2="00000000" w:usb3="00000000" w:csb0="0000009F" w:csb1="00000000"/>
    <w:embedRegular r:id="rId6" w:fontKey="{FA87EB03-B555-4280-9530-6FF12DF51DDA}"/>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418" w:rsidRDefault="00B92418" w:rsidP="00E7307D">
      <w:pPr>
        <w:spacing w:line="240" w:lineRule="auto"/>
      </w:pPr>
      <w:r>
        <w:separator/>
      </w:r>
    </w:p>
  </w:footnote>
  <w:footnote w:type="continuationSeparator" w:id="0">
    <w:p w:rsidR="00B92418" w:rsidRDefault="00B92418" w:rsidP="00E7307D">
      <w:pPr>
        <w:spacing w:line="240" w:lineRule="auto"/>
      </w:pPr>
      <w:r>
        <w:continuationSeparator/>
      </w:r>
    </w:p>
  </w:footnote>
  <w:footnote w:id="1">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5009"/>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92418"/>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F715CB-73BD-4DB4-A933-4924E04FF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883431-6C72-48A2-827E-A0081B94C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1516</Words>
  <Characters>8646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Alena Kurenkova</cp:lastModifiedBy>
  <cp:revision>2</cp:revision>
  <dcterms:created xsi:type="dcterms:W3CDTF">2014-05-12T13:49:00Z</dcterms:created>
  <dcterms:modified xsi:type="dcterms:W3CDTF">2014-05-12T13:49:00Z</dcterms:modified>
</cp:coreProperties>
</file>