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旧飞鹅填埋场开挖综合治理</w:t>
      </w:r>
    </w:p>
    <w:p>
      <w:pPr>
        <w:pStyle w:val="Heading1"/>
      </w:pPr>
      <w:r>
        <w:t>镇领导汇报 · 逐页讲解备注</w:t>
      </w:r>
    </w:p>
    <w:p>
      <w:r>
        <w:t>2026年10月10日｜25页PPT，22页正文＋3页附录。建议正文12—15分钟；备注用于备讲和答问，无须逐字宣读。</w:t>
      </w:r>
    </w:p>
    <w:p>
      <w:r>
        <w:t>核心建议：治理有必要，尽快启动调查论证和现状风险保障；规模开挖以空间合规、污染可控、全部产物可接收和资金闭合为条件。前期调查等800万元为暂列，按成果释放。</w:t>
      </w:r>
    </w:p>
    <w:p>
      <w:pPr>
        <w:pStyle w:val="Heading1"/>
      </w:pPr>
      <w:r>
        <w:t>01｜旧飞鹅垃圾填埋场开挖综合治理</w:t>
      </w:r>
    </w:p>
    <w:p>
      <w:r>
        <w:t>讲解提示：</w:t>
        <w:br/>
        <w:t>用一句话说明本轮建议：立即做前期和风险保障，规模工程待四项条件齐备后再决定。整个汇报围绕问题、方案、钱、风险和本轮决策五条线展开，正文建议12—15分钟，附录用于问答。</w:t>
      </w:r>
    </w:p>
    <w:p>
      <w:r>
        <w:t>依据与核验：</w:t>
        <w:br/>
        <w:t>可研领导摘要及第15章。报告由已读取八份附件及独立测算形成；玉龙官方投资与进展尚待核验。</w:t>
      </w:r>
    </w:p>
    <w:p>
      <w:pPr>
        <w:pStyle w:val="Heading1"/>
      </w:pPr>
      <w:r>
        <w:t>02｜治理应尽快谋划，规模开挖须具备四项条件</w:t>
      </w:r>
    </w:p>
    <w:p>
      <w:r>
        <w:t>讲解提示：</w:t>
        <w:br/>
        <w:t>数字均来自概念阶段模型。10.87亿元是新增治理投资；20.80亿元是含两个产业方向的一体化筹资需求。约60个月是工程组织建议，不是合同承诺。0.41是70%贷款方案稳态DSCR，显示还款能力不足。四项条件须同时成立。</w:t>
      </w:r>
    </w:p>
    <w:p>
      <w:r>
        <w:t>依据与核验：</w:t>
        <w:br/>
        <w:t>可研摘要、第5、10、11、14章；模型base_environment.total、finance.dscr。</w:t>
      </w:r>
    </w:p>
    <w:p>
      <w:pPr>
        <w:pStyle w:val="Heading1"/>
      </w:pPr>
      <w:r>
        <w:t>03｜封场已有成果，后续产污与运维责任仍在</w:t>
      </w:r>
    </w:p>
    <w:p>
      <w:r>
        <w:t>讲解提示：</w:t>
        <w:br/>
        <w:t>S1记载1996年投用、2019年7月1日封场，2019年整改和销号验收有具体日期线索。不能否定过去成果，也不能据达标描述认定地下水从未受影响。日均水量170吨、浓缩液20吨、常规处理180吨均为资料线索，须核对当前台账。当前日期2026年10月10日，到资料所列年末合同到期不足三个月，应立即核对是否已续签，防止出现运行空档。</w:t>
      </w:r>
    </w:p>
    <w:p>
      <w:r>
        <w:t>依据与核验：</w:t>
        <w:br/>
        <w:t>S1第1页封场；第2—3页设施、170吨/日、180/300吨/日、115元/吨和合同期限；第3—4页浓缩液。</w:t>
      </w:r>
    </w:p>
    <w:p>
      <w:pPr>
        <w:pStyle w:val="Heading1"/>
      </w:pPr>
      <w:r>
        <w:t>04｜必要性在于减源控险，急迫性在于先把风险查清</w:t>
      </w:r>
    </w:p>
    <w:p>
      <w:r>
        <w:t>讲解提示：</w:t>
        <w:br/>
        <w:t>必要性不是因为某份资料写了未经核实的风险等级，而是持续的水气管理责任、历史填埋的不确定性、土地安全利用条件和周边公共环境诉求。急迫的是保障当前运行与开展调查，不能用未经证明的随时垮塌或数百吨直排制造紧迫性。汛期和台风前需检查膜面、截洪、有效库容、备用泵和电源。</w:t>
      </w:r>
    </w:p>
    <w:p>
      <w:r>
        <w:t>依据与核验：</w:t>
        <w:br/>
        <w:t>可研第2—3章；S1、S2背景资料与S4初步方案。S2风险分级表述未有原件支持，不作为正式风险认定。</w:t>
      </w:r>
    </w:p>
    <w:p>
      <w:pPr>
        <w:pStyle w:val="Heading1"/>
      </w:pPr>
      <w:r>
        <w:t>05｜先统一工程量与边界，避免用低值锁定总价</w:t>
      </w:r>
    </w:p>
    <w:p>
      <w:r>
        <w:t>讲解提示：</w:t>
        <w:br/>
        <w:t>S1封场工程占地106845平方米约160.27亩；S2与S4谋划280亩。前者为工程边界，后者为设想边界，不能直接认定280亩合法工业地。体积170、250、260万立方米三种口径并列。模型选250万，湿密度0.85吨/立方米得到212.5万吨；两者均须实测。水站能力采用S1常规180、应急300，不采用未核实500。</w:t>
      </w:r>
    </w:p>
    <w:p>
      <w:r>
        <w:t>依据与核验：</w:t>
        <w:br/>
        <w:t>可研第2.3与10.1节；S1第1—3页、S2/S4、S3。</w:t>
      </w:r>
    </w:p>
    <w:p>
      <w:pPr>
        <w:pStyle w:val="Heading1"/>
      </w:pPr>
      <w:r>
        <w:t>06｜综合效益明确，但公共价值应与经营收益分别核算</w:t>
      </w:r>
    </w:p>
    <w:p>
      <w:r>
        <w:t>讲解提示：</w:t>
        <w:br/>
        <w:t>环境效益用核定移除量、污染羽变化、法定监测和物料联单验证，不能承诺零风险。350—550个岗位为16万平方米产业空间的研究区间，并无签约招聘。现状运维模型约1082.58万元/年，假设治理后保留150万元，避免约932.58万元；20年4.5%现值约1.21亿元，远小于10.87亿元治理投资，且早期地下水成本可能更高。这不是项目公司营业收入。政治效益是依法履责、透明采购、不新增隐性债务与回应群众关切。</w:t>
      </w:r>
    </w:p>
    <w:p>
      <w:r>
        <w:t>依据与核验：</w:t>
        <w:br/>
        <w:t>可研第11.5、12章。170吨/日×115元/吨来自S1；浓缩液单价300元/吨和其他费用为假设。</w:t>
      </w:r>
    </w:p>
    <w:p>
      <w:pPr>
        <w:pStyle w:val="Heading1"/>
      </w:pPr>
      <w:r>
        <w:t>07｜分区全量开挖作为目标路线，前提不足时继续补强</w:t>
      </w:r>
    </w:p>
    <w:p>
      <w:r>
        <w:t>讲解提示：</w:t>
        <w:br/>
        <w:t>A与B没有可靠工程量和询价，本汇报不虚构二者报价。C适应移除污染源与改善安全利用条件目标，但不是所有填埋场唯一合规方案。先查明保护区等空间约束；如产业禁建，需要调整用途或移出产业，继续研究生态治理。无足够接收和资金，现状补强不可中断。</w:t>
      </w:r>
    </w:p>
    <w:p>
      <w:r>
        <w:t>依据与核验：</w:t>
        <w:br/>
        <w:t>可研第5与6.1节；S6征求意见稿、S8山东试行导则均为技术参考，不替代广东现行审批依据。</w:t>
      </w:r>
    </w:p>
    <w:p>
      <w:pPr>
        <w:pStyle w:val="Heading1"/>
      </w:pPr>
      <w:r>
        <w:t>08｜借鉴玉龙的治理组织，成本与盈利须独立论证</w:t>
      </w:r>
    </w:p>
    <w:p>
      <w:r>
        <w:t>讲解提示：</w:t>
        <w:br/>
        <w:t>玉龙资料来自用户提供二次对标材料，不是本次取得的官方原始证据。建安15.38亿元与总投资21.7亿元也不是同一口径。21.7亿元除以255.15万立方米约850元/立方米；旧飞鹅模型约435元/立方米，差异可能来自治理范围、密度、筛下物去向、规格和遗漏风险。不能用差值宣传节省一半。拟采用模块密闭、集中筛分而不照搬超大跨度天幕。尚无玉龙经营现金流证据支持EOD盈利结论。</w:t>
      </w:r>
    </w:p>
    <w:p>
      <w:r>
        <w:t>依据与核验：</w:t>
        <w:br/>
        <w:t>可研第4章；S3第6—8、19—20页。外部官方检索在原报告编制时被网络政策限制，未核验最新状态。</w:t>
      </w:r>
    </w:p>
    <w:p>
      <w:pPr>
        <w:pStyle w:val="Heading1"/>
      </w:pPr>
      <w:r>
        <w:t>09｜环保设施先建成，垃圾按分区、分层、分批治理</w:t>
      </w:r>
    </w:p>
    <w:p>
      <w:r>
        <w:t>讲解提示：</w:t>
        <w:br/>
        <w:t>处理前抽排降低液位，气体与温度检测、稳定性分析通过才揭膜。好氧是否采用和时长由试验验证，不能固定吹气天数替代检测。密闭筛分设在稳定可用平台，开挖区用可迁移罩棚或经论证的局部集气。所有产物检测后依法去向，异常危废隔离鉴别。清场后土壤地下水治理和建筑地基验收分别实施。</w:t>
      </w:r>
    </w:p>
    <w:p>
      <w:r>
        <w:t>依据与核验：</w:t>
        <w:br/>
        <w:t>可研第6—9章；S6第4—10页与S8第8—19页。图为本汇报概念示意。</w:t>
      </w:r>
    </w:p>
    <w:p>
      <w:pPr>
        <w:pStyle w:val="Heading1"/>
      </w:pPr>
      <w:r>
        <w:t>10｜筛下物约占55%，合规去向是规模开挖的关键</w:t>
      </w:r>
    </w:p>
    <w:p>
      <w:r>
        <w:t>讲解提示：</w:t>
        <w:br/>
        <w:t>四类合计212.5万吨。可燃53.125、筛下116.875、无机40.375、金属2.125万吨。筛下物60%利用、40%其他许可处置属于经济模型条件，不是已认证资源化率或接收事实。利用率从60%降至30%，直接成本增加7012.5万元，计其他费预备费增加約8709.5万元。现场必须按含水率、排出水和库存变化校正湿质量守恒；覆盖土与基底污染土另建台账。</w:t>
      </w:r>
    </w:p>
    <w:p>
      <w:r>
        <w:t>依据与核验：</w:t>
        <w:br/>
        <w:t>可研第6.4、10.4节；模型base_environment.rows。</w:t>
      </w:r>
    </w:p>
    <w:p>
      <w:pPr>
        <w:pStyle w:val="Heading1"/>
      </w:pPr>
      <w:r>
        <w:t>11｜产能看末端接收，工期取决于整个处置链条</w:t>
      </w:r>
    </w:p>
    <w:p>
      <w:r>
        <w:t>讲解提示：</w:t>
        <w:br/>
        <w:t>两线150吨/小时×16×70%=3360吨/日，按250日年约84万吨；212.5/84=2.53年即30.4个月，安排M15—M48约33个月窗口仍需停工与衔接余量。260万立方米与密度1.0的情景约37.1个月纯处理。若可燃接收配额500吨/日，总量2000吨/日，年50万吨，约4.25年，接收方检修再延长。3360吨/日全部外运25吨有效载重约135单向重车车次、约270往返通行，路线需实测。</w:t>
      </w:r>
    </w:p>
    <w:p>
      <w:r>
        <w:t>依据与核验：</w:t>
        <w:br/>
        <w:t>可研第6.3与8.4节。参数为方案研究值，未取得厂家报价与末端配额。</w:t>
      </w:r>
    </w:p>
    <w:p>
      <w:pPr>
        <w:pStyle w:val="Heading1"/>
      </w:pPr>
      <w:r>
        <w:t>12｜治理前先做三轮核查，把未知条件转为可审成果</w:t>
      </w:r>
    </w:p>
    <w:p>
      <w:r>
        <w:t>讲解提示：</w:t>
        <w:br/>
        <w:t>0—3个月：运行责任人、续运采购、膜面与盲沟检查、调节池有效库容测量，建立一张底图六本台账。3—6个月：测绘、钻探、分层湿密度与组分，地下水上下游和背景点，岩土验算，敏感受体调查；代表性中试先获审批安全放行。6—12个月：环评等按实际类别依法确定，不能沿用旧封场环评替代开挖审查；接收试验、连续配额、拒收备用、价格条款和独立计量均要落到合同。核心租约和股东出资不能只是意向。</w:t>
      </w:r>
    </w:p>
    <w:p>
      <w:r>
        <w:t>依据与核验：</w:t>
        <w:br/>
        <w:t>可研第7章。0.5—1万立方米为首批累计中试建议，不是无条件现场指令。</w:t>
      </w:r>
    </w:p>
    <w:p>
      <w:pPr>
        <w:pStyle w:val="Heading1"/>
      </w:pPr>
      <w:r>
        <w:t>13｜治理中守住水、气、坡、运四条控制线</w:t>
      </w:r>
    </w:p>
    <w:p>
      <w:r>
        <w:t>讲解提示：</w:t>
        <w:br/>
        <w:t>水：名义30000立方米不等于剩余库容，180吨日不等于施工净余量；用当地降雨及最不利工况设计。气：甲烷、硫化氢、氧气、温度连续检测，仪表区分LEL百分比与体积分数；现场阈值由专业核定，不能照抄征求意见稿数值。坡：不掏空坡脚，不在承载不明区堆料，趋势异常可提前停工。运：双端计量和联单核验接收，学校居民避让、车辆载荷路线实测。停工责任人、恢复签认与举报记录写入合同。</w:t>
      </w:r>
    </w:p>
    <w:p>
      <w:r>
        <w:t>依据与核验：</w:t>
        <w:br/>
        <w:t>可研第8、13章；S6与S8为技术参考。</w:t>
      </w:r>
    </w:p>
    <w:p>
      <w:pPr>
        <w:pStyle w:val="Heading1"/>
      </w:pPr>
      <w:r>
        <w:t>14｜治理后分四步交付，地下水责任按目标持续</w:t>
      </w:r>
    </w:p>
    <w:p>
      <w:r>
        <w:t>讲解提示：</w:t>
        <w:br/>
        <w:t>清场不代表污染物全部移除；基底详细调查按未来用途提出修复或管控目标，地下水污染羽可能需要多年跟踪。洁净回填与地基验算不能用检测合格筛下物直接替代。冷库、物流车辆和加工设备荷载须按岩土条件设计。达到环境目标后，用地规划建筑消防还要依法许可。与责任主体签署跟踪与资金安排，不能因产业运营就终止监测。</w:t>
      </w:r>
    </w:p>
    <w:p>
      <w:r>
        <w:t>依据与核验：</w:t>
        <w:br/>
        <w:t>可研第9及第14章。图为交付逻辑示意，不代替批准验收程序。</w:t>
      </w:r>
    </w:p>
    <w:p>
      <w:pPr>
        <w:pStyle w:val="Heading1"/>
      </w:pPr>
      <w:r>
        <w:t>15｜治理投资约10.87亿元，分类处置成本最高</w:t>
      </w:r>
    </w:p>
    <w:p>
      <w:r>
        <w:t>讲解提示：</w:t>
        <w:br/>
        <w:t>分组并未改变原模型：预处理8750+开挖8750万元，筛分17000，产物外运处置33872.5，密闭6200+水设施2500+临设1800+水运行3000=13500，土壤2275+地下水1600=3875，调查800+监测1000=1800，直接87547.5万元。其他按8%=7003.8，预备按直接加其他的15%=14182.695，总108733.995万元。四舍五入图中各项可能出现0.01差额。大规模危废等重大事项不保证由15%全部覆盖。</w:t>
      </w:r>
    </w:p>
    <w:p>
      <w:r>
        <w:t>依据与核验：</w:t>
        <w:br/>
        <w:t>可研第10.2节；model_results.json base_environment。</w:t>
      </w:r>
    </w:p>
    <w:p>
      <w:pPr>
        <w:pStyle w:val="Heading1"/>
      </w:pPr>
      <w:r>
        <w:t>16｜一体化筹资约20.80亿元，规模与融资方案需重构</w:t>
      </w:r>
    </w:p>
    <w:p>
      <w:r>
        <w:t>讲解提示：</w:t>
        <w:br/>
        <w:t>冷链12万平方米×4800元=57600万元，沉香4万×3300=13200，配套6000，总76800。土地10000、利息9500、流动3000均暂列。筹资208033.995，评价投资剔除利息198533.995。小体量170万立方米保持其他不变18.086亿；压力260万、密度1.0、利用率30%、变动单价+20%=25.580亿，还不是最坏封顶。20亿来自S5原则，不等于自动拒绝或批准，需要主管和银行确认；避免拆分规避。</w:t>
      </w:r>
    </w:p>
    <w:p>
      <w:r>
        <w:t>依据与核验：</w:t>
        <w:br/>
        <w:t>可研第10.3—10.5节；S5通知；模型scenarios。</w:t>
      </w:r>
    </w:p>
    <w:p>
      <w:pPr>
        <w:pStyle w:val="Heading1"/>
      </w:pPr>
      <w:r>
        <w:t>17｜年收入约1.12亿元，稳态可偿债现金流约4175万元</w:t>
      </w:r>
    </w:p>
    <w:p>
      <w:r>
        <w:t>讲解提示：</w:t>
        <w:br/>
        <w:t>冷链12万平方米×75%可计费×85%出租×3元平方米日×365=8376.75万元；3元是含基础服务的收费假设，相应成本率55%，不可当纯房屋租金省略电费。沉香4万×80%×85%×30元平方米月×12=979.2；增值服务1800须防重复计费。现金支出6469.93含管理与环境运维，EBITDA4686.02；简税211.50、维护300后CFADS4174.51。税务模型未完整，不能支持正式授信。租户产值和政府税收不等于项目公司收入。</w:t>
      </w:r>
    </w:p>
    <w:p>
      <w:r>
        <w:t>依据与核验：</w:t>
        <w:br/>
        <w:t>可研第11.1节；model_results.json finance.steady。</w:t>
      </w:r>
    </w:p>
    <w:p>
      <w:pPr>
        <w:pStyle w:val="Heading1"/>
      </w:pPr>
      <w:r>
        <w:t>18｜70%贷款方案不能成立，降低贷款比例也不等于盈利</w:t>
      </w:r>
    </w:p>
    <w:p>
      <w:r>
        <w:t>讲解提示：</w:t>
        <w:br/>
        <w:t>拟贷70%×20.8034亿元=14.5624亿元；3.5%、20年年本息1.0246亿。稳态4174.51÷10246.25=0.4074；首年2904.84÷10246.25=0.2835。目标DSCR1.3下，稳态本金4.5638亿、首年3.1757亿。FIRR=-4.4241%、FNPV6%=-12.7277亿，建设5年运营20年，20年运营内未回收。评价剔除9500万融资利息，末年计产业20%残值和流动回收，不计土地升值。减少贷款改善偿债但不改善整体投入回报，非债资金也需要合法来源和可接受回报。</w:t>
      </w:r>
    </w:p>
    <w:p>
      <w:r>
        <w:t>依据与核验：</w:t>
        <w:br/>
        <w:t>可研第11.2—11.4节；财务模型finance。</w:t>
      </w:r>
    </w:p>
    <w:p>
      <w:pPr>
        <w:pStyle w:val="Heading1"/>
      </w:pPr>
      <w:r>
        <w:t>19｜先落实公益责任与资产条件，再选择融资路径</w:t>
      </w:r>
    </w:p>
    <w:p>
      <w:r>
        <w:t>讲解提示：</w:t>
        <w:br/>
        <w:t>整体EOD须有经营收益与真实资本金，不能仅因央企愿意参与、银行初步对接就宣称融资落实。S5原则不政府付费、不将土地出让和未来税收等作收入，主体要求应依法核查。依法预算安排公益治理是另一研究路径，须明晰污染责任、资金使用、资产和借款边界，不可通过形式拆分规避原整体限制。任何建设补助先确认制度适用、金额和主体，不预设基准还款收入。正式门槛是股东出资证明、主要产物价格接收合同、空间用地、核心运营商和逐年资金平衡。</w:t>
      </w:r>
    </w:p>
    <w:p>
      <w:r>
        <w:t>依据与核验：</w:t>
        <w:br/>
        <w:t>可研第10.5与11.4节；S5第2—5、12页，现行执行口径需核对。</w:t>
      </w:r>
    </w:p>
    <w:p>
      <w:pPr>
        <w:pStyle w:val="Heading1"/>
      </w:pPr>
      <w:r>
        <w:t>20｜工程约60个月，运营达产按模型第8年检验</w:t>
      </w:r>
    </w:p>
    <w:p>
      <w:r>
        <w:t>讲解提示：</w:t>
        <w:br/>
        <w:t>原可研工程建议M15—M48规模处理、M42—M60产业建设、M48—M72投运招商安排；工程完成与市场达产应分开。本汇报与财务模型明确统一：5年建设，第6年运营60%出租，第7年75%，第8年85%稳态，因此展示运营验证延伸M84，不能承诺M72已稳态。M60是方案组织目标，不是合同完工保证；投运可按合规地块分期，但未正式重算先行收入。地下水可超出84个月，由风险目标和批准期限决定。</w:t>
      </w:r>
    </w:p>
    <w:p>
      <w:r>
        <w:t>依据与核验：</w:t>
        <w:br/>
        <w:t>可研第14章与财务模型finance.ops。时间图为建议排程，非已批准施工进度计划。</w:t>
      </w:r>
    </w:p>
    <w:p>
      <w:pPr>
        <w:pStyle w:val="Heading1"/>
      </w:pPr>
      <w:r>
        <w:t>21｜把六类关键风险设成门槛，并明确触发后的动作</w:t>
      </w:r>
    </w:p>
    <w:p>
      <w:r>
        <w:t>讲解提示：</w:t>
        <w:br/>
        <w:t>完整可研另列台风、火灾、运输事故、地基沉降、地下水污染扩大、施工索赔等19类风险，本页聚焦领导决策六类。风险分级不引用附件未经核实的六级等说法。专业阈值由批准设计、适用法规、仪表和现场基线确定；异常记录、停工权限、恢复签认和变更审查要有明确责任人。资本金与经营条件不足时暂停规模开工而非借政府保底解决。</w:t>
      </w:r>
    </w:p>
    <w:p>
      <w:r>
        <w:t>依据与核验：</w:t>
        <w:br/>
        <w:t>可研第13章风险表及第14.3节组织采购。</w:t>
      </w:r>
    </w:p>
    <w:p>
      <w:pPr>
        <w:pStyle w:val="Heading1"/>
      </w:pPr>
      <w:r>
        <w:t>22｜本轮建议：批准前期论证，四项成果齐备后再决策</w:t>
      </w:r>
    </w:p>
    <w:p>
      <w:r>
        <w:t>讲解提示：</w:t>
        <w:br/>
        <w:t>向领导请求的是调查论证及现状保障工作方案，不是批准10.87或20.80亿元总投资，更不是政府担保。800万元是概念暂列，采购和分期支付按权限与成果，已包含在治理概算调查项目中，不追加重复计入。若试开挖需永久密闭或水设施，纳入经批准工程包，不能用800万元概括全部建设。建议专班由生态环境、城管、自然资源、水务、财政、经发、属地协同，依法确定申报和实施主体。四成果齐备后再做镇市级决策。</w:t>
      </w:r>
    </w:p>
    <w:p>
      <w:r>
        <w:t>依据与核验：</w:t>
        <w:br/>
        <w:t>可研领导摘要、第7、14.3、15章；模型治理第1行调查勘察检测与中试800万元。</w:t>
      </w:r>
    </w:p>
    <w:p>
      <w:pPr>
        <w:pStyle w:val="Heading1"/>
      </w:pPr>
      <w:r>
        <w:t>23｜附录一｜关键假设公开，正式立项前逐项替换</w:t>
      </w:r>
    </w:p>
    <w:p>
      <w:r>
        <w:t>讲解提示：</w:t>
        <w:br/>
        <w:t>参数使用的透明假设不是已批准规模。关联土地280亩总价1亿元未经评估，产业总面积16万平方米未经规划和招商证明；还要核实电力、道路、特殊地基和制冷成本。其他费8%、基本预备费15%，筛分80元/吨、可燃运输80+处置180元/吨等均待询价。正式银行模型需补完整增值税、附加税、土地税、折旧摊销和亏损结转等。</w:t>
      </w:r>
    </w:p>
    <w:p>
      <w:r>
        <w:t>依据与核验：</w:t>
        <w:br/>
        <w:t>可研第10—11章及附录B；配套Excel所有输入与公式可追溯。</w:t>
      </w:r>
    </w:p>
    <w:p>
      <w:pPr>
        <w:pStyle w:val="Heading1"/>
      </w:pPr>
      <w:r>
        <w:t>24｜附录二｜领导常问的四个问题</w:t>
      </w:r>
    </w:p>
    <w:p>
      <w:r>
        <w:t>讲解提示：</w:t>
        <w:br/>
        <w:t>可补充回答：是否只做生态修复？需叠合法定空间边界，严管区产业可能不允许，治理路径和资金重新论证。能否获美丽广东金融库支持？符合条件仍需主管审核与银行独立授信，不能承诺必获。是否多借更久就解决？宽限和期限调整可能改善短期现金流，但无法自动改善整体投资回报。费用节省933万元/年能否还贷？属于原责任主体费用效益，不能无合法安排计入项目公司收入。</w:t>
      </w:r>
    </w:p>
    <w:p>
      <w:r>
        <w:t>依据与核验：</w:t>
        <w:br/>
        <w:t>可研第4、5、9、11及15章。</w:t>
      </w:r>
    </w:p>
    <w:p>
      <w:pPr>
        <w:pStyle w:val="Heading1"/>
      </w:pPr>
      <w:r>
        <w:t>25｜附录三｜资料定位与补证清单</w:t>
      </w:r>
    </w:p>
    <w:p>
      <w:r>
        <w:t>讲解提示：</w:t>
        <w:br/>
        <w:t>来源完整名称：S1《旧飞鹅垃圾填埋场场地整治情况》7页；S2《大岭山旧飞鹅垃圾填埋场背景资料》DOCX；S3《东莞大岭山垃圾填埋场项目现状、初步治理方案暨与深圳玉龙垃圾填埋场处理技术的借鉴意义》29页；S4《旧飞鹅垃圾填埋场利用初步设计方案—环境治理部分》DOCX；S5广东省生态环境厅美丽广东金融项目库通知，粤环函〔2025〕147号，13页；S6《生活垃圾填埋场开挖治理污染防治技术指南（征求意见稿）》10页；S7编制说明3页；S8山东2023年10月《生活垃圾填埋场开挖分选治理技术导则（试行）》19页。S9横岗EOD PPT因超单文件传输上限未读取，未采用。图为S1第3页节选，不能替代原始有效合同与现状检测。优先补证工程量污染实测、全部产物报价去向、真实产业合同和资金条件。</w:t>
      </w:r>
    </w:p>
    <w:p>
      <w:r>
        <w:t>依据与核验：</w:t>
        <w:br/>
        <w:t>可研第1.2节及附录A、C。所有自绘图示为概念示意，未使用虚构场地照片。</w:t>
      </w:r>
    </w:p>
    <w:p>
      <w:r>
        <w:t>本汇报依据现有可研决策稿编制，不能替代报批可研、专项设计、风险评估或银行审贷；玉龙官方案例资料和现行标准状态仍需核验。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镇领导汇报讲解备注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