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8" w:name="大岭山镇旧飞鹅生活垃圾填埋场综合治理方案"/>
    <w:p>
      <w:pPr>
        <w:pStyle w:val="Title"/>
        <w:jc w:val="center"/>
      </w:pPr>
      <w:r>
        <w:t>大岭山镇旧飞鹅生活垃圾填埋场</w:t>
        <w:br/>
        <w:t>综合治理方案</w:t>
      </w:r>
    </w:p>
    <w:p>
      <w:pPr>
        <w:pStyle w:val="Subtitle"/>
        <w:jc w:val="center"/>
      </w:pPr>
      <w:r>
        <w:t xml:space="preserve">官方依据与全国案例论证版</w:t>
      </w:r>
    </w:p>
    <w:p>
      <w:pPr>
        <w:pStyle w:val="BodyText"/>
      </w:pPr>
      <w:r>
        <w:t xml:space="preserve">项目主体：大岭山镇旧飞鹅生活垃圾填埋场综合治理项目</w:t>
      </w:r>
    </w:p>
    <w:p>
      <w:pPr>
        <w:pStyle w:val="BodyText"/>
      </w:pPr>
      <w:r>
        <w:t xml:space="preserve">编制基准日：2026年10月10日</w:t>
      </w:r>
    </w:p>
    <w:p>
      <w:pPr>
        <w:pStyle w:val="BodyText"/>
      </w:pPr>
      <w:r>
        <w:drawing>
          <wp:inline>
            <wp:extent cx="6108700" cy="2748915"/>
            <wp:effectExtent b="0" l="0" r="0" t="0"/>
            <wp:docPr descr="治理主线" title="" id="21" name="Picture"/>
            <a:graphic>
              <a:graphicData uri="http://schemas.openxmlformats.org/drawingml/2006/picture">
                <pic:pic>
                  <pic:nvPicPr>
                    <pic:cNvPr descr="../figures/04_proces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48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本项目治理对象包括存量生活垃圾、持续产生的渗滤液与膜浓缩液、填埋气体，以及经调查确认需要治理的场底土壤和地下水。场地范围以权属和测绘成果确定，治理目标为污染源有序削减、环境风险受控、全过程合规处置，并为场地后续安全利用创造条件。</w:t>
      </w:r>
    </w:p>
    <w:bookmarkStart w:id="23" w:name="项目决策摘要"/>
    <w:p>
      <w:pPr>
        <w:pStyle w:val="Heading2"/>
        <w:pageBreakBefore/>
      </w:pPr>
      <w:r>
        <w:t>目　录</w:t>
      </w:r>
    </w:p>
    <w:p>
      <w:pPr>
        <w:spacing w:after="120"/>
      </w:pPr>
      <w:r>
        <w:t>项目决策摘要</w:t>
      </w:r>
    </w:p>
    <w:p>
      <w:pPr>
        <w:spacing w:after="120"/>
      </w:pPr>
      <w:r>
        <w:t>1 场地基本情况与治理边界</w:t>
      </w:r>
    </w:p>
    <w:p>
      <w:pPr>
        <w:spacing w:after="120"/>
      </w:pPr>
      <w:r>
        <w:t>2 法律、标准和政策依据</w:t>
      </w:r>
    </w:p>
    <w:p>
      <w:pPr>
        <w:spacing w:after="120"/>
      </w:pPr>
      <w:r>
        <w:t>3 治理必要性与急迫性</w:t>
      </w:r>
    </w:p>
    <w:p>
      <w:pPr>
        <w:spacing w:after="120"/>
      </w:pPr>
      <w:r>
        <w:t>4 全国官方案例与本项目借鉴</w:t>
      </w:r>
    </w:p>
    <w:p>
      <w:pPr>
        <w:spacing w:after="120"/>
      </w:pPr>
      <w:r>
        <w:t>5 治理目标与方案比选</w:t>
      </w:r>
    </w:p>
    <w:p>
      <w:pPr>
        <w:spacing w:after="120"/>
      </w:pPr>
      <w:r>
        <w:t>6 治理前调查与示范工程</w:t>
      </w:r>
    </w:p>
    <w:p>
      <w:pPr>
        <w:spacing w:after="120"/>
      </w:pPr>
      <w:r>
        <w:t>7 开挖治理与污染防治方案</w:t>
      </w:r>
    </w:p>
    <w:p>
      <w:pPr>
        <w:spacing w:after="120"/>
      </w:pPr>
      <w:r>
        <w:t>8 环境监测、风险与应急管理</w:t>
      </w:r>
    </w:p>
    <w:p>
      <w:pPr>
        <w:spacing w:after="120"/>
      </w:pPr>
      <w:r>
        <w:t>9 投资、运行费用与资金安排</w:t>
      </w:r>
    </w:p>
    <w:p>
      <w:pPr>
        <w:spacing w:after="120"/>
      </w:pPr>
      <w:r>
        <w:t>10 实施周期与治理前后具体安排</w:t>
      </w:r>
    </w:p>
    <w:p>
      <w:pPr>
        <w:spacing w:after="120"/>
      </w:pPr>
      <w:r>
        <w:t>11 环境、社会、经济及公共治理效益</w:t>
      </w:r>
    </w:p>
    <w:p>
      <w:pPr>
        <w:spacing w:after="120"/>
      </w:pPr>
      <w:r>
        <w:t>12 项目组织、验收与近期工作清单</w:t>
      </w:r>
    </w:p>
    <w:p>
      <w:pPr>
        <w:spacing w:after="120"/>
      </w:pPr>
      <w:r>
        <w:t>附录A 官方文件与案例来源</w:t>
      </w:r>
    </w:p>
    <w:p>
      <w:pPr>
        <w:spacing w:after="120"/>
      </w:pPr>
      <w:r>
        <w:t>附录B 项目量质与去向台账字段</w:t>
      </w:r>
    </w:p>
    <w:p>
      <w:pPr>
        <w:pStyle w:val="Heading2"/>
        <w:pageBreakBefore/>
      </w:pPr>
      <w:r>
        <w:t xml:space="preserve">项目决策摘要</w:t>
      </w:r>
    </w:p>
    <w:p>
      <w:pPr>
        <w:pStyle w:val="FirstParagraph"/>
      </w:pPr>
      <w:r>
        <w:t xml:space="preserve">旧飞鹅填埋场已经实施封场整治，场地工作资料记载2019年通过销号验收。与此同时，资料记载平均渗滤液处理量仍约170吨/日、膜浓缩液外运约20吨/日；现有运维合同至2026年12月31日。本项目首先保障封场设施与处理站持续运行，立即开展污染诊断、存量测绘、稳定性评估和末端接收核实，形成“一场一策”治理方案。[B01；S04（十三）；S05二（四）]</w:t>
      </w:r>
    </w:p>
    <w:p>
      <w:pPr>
        <w:pStyle w:val="BodyText"/>
      </w:pPr>
      <w:r>
        <w:t xml:space="preserve">本项目以“维持现有污染控制—调查与分区—依法实施示范单元—按风险和处置能力确定开挖规模—场底与地下水治理—效果评估和后期管理”为实施主线。分区密闭开挖、筛分及合法利用处置列为重点论证路线；现阶段不把全量开挖作为已批准结论。若调查证明局部源区控制即可达到治理目标，采用重点开挖与其余区域维护相结合的方式；若污染源分布广、工程条件可控且所有产物去向落实，再论证全量开挖。</w:t>
      </w:r>
    </w:p>
    <w:p>
      <w:pPr>
        <w:pStyle w:val="BodyText"/>
      </w:pPr>
      <w:r>
        <w:t xml:space="preserve">急迫性主要来自仍在持续的液体污染治理负荷、封场后法定维护义务、运维合同衔接，以及国家关于隐患排查和高风险场地综合治理的要求。当前资料未提供完整原始监测、衬层检测及风险评估报告，不能据此认定本场污染超标、已属高风险或即将发生事故，也不能把国家2027年封场治理节点解释为本场必须在该年前全量开挖。[S02第7.9、8.7条；S04；S05]</w:t>
      </w:r>
    </w:p>
    <w:p>
      <w:pPr>
        <w:pStyle w:val="BodyText"/>
      </w:pPr>
      <w:r>
        <w:t xml:space="preserve">海南、江西官方现场调研确认开挖筛分实践，北京阿苏卫官方资料确认成套设施配置。本场规模工程须落实风险控制、水气设施、全部产物去向、工程量及资金程序。[C01；C02]</w:t>
      </w:r>
    </w:p>
    <w:p>
      <w:pPr>
        <w:pStyle w:val="BodyText"/>
      </w:pPr>
      <w:r>
        <w:t xml:space="preserve">前6个月拟完成运维保障、调查比选及依法允许的示范工作。既有量价折算服务费约713.6万元/年，仅识别运维量级；开挖投资和工期按实测工程量、能力和合法接收报价核定。[B01；本方案计算]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3002"/>
        <w:gridCol w:w="6636"/>
      </w:tblGrid>
      <w:tr>
        <w:trPr>
          <w:tblHeader w:val="on"/>
          <w:cantSplit/>
          <w:tblHeader w:val="true"/>
        </w:trPr>
        <w:tc>
          <w:tcPr>
            <w:tcW w:type="dxa" w:w="3002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当前项目安排</w:t>
            </w:r>
          </w:p>
        </w:tc>
        <w:tc>
          <w:tcPr>
            <w:tcW w:type="dxa" w:w="6636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具体成果与进入下一阶段的条件</w:t>
            </w:r>
          </w:p>
        </w:tc>
      </w:tr>
      <w:tr>
        <w:trPr>
          <w:cantSplit/>
        </w:trPr>
        <w:tc>
          <w:tcPr>
            <w:tcW w:type="dxa" w:w="300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立即保障持续运维</w:t>
            </w:r>
          </w:p>
        </w:tc>
        <w:tc>
          <w:tcPr>
            <w:tcW w:type="dxa" w:w="663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处理站、膜浓缩液接收、堆体监测、导排及覆膜维护不中断；完成合同衔接</w:t>
            </w:r>
          </w:p>
        </w:tc>
      </w:tr>
      <w:tr>
        <w:trPr>
          <w:cantSplit/>
        </w:trPr>
        <w:tc>
          <w:tcPr>
            <w:tcW w:type="dxa" w:w="300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开展统一调查与测绘</w:t>
            </w:r>
          </w:p>
        </w:tc>
        <w:tc>
          <w:tcPr>
            <w:tcW w:type="dxa" w:w="6636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确认库区边界、实际存量、液位、组分、衬层、周边敏感点与地下水状况</w:t>
            </w:r>
          </w:p>
        </w:tc>
      </w:tr>
      <w:tr>
        <w:trPr>
          <w:cantSplit/>
        </w:trPr>
        <w:tc>
          <w:tcPr>
            <w:tcW w:type="dxa" w:w="300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比较三种治理方案</w:t>
            </w:r>
          </w:p>
        </w:tc>
        <w:tc>
          <w:tcPr>
            <w:tcW w:type="dxa" w:w="663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维护强化、重点开挖与全量开挖按同一治理目标和全周期成本比较</w:t>
            </w:r>
          </w:p>
        </w:tc>
      </w:tr>
      <w:tr>
        <w:trPr>
          <w:cantSplit/>
        </w:trPr>
        <w:tc>
          <w:tcPr>
            <w:tcW w:type="dxa" w:w="300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依法开展示范单元</w:t>
            </w:r>
          </w:p>
        </w:tc>
        <w:tc>
          <w:tcPr>
            <w:tcW w:type="dxa" w:w="6636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先具备必要程序和污染控制条件；取得实际组分、接收适应性、产水量与单位作业成本</w:t>
            </w:r>
          </w:p>
        </w:tc>
      </w:tr>
      <w:tr>
        <w:trPr>
          <w:cantSplit/>
        </w:trPr>
        <w:tc>
          <w:tcPr>
            <w:tcW w:type="dxa" w:w="300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决定规模工程</w:t>
            </w:r>
          </w:p>
        </w:tc>
        <w:tc>
          <w:tcPr>
            <w:tcW w:type="dxa" w:w="663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风险、安全、末端去向、环保设施、投资及程序均满足要求；分区实施并记录全过程</w:t>
            </w:r>
          </w:p>
        </w:tc>
      </w:tr>
    </w:tbl>
    <w:bookmarkEnd w:id="23"/>
    <w:bookmarkStart w:id="29" w:name="X18fd03bc76c29eb70812a801c855253c2ad21cc"/>
    <w:p>
      <w:pPr>
        <w:pStyle w:val="Heading2"/>
        <w:pageBreakBefore/>
      </w:pPr>
      <w:r>
        <w:t xml:space="preserve">1 场地基本情况与治理边界</w:t>
      </w:r>
    </w:p>
    <w:bookmarkStart w:id="27" w:name="Xf3bf1c7e71decbbb36eb224a370ea178aaaee4e"/>
    <w:p>
      <w:pPr>
        <w:pStyle w:val="Heading3"/>
      </w:pPr>
      <w:r>
        <w:t xml:space="preserve">1.1 既有建设及运行情况</w:t>
      </w:r>
    </w:p>
    <w:p>
      <w:pPr>
        <w:pStyle w:val="FirstParagraph"/>
      </w:pPr>
      <w:r>
        <w:t xml:space="preserve">场地位于大岭山镇旧飞鹅村，场地工作资料记载1996年开始使用、2019年7月1日正式封场，封场整治占地106845平方米。项目保留已形成的堆体整形、覆盖、导排、绿化和监测设施，并把其运行状态纳入治理前调查。[B01第1—2页]</w:t>
      </w:r>
    </w:p>
    <w:p>
      <w:pPr>
        <w:pStyle w:val="BodyText"/>
      </w:pPr>
      <w:r>
        <w:drawing>
          <wp:inline>
            <wp:extent cx="6108700" cy="2748915"/>
            <wp:effectExtent b="0" l="0" r="0" t="0"/>
            <wp:docPr descr="历史与责任" title="" id="25" name="Picture"/>
            <a:graphic>
              <a:graphicData uri="http://schemas.openxmlformats.org/drawingml/2006/picture">
                <pic:pic>
                  <pic:nvPicPr>
                    <pic:cNvPr descr="../figures/01_histor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48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color w:val="5F7179"/>
          <w:sz w:val="18"/>
        </w:rPr>
        <w:t xml:space="preserve">图1　场地历史与持续管理责任。资料所引销号验收函尚需调取原件，历史验收不替代现状风险评估。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2034"/>
        <w:gridCol w:w="3903"/>
        <w:gridCol w:w="3701"/>
      </w:tblGrid>
      <w:tr>
        <w:trPr>
          <w:tblHeader w:val="on"/>
          <w:cantSplit/>
          <w:tblHeader w:val="true"/>
        </w:trPr>
        <w:tc>
          <w:tcPr>
            <w:tcW w:type="dxa" w:w="2034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基础项目</w:t>
            </w:r>
          </w:p>
        </w:tc>
        <w:tc>
          <w:tcPr>
            <w:tcW w:type="dxa" w:w="3903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资料记载及口径</w:t>
            </w:r>
          </w:p>
        </w:tc>
        <w:tc>
          <w:tcPr>
            <w:tcW w:type="dxa" w:w="3701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本项目处理方式</w:t>
            </w:r>
          </w:p>
        </w:tc>
      </w:tr>
      <w:tr>
        <w:trPr>
          <w:cantSplit/>
        </w:trPr>
        <w:tc>
          <w:tcPr>
            <w:tcW w:type="dxa" w:w="2034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场地封场</w:t>
            </w:r>
          </w:p>
        </w:tc>
        <w:tc>
          <w:tcPr>
            <w:tcW w:type="dxa" w:w="390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2019年7月1日正式封场整治；资料记载2019年12月16日通过销号验收</w:t>
            </w:r>
          </w:p>
        </w:tc>
        <w:tc>
          <w:tcPr>
            <w:tcW w:type="dxa" w:w="370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调取东城综函〔2019〕1688号及竣工图；保留有效封场成果</w:t>
            </w:r>
          </w:p>
        </w:tc>
      </w:tr>
      <w:tr>
        <w:trPr>
          <w:cantSplit/>
        </w:trPr>
        <w:tc>
          <w:tcPr>
            <w:tcW w:type="dxa" w:w="2034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封场占地</w:t>
            </w:r>
          </w:p>
        </w:tc>
        <w:tc>
          <w:tcPr>
            <w:tcW w:type="dxa" w:w="390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106845平方米，折合约10.68公顷、160.27亩</w:t>
            </w:r>
          </w:p>
        </w:tc>
        <w:tc>
          <w:tcPr>
            <w:tcW w:type="dxa" w:w="370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仅为既有整治面积；新增临时用地和最终可利用面积另行核定</w:t>
            </w:r>
          </w:p>
        </w:tc>
      </w:tr>
      <w:tr>
        <w:trPr>
          <w:cantSplit/>
        </w:trPr>
        <w:tc>
          <w:tcPr>
            <w:tcW w:type="dxa" w:w="2034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垃圾存量</w:t>
            </w:r>
          </w:p>
        </w:tc>
        <w:tc>
          <w:tcPr>
            <w:tcW w:type="dxa" w:w="390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B01为250万立方米；B02为170万立方米</w:t>
            </w:r>
          </w:p>
        </w:tc>
        <w:tc>
          <w:tcPr>
            <w:tcW w:type="dxa" w:w="370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两种资料口径未统一；以现状测绘和历史基底恢复确定工程量</w:t>
            </w:r>
          </w:p>
        </w:tc>
      </w:tr>
      <w:tr>
        <w:trPr>
          <w:cantSplit/>
        </w:trPr>
        <w:tc>
          <w:tcPr>
            <w:tcW w:type="dxa" w:w="2034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历史整治投入</w:t>
            </w:r>
          </w:p>
        </w:tc>
        <w:tc>
          <w:tcPr>
            <w:tcW w:type="dxa" w:w="390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B01记载约1261万元，含前期</w:t>
            </w:r>
          </w:p>
        </w:tc>
        <w:tc>
          <w:tcPr>
            <w:tcW w:type="dxa" w:w="370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属于2019年封场整治，不是当前开挖投资基准</w:t>
            </w:r>
          </w:p>
        </w:tc>
      </w:tr>
      <w:tr>
        <w:trPr>
          <w:cantSplit/>
        </w:trPr>
        <w:tc>
          <w:tcPr>
            <w:tcW w:type="dxa" w:w="2034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堆体监测</w:t>
            </w:r>
          </w:p>
        </w:tc>
        <w:tc>
          <w:tcPr>
            <w:tcW w:type="dxa" w:w="390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16个监测点，资料记载每月形成报告</w:t>
            </w:r>
          </w:p>
        </w:tc>
        <w:tc>
          <w:tcPr>
            <w:tcW w:type="dxa" w:w="370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核对布点、位移序列、设备状态和警戒值，按开挖工况补充</w:t>
            </w:r>
          </w:p>
        </w:tc>
      </w:tr>
      <w:tr>
        <w:trPr>
          <w:cantSplit/>
        </w:trPr>
        <w:tc>
          <w:tcPr>
            <w:tcW w:type="dxa" w:w="2034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环境监测</w:t>
            </w:r>
          </w:p>
        </w:tc>
        <w:tc>
          <w:tcPr>
            <w:tcW w:type="dxa" w:w="390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资料记载地下水、地表水、气体季度监测</w:t>
            </w:r>
          </w:p>
        </w:tc>
        <w:tc>
          <w:tcPr>
            <w:tcW w:type="dxa" w:w="370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取得原始报告、采样位置及指标，建立现状基线</w:t>
            </w:r>
          </w:p>
        </w:tc>
      </w:tr>
      <w:tr>
        <w:trPr>
          <w:cantSplit/>
        </w:trPr>
        <w:tc>
          <w:tcPr>
            <w:tcW w:type="dxa" w:w="2034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处理站场地</w:t>
            </w:r>
          </w:p>
        </w:tc>
        <w:tc>
          <w:tcPr>
            <w:tcW w:type="dxa" w:w="390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占地6175平方米，建构筑物面积2100平方米</w:t>
            </w:r>
          </w:p>
        </w:tc>
        <w:tc>
          <w:tcPr>
            <w:tcW w:type="dxa" w:w="370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核查实际设施布局、承载、管线和可改造空间</w:t>
            </w:r>
          </w:p>
        </w:tc>
      </w:tr>
      <w:tr>
        <w:trPr>
          <w:cantSplit/>
        </w:trPr>
        <w:tc>
          <w:tcPr>
            <w:tcW w:type="dxa" w:w="2034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渗滤液设施</w:t>
            </w:r>
          </w:p>
        </w:tc>
        <w:tc>
          <w:tcPr>
            <w:tcW w:type="dxa" w:w="390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常规规模180吨/日，应急规模300吨/日；预处理＋集装箱式两级DTRO</w:t>
            </w:r>
          </w:p>
        </w:tc>
        <w:tc>
          <w:tcPr>
            <w:tcW w:type="dxa" w:w="370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不把两种规模直接相加；以可持续达标能力确定新增负荷</w:t>
            </w:r>
          </w:p>
        </w:tc>
      </w:tr>
      <w:tr>
        <w:trPr>
          <w:cantSplit/>
        </w:trPr>
        <w:tc>
          <w:tcPr>
            <w:tcW w:type="dxa" w:w="2034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现有负荷</w:t>
            </w:r>
          </w:p>
        </w:tc>
        <w:tc>
          <w:tcPr>
            <w:tcW w:type="dxa" w:w="390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平均渗滤液170吨/日；膜浓缩液外运20吨/日</w:t>
            </w:r>
          </w:p>
        </w:tc>
        <w:tc>
          <w:tcPr>
            <w:tcW w:type="dxa" w:w="370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属于工作资料记载负荷；不得作为全年实绩或开挖产率</w:t>
            </w:r>
          </w:p>
        </w:tc>
      </w:tr>
      <w:tr>
        <w:trPr>
          <w:cantSplit/>
        </w:trPr>
        <w:tc>
          <w:tcPr>
            <w:tcW w:type="dxa" w:w="2034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累计处理量</w:t>
            </w:r>
          </w:p>
        </w:tc>
        <w:tc>
          <w:tcPr>
            <w:tcW w:type="dxa" w:w="390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2018年10月至2026年4月30日累计68.81万吨</w:t>
            </w:r>
          </w:p>
        </w:tc>
        <w:tc>
          <w:tcPr>
            <w:tcW w:type="dxa" w:w="370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保留统计截止日，核对计量及结算台账</w:t>
            </w:r>
          </w:p>
        </w:tc>
      </w:tr>
      <w:tr>
        <w:trPr>
          <w:cantSplit/>
        </w:trPr>
        <w:tc>
          <w:tcPr>
            <w:tcW w:type="dxa" w:w="2034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调节池</w:t>
            </w:r>
          </w:p>
        </w:tc>
        <w:tc>
          <w:tcPr>
            <w:tcW w:type="dxa" w:w="390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记载1座约30000立方米，无收集井、环场导排收集</w:t>
            </w:r>
          </w:p>
        </w:tc>
        <w:tc>
          <w:tcPr>
            <w:tcW w:type="dxa" w:w="370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池容不等于存量或可用容量；堆体降液位措施另行设计</w:t>
            </w:r>
          </w:p>
        </w:tc>
      </w:tr>
      <w:tr>
        <w:trPr>
          <w:cantSplit/>
        </w:trPr>
        <w:tc>
          <w:tcPr>
            <w:tcW w:type="dxa" w:w="2034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运维合同</w:t>
            </w:r>
          </w:p>
        </w:tc>
        <w:tc>
          <w:tcPr>
            <w:tcW w:type="dxa" w:w="390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资料记载2024年12月31日至2026年12月31日，处理单价115元/吨</w:t>
            </w:r>
          </w:p>
        </w:tc>
        <w:tc>
          <w:tcPr>
            <w:tcW w:type="dxa" w:w="370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核对合同原件、服务范围、调价和结算条款；及时衔接</w:t>
            </w:r>
          </w:p>
        </w:tc>
      </w:tr>
    </w:tbl>
    <w:p>
      <w:pPr>
        <w:pStyle w:val="BodyText"/>
      </w:pPr>
      <w:r>
        <w:t xml:space="preserve">基础数据来源：B01第1—6页，B02存量信息；公顷、亩数按面积换算。上述运行负荷沿用场地资料的吨/日口径，水系统设计时按实测密度、流量和污染负荷核算，不能未经换算直接等同立方米/日。</w:t>
      </w:r>
    </w:p>
    <w:bookmarkEnd w:id="27"/>
    <w:bookmarkStart w:id="28" w:name="X4d56d979b38686600fd303431f03131af50e83f"/>
    <w:p>
      <w:pPr>
        <w:pStyle w:val="Heading3"/>
      </w:pPr>
      <w:r>
        <w:t xml:space="preserve">1.2 现阶段必须核实的工程边界</w:t>
      </w:r>
    </w:p>
    <w:p>
      <w:pPr>
        <w:pStyle w:val="FirstParagraph"/>
      </w:pPr>
      <w:r>
        <w:t xml:space="preserve">本项目的调查边界覆盖实际垃圾堆体、渗滤液收集和处理设施、历史排水路径、场底及侧向可能受影响区域，以及经水文地质调查识别的地下水下游受体。治理边界根据调查结果确定，不以既有围栏或封场面积机械替代污染边界。土地权属、库区基底、堆体高度、原防渗结构、邻近居民和水体距离等，须以档案及现场成果补齐。[S02第8.8—8.9条；S07第41、45条；S12]</w:t>
      </w:r>
    </w:p>
    <w:p>
      <w:pPr>
        <w:pStyle w:val="BodyText"/>
      </w:pPr>
      <w:r>
        <w:t xml:space="preserve">场地资料记载处理产水经尾水专管进入市政污水管网，再进入连马污水处理厂；膜浓缩液由外部单位运输并接收。本项目核查既有环评、排污许可、排水许可、接收合同和接收设施批准范围，新增开挖负荷按现行标准及许可条件办理相应手续。接收单位过去承接过浓缩液，不等于未来已承诺开挖期间全部新增量。[B01第3—6页；S02第9.2条；S08；S09]</w:t>
      </w:r>
    </w:p>
    <w:bookmarkEnd w:id="28"/>
    <w:bookmarkEnd w:id="29"/>
    <w:bookmarkStart w:id="35" w:name="Xe25dab9316be7275cd3a8a4de1508caf4077bb4"/>
    <w:p>
      <w:pPr>
        <w:pStyle w:val="Heading2"/>
        <w:pageBreakBefore/>
      </w:pPr>
      <w:r>
        <w:t xml:space="preserve">2 法律、标准和政策依据</w:t>
      </w:r>
    </w:p>
    <w:bookmarkStart w:id="33" w:name="X1edd906f7a0c967e09d65131dd63e5606d566c9"/>
    <w:p>
      <w:pPr>
        <w:pStyle w:val="Heading3"/>
      </w:pPr>
      <w:r>
        <w:t xml:space="preserve">2.1 2026年现行体系</w:t>
      </w:r>
    </w:p>
    <w:p>
      <w:pPr>
        <w:pStyle w:val="FirstParagraph"/>
      </w:pPr>
      <w:r>
        <w:t xml:space="preserve">《中华人民共和国生态环境法典》自2026年8月15日起施行，原环境保护法、环境影响评价法、固体废物污染环境防治法、土壤污染防治法等法律同时废止。项目法律依据采用法典；旧文件中对原法律的引用按其发布背景理解，具体实施服从现行法律、行政法规、标准和许可要求。[S01第1242条]</w:t>
      </w:r>
    </w:p>
    <w:p>
      <w:pPr>
        <w:pStyle w:val="BodyText"/>
      </w:pPr>
      <w:r>
        <w:drawing>
          <wp:inline>
            <wp:extent cx="6108700" cy="2748915"/>
            <wp:effectExtent b="0" l="0" r="0" t="0"/>
            <wp:docPr descr="适用体系" title="" id="31" name="Picture"/>
            <a:graphic>
              <a:graphicData uri="http://schemas.openxmlformats.org/drawingml/2006/picture">
                <pic:pic>
                  <pic:nvPicPr>
                    <pic:cNvPr descr="../figures/03_law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48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color w:val="5F7179"/>
          <w:sz w:val="18"/>
        </w:rPr>
        <w:t xml:space="preserve">图2　项目文件适用层次。征求意见稿及外地地方实践用于技术论证，不能替代广东、东莞项目审批要求。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3034"/>
        <w:gridCol w:w="4039"/>
        <w:gridCol w:w="2565"/>
      </w:tblGrid>
      <w:tr>
        <w:trPr>
          <w:tblHeader w:val="on"/>
          <w:cantSplit/>
          <w:tblHeader w:val="true"/>
        </w:trPr>
        <w:tc>
          <w:tcPr>
            <w:tcW w:type="dxa" w:w="3034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文件</w:t>
            </w:r>
          </w:p>
        </w:tc>
        <w:tc>
          <w:tcPr>
            <w:tcW w:type="dxa" w:w="4039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对本项目的约束或指导</w:t>
            </w:r>
          </w:p>
        </w:tc>
        <w:tc>
          <w:tcPr>
            <w:tcW w:type="dxa" w:w="2565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具体适用位置</w:t>
            </w:r>
          </w:p>
        </w:tc>
      </w:tr>
      <w:tr>
        <w:trPr>
          <w:cantSplit/>
        </w:trPr>
        <w:tc>
          <w:tcPr>
            <w:tcW w:type="dxa" w:w="3034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生态环境法典</w:t>
            </w:r>
          </w:p>
        </w:tc>
        <w:tc>
          <w:tcPr>
            <w:tcW w:type="dxa" w:w="403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回收物质按规定用途标准使用；处理设施不得擅自关闭、闲置或拆除；监测依法实施</w:t>
            </w:r>
          </w:p>
        </w:tc>
        <w:tc>
          <w:tcPr>
            <w:tcW w:type="dxa" w:w="2565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S01第511—513条；建设、排放及修复遵守对应章节</w:t>
            </w:r>
          </w:p>
        </w:tc>
      </w:tr>
      <w:tr>
        <w:trPr>
          <w:cantSplit/>
        </w:trPr>
        <w:tc>
          <w:tcPr>
            <w:tcW w:type="dxa" w:w="3034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GB 16889—2024</w:t>
            </w:r>
          </w:p>
        </w:tc>
        <w:tc>
          <w:tcPr>
            <w:tcW w:type="dxa" w:w="403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封场后继续处理渗滤液和气体；衬层检测、地下水风险评估、异常应急；开发前调查评估</w:t>
            </w:r>
          </w:p>
        </w:tc>
        <w:tc>
          <w:tcPr>
            <w:tcW w:type="dxa" w:w="2565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S02第7.8—7.10、8.7—8.9、9.2条</w:t>
            </w:r>
          </w:p>
        </w:tc>
      </w:tr>
      <w:tr>
        <w:trPr>
          <w:cantSplit/>
        </w:trPr>
        <w:tc>
          <w:tcPr>
            <w:tcW w:type="dxa" w:w="3034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地下水管理条例，2026年修订</w:t>
            </w:r>
          </w:p>
        </w:tc>
        <w:tc>
          <w:tcPr>
            <w:tcW w:type="dxa" w:w="403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填埋场防渗漏、地下水监测井、风险评估和修复纳入地下水防治内容</w:t>
            </w:r>
          </w:p>
        </w:tc>
        <w:tc>
          <w:tcPr>
            <w:tcW w:type="dxa" w:w="2565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S07第40、41、45条</w:t>
            </w:r>
          </w:p>
        </w:tc>
      </w:tr>
      <w:tr>
        <w:trPr>
          <w:cantSplit/>
        </w:trPr>
        <w:tc>
          <w:tcPr>
            <w:tcW w:type="dxa" w:w="3034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城镇排水与污水处理条例，2026年修订</w:t>
            </w:r>
          </w:p>
        </w:tc>
        <w:tc>
          <w:tcPr>
            <w:tcW w:type="dxa" w:w="403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依法取得适用排水许可、执行水质要求，接受接管监管</w:t>
            </w:r>
          </w:p>
        </w:tc>
        <w:tc>
          <w:tcPr>
            <w:tcW w:type="dxa" w:w="2565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S08排水许可及排水管理条款</w:t>
            </w:r>
          </w:p>
        </w:tc>
      </w:tr>
      <w:tr>
        <w:trPr>
          <w:cantSplit/>
        </w:trPr>
        <w:tc>
          <w:tcPr>
            <w:tcW w:type="dxa" w:w="3034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GB 34330—2025</w:t>
            </w:r>
          </w:p>
        </w:tc>
        <w:tc>
          <w:tcPr>
            <w:tcW w:type="dxa" w:w="403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确定固废属性，核查利用产物和膜浓缩液管理条件</w:t>
            </w:r>
          </w:p>
        </w:tc>
        <w:tc>
          <w:tcPr>
            <w:tcW w:type="dxa" w:w="2565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S09第6—8章、附录A.3 b）2）</w:t>
            </w:r>
          </w:p>
        </w:tc>
      </w:tr>
      <w:tr>
        <w:trPr>
          <w:cantSplit/>
        </w:trPr>
        <w:tc>
          <w:tcPr>
            <w:tcW w:type="dxa" w:w="3034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GB 12523—2025</w:t>
            </w:r>
          </w:p>
        </w:tc>
        <w:tc>
          <w:tcPr>
            <w:tcW w:type="dxa" w:w="403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施工噪声限值、测点及评价；2026年1月1日替代2011版</w:t>
            </w:r>
          </w:p>
        </w:tc>
        <w:tc>
          <w:tcPr>
            <w:tcW w:type="dxa" w:w="2565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S10第4章及表1</w:t>
            </w:r>
          </w:p>
        </w:tc>
      </w:tr>
      <w:tr>
        <w:trPr>
          <w:cantSplit/>
        </w:trPr>
        <w:tc>
          <w:tcPr>
            <w:tcW w:type="dxa" w:w="3034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GB 36600—2018，HJ 25.1—2019至HJ 25.4—2019及HJ 25.5—2018</w:t>
            </w:r>
          </w:p>
        </w:tc>
        <w:tc>
          <w:tcPr>
            <w:tcW w:type="dxa" w:w="403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建设用地土壤调查、风险评估、修复与效果评估；不替代固废属性判断</w:t>
            </w:r>
          </w:p>
        </w:tc>
        <w:tc>
          <w:tcPr>
            <w:tcW w:type="dxa" w:w="2565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S11—S13</w:t>
            </w:r>
          </w:p>
        </w:tc>
      </w:tr>
      <w:tr>
        <w:trPr>
          <w:cantSplit/>
        </w:trPr>
        <w:tc>
          <w:tcPr>
            <w:tcW w:type="dxa" w:w="3034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固体废物综合治理行动计划，国发〔2025〕14号</w:t>
            </w:r>
          </w:p>
        </w:tc>
        <w:tc>
          <w:tcPr>
            <w:tcW w:type="dxa" w:w="403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隐患排查、“一场一策”、持续治理、合规资金支持及责任落实</w:t>
            </w:r>
          </w:p>
        </w:tc>
        <w:tc>
          <w:tcPr>
            <w:tcW w:type="dxa" w:w="2565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S04（十三）、（二十三）、（二十五）</w:t>
            </w:r>
          </w:p>
        </w:tc>
      </w:tr>
      <w:tr>
        <w:trPr>
          <w:cantSplit/>
        </w:trPr>
        <w:tc>
          <w:tcPr>
            <w:tcW w:type="dxa" w:w="3034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固体废物污染防治“十五五”规划，2026年</w:t>
            </w:r>
          </w:p>
        </w:tc>
        <w:tc>
          <w:tcPr>
            <w:tcW w:type="dxa" w:w="403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建立隐患台账、高风险场地综合治理，处理积存渗滤液、防止地下水扩散或加重</w:t>
            </w:r>
          </w:p>
        </w:tc>
        <w:tc>
          <w:tcPr>
            <w:tcW w:type="dxa" w:w="2565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S05二（四）</w:t>
            </w:r>
          </w:p>
        </w:tc>
      </w:tr>
      <w:tr>
        <w:trPr>
          <w:cantSplit/>
        </w:trPr>
        <w:tc>
          <w:tcPr>
            <w:tcW w:type="dxa" w:w="3034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污染地块修复与开发建设衔接指导意见，2026年</w:t>
            </w:r>
          </w:p>
        </w:tc>
        <w:tc>
          <w:tcPr>
            <w:tcW w:type="dxa" w:w="403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分区调查、程序衔接、修复方案与开发参数协调，严格限制重大安全隐患修复方式</w:t>
            </w:r>
          </w:p>
        </w:tc>
        <w:tc>
          <w:tcPr>
            <w:tcW w:type="dxa" w:w="2565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S06二至五</w:t>
            </w:r>
          </w:p>
        </w:tc>
      </w:tr>
      <w:tr>
        <w:trPr>
          <w:cantSplit/>
        </w:trPr>
        <w:tc>
          <w:tcPr>
            <w:tcW w:type="dxa" w:w="3034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开挖治理污染防治技术指南，2025年征求意见稿</w:t>
            </w:r>
          </w:p>
        </w:tc>
        <w:tc>
          <w:tcPr>
            <w:tcW w:type="dxa" w:w="403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调查、预处理、开挖、分选、产物去向、监测与应急技术参考</w:t>
            </w:r>
          </w:p>
        </w:tc>
        <w:tc>
          <w:tcPr>
            <w:tcW w:type="dxa" w:w="2565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S03第4—8章；检索取得版本为征求意见稿</w:t>
            </w:r>
          </w:p>
        </w:tc>
      </w:tr>
    </w:tbl>
    <w:p>
      <w:pPr>
        <w:pStyle w:val="BodyText"/>
      </w:pPr>
      <w:r>
        <w:t xml:space="preserve">HJ 25标准组在本表中分别为HJ 25.1—2019、HJ 25.2—2019、HJ 25.3—2019、HJ 25.4—2019；HJ 25.5为2018版。其他工程设计、恶臭、颗粒物、焚烧和安全标准，在专项设计中按主管部门最新有效文本及相应许可要求落实。征求意见稿中的数值若被本方案采用，均作为拟采用的技术控制参考，不能表述为已生效的国家开挖强制条款。</w:t>
      </w:r>
    </w:p>
    <w:bookmarkEnd w:id="33"/>
    <w:bookmarkStart w:id="34" w:name="X922a6428400f02fe903bd555ed98ff78e03e856"/>
    <w:p>
      <w:pPr>
        <w:pStyle w:val="Heading3"/>
      </w:pPr>
      <w:r>
        <w:t xml:space="preserve">2.2 三项直接影响项目决策的要求</w:t>
      </w:r>
    </w:p>
    <w:p>
      <w:pPr>
        <w:pStyle w:val="FirstParagraph"/>
      </w:pPr>
      <w:r>
        <w:t xml:space="preserve">第一，封场后管理存在明确延续条件。GB 16889—2024第8.7条要求继续运行维护渗滤液收集和导排系统，继续处理填埋场产生的渗滤液和气体并定期监测，直到填埋场产生的渗滤液中水污染物浓度连续两年低于表2、表3限值。处理站产水达标不等于未经处理的填埋场渗滤液达到该终止条件，现有资料不足以支持停止后期治理。[S02]</w:t>
      </w:r>
    </w:p>
    <w:p>
      <w:pPr>
        <w:pStyle w:val="BodyText"/>
      </w:pPr>
      <w:r>
        <w:t xml:space="preserve">第二，国家2027年节点要求符合条件的停用填埋场完成封场治理。《行动计划》规定，2024年底前停用且无后续使用计划的填埋场，原则上到2027年全部完成封场治理。本场资料已经记载封场验收，当前重点是核实后期维护与隐患治理，不将该政策误读为全量开挖的统一截止日。“十五五”规划要求完成高风险生活垃圾填埋场综合治理，但本场是否属高风险须依据专项调查认定。[S04（十三）；S05二（四）]</w:t>
      </w:r>
    </w:p>
    <w:p>
      <w:pPr>
        <w:pStyle w:val="BodyText"/>
      </w:pPr>
      <w:r>
        <w:t xml:space="preserve">第三，垃圾清运、场地环境修复与开发利用是相互关联的不同任务。垃圾挖除以后仍需确认场底土壤和地下水风险；场地后续利用必须履行相应调查、评估、修复、效果评估与规划程序。大面积深基坑方案应特别核查安全风险，不能以尽快开发为由跳过污染诊断和修复效果评估。[S02第8.8条；S06；S12—S13]</w:t>
      </w:r>
    </w:p>
    <w:bookmarkEnd w:id="34"/>
    <w:bookmarkEnd w:id="35"/>
    <w:bookmarkStart w:id="42" w:name="X5ba4a3bb2461adfe2ecbfe897e3a69f6d8b0214"/>
    <w:p>
      <w:pPr>
        <w:pStyle w:val="Heading2"/>
        <w:pageBreakBefore/>
      </w:pPr>
      <w:r>
        <w:t xml:space="preserve">3 治理必要性与急迫性</w:t>
      </w:r>
    </w:p>
    <w:bookmarkStart w:id="36" w:name="X0faae636a91fa7592d7591edc3be5c62f20d053"/>
    <w:p>
      <w:pPr>
        <w:pStyle w:val="Heading3"/>
      </w:pPr>
      <w:r>
        <w:t xml:space="preserve">3.1 治理必要性</w:t>
      </w:r>
    </w:p>
    <w:p>
      <w:pPr>
        <w:pStyle w:val="FirstParagraph"/>
      </w:pPr>
      <w:r>
        <w:t xml:space="preserve">场地存量垃圾仍是渗滤液和填埋气体的物质基础，封场覆盖降低雨水入渗并控制暴露，但不等于存量污染源已经清除。资料记载封场后仍有持续渗滤液及浓缩液处置负荷，说明本项目需要从长期运维转向“源区诊断—风险削减—维护优化”的综合治理，比较长期维护和源头削减的全周期成本。[B01；S02第8.7条；S03第4—6章]</w:t>
      </w:r>
    </w:p>
    <w:p>
      <w:pPr>
        <w:pStyle w:val="BodyText"/>
      </w:pPr>
      <w:r>
        <w:t xml:space="preserve">场地再利用同样要求独立论证。106845平方米是历史整治面积，不能直接当作已经具备建设条件的土地。工程方案应同时解决污染残留、堆体沉降、残余气体及地下水问题，再确定可利用范围和用途，以免治理设施刚拆除即发生新的环境风险。[S02第8.8条；S06]</w:t>
      </w:r>
    </w:p>
    <w:bookmarkEnd w:id="36"/>
    <w:bookmarkStart w:id="40" w:name="X703fe036fa1aca43449c849d7d7eb9b143b7ac7"/>
    <w:p>
      <w:pPr>
        <w:pStyle w:val="Heading3"/>
      </w:pPr>
      <w:r>
        <w:t xml:space="preserve">3.2 当前急迫任务的客观依据</w:t>
      </w:r>
    </w:p>
    <w:p>
      <w:pPr>
        <w:pStyle w:val="FirstParagraph"/>
      </w:pPr>
      <w:r>
        <w:drawing>
          <wp:inline>
            <wp:extent cx="6108700" cy="2748915"/>
            <wp:effectExtent b="0" l="0" r="0" t="0"/>
            <wp:docPr descr="负荷对比" title="" id="38" name="Picture"/>
            <a:graphic>
              <a:graphicData uri="http://schemas.openxmlformats.org/drawingml/2006/picture">
                <pic:pic>
                  <pic:nvPicPr>
                    <pic:cNvPr descr="../figures/02_capacit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48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color w:val="5F7179"/>
          <w:sz w:val="18"/>
        </w:rPr>
        <w:t xml:space="preserve">图3　资料记载负荷与名义规模对比。170÷180＝94.4%仅为名义量比，不能替代峰值、故障停机和处理水质条件下的余量评估。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1898"/>
        <w:gridCol w:w="3863"/>
        <w:gridCol w:w="3877"/>
      </w:tblGrid>
      <w:tr>
        <w:trPr>
          <w:tblHeader w:val="on"/>
          <w:cantSplit/>
          <w:tblHeader w:val="true"/>
        </w:trPr>
        <w:tc>
          <w:tcPr>
            <w:tcW w:type="dxa" w:w="1898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急迫事项</w:t>
            </w:r>
          </w:p>
        </w:tc>
        <w:tc>
          <w:tcPr>
            <w:tcW w:type="dxa" w:w="3863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已掌握事实或文件依据</w:t>
            </w:r>
          </w:p>
        </w:tc>
        <w:tc>
          <w:tcPr>
            <w:tcW w:type="dxa" w:w="3877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当前行动</w:t>
            </w:r>
          </w:p>
        </w:tc>
      </w:tr>
      <w:tr>
        <w:trPr>
          <w:cantSplit/>
        </w:trPr>
        <w:tc>
          <w:tcPr>
            <w:tcW w:type="dxa" w:w="189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运维衔接</w:t>
            </w:r>
          </w:p>
        </w:tc>
        <w:tc>
          <w:tcPr>
            <w:tcW w:type="dxa" w:w="386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B01记载合同至2026年12月31日；封场后维护义务仍持续</w:t>
            </w:r>
          </w:p>
        </w:tc>
        <w:tc>
          <w:tcPr>
            <w:tcW w:type="dxa" w:w="387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立即落实下一服务周期、交接清单与备用接收安排，避免处理、导排和监测中断</w:t>
            </w:r>
          </w:p>
        </w:tc>
      </w:tr>
      <w:tr>
        <w:trPr>
          <w:cantSplit/>
        </w:trPr>
        <w:tc>
          <w:tcPr>
            <w:tcW w:type="dxa" w:w="189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新增排水承载</w:t>
            </w:r>
          </w:p>
        </w:tc>
        <w:tc>
          <w:tcPr>
            <w:tcW w:type="dxa" w:w="386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资料平均170吨/日、常规180吨/日；开挖及预处理可能增加排水</w:t>
            </w:r>
          </w:p>
        </w:tc>
        <w:tc>
          <w:tcPr>
            <w:tcW w:type="dxa" w:w="387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先实测存量、峰值和设备可用率；污染水接收能力不足时不启动新增开挖</w:t>
            </w:r>
          </w:p>
        </w:tc>
      </w:tr>
      <w:tr>
        <w:trPr>
          <w:cantSplit/>
        </w:trPr>
        <w:tc>
          <w:tcPr>
            <w:tcW w:type="dxa" w:w="189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浓缩液处置</w:t>
            </w:r>
          </w:p>
        </w:tc>
        <w:tc>
          <w:tcPr>
            <w:tcW w:type="dxa" w:w="386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资料记载外运20吨/日；新标准对膜浓缩液及利用处置属性有具体规定</w:t>
            </w:r>
          </w:p>
        </w:tc>
        <w:tc>
          <w:tcPr>
            <w:tcW w:type="dxa" w:w="387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核查固废属性、接收批准范围和合同余量，独立计量与备用渠道</w:t>
            </w:r>
          </w:p>
        </w:tc>
      </w:tr>
      <w:tr>
        <w:trPr>
          <w:cantSplit/>
        </w:trPr>
        <w:tc>
          <w:tcPr>
            <w:tcW w:type="dxa" w:w="189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衬层与地下水调查</w:t>
            </w:r>
          </w:p>
        </w:tc>
        <w:tc>
          <w:tcPr>
            <w:tcW w:type="dxa" w:w="386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未取得原始衬层检测和连续监测序列；S02第7.9条要求定期检测和评估</w:t>
            </w:r>
          </w:p>
        </w:tc>
        <w:tc>
          <w:tcPr>
            <w:tcW w:type="dxa" w:w="387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核对最近检测时间，按结构可检测性实施检测和污染诊断，修复失效环节</w:t>
            </w:r>
          </w:p>
        </w:tc>
      </w:tr>
      <w:tr>
        <w:trPr>
          <w:cantSplit/>
        </w:trPr>
        <w:tc>
          <w:tcPr>
            <w:tcW w:type="dxa" w:w="189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国家隐患治理</w:t>
            </w:r>
          </w:p>
        </w:tc>
        <w:tc>
          <w:tcPr>
            <w:tcW w:type="dxa" w:w="386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S04、S05要求台账及一场一策，防止地下水污染扩散或加重</w:t>
            </w:r>
          </w:p>
        </w:tc>
        <w:tc>
          <w:tcPr>
            <w:tcW w:type="dxa" w:w="387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建立问题、责任、措施、时间与复核台账；认定高风险后按要求升级治理</w:t>
            </w:r>
          </w:p>
        </w:tc>
      </w:tr>
      <w:tr>
        <w:trPr>
          <w:cantSplit/>
        </w:trPr>
        <w:tc>
          <w:tcPr>
            <w:tcW w:type="dxa" w:w="189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封场设施与极端天气</w:t>
            </w:r>
          </w:p>
        </w:tc>
        <w:tc>
          <w:tcPr>
            <w:tcW w:type="dxa" w:w="386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已封场场地仍依赖覆膜、排洪、导排和处理系统</w:t>
            </w:r>
          </w:p>
        </w:tc>
        <w:tc>
          <w:tcPr>
            <w:tcW w:type="dxa" w:w="387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开展雨前检查、积水及调蓄能力核定、备用供电和应急演练</w:t>
            </w:r>
          </w:p>
        </w:tc>
      </w:tr>
    </w:tbl>
    <w:p>
      <w:pPr>
        <w:pStyle w:val="BodyText"/>
      </w:pPr>
      <w:r>
        <w:t xml:space="preserve">本项目的急迫性体现为上述保障和调查工作应当立即推进。对开挖规模和施工时点，则以实测风险、气液条件和末端能力控制。如果发现地下水污染加重、渗滤液外溢、异常位移或有毒可燃气体异常，立即启动针对性应急和源区控制，不等待总体工程招标完成。[S02第7.10条；S03第8.2条]</w:t>
      </w:r>
    </w:p>
    <w:bookmarkEnd w:id="40"/>
    <w:bookmarkStart w:id="41" w:name="Xa8a9c2ac00fc1f1799d53a5da3acfa78c7a4763"/>
    <w:p>
      <w:pPr>
        <w:pStyle w:val="Heading3"/>
      </w:pPr>
      <w:r>
        <w:t xml:space="preserve">3.3 风险分级与治理优先顺序</w:t>
      </w:r>
    </w:p>
    <w:p>
      <w:pPr>
        <w:pStyle w:val="FirstParagraph"/>
      </w:pPr>
      <w:r>
        <w:t xml:space="preserve">本项目首先排查人员安全、液体外溢、边坡失稳和地下水异常等需立即处置的问题；其次修复或补齐渗滤液、气体、防渗、监测环节；在此基础上比较局部或全量开挖。现状风险分级以污染诊断、受体识别、稳定性和运行工况的调查评估结果确定。治理优先顺序由调查认定的实际问题确定，既不以历史封场验收替代风险评估，也不以资料缺失等同风险已发生。</w:t>
      </w:r>
    </w:p>
    <w:bookmarkEnd w:id="41"/>
    <w:bookmarkEnd w:id="42"/>
    <w:bookmarkStart w:id="45" w:name="X3825079f8a41dfa571a527949e2ef55fe01ba96"/>
    <w:p>
      <w:pPr>
        <w:pStyle w:val="Heading2"/>
        <w:pageBreakBefore/>
      </w:pPr>
      <w:r>
        <w:t xml:space="preserve">4 全国官方案例与本项目借鉴</w:t>
      </w:r>
    </w:p>
    <w:bookmarkStart w:id="43" w:name="X034dd9a167d569dd110573507d1a09a06c8e62d"/>
    <w:p>
      <w:pPr>
        <w:pStyle w:val="Heading3"/>
      </w:pPr>
      <w:r>
        <w:t xml:space="preserve">4.1 跨地区开挖治理实践</w:t>
      </w:r>
    </w:p>
    <w:p>
      <w:pPr>
        <w:pStyle w:val="FirstParagraph"/>
      </w:pPr>
      <w:r>
        <w:t xml:space="preserve">深圳市城市管理和综合执法局2023年5月24日发布的现场调研记录，明确调研组赴海南三亚、海口颜春岭和江西吉安泰和等填埋场，实地考察库区维护、配套设施运营及开挖作业现场，了解开挖筛分处置、工期管理、搬迁和生态修复问题。该记录证明跨地区存在实际开挖和筛分实践，但未公布各项目总投资、工程量、完成率和利润。[C01正文]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1501"/>
        <w:gridCol w:w="2962"/>
        <w:gridCol w:w="2506"/>
        <w:gridCol w:w="2668"/>
      </w:tblGrid>
      <w:tr>
        <w:trPr>
          <w:tblHeader w:val="on"/>
          <w:cantSplit/>
          <w:tblHeader w:val="true"/>
        </w:trPr>
        <w:tc>
          <w:tcPr>
            <w:tcW w:type="dxa" w:w="1501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地区与案例</w:t>
            </w:r>
          </w:p>
        </w:tc>
        <w:tc>
          <w:tcPr>
            <w:tcW w:type="dxa" w:w="2962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官方资料直接确认的事实</w:t>
            </w:r>
          </w:p>
        </w:tc>
        <w:tc>
          <w:tcPr>
            <w:tcW w:type="dxa" w:w="2506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本项目采用的经验</w:t>
            </w:r>
          </w:p>
        </w:tc>
        <w:tc>
          <w:tcPr>
            <w:tcW w:type="dxa" w:w="2668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证据适用边界</w:t>
            </w:r>
          </w:p>
        </w:tc>
      </w:tr>
      <w:tr>
        <w:trPr>
          <w:cantSplit/>
        </w:trPr>
        <w:tc>
          <w:tcPr>
            <w:tcW w:type="dxa" w:w="150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海南三亚填埋场调研对象</w:t>
            </w:r>
          </w:p>
        </w:tc>
        <w:tc>
          <w:tcPr>
            <w:tcW w:type="dxa" w:w="296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官方记录包括三亚现场开挖、配套设施和筛分处置流程考察</w:t>
            </w:r>
          </w:p>
        </w:tc>
        <w:tc>
          <w:tcPr>
            <w:tcW w:type="dxa" w:w="250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把原场维护、处理设施与开挖同时纳入组织计划</w:t>
            </w:r>
          </w:p>
        </w:tc>
        <w:tc>
          <w:tcPr>
            <w:tcW w:type="dxa" w:w="266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记录未列具体场名、规模和治理完成情况，不扩展为特定未核实项目</w:t>
            </w:r>
          </w:p>
        </w:tc>
      </w:tr>
      <w:tr>
        <w:trPr>
          <w:cantSplit/>
        </w:trPr>
        <w:tc>
          <w:tcPr>
            <w:tcW w:type="dxa" w:w="150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海南海口颜春岭</w:t>
            </w:r>
          </w:p>
        </w:tc>
        <w:tc>
          <w:tcPr>
            <w:tcW w:type="dxa" w:w="296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官方现场调研明确点名；考察开挖作业及搬迁修复相关问题</w:t>
            </w:r>
          </w:p>
        </w:tc>
        <w:tc>
          <w:tcPr>
            <w:tcW w:type="dxa" w:w="2506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开挖前落实接收设施和工期衔接，保留处理能力</w:t>
            </w:r>
          </w:p>
        </w:tc>
        <w:tc>
          <w:tcPr>
            <w:tcW w:type="dxa" w:w="266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未披露投资、工程量和经济回收数据，不作为单价标杆</w:t>
            </w:r>
          </w:p>
        </w:tc>
      </w:tr>
      <w:tr>
        <w:trPr>
          <w:cantSplit/>
        </w:trPr>
        <w:tc>
          <w:tcPr>
            <w:tcW w:type="dxa" w:w="150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江西吉安泰和</w:t>
            </w:r>
          </w:p>
        </w:tc>
        <w:tc>
          <w:tcPr>
            <w:tcW w:type="dxa" w:w="296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官方调研明确地点，涉及开挖筛分及生态修复问题</w:t>
            </w:r>
          </w:p>
        </w:tc>
        <w:tc>
          <w:tcPr>
            <w:tcW w:type="dxa" w:w="250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按地形、场底和末端条件分区，记录作业问题和纠偏</w:t>
            </w:r>
          </w:p>
        </w:tc>
        <w:tc>
          <w:tcPr>
            <w:tcW w:type="dxa" w:w="266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不据调研记录声称已竣工或达到某种收益</w:t>
            </w:r>
          </w:p>
        </w:tc>
      </w:tr>
      <w:tr>
        <w:trPr>
          <w:cantSplit/>
        </w:trPr>
        <w:tc>
          <w:tcPr>
            <w:tcW w:type="dxa" w:w="150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北京阿苏卫园区</w:t>
            </w:r>
          </w:p>
        </w:tc>
        <w:tc>
          <w:tcPr>
            <w:tcW w:type="dxa" w:w="296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官方开放资料列陈腐筛分3000吨/日、焚烧3000吨/日、渗滤液850吨/日的设施配置</w:t>
            </w:r>
          </w:p>
        </w:tc>
        <w:tc>
          <w:tcPr>
            <w:tcW w:type="dxa" w:w="2506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固体去向与水处理配套，不能只有筛分线而无最终接收能力</w:t>
            </w:r>
          </w:p>
        </w:tc>
        <w:tc>
          <w:tcPr>
            <w:tcW w:type="dxa" w:w="266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数据属于配置规模，不是实际年处理量、垃圾清除完成量或本场处理率</w:t>
            </w:r>
          </w:p>
        </w:tc>
      </w:tr>
    </w:tbl>
    <w:p>
      <w:pPr>
        <w:pStyle w:val="BodyText"/>
      </w:pPr>
      <w:r>
        <w:t xml:space="preserve">案例来源：前三项C01，第四项C02。不同设施的设计规模不构成物料收支比例，不能用850÷3000作为本场产水系数。</w:t>
      </w:r>
    </w:p>
    <w:bookmarkEnd w:id="43"/>
    <w:bookmarkStart w:id="44" w:name="Xd5dfa861112a3511850fd75286d5d1ec7e54f25"/>
    <w:p>
      <w:pPr>
        <w:pStyle w:val="Heading3"/>
      </w:pPr>
      <w:r>
        <w:t xml:space="preserve">4.2 广东浓缩液技术与地方监管实践</w:t>
      </w:r>
    </w:p>
    <w:p>
      <w:pPr>
        <w:pStyle w:val="FirstParagraph"/>
      </w:pPr>
      <w:r>
        <w:t xml:space="preserve">深圳市城管部门2026年3月19日公开信息确认，广东省住建厅科技项目《垃圾填埋场渗滤液膜浓液处理技术研究》于3月12日通过科研验收，组合技术为“高效物化沉淀＋强化生化处理＋PS高级氧化”。本项目可将该技术作为浓缩液处理比选和针对本场水质的中试候选；科研中试验收不等于在本场全规模连续达标、成本确定或可直接替换DTRO。[C03]</w:t>
      </w:r>
    </w:p>
    <w:p>
      <w:pPr>
        <w:pStyle w:val="BodyText"/>
      </w:pPr>
      <w:r>
        <w:t xml:space="preserve">深圳2024年鸭湖填埋场地下水检查信息同时开展地方维护、搬迁规范宣贯，确认当地《已封场生活垃圾填埋场维护规范》《生活垃圾填埋场搬迁技术规范》于2024年7月1日生效。这说明封场维护、地下水监测与搬迁监管具有衔接实践。本项目依法执行广东、东莞实际适用文件，不直接将深圳地方规范作为本镇强制性规定。[C04]</w:t>
      </w:r>
    </w:p>
    <w:bookmarkEnd w:id="44"/>
    <w:bookmarkEnd w:id="45"/>
    <w:bookmarkStart w:id="49" w:name="X1af474bd1272c8d9a412296345bfbc08ef9caee"/>
    <w:p>
      <w:pPr>
        <w:pStyle w:val="Heading2"/>
        <w:pageBreakBefore/>
      </w:pPr>
      <w:r>
        <w:t xml:space="preserve">5 治理目标与方案比选</w:t>
      </w:r>
    </w:p>
    <w:bookmarkStart w:id="46" w:name="Xc560a0944aada6888d73b013c0a1de46dac6f32"/>
    <w:p>
      <w:pPr>
        <w:pStyle w:val="Heading3"/>
      </w:pPr>
      <w:r>
        <w:t xml:space="preserve">5.1 项目治理目标</w:t>
      </w:r>
    </w:p>
    <w:p>
      <w:pPr>
        <w:pStyle w:val="FirstParagraph"/>
      </w:pPr>
      <w:r>
        <w:t xml:space="preserve">本项目以查清存量与污染状况为基础，形成确定的污染控制目标和工程边界。施工期间，污染水全部纳入防渗收集和合法处理系统，气体、恶臭、颗粒物和噪声按适用标准及许可控制，地下水污染不得因施工扩散或加重；各类产物依法分类利用或处置，场底残留和地下水问题按调查结果治理。完工后完成规定的效果评估及后期管理，后续利用履行相应程序。[S01—S03；S06—S13]</w:t>
      </w:r>
    </w:p>
    <w:bookmarkEnd w:id="46"/>
    <w:bookmarkStart w:id="47" w:name="X169990e7438b7a02ee9e953335d6c659ca54d90"/>
    <w:p>
      <w:pPr>
        <w:pStyle w:val="Heading3"/>
      </w:pPr>
      <w:r>
        <w:t xml:space="preserve">5.2 三种路线的同目标比较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1570"/>
        <w:gridCol w:w="2697"/>
        <w:gridCol w:w="2341"/>
        <w:gridCol w:w="3029"/>
      </w:tblGrid>
      <w:tr>
        <w:trPr>
          <w:tblHeader w:val="on"/>
          <w:cantSplit/>
          <w:tblHeader w:val="true"/>
        </w:trPr>
        <w:tc>
          <w:tcPr>
            <w:tcW w:type="dxa" w:w="1570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路线</w:t>
            </w:r>
          </w:p>
        </w:tc>
        <w:tc>
          <w:tcPr>
            <w:tcW w:type="dxa" w:w="2697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实施内容</w:t>
            </w:r>
          </w:p>
        </w:tc>
        <w:tc>
          <w:tcPr>
            <w:tcW w:type="dxa" w:w="2341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适用条件</w:t>
            </w:r>
          </w:p>
        </w:tc>
        <w:tc>
          <w:tcPr>
            <w:tcW w:type="dxa" w:w="3029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主要限制与费用边界</w:t>
            </w:r>
          </w:p>
        </w:tc>
      </w:tr>
      <w:tr>
        <w:trPr>
          <w:cantSplit/>
        </w:trPr>
        <w:tc>
          <w:tcPr>
            <w:tcW w:type="dxa" w:w="1570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A：维护强化与风险管控</w:t>
            </w:r>
          </w:p>
        </w:tc>
        <w:tc>
          <w:tcPr>
            <w:tcW w:type="dxa" w:w="269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修复覆盖、导排、防渗；水气持续处理；地下水阻隔或抽提等经论证措施</w:t>
            </w:r>
          </w:p>
        </w:tc>
        <w:tc>
          <w:tcPr>
            <w:tcW w:type="dxa" w:w="234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源区可控、风险目标能达到，现阶段不需大规模清挖</w:t>
            </w:r>
          </w:p>
        </w:tc>
        <w:tc>
          <w:tcPr>
            <w:tcW w:type="dxa" w:w="302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存量源保留，持续运维与后续监测不可省略；场地利用受稳定及风险条件限制</w:t>
            </w:r>
          </w:p>
        </w:tc>
      </w:tr>
      <w:tr>
        <w:trPr>
          <w:cantSplit/>
        </w:trPr>
        <w:tc>
          <w:tcPr>
            <w:tcW w:type="dxa" w:w="1570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B：重点源区开挖＋其余区域维护</w:t>
            </w:r>
          </w:p>
        </w:tc>
        <w:tc>
          <w:tcPr>
            <w:tcW w:type="dxa" w:w="269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对问题源区分区开挖，筛分及合法去向，剩余堆体维护与监测</w:t>
            </w:r>
          </w:p>
        </w:tc>
        <w:tc>
          <w:tcPr>
            <w:tcW w:type="dxa" w:w="234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风险或工程问题集中，局部治理足以达到目标</w:t>
            </w:r>
          </w:p>
        </w:tc>
        <w:tc>
          <w:tcPr>
            <w:tcW w:type="dxa" w:w="302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必须证明边界、剩余区稳定和长期控制有效；不能因少挖而转移污染</w:t>
            </w:r>
          </w:p>
        </w:tc>
      </w:tr>
      <w:tr>
        <w:trPr>
          <w:cantSplit/>
        </w:trPr>
        <w:tc>
          <w:tcPr>
            <w:tcW w:type="dxa" w:w="1570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C：全量分区开挖综合治理</w:t>
            </w:r>
          </w:p>
        </w:tc>
        <w:tc>
          <w:tcPr>
            <w:tcW w:type="dxa" w:w="269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依次挖除存量垃圾，分类处置，场底土壤和地下水治理、效果评估</w:t>
            </w:r>
          </w:p>
        </w:tc>
        <w:tc>
          <w:tcPr>
            <w:tcW w:type="dxa" w:w="234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源区广泛或后续利用需移除堆体，全部去向、风险和资金具备</w:t>
            </w:r>
          </w:p>
        </w:tc>
        <w:tc>
          <w:tcPr>
            <w:tcW w:type="dxa" w:w="302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工程量及处置费用较大，施工暴露和深开挖风险需严控；挖完不等于完成地下水修复</w:t>
            </w:r>
          </w:p>
        </w:tc>
      </w:tr>
    </w:tbl>
    <w:p>
      <w:pPr>
        <w:pStyle w:val="BodyText"/>
      </w:pPr>
      <w:r>
        <w:t xml:space="preserve">方案比较采用同一风险目标、时间边界和费用范围，计入建设、运输、末端处置、水气控制、监测、异常处置及后期维护。对于监测不支持高风险、工程量未核定或末端未落实的场地，不凭主观评分提前锁定最昂贵路线。重点论证B、C，A作为持续控制与比选基准。</w:t>
      </w:r>
    </w:p>
    <w:bookmarkEnd w:id="47"/>
    <w:bookmarkStart w:id="48" w:name="X6fb36389c12b366f1493c31d4cffd58be81e058"/>
    <w:p>
      <w:pPr>
        <w:pStyle w:val="Heading3"/>
      </w:pPr>
      <w:r>
        <w:t xml:space="preserve">5.3 规模开挖的可行性条件</w:t>
      </w:r>
    </w:p>
    <w:p>
      <w:pPr>
        <w:pStyle w:val="FirstParagraph"/>
      </w:pPr>
      <w:r>
        <w:t xml:space="preserve">技术上，分区开挖筛分具有官方记录支持，但本场需验证组分、含水率、热值、气体与稳定工况。空间上，作业面、沥水、筛分、分产物贮存和道路必须有防渗、防雨和安全净距，并核查地基承载；6175平方米为既有处理站占地，不能直接当作分选场可用面积。法律上，需要按实际项目性质落实建设、环评、排污、排水、固废转移及修复程序。经济上，全周期费用必须与资金安排对应，禁止将未批准开发收益当作项目资金来源。[B01；S01—S03；S06；S08—S09；C01—C02]</w:t>
      </w:r>
    </w:p>
    <w:bookmarkEnd w:id="48"/>
    <w:bookmarkEnd w:id="49"/>
    <w:bookmarkStart w:id="52" w:name="Xb78238296bf3b99301af5bf62d9f1907659cbf0"/>
    <w:p>
      <w:pPr>
        <w:pStyle w:val="Heading2"/>
        <w:pageBreakBefore/>
      </w:pPr>
      <w:r>
        <w:t xml:space="preserve">6 治理前调查与示范工程</w:t>
      </w:r>
    </w:p>
    <w:bookmarkStart w:id="50" w:name="X84e88664a3a75a362695785614b44411b6a28fc"/>
    <w:p>
      <w:pPr>
        <w:pStyle w:val="Heading3"/>
      </w:pPr>
      <w:r>
        <w:t xml:space="preserve">6.1 调查工作与成果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1999"/>
        <w:gridCol w:w="4352"/>
        <w:gridCol w:w="3287"/>
      </w:tblGrid>
      <w:tr>
        <w:trPr>
          <w:tblHeader w:val="on"/>
          <w:cantSplit/>
          <w:tblHeader w:val="true"/>
        </w:trPr>
        <w:tc>
          <w:tcPr>
            <w:tcW w:type="dxa" w:w="1999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调查内容</w:t>
            </w:r>
          </w:p>
        </w:tc>
        <w:tc>
          <w:tcPr>
            <w:tcW w:type="dxa" w:w="4352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具体工作</w:t>
            </w:r>
          </w:p>
        </w:tc>
        <w:tc>
          <w:tcPr>
            <w:tcW w:type="dxa" w:w="3287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形成成果与用途</w:t>
            </w:r>
          </w:p>
        </w:tc>
      </w:tr>
      <w:tr>
        <w:trPr>
          <w:cantSplit/>
        </w:trPr>
        <w:tc>
          <w:tcPr>
            <w:tcW w:type="dxa" w:w="199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档案与权属</w:t>
            </w:r>
          </w:p>
        </w:tc>
        <w:tc>
          <w:tcPr>
            <w:tcW w:type="dxa" w:w="435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调取征地、历次设计竣工图、封场验收、底部防渗、环评许可、运维和接收合同</w:t>
            </w:r>
          </w:p>
        </w:tc>
        <w:tc>
          <w:tcPr>
            <w:tcW w:type="dxa" w:w="328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确定责任及合法边界，识别原设施可保留部分</w:t>
            </w:r>
          </w:p>
        </w:tc>
      </w:tr>
      <w:tr>
        <w:trPr>
          <w:cantSplit/>
        </w:trPr>
        <w:tc>
          <w:tcPr>
            <w:tcW w:type="dxa" w:w="199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垃圾量及基底</w:t>
            </w:r>
          </w:p>
        </w:tc>
        <w:tc>
          <w:tcPr>
            <w:tcW w:type="dxa" w:w="435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地形测绘；结合历史地形、勘探恢复基底，分区计算体积；测定湿密度</w:t>
            </w:r>
          </w:p>
        </w:tc>
        <w:tc>
          <w:tcPr>
            <w:tcW w:type="dxa" w:w="328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统一170万、250万立方米差异；体积和质量不混用</w:t>
            </w:r>
          </w:p>
        </w:tc>
      </w:tr>
      <w:tr>
        <w:trPr>
          <w:cantSplit/>
        </w:trPr>
        <w:tc>
          <w:tcPr>
            <w:tcW w:type="dxa" w:w="199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垃圾组分与筛分</w:t>
            </w:r>
          </w:p>
        </w:tc>
        <w:tc>
          <w:tcPr>
            <w:tcW w:type="dxa" w:w="435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按历史填埋分区、深度和差异采样，开展含水、组分、筛分试验及必要污染特征分析</w:t>
            </w:r>
          </w:p>
        </w:tc>
        <w:tc>
          <w:tcPr>
            <w:tcW w:type="dxa" w:w="328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得到各产物质量比例、沥水量和适配工艺；无固定套用比例</w:t>
            </w:r>
          </w:p>
        </w:tc>
      </w:tr>
      <w:tr>
        <w:trPr>
          <w:cantSplit/>
        </w:trPr>
        <w:tc>
          <w:tcPr>
            <w:tcW w:type="dxa" w:w="199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堆体及结构</w:t>
            </w:r>
          </w:p>
        </w:tc>
        <w:tc>
          <w:tcPr>
            <w:tcW w:type="dxa" w:w="435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复核16个点位和位移序列，查明坝体、侧坡、支护、防渗结构与收集管</w:t>
            </w:r>
          </w:p>
        </w:tc>
        <w:tc>
          <w:tcPr>
            <w:tcW w:type="dxa" w:w="328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不同液位、开挖深度和机械荷载下稳定验算</w:t>
            </w:r>
          </w:p>
        </w:tc>
      </w:tr>
      <w:tr>
        <w:trPr>
          <w:cantSplit/>
        </w:trPr>
        <w:tc>
          <w:tcPr>
            <w:tcW w:type="dxa" w:w="199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水文地质与污染</w:t>
            </w:r>
          </w:p>
        </w:tc>
        <w:tc>
          <w:tcPr>
            <w:tcW w:type="dxa" w:w="435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识别含水层、流向、上下游和敏感受体；核对监测井和历史水质，开展土壤调查</w:t>
            </w:r>
          </w:p>
        </w:tc>
        <w:tc>
          <w:tcPr>
            <w:tcW w:type="dxa" w:w="328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确定背景与异常变化、污染范围和修复目标</w:t>
            </w:r>
          </w:p>
        </w:tc>
      </w:tr>
      <w:tr>
        <w:trPr>
          <w:cantSplit/>
        </w:trPr>
        <w:tc>
          <w:tcPr>
            <w:tcW w:type="dxa" w:w="199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气体与稳定化</w:t>
            </w:r>
          </w:p>
        </w:tc>
        <w:tc>
          <w:tcPr>
            <w:tcW w:type="dxa" w:w="435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调查甲烷、硫化氢等及堆体稳定化状态，识别需要预处理的区域</w:t>
            </w:r>
          </w:p>
        </w:tc>
        <w:tc>
          <w:tcPr>
            <w:tcW w:type="dxa" w:w="328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确定气体抽排、好氧预处理、防火与安全方案</w:t>
            </w:r>
          </w:p>
        </w:tc>
      </w:tr>
      <w:tr>
        <w:trPr>
          <w:cantSplit/>
        </w:trPr>
        <w:tc>
          <w:tcPr>
            <w:tcW w:type="dxa" w:w="199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液体和处理设施</w:t>
            </w:r>
          </w:p>
        </w:tc>
        <w:tc>
          <w:tcPr>
            <w:tcW w:type="dxa" w:w="435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测量堆体及调节池液位、存量、雨天变化；核实实际处理能力、浓缩液产量和外运</w:t>
            </w:r>
          </w:p>
        </w:tc>
        <w:tc>
          <w:tcPr>
            <w:tcW w:type="dxa" w:w="328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形成水量水质平衡和新增设施设计输入</w:t>
            </w:r>
          </w:p>
        </w:tc>
      </w:tr>
      <w:tr>
        <w:trPr>
          <w:cantSplit/>
        </w:trPr>
        <w:tc>
          <w:tcPr>
            <w:tcW w:type="dxa" w:w="199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末端能力</w:t>
            </w:r>
          </w:p>
        </w:tc>
        <w:tc>
          <w:tcPr>
            <w:tcW w:type="dxa" w:w="435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核对接收厂批复、许可、现有负荷和可承接日量；样品试验与试接收</w:t>
            </w:r>
          </w:p>
        </w:tc>
        <w:tc>
          <w:tcPr>
            <w:tcW w:type="dxa" w:w="328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明确所有产物去向、质量条件、价格和备用渠道</w:t>
            </w:r>
          </w:p>
        </w:tc>
      </w:tr>
    </w:tbl>
    <w:p>
      <w:pPr>
        <w:pStyle w:val="BodyText"/>
      </w:pPr>
      <w:r>
        <w:t xml:space="preserve">调查按S02、S03第4章、S07及S12适用要求执行。布点、数量和深度由现场条件和规范设计确定，不以固定少量样品替代代表性调查。涉及井、池或封闭空间的工作执行独立安全程序。</w:t>
      </w:r>
    </w:p>
    <w:bookmarkEnd w:id="50"/>
    <w:bookmarkStart w:id="51" w:name="Xb19998eae76c4a02dc9283ce74cd88e6e0b27a8"/>
    <w:p>
      <w:pPr>
        <w:pStyle w:val="Heading3"/>
      </w:pPr>
      <w:r>
        <w:t xml:space="preserve">6.2 示范单元</w:t>
      </w:r>
    </w:p>
    <w:p>
      <w:pPr>
        <w:pStyle w:val="FirstParagraph"/>
      </w:pPr>
      <w:r>
        <w:t xml:space="preserve">本项目在调查明确、依法完成所需程序、处理设施可用和接收条件已落实的区域设置示范单元。示范单元覆盖代表性垃圾层位和不同含水情况，记录“开挖输入—沥水—各产物—外运—库存”的质量收支及完整工作日运行数据，形成量价、能耗、气液负荷和接收适应性成果。</w:t>
      </w:r>
    </w:p>
    <w:p>
      <w:pPr>
        <w:pStyle w:val="BodyText"/>
      </w:pPr>
      <w:r>
        <w:t xml:space="preserve">示范单元设备包括适配的筛分、金属分离和必要轻重分选，具体筛孔、流程和能力通过试验确定，不预先认定所有垃圾必须破碎或所有细料可以利用。需破碎时先隔离异常废物并完成气体安全评估，避免含气物料及异常物混入高速设备。[S03第5.3、6.4—6.5条]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2556"/>
        <w:gridCol w:w="3411"/>
        <w:gridCol w:w="3671"/>
      </w:tblGrid>
      <w:tr>
        <w:trPr>
          <w:tblHeader w:val="on"/>
          <w:cantSplit/>
          <w:tblHeader w:val="true"/>
        </w:trPr>
        <w:tc>
          <w:tcPr>
            <w:tcW w:type="dxa" w:w="2556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示范记录</w:t>
            </w:r>
          </w:p>
        </w:tc>
        <w:tc>
          <w:tcPr>
            <w:tcW w:type="dxa" w:w="3411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用于放大设计的结果</w:t>
            </w:r>
          </w:p>
        </w:tc>
        <w:tc>
          <w:tcPr>
            <w:tcW w:type="dxa" w:w="3671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停止或调整条件</w:t>
            </w:r>
          </w:p>
        </w:tc>
      </w:tr>
      <w:tr>
        <w:trPr>
          <w:cantSplit/>
        </w:trPr>
        <w:tc>
          <w:tcPr>
            <w:tcW w:type="dxa" w:w="255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每日各类产物量、含水和质量</w:t>
            </w:r>
          </w:p>
        </w:tc>
        <w:tc>
          <w:tcPr>
            <w:tcW w:type="dxa" w:w="341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实际筛分比例、稳定产能、合法去向与接收率</w:t>
            </w:r>
          </w:p>
        </w:tc>
        <w:tc>
          <w:tcPr>
            <w:tcW w:type="dxa" w:w="367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出现未识别物、超接收条件或大量滞留时调整</w:t>
            </w:r>
          </w:p>
        </w:tc>
      </w:tr>
      <w:tr>
        <w:trPr>
          <w:cantSplit/>
        </w:trPr>
        <w:tc>
          <w:tcPr>
            <w:tcW w:type="dxa" w:w="2556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进出水量及原水特征</w:t>
            </w:r>
          </w:p>
        </w:tc>
        <w:tc>
          <w:tcPr>
            <w:tcW w:type="dxa" w:w="341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处理设施可承载水量和污染负荷，浓缩液独立量</w:t>
            </w:r>
          </w:p>
        </w:tc>
        <w:tc>
          <w:tcPr>
            <w:tcW w:type="dxa" w:w="367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不能达标或合法接收不足时停止新增物料</w:t>
            </w:r>
          </w:p>
        </w:tc>
      </w:tr>
      <w:tr>
        <w:trPr>
          <w:cantSplit/>
        </w:trPr>
        <w:tc>
          <w:tcPr>
            <w:tcW w:type="dxa" w:w="255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甲烷、硫化氢、温度和臭气</w:t>
            </w:r>
          </w:p>
        </w:tc>
        <w:tc>
          <w:tcPr>
            <w:tcW w:type="dxa" w:w="341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预处理、密闭抽气及安全设计参数</w:t>
            </w:r>
          </w:p>
        </w:tc>
        <w:tc>
          <w:tcPr>
            <w:tcW w:type="dxa" w:w="367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安全报警、局部自热或臭气控制失效时停工查因</w:t>
            </w:r>
          </w:p>
        </w:tc>
      </w:tr>
      <w:tr>
        <w:trPr>
          <w:cantSplit/>
        </w:trPr>
        <w:tc>
          <w:tcPr>
            <w:tcW w:type="dxa" w:w="2556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位移、液位与开挖稳定</w:t>
            </w:r>
          </w:p>
        </w:tc>
        <w:tc>
          <w:tcPr>
            <w:tcW w:type="dxa" w:w="341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层厚、作业面、抽排和边坡条件</w:t>
            </w:r>
          </w:p>
        </w:tc>
        <w:tc>
          <w:tcPr>
            <w:tcW w:type="dxa" w:w="367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位移异常、积水或稳定不足时停止危险区作业</w:t>
            </w:r>
          </w:p>
        </w:tc>
      </w:tr>
      <w:tr>
        <w:trPr>
          <w:cantSplit/>
        </w:trPr>
        <w:tc>
          <w:tcPr>
            <w:tcW w:type="dxa" w:w="255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计量、人工、设备与转运</w:t>
            </w:r>
          </w:p>
        </w:tc>
        <w:tc>
          <w:tcPr>
            <w:tcW w:type="dxa" w:w="341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工作包实际用量和可核验单价</w:t>
            </w:r>
          </w:p>
        </w:tc>
        <w:tc>
          <w:tcPr>
            <w:tcW w:type="dxa" w:w="367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质量收支不闭合、去向回执缺失时纠偏</w:t>
            </w:r>
          </w:p>
        </w:tc>
      </w:tr>
    </w:tbl>
    <w:bookmarkEnd w:id="51"/>
    <w:bookmarkEnd w:id="52"/>
    <w:bookmarkStart w:id="68" w:name="Xa648d8f61b27ca18ef4dca013fff9e007890c06"/>
    <w:p>
      <w:pPr>
        <w:pStyle w:val="Heading2"/>
        <w:pageBreakBefore/>
      </w:pPr>
      <w:r>
        <w:t xml:space="preserve">7 开挖治理与污染防治方案</w:t>
      </w:r>
    </w:p>
    <w:bookmarkStart w:id="55" w:name="Xa4edea37aab4f82ef9474a81e3fe1805f6a5180"/>
    <w:p>
      <w:pPr>
        <w:pStyle w:val="Heading3"/>
      </w:pPr>
      <w:r>
        <w:t xml:space="preserve">7.1 总体流程与分区组织</w:t>
      </w:r>
    </w:p>
    <w:p>
      <w:pPr>
        <w:pStyle w:val="FirstParagraph"/>
      </w:pPr>
      <w:r>
        <w:t xml:space="preserve">本项目采用分区、分层和小范围暴露的作业方式，按照末端接收能力组织开挖。保留有效覆盖和原有水气控制设施，对正在开挖的单元设置临时截洪、防渗导排、抽气及安全监测；未开挖区维持原覆膜和维护，完成区尽快进入场底调查或覆盖管理。作业道路与临时设施避开未经核查的薄弱坝体和边坡。[S03第6.3.1—6.3.3条]</w:t>
      </w:r>
    </w:p>
    <w:p>
      <w:pPr>
        <w:pStyle w:val="BodyText"/>
      </w:pPr>
      <w:r>
        <w:drawing>
          <wp:inline>
            <wp:extent cx="6108700" cy="2748915"/>
            <wp:effectExtent b="0" l="0" r="0" t="0"/>
            <wp:docPr descr="工艺流程" title="" id="53" name="Picture"/>
            <a:graphic>
              <a:graphicData uri="http://schemas.openxmlformats.org/drawingml/2006/picture">
                <pic:pic>
                  <pic:nvPicPr>
                    <pic:cNvPr descr="../figures/04_proces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48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color w:val="5F7179"/>
          <w:sz w:val="18"/>
        </w:rPr>
        <w:t xml:space="preserve">图4　拟采用治理流程。调查确认稳定化程度后确定是否需要好氧预处理及其工艺，不对全场机械套用统一预处理期限。</w:t>
      </w:r>
    </w:p>
    <w:bookmarkEnd w:id="55"/>
    <w:bookmarkStart w:id="59" w:name="X3fcdc22aa17083d9d5595167dbd4e49e7c63427"/>
    <w:p>
      <w:pPr>
        <w:pStyle w:val="Heading3"/>
      </w:pPr>
      <w:r>
        <w:t xml:space="preserve">7.2 渗滤液与浓缩液控制</w:t>
      </w:r>
    </w:p>
    <w:p>
      <w:pPr>
        <w:pStyle w:val="FirstParagraph"/>
      </w:pPr>
      <w:r>
        <w:t xml:space="preserve">抽排或预处理之前，本项目查清堆体积存液、调节池积存液、持续产液，以及施工新增沥水和冲洗水。原收集系统资料记载无收集井，环场导排是否能降低内部液位须经调查；必要时设置分区抽提设施，避免仅抽空调节池而堆体高液位仍未下降。[B01；S03第6.1.1条]</w:t>
      </w:r>
    </w:p>
    <w:p>
      <w:pPr>
        <w:pStyle w:val="BodyText"/>
      </w:pPr>
      <w:r>
        <w:t xml:space="preserve">开挖前将水位降低至安全工况。参照征求意见稿第6.3.5条，单元渗滤液水位控制在开挖单元底部以下1—2米，并以稳定验算复核抽排和开挖进度。地下水抽提和堆体渗滤液抽排采用可识别的独立系统，防止不同污染程度水体无序混合。[S03；S07]</w:t>
      </w:r>
    </w:p>
    <w:p>
      <w:pPr>
        <w:pStyle w:val="BodyText"/>
      </w:pPr>
      <w:r>
        <w:drawing>
          <wp:inline>
            <wp:extent cx="6108700" cy="2748915"/>
            <wp:effectExtent b="0" l="0" r="0" t="0"/>
            <wp:docPr descr="水系统" title="" id="57" name="Picture"/>
            <a:graphic>
              <a:graphicData uri="http://schemas.openxmlformats.org/drawingml/2006/picture">
                <pic:pic>
                  <pic:nvPicPr>
                    <pic:cNvPr descr="../figures/05_water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48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color w:val="5F7179"/>
          <w:sz w:val="18"/>
        </w:rPr>
        <w:t xml:space="preserve">图5　拟建水系统关系。浓缩液不是已经达标的产水，禁止把其独立去向省略。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1887"/>
        <w:gridCol w:w="3690"/>
        <w:gridCol w:w="4060"/>
      </w:tblGrid>
      <w:tr>
        <w:trPr>
          <w:tblHeader w:val="on"/>
          <w:cantSplit/>
          <w:tblHeader w:val="true"/>
        </w:trPr>
        <w:tc>
          <w:tcPr>
            <w:tcW w:type="dxa" w:w="1887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液体环节</w:t>
            </w:r>
          </w:p>
        </w:tc>
        <w:tc>
          <w:tcPr>
            <w:tcW w:type="dxa" w:w="3690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本项目措施</w:t>
            </w:r>
          </w:p>
        </w:tc>
        <w:tc>
          <w:tcPr>
            <w:tcW w:type="dxa" w:w="4060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核验与运行条件</w:t>
            </w:r>
          </w:p>
        </w:tc>
      </w:tr>
      <w:tr>
        <w:trPr>
          <w:cantSplit/>
        </w:trPr>
        <w:tc>
          <w:tcPr>
            <w:tcW w:type="dxa" w:w="188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清污分流</w:t>
            </w:r>
          </w:p>
        </w:tc>
        <w:tc>
          <w:tcPr>
            <w:tcW w:type="dxa" w:w="3690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库区外截洪绕行；作业区降雨、沥水、洗车及设备冲洗水进入污染水收集系统</w:t>
            </w:r>
          </w:p>
        </w:tc>
        <w:tc>
          <w:tcPr>
            <w:tcW w:type="dxa" w:w="4060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每日巡查连通、堵塞、围堰及膜破损；雨前复核</w:t>
            </w:r>
          </w:p>
        </w:tc>
      </w:tr>
      <w:tr>
        <w:trPr>
          <w:cantSplit/>
        </w:trPr>
        <w:tc>
          <w:tcPr>
            <w:tcW w:type="dxa" w:w="188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调节和应急</w:t>
            </w:r>
          </w:p>
        </w:tc>
        <w:tc>
          <w:tcPr>
            <w:tcW w:type="dxa" w:w="3690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核定实有液量、可用调蓄及应急余量，设置液位监控、备用泵和供电</w:t>
            </w:r>
          </w:p>
        </w:tc>
        <w:tc>
          <w:tcPr>
            <w:tcW w:type="dxa" w:w="4060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不能以30000立方米设计容积直接当作可用应急池容</w:t>
            </w:r>
          </w:p>
        </w:tc>
      </w:tr>
      <w:tr>
        <w:trPr>
          <w:cantSplit/>
        </w:trPr>
        <w:tc>
          <w:tcPr>
            <w:tcW w:type="dxa" w:w="188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现有DTRO</w:t>
            </w:r>
          </w:p>
        </w:tc>
        <w:tc>
          <w:tcPr>
            <w:tcW w:type="dxa" w:w="3690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评价预处理、膜污染、供电、停机、产水水质和浓缩液负荷</w:t>
            </w:r>
          </w:p>
        </w:tc>
        <w:tc>
          <w:tcPr>
            <w:tcW w:type="dxa" w:w="4060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180、300吨/日名义规模经实际连续运行核定，避免未经试验扩载</w:t>
            </w:r>
          </w:p>
        </w:tc>
      </w:tr>
      <w:tr>
        <w:trPr>
          <w:cantSplit/>
        </w:trPr>
        <w:tc>
          <w:tcPr>
            <w:tcW w:type="dxa" w:w="188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新增处理</w:t>
            </w:r>
          </w:p>
        </w:tc>
        <w:tc>
          <w:tcPr>
            <w:tcW w:type="dxa" w:w="3690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根据新增污染负荷比选扩建、临时设施及合法外部接收；按本场原水中试</w:t>
            </w:r>
          </w:p>
        </w:tc>
        <w:tc>
          <w:tcPr>
            <w:tcW w:type="dxa" w:w="4060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接收厂正常运行和处理效果不得受影响；设施和程序先于新增开挖</w:t>
            </w:r>
          </w:p>
        </w:tc>
      </w:tr>
      <w:tr>
        <w:trPr>
          <w:cantSplit/>
        </w:trPr>
        <w:tc>
          <w:tcPr>
            <w:tcW w:type="dxa" w:w="188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纳管产水</w:t>
            </w:r>
          </w:p>
        </w:tc>
        <w:tc>
          <w:tcPr>
            <w:tcW w:type="dxa" w:w="3690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核对排水许可、污水厂接收条件、合法合同及适用排放限值</w:t>
            </w:r>
          </w:p>
        </w:tc>
        <w:tc>
          <w:tcPr>
            <w:tcW w:type="dxa" w:w="4060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按GB 16889第9.2条执行间接排放要求及更严格许可条件；资料中的表2口径不自动替代现行纳管要求</w:t>
            </w:r>
          </w:p>
        </w:tc>
      </w:tr>
      <w:tr>
        <w:trPr>
          <w:cantSplit/>
        </w:trPr>
        <w:tc>
          <w:tcPr>
            <w:tcW w:type="dxa" w:w="188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膜浓缩液</w:t>
            </w:r>
          </w:p>
        </w:tc>
        <w:tc>
          <w:tcPr>
            <w:tcW w:type="dxa" w:w="3690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独立储存、计量、运输和接收回执；核查固废及危险废物属性</w:t>
            </w:r>
          </w:p>
        </w:tc>
        <w:tc>
          <w:tcPr>
            <w:tcW w:type="dxa" w:w="4060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GB 34330附录A.3明确列出膜浓缩液；结合第8.1条等适用条件核定管理方式，不一概认定危废</w:t>
            </w:r>
          </w:p>
        </w:tc>
      </w:tr>
      <w:tr>
        <w:trPr>
          <w:cantSplit/>
        </w:trPr>
        <w:tc>
          <w:tcPr>
            <w:tcW w:type="dxa" w:w="188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处理残渣和污泥</w:t>
            </w:r>
          </w:p>
        </w:tc>
        <w:tc>
          <w:tcPr>
            <w:tcW w:type="dxa" w:w="3690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按来源、属性分类，防渗、防雨、规范台账和转移</w:t>
            </w:r>
          </w:p>
        </w:tc>
        <w:tc>
          <w:tcPr>
            <w:tcW w:type="dxa" w:w="4060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接收许可覆盖对应类别；禁止混入普通土料和细料</w:t>
            </w:r>
          </w:p>
        </w:tc>
      </w:tr>
    </w:tbl>
    <w:p>
      <w:pPr>
        <w:pStyle w:val="BodyText"/>
      </w:pPr>
      <w:r>
        <w:t xml:space="preserve">依据：S02第9.2条；S03第6.1、6.4条；S08；S09。原资料记载过去有浓缩液回灌，本项目不以回灌作为减少外运的默认措施。任何变更均须满足现行标准、许可和污染风险控制要求。</w:t>
      </w:r>
    </w:p>
    <w:bookmarkEnd w:id="59"/>
    <w:bookmarkStart w:id="60" w:name="Xd44350cdb37ac1cc3b999e69499a4a91b050860"/>
    <w:p>
      <w:pPr>
        <w:pStyle w:val="Heading3"/>
      </w:pPr>
      <w:r>
        <w:t xml:space="preserve">7.3 气体、恶臭、颗粒物与安全控制</w:t>
      </w:r>
    </w:p>
    <w:p>
      <w:pPr>
        <w:pStyle w:val="FirstParagraph"/>
      </w:pPr>
      <w:r>
        <w:t xml:space="preserve">先调查填埋气体、垃圾稳定化和水位，针对尚不符合开挖条件的区域实施抽气或经验证的好氧预处理。注气前识别自热、火灾和边坡风险；设置温度、气体与系统运行监控，异常时停止注气、隔离并采用专项措施，防止把环境治理变为火灾风险。[S03第5.2、6.2条；本项目风险控制设计]</w:t>
      </w:r>
    </w:p>
    <w:p>
      <w:pPr>
        <w:pStyle w:val="BodyText"/>
      </w:pPr>
      <w:r>
        <w:t xml:space="preserve">开挖区采取膜下抽气、缩小作业面、及时覆盖和适配除臭；筛分车间采用密闭、防渗、局部集气及集中处理，物料传输和装卸控制散逸。通风除臭系统同时开展防爆和职业健康评估，不以增加抽风代替人员保护。治理车间按垃圾性质选择除尘和臭气处理工艺，避免高尘负荷、湿气和腐蚀性气体造成设施失效。[S03第6.1.3、6.2.4、6.3.6、6.4.4—6.4.5条]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2037"/>
        <w:gridCol w:w="3441"/>
        <w:gridCol w:w="4160"/>
      </w:tblGrid>
      <w:tr>
        <w:trPr>
          <w:tblHeader w:val="on"/>
          <w:cantSplit/>
          <w:tblHeader w:val="true"/>
        </w:trPr>
        <w:tc>
          <w:tcPr>
            <w:tcW w:type="dxa" w:w="2037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技术参数或措施</w:t>
            </w:r>
          </w:p>
        </w:tc>
        <w:tc>
          <w:tcPr>
            <w:tcW w:type="dxa" w:w="3441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官方参考内容</w:t>
            </w:r>
          </w:p>
        </w:tc>
        <w:tc>
          <w:tcPr>
            <w:tcW w:type="dxa" w:w="4160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本项目适用说明</w:t>
            </w:r>
          </w:p>
        </w:tc>
      </w:tr>
      <w:tr>
        <w:trPr>
          <w:cantSplit/>
        </w:trPr>
        <w:tc>
          <w:tcPr>
            <w:tcW w:type="dxa" w:w="203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预处理气体核验</w:t>
            </w:r>
          </w:p>
        </w:tc>
        <w:tc>
          <w:tcPr>
            <w:tcW w:type="dxa" w:w="344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停止抽注气24小时后检测注气井和抽气井甲烷，预处理要求低于5%</w:t>
            </w:r>
          </w:p>
        </w:tc>
        <w:tc>
          <w:tcPr>
            <w:tcW w:type="dxa" w:w="4160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S03第6.2.1条；仅为稿件中的堆体预处理指标，不能作为人员进入或机械安全阈值</w:t>
            </w:r>
          </w:p>
        </w:tc>
      </w:tr>
      <w:tr>
        <w:trPr>
          <w:cantSplit/>
        </w:trPr>
        <w:tc>
          <w:tcPr>
            <w:tcW w:type="dxa" w:w="203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预处理期限</w:t>
            </w:r>
          </w:p>
        </w:tc>
        <w:tc>
          <w:tcPr>
            <w:tcW w:type="dxa" w:w="344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根据甲烷和含水情况确定，不低于12天</w:t>
            </w:r>
          </w:p>
        </w:tc>
        <w:tc>
          <w:tcPr>
            <w:tcW w:type="dxa" w:w="4160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S03第6.2.6条；达到天数不自动具备开挖许可</w:t>
            </w:r>
          </w:p>
        </w:tc>
      </w:tr>
      <w:tr>
        <w:trPr>
          <w:cantSplit/>
        </w:trPr>
        <w:tc>
          <w:tcPr>
            <w:tcW w:type="dxa" w:w="203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预处理层深</w:t>
            </w:r>
          </w:p>
        </w:tc>
        <w:tc>
          <w:tcPr>
            <w:tcW w:type="dxa" w:w="344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宜分层，深度宜5—6米</w:t>
            </w:r>
          </w:p>
        </w:tc>
        <w:tc>
          <w:tcPr>
            <w:tcW w:type="dxa" w:w="4160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S03第6.2.3条；结合场地液位、结构和工艺试验采用</w:t>
            </w:r>
          </w:p>
        </w:tc>
      </w:tr>
      <w:tr>
        <w:trPr>
          <w:cantSplit/>
        </w:trPr>
        <w:tc>
          <w:tcPr>
            <w:tcW w:type="dxa" w:w="203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作业面气体监测</w:t>
            </w:r>
          </w:p>
        </w:tc>
        <w:tc>
          <w:tcPr>
            <w:tcW w:type="dxa" w:w="344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作业面上2米范围1—3点，至少每日1次，甲烷超过1%加密</w:t>
            </w:r>
          </w:p>
        </w:tc>
        <w:tc>
          <w:tcPr>
            <w:tcW w:type="dxa" w:w="4160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S03第7.3条；环境监测最低技术参考，独立安全监测按安全设计连续或更严格执行</w:t>
            </w:r>
          </w:p>
        </w:tc>
      </w:tr>
      <w:tr>
        <w:trPr>
          <w:cantSplit/>
        </w:trPr>
        <w:tc>
          <w:tcPr>
            <w:tcW w:type="dxa" w:w="203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工艺密闭</w:t>
            </w:r>
          </w:p>
        </w:tc>
        <w:tc>
          <w:tcPr>
            <w:tcW w:type="dxa" w:w="344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沥水、筛分、暂存设施防雨、防渗、集气；输送和装卸防散逸</w:t>
            </w:r>
          </w:p>
        </w:tc>
        <w:tc>
          <w:tcPr>
            <w:tcW w:type="dxa" w:w="4160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S03第6.4条；除臭故障、明显散逸时暂停新增物料</w:t>
            </w:r>
          </w:p>
        </w:tc>
      </w:tr>
    </w:tbl>
    <w:p>
      <w:pPr>
        <w:pStyle w:val="BodyText"/>
      </w:pPr>
      <w:r>
        <w:t xml:space="preserve">人员作业采用独立的可燃气体、氧气及有毒气体检测报警和安全作业制度，由专项设计明确职业接触限值、报警设定、受限空间许可、机械防爆和应急疏散条件。任何井池进入作业不得用征求意见稿的5%或1%甲烷指标替代安全许可判断。[S03第6.1.6、6.3.6（3）条]</w:t>
      </w:r>
    </w:p>
    <w:bookmarkEnd w:id="60"/>
    <w:bookmarkStart w:id="61" w:name="X926ab974f4a9096ff21d2ac72d3257ae993fb47"/>
    <w:p>
      <w:pPr>
        <w:pStyle w:val="Heading3"/>
      </w:pPr>
      <w:r>
        <w:t xml:space="preserve">7.4 开挖层厚、场底保护与稳定</w:t>
      </w:r>
    </w:p>
    <w:p>
      <w:pPr>
        <w:pStyle w:val="FirstParagraph"/>
      </w:pPr>
      <w:r>
        <w:t xml:space="preserve">开挖按从上到下、从高到低、分区分层作业，依据岩土调查和专项验算确定边坡、作业面、机械荷载和层厚。参照征求意见稿第6.3.5条，一般分层厚度不超过5米；本项目不预设整场一次挖到底，深度与地形不明确前不设计大面积深基坑。每次改变液位或开挖形态，复核相邻堆体、坝体和临时支护的稳定。[S03；S06三（五）]</w:t>
      </w:r>
    </w:p>
    <w:p>
      <w:pPr>
        <w:pStyle w:val="BodyText"/>
      </w:pPr>
      <w:r>
        <w:t xml:space="preserve">每日结束作业及时覆膜并完善临时截排水。剥离的未污染覆土与垃圾分开暂存；污染覆土不得冒充干净土。对有人工防渗衬层的区域，接近场底1米时加强监控、降低机械破坏风险，垃圾清除后再按方案处理衬层；对无人工衬层的区域，清查明显污染土，并根据调查、风险和修复目标治理。[S03第6.3.3—6.3.4、6.3.8条；S12]</w:t>
      </w:r>
    </w:p>
    <w:bookmarkEnd w:id="61"/>
    <w:bookmarkStart w:id="65" w:name="X5a744d00ff3129ba5c2b1d87ed493203c381470"/>
    <w:p>
      <w:pPr>
        <w:pStyle w:val="Heading3"/>
      </w:pPr>
      <w:r>
        <w:t xml:space="preserve">7.5 沥水、筛分与固体去向</w:t>
      </w:r>
    </w:p>
    <w:p>
      <w:pPr>
        <w:pStyle w:val="FirstParagraph"/>
      </w:pPr>
      <w:r>
        <w:t xml:space="preserve">当含水率大于40%时，参照稿件第6.4.3条先沥水后筛分；沥水全部收集处理。筛分设施设防渗地面、收集沟、防雨和集气，按来源单元批次处理和计量。产物设置明确分区、标识和库存上限，库存上限由可用设施、合法接收日量和经审批的贮存条件核定；末端拒收或库存达到控制值，减少或停止新增开挖，不依赖露天扩大堆场。[S03第6.3.1、6.4条]</w:t>
      </w:r>
    </w:p>
    <w:p>
      <w:pPr>
        <w:pStyle w:val="BodyText"/>
      </w:pPr>
      <w:r>
        <w:drawing>
          <wp:inline>
            <wp:extent cx="6108700" cy="2748915"/>
            <wp:effectExtent b="0" l="0" r="0" t="0"/>
            <wp:docPr descr="产物去向" title="" id="63" name="Picture"/>
            <a:graphic>
              <a:graphicData uri="http://schemas.openxmlformats.org/drawingml/2006/picture">
                <pic:pic>
                  <pic:nvPicPr>
                    <pic:cNvPr descr="../figures/06_disposal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48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color w:val="5F7179"/>
          <w:sz w:val="18"/>
        </w:rPr>
        <w:t xml:space="preserve">图6　拟采用分类去向。GB 36600风险筛选、固废属性和实际使用条件分别核验。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2142"/>
        <w:gridCol w:w="3413"/>
        <w:gridCol w:w="4083"/>
      </w:tblGrid>
      <w:tr>
        <w:trPr>
          <w:tblHeader w:val="on"/>
          <w:cantSplit/>
          <w:tblHeader w:val="true"/>
        </w:trPr>
        <w:tc>
          <w:tcPr>
            <w:tcW w:type="dxa" w:w="2142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产物</w:t>
            </w:r>
          </w:p>
        </w:tc>
        <w:tc>
          <w:tcPr>
            <w:tcW w:type="dxa" w:w="3413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检测及核验</w:t>
            </w:r>
          </w:p>
        </w:tc>
        <w:tc>
          <w:tcPr>
            <w:tcW w:type="dxa" w:w="4083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去向与失败时处理</w:t>
            </w:r>
          </w:p>
        </w:tc>
      </w:tr>
      <w:tr>
        <w:trPr>
          <w:cantSplit/>
        </w:trPr>
        <w:tc>
          <w:tcPr>
            <w:tcW w:type="dxa" w:w="214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轻质可燃物</w:t>
            </w:r>
          </w:p>
        </w:tc>
        <w:tc>
          <w:tcPr>
            <w:tcW w:type="dxa" w:w="341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批次含水、热值及接收设施规定的氯等指标，确认许可和余量</w:t>
            </w:r>
          </w:p>
        </w:tc>
        <w:tc>
          <w:tcPr>
            <w:tcW w:type="dxa" w:w="408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接收厂满足要求后焚烧等合法处置；不满足条件时调整预处理或其他合规路径</w:t>
            </w:r>
          </w:p>
        </w:tc>
      </w:tr>
      <w:tr>
        <w:trPr>
          <w:cantSplit/>
        </w:trPr>
        <w:tc>
          <w:tcPr>
            <w:tcW w:type="dxa" w:w="214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金属</w:t>
            </w:r>
          </w:p>
        </w:tc>
        <w:tc>
          <w:tcPr>
            <w:tcW w:type="dxa" w:w="341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分离纯度、附着污染及渠道合规</w:t>
            </w:r>
          </w:p>
        </w:tc>
        <w:tc>
          <w:tcPr>
            <w:tcW w:type="dxa" w:w="408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按合规回收渠道利用，合同和计量留痕</w:t>
            </w:r>
          </w:p>
        </w:tc>
      </w:tr>
      <w:tr>
        <w:trPr>
          <w:cantSplit/>
        </w:trPr>
        <w:tc>
          <w:tcPr>
            <w:tcW w:type="dxa" w:w="214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无机惰性物</w:t>
            </w:r>
          </w:p>
        </w:tc>
        <w:tc>
          <w:tcPr>
            <w:tcW w:type="dxa" w:w="341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粒径、工程性能、污染特征、用途和属性</w:t>
            </w:r>
          </w:p>
        </w:tc>
        <w:tc>
          <w:tcPr>
            <w:tcW w:type="dxa" w:w="408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满足实际工程及管理条件方可利用；否则合法处置</w:t>
            </w:r>
          </w:p>
        </w:tc>
      </w:tr>
      <w:tr>
        <w:trPr>
          <w:cantSplit/>
        </w:trPr>
        <w:tc>
          <w:tcPr>
            <w:tcW w:type="dxa" w:w="214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筛下细料</w:t>
            </w:r>
          </w:p>
        </w:tc>
        <w:tc>
          <w:tcPr>
            <w:tcW w:type="dxa" w:w="341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按批次评估有机物、污染特征及拟利用性能；核查固废属性和用途标准</w:t>
            </w:r>
          </w:p>
        </w:tc>
        <w:tc>
          <w:tcPr>
            <w:tcW w:type="dxa" w:w="408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不得只凭GB 36600第二类筛选值外运回填；无合法利用出路时按核准路径处置</w:t>
            </w:r>
          </w:p>
        </w:tc>
      </w:tr>
      <w:tr>
        <w:trPr>
          <w:cantSplit/>
        </w:trPr>
        <w:tc>
          <w:tcPr>
            <w:tcW w:type="dxa" w:w="214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疑似飞灰、医疗残渣或其他异常废物</w:t>
            </w:r>
          </w:p>
        </w:tc>
        <w:tc>
          <w:tcPr>
            <w:tcW w:type="dxa" w:w="341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单独隔离，识别来源并依法鉴别；禁止再混合稀释</w:t>
            </w:r>
          </w:p>
        </w:tc>
        <w:tc>
          <w:tcPr>
            <w:tcW w:type="dxa" w:w="408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依据最终属性与适用要求选择有相应能力、许可的设施，履行转移监管</w:t>
            </w:r>
          </w:p>
        </w:tc>
      </w:tr>
      <w:tr>
        <w:trPr>
          <w:cantSplit/>
        </w:trPr>
        <w:tc>
          <w:tcPr>
            <w:tcW w:type="dxa" w:w="214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废膜、废管及处理残渣</w:t>
            </w:r>
          </w:p>
        </w:tc>
        <w:tc>
          <w:tcPr>
            <w:tcW w:type="dxa" w:w="341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来源记录、污染和属性判断</w:t>
            </w:r>
          </w:p>
        </w:tc>
        <w:tc>
          <w:tcPr>
            <w:tcW w:type="dxa" w:w="408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相应回收、利用或处置，不混入“清洁覆土”</w:t>
            </w:r>
          </w:p>
        </w:tc>
      </w:tr>
    </w:tbl>
    <w:p>
      <w:pPr>
        <w:pStyle w:val="BodyText"/>
      </w:pPr>
      <w:r>
        <w:t xml:space="preserve">依据：S01第511条；S03第6.3.10、6.5条；S09。项目合同预先规定拒收、退运和异常鉴别责任，任何未检验或未获实际去向的物料不得按产品出售。</w:t>
      </w:r>
    </w:p>
    <w:bookmarkEnd w:id="65"/>
    <w:bookmarkStart w:id="66" w:name="Xff5372444df2a1008d5a560558ccd0ffc7268ba"/>
    <w:p>
      <w:pPr>
        <w:pStyle w:val="Heading3"/>
      </w:pPr>
      <w:r>
        <w:t xml:space="preserve">7.6 土壤与地下水治理</w:t>
      </w:r>
    </w:p>
    <w:p>
      <w:pPr>
        <w:pStyle w:val="FirstParagraph"/>
      </w:pPr>
      <w:r>
        <w:t xml:space="preserve">地下水调查以水文地质关系和背景值为基础，区分历史污染、施工影响和本地背景。若发现污染或进一步扩散迹象，及时查找渗漏、地下水通道及高液位问题，可经论证采取抽提处理、堆体排水、防渗修补或垂直阻隔等措施，措施须与水量处置能力和地下水流场评估衔接。[S02第7.10条；S03第6.1.5条；S07]</w:t>
      </w:r>
    </w:p>
    <w:p>
      <w:pPr>
        <w:pStyle w:val="BodyText"/>
      </w:pPr>
      <w:r>
        <w:t xml:space="preserve">场底污染土按调查及风险评估确定治理范围、目标和修复技术，不把所有场底土直接外运，也不因垃圾已经移走即认定土壤无风险。修复后由规定的效果评估程序验证。地下水恢复可能晚于垃圾清运，项目保留后续监测、抽提或管控预算和责任，按评估结果调整维护期限。[S06；S12—S13]</w:t>
      </w:r>
    </w:p>
    <w:bookmarkEnd w:id="66"/>
    <w:bookmarkStart w:id="67" w:name="X9dd86430dc5811a3dce718b4f00d7caa6d185e0"/>
    <w:p>
      <w:pPr>
        <w:pStyle w:val="Heading3"/>
      </w:pPr>
      <w:r>
        <w:t xml:space="preserve">7.7 噪声、运输及天气防护</w:t>
      </w:r>
    </w:p>
    <w:p>
      <w:pPr>
        <w:pStyle w:val="FirstParagraph"/>
      </w:pPr>
      <w:r>
        <w:t xml:space="preserve">建筑施工噪声按GB 12523—2025第4章执行，一般场界昼间70、夜间55分贝，夜间最大声级超限幅度不高于15分贝；测点无法在场界测量或需在敏感建筑室内测量时，按相应条款确定位置及修正评价，不机械套用普通场界限值。[S10第4.1—4.4条]</w:t>
      </w:r>
    </w:p>
    <w:p>
      <w:pPr>
        <w:pStyle w:val="BodyText"/>
      </w:pPr>
      <w:r>
        <w:t xml:space="preserve">场内运输与外运采用密闭、防遗撒车辆，出入口设底盘车轮冲洗和除臭，冲洗水进入污染水系统。路线核查居民点、学校、交通承载及敏感时段，减少集中排队和夜间扰民；异常投诉、道路遗撒与异味记录联动作业管理。[S03第6.3.6、6.5.4条；本项目运输管理安排]</w:t>
      </w:r>
    </w:p>
    <w:p>
      <w:pPr>
        <w:pStyle w:val="BodyText"/>
      </w:pPr>
      <w:r>
        <w:t xml:space="preserve">台风、暴雨前检查截洪、膜锚固、边坡、液位、备用电源及调蓄。天气达到专项方案停工条件时停止开挖和高风险设备作业，保留必要安全运维；雨后复核位移、积水、收集系统和气体再恢复作业。设计降雨与警戒值由专项设计采用实际气象和工程资料确定，不凭经验虚设。</w:t>
      </w:r>
    </w:p>
    <w:bookmarkEnd w:id="67"/>
    <w:bookmarkEnd w:id="68"/>
    <w:bookmarkStart w:id="74" w:name="Xb21dcaffdd34c919b3d0d80f93794c7ebca616e"/>
    <w:p>
      <w:pPr>
        <w:pStyle w:val="Heading2"/>
        <w:pageBreakBefore/>
      </w:pPr>
      <w:r>
        <w:t xml:space="preserve">8 环境监测、风险与应急管理</w:t>
      </w:r>
    </w:p>
    <w:bookmarkStart w:id="69" w:name="X87cbd9f8281cd191d75b47a66f38c263a7de802"/>
    <w:p>
      <w:pPr>
        <w:pStyle w:val="Heading3"/>
      </w:pPr>
      <w:r>
        <w:t xml:space="preserve">8.1 分阶段监测</w:t>
      </w:r>
    </w:p>
    <w:p>
      <w:pPr>
        <w:pStyle w:val="FirstParagraph"/>
      </w:pPr>
      <w:r>
        <w:t xml:space="preserve">治理前取得连续历史资料与现状基线；施工期间同时监测排放、地下水、气体、位移和液位；完成单元及竣工后按效果评估和后期维护要求开展监测。监测记录与作业单元、开挖量、天气、设施工况对应，使异常变化能够溯源。[S02；S03第7—8章；S12]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1877"/>
        <w:gridCol w:w="4182"/>
        <w:gridCol w:w="3579"/>
      </w:tblGrid>
      <w:tr>
        <w:trPr>
          <w:tblHeader w:val="on"/>
          <w:cantSplit/>
          <w:tblHeader w:val="true"/>
        </w:trPr>
        <w:tc>
          <w:tcPr>
            <w:tcW w:type="dxa" w:w="1877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对象</w:t>
            </w:r>
          </w:p>
        </w:tc>
        <w:tc>
          <w:tcPr>
            <w:tcW w:type="dxa" w:w="4182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施工期拟采用安排</w:t>
            </w:r>
          </w:p>
        </w:tc>
        <w:tc>
          <w:tcPr>
            <w:tcW w:type="dxa" w:w="3579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依据及控制动作</w:t>
            </w:r>
          </w:p>
        </w:tc>
      </w:tr>
      <w:tr>
        <w:trPr>
          <w:cantSplit/>
        </w:trPr>
        <w:tc>
          <w:tcPr>
            <w:tcW w:type="dxa" w:w="187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地下水</w:t>
            </w:r>
          </w:p>
        </w:tc>
        <w:tc>
          <w:tcPr>
            <w:tcW w:type="dxa" w:w="418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利用合格既有井，必要时补井；按稿件至少每周1次，异常加密</w:t>
            </w:r>
          </w:p>
        </w:tc>
        <w:tc>
          <w:tcPr>
            <w:tcW w:type="dxa" w:w="357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S03第7.2条；指标遵守GB 16889；结合背景及流向判别，查因并阻止扩散</w:t>
            </w:r>
          </w:p>
        </w:tc>
      </w:tr>
      <w:tr>
        <w:trPr>
          <w:cantSplit/>
        </w:trPr>
        <w:tc>
          <w:tcPr>
            <w:tcW w:type="dxa" w:w="187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甲烷及安全气体</w:t>
            </w:r>
          </w:p>
        </w:tc>
        <w:tc>
          <w:tcPr>
            <w:tcW w:type="dxa" w:w="418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环境监测采用稿件1—3点、至少每日1次及超过1%加密；安全报警按专项方案更严格实施</w:t>
            </w:r>
          </w:p>
        </w:tc>
        <w:tc>
          <w:tcPr>
            <w:tcW w:type="dxa" w:w="357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S03第7.3及6.3.6（3）条；安全异常立即停工隔离</w:t>
            </w:r>
          </w:p>
        </w:tc>
      </w:tr>
      <w:tr>
        <w:trPr>
          <w:cantSplit/>
        </w:trPr>
        <w:tc>
          <w:tcPr>
            <w:tcW w:type="dxa" w:w="187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有组织恶臭及无组织排放</w:t>
            </w:r>
          </w:p>
        </w:tc>
        <w:tc>
          <w:tcPr>
            <w:tcW w:type="dxa" w:w="418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按稿件至少每月1次，敏感点或扰民情况增设在线监测，许可有更严规定的执行更严要求</w:t>
            </w:r>
          </w:p>
        </w:tc>
        <w:tc>
          <w:tcPr>
            <w:tcW w:type="dxa" w:w="357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S03第7.4条；异常暂停相关新增作业并复核除臭</w:t>
            </w:r>
          </w:p>
        </w:tc>
      </w:tr>
      <w:tr>
        <w:trPr>
          <w:cantSplit/>
        </w:trPr>
        <w:tc>
          <w:tcPr>
            <w:tcW w:type="dxa" w:w="187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处理水与浓缩液</w:t>
            </w:r>
          </w:p>
        </w:tc>
        <w:tc>
          <w:tcPr>
            <w:tcW w:type="dxa" w:w="418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保持既有在线及自行监测，按实际新增工况、许可和接收条件调整；分别计量</w:t>
            </w:r>
          </w:p>
        </w:tc>
        <w:tc>
          <w:tcPr>
            <w:tcW w:type="dxa" w:w="357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S02第9.2条；接收能力、产水指标与库存联动控制</w:t>
            </w:r>
          </w:p>
        </w:tc>
      </w:tr>
      <w:tr>
        <w:trPr>
          <w:cantSplit/>
        </w:trPr>
        <w:tc>
          <w:tcPr>
            <w:tcW w:type="dxa" w:w="187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位移及水位</w:t>
            </w:r>
          </w:p>
        </w:tc>
        <w:tc>
          <w:tcPr>
            <w:tcW w:type="dxa" w:w="418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维持原监测，开挖变化和暴雨工况加密；频次与警戒按专项设计</w:t>
            </w:r>
          </w:p>
        </w:tc>
        <w:tc>
          <w:tcPr>
            <w:tcW w:type="dxa" w:w="357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S02第7.8条、S03第6.3.2条；异常停止危险单元</w:t>
            </w:r>
          </w:p>
        </w:tc>
      </w:tr>
      <w:tr>
        <w:trPr>
          <w:cantSplit/>
        </w:trPr>
        <w:tc>
          <w:tcPr>
            <w:tcW w:type="dxa" w:w="187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噪声及运输</w:t>
            </w:r>
          </w:p>
        </w:tc>
        <w:tc>
          <w:tcPr>
            <w:tcW w:type="dxa" w:w="418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按GB 12523—2025规定测点和方法，重点关注敏感时段、投诉和工况变化</w:t>
            </w:r>
          </w:p>
        </w:tc>
        <w:tc>
          <w:tcPr>
            <w:tcW w:type="dxa" w:w="357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S10；采取隔声、维修、错峰和路线调整</w:t>
            </w:r>
          </w:p>
        </w:tc>
      </w:tr>
    </w:tbl>
    <w:p>
      <w:pPr>
        <w:pStyle w:val="BodyText"/>
      </w:pPr>
      <w:r>
        <w:t xml:space="preserve">上述稿件频次作为本项目拟采用技术参考，并不意味着该稿件已生效；环境监测不能替代职业健康、安全生产监测。项目按实际许可和主管部门要求确定最终方案。</w:t>
      </w:r>
    </w:p>
    <w:bookmarkEnd w:id="69"/>
    <w:bookmarkStart w:id="73" w:name="Xa6d9daf88059a34b5bfac8c0eaa5d3cc33806a7"/>
    <w:p>
      <w:pPr>
        <w:pStyle w:val="Heading3"/>
      </w:pPr>
      <w:r>
        <w:t xml:space="preserve">8.2 具体风险点和应对</w:t>
      </w:r>
    </w:p>
    <w:p>
      <w:pPr>
        <w:pStyle w:val="FirstParagraph"/>
      </w:pPr>
      <w:r>
        <w:drawing>
          <wp:inline>
            <wp:extent cx="6108700" cy="2748915"/>
            <wp:effectExtent b="0" l="0" r="0" t="0"/>
            <wp:docPr descr="异常处置" title="" id="71" name="Picture"/>
            <a:graphic>
              <a:graphicData uri="http://schemas.openxmlformats.org/drawingml/2006/picture">
                <pic:pic>
                  <pic:nvPicPr>
                    <pic:cNvPr descr="../figures/09_stop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48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color w:val="5F7179"/>
          <w:sz w:val="18"/>
        </w:rPr>
        <w:t xml:space="preserve">图7　发现异常后的项目控制程序。恢复作业须满足纠偏、复核和记录要求，不能只凭进度需要恢复。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2288"/>
        <w:gridCol w:w="4038"/>
        <w:gridCol w:w="3312"/>
      </w:tblGrid>
      <w:tr>
        <w:trPr>
          <w:tblHeader w:val="on"/>
          <w:cantSplit/>
          <w:tblHeader w:val="true"/>
        </w:trPr>
        <w:tc>
          <w:tcPr>
            <w:tcW w:type="dxa" w:w="2288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风险点与触发迹象</w:t>
            </w:r>
          </w:p>
        </w:tc>
        <w:tc>
          <w:tcPr>
            <w:tcW w:type="dxa" w:w="4038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处置措施</w:t>
            </w:r>
          </w:p>
        </w:tc>
        <w:tc>
          <w:tcPr>
            <w:tcW w:type="dxa" w:w="3312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责任安排与复核成果</w:t>
            </w:r>
          </w:p>
        </w:tc>
      </w:tr>
      <w:tr>
        <w:trPr>
          <w:cantSplit/>
        </w:trPr>
        <w:tc>
          <w:tcPr>
            <w:tcW w:type="dxa" w:w="228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内部积液或外溢，液位升高、收集堵塞</w:t>
            </w:r>
          </w:p>
        </w:tc>
        <w:tc>
          <w:tcPr>
            <w:tcW w:type="dxa" w:w="403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停止新开挖和新增污染负荷；启用抽排、备用设施和合法应急接收，检修防渗导排</w:t>
            </w:r>
          </w:p>
        </w:tc>
        <w:tc>
          <w:tcPr>
            <w:tcW w:type="dxa" w:w="331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施工及运维单位处置，监理核查；形成液位、水量和去向记录</w:t>
            </w:r>
          </w:p>
        </w:tc>
      </w:tr>
      <w:tr>
        <w:trPr>
          <w:cantSplit/>
        </w:trPr>
        <w:tc>
          <w:tcPr>
            <w:tcW w:type="dxa" w:w="228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甲烷、有毒气体或低氧报警</w:t>
            </w:r>
          </w:p>
        </w:tc>
        <w:tc>
          <w:tcPr>
            <w:tcW w:type="dxa" w:w="403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停止危险区作业、疏散和隔离；核查通风抽气及气体来源，按专项安全条件复测</w:t>
            </w:r>
          </w:p>
        </w:tc>
        <w:tc>
          <w:tcPr>
            <w:tcW w:type="dxa" w:w="331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安全负责人组织，专业单位复核；保留报警、人员清点和复工记录</w:t>
            </w:r>
          </w:p>
        </w:tc>
      </w:tr>
      <w:tr>
        <w:trPr>
          <w:cantSplit/>
        </w:trPr>
        <w:tc>
          <w:tcPr>
            <w:tcW w:type="dxa" w:w="228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注气造成自热或火情</w:t>
            </w:r>
          </w:p>
        </w:tc>
        <w:tc>
          <w:tcPr>
            <w:tcW w:type="dxa" w:w="403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停止相关注气和物料作业，实施专项防火处置，防止消防污水外排</w:t>
            </w:r>
          </w:p>
        </w:tc>
        <w:tc>
          <w:tcPr>
            <w:tcW w:type="dxa" w:w="331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施工安全组及应急体系响应；气体温度和污水去向复核</w:t>
            </w:r>
          </w:p>
        </w:tc>
      </w:tr>
      <w:tr>
        <w:trPr>
          <w:cantSplit/>
        </w:trPr>
        <w:tc>
          <w:tcPr>
            <w:tcW w:type="dxa" w:w="228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边坡位移、局部坍塌或机械超载</w:t>
            </w:r>
          </w:p>
        </w:tc>
        <w:tc>
          <w:tcPr>
            <w:tcW w:type="dxa" w:w="403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撤离危险区，停止坡脚扰动；降液位、卸载、支护或坝体加固经专业论证</w:t>
            </w:r>
          </w:p>
        </w:tc>
        <w:tc>
          <w:tcPr>
            <w:tcW w:type="dxa" w:w="331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岩土技术负责人、监理；稳定复核与重新划定作业区</w:t>
            </w:r>
          </w:p>
        </w:tc>
      </w:tr>
      <w:tr>
        <w:trPr>
          <w:cantSplit/>
        </w:trPr>
        <w:tc>
          <w:tcPr>
            <w:tcW w:type="dxa" w:w="228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浓缩液渠道中断、储罐液位接近控制值</w:t>
            </w:r>
          </w:p>
        </w:tc>
        <w:tc>
          <w:tcPr>
            <w:tcW w:type="dxa" w:w="403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提前减载，不新增开挖排水；启用已核验备用渠道，核查罐体和转运能力</w:t>
            </w:r>
          </w:p>
        </w:tc>
        <w:tc>
          <w:tcPr>
            <w:tcW w:type="dxa" w:w="331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运维单位与业主协调；合法接收及库存回执</w:t>
            </w:r>
          </w:p>
        </w:tc>
      </w:tr>
      <w:tr>
        <w:trPr>
          <w:cantSplit/>
        </w:trPr>
        <w:tc>
          <w:tcPr>
            <w:tcW w:type="dxa" w:w="228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末端拒收、筛下物滞留</w:t>
            </w:r>
          </w:p>
        </w:tc>
        <w:tc>
          <w:tcPr>
            <w:tcW w:type="dxa" w:w="403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按未落实去向物料管理，停止新增开挖或对应筛分，重新试验及合同确认</w:t>
            </w:r>
          </w:p>
        </w:tc>
        <w:tc>
          <w:tcPr>
            <w:tcW w:type="dxa" w:w="331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项目处置负责人；真实接收能力和复核质量资料</w:t>
            </w:r>
          </w:p>
        </w:tc>
      </w:tr>
      <w:tr>
        <w:trPr>
          <w:cantSplit/>
        </w:trPr>
        <w:tc>
          <w:tcPr>
            <w:tcW w:type="dxa" w:w="228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飞灰、医疗残渣、油桶等异常物</w:t>
            </w:r>
          </w:p>
        </w:tc>
        <w:tc>
          <w:tcPr>
            <w:tcW w:type="dxa" w:w="403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隔离单独贮存，禁止混料和稀释；依法鉴别并转移至适配设施</w:t>
            </w:r>
          </w:p>
        </w:tc>
        <w:tc>
          <w:tcPr>
            <w:tcW w:type="dxa" w:w="331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施工、环保管理人员；鉴别报告、许可证和转移记录</w:t>
            </w:r>
          </w:p>
        </w:tc>
      </w:tr>
      <w:tr>
        <w:trPr>
          <w:cantSplit/>
        </w:trPr>
        <w:tc>
          <w:tcPr>
            <w:tcW w:type="dxa" w:w="228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地下水指标异常或污染加重</w:t>
            </w:r>
          </w:p>
        </w:tc>
        <w:tc>
          <w:tcPr>
            <w:tcW w:type="dxa" w:w="403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核查采样和背景，同时查漏；实施防渗修补、抽提或阻隔等论证措施</w:t>
            </w:r>
          </w:p>
        </w:tc>
        <w:tc>
          <w:tcPr>
            <w:tcW w:type="dxa" w:w="331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环保技术负责人及业主；趋势、流场和措施有效性核验</w:t>
            </w:r>
          </w:p>
        </w:tc>
      </w:tr>
      <w:tr>
        <w:trPr>
          <w:cantSplit/>
        </w:trPr>
        <w:tc>
          <w:tcPr>
            <w:tcW w:type="dxa" w:w="228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恶臭投诉或处理系统失效</w:t>
            </w:r>
          </w:p>
        </w:tc>
        <w:tc>
          <w:tcPr>
            <w:tcW w:type="dxa" w:w="403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缩小并覆盖作业面、停止新增物料，修复集气除臭；敏感点加密监测与反馈</w:t>
            </w:r>
          </w:p>
        </w:tc>
        <w:tc>
          <w:tcPr>
            <w:tcW w:type="dxa" w:w="331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施工及环保组；投诉闭合和复测结果</w:t>
            </w:r>
          </w:p>
        </w:tc>
      </w:tr>
      <w:tr>
        <w:trPr>
          <w:cantSplit/>
        </w:trPr>
        <w:tc>
          <w:tcPr>
            <w:tcW w:type="dxa" w:w="228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台风暴雨、停电或交通中断</w:t>
            </w:r>
          </w:p>
        </w:tc>
        <w:tc>
          <w:tcPr>
            <w:tcW w:type="dxa" w:w="403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按预案停工，保障覆膜排洪、抽排和备用供电，预留合法转运条件</w:t>
            </w:r>
          </w:p>
        </w:tc>
        <w:tc>
          <w:tcPr>
            <w:tcW w:type="dxa" w:w="331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业主应急协调、施工运维响应；雨后巡查和安全复核</w:t>
            </w:r>
          </w:p>
        </w:tc>
      </w:tr>
      <w:tr>
        <w:trPr>
          <w:cantSplit/>
        </w:trPr>
        <w:tc>
          <w:tcPr>
            <w:tcW w:type="dxa" w:w="228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工程量与价格明显偏离</w:t>
            </w:r>
          </w:p>
        </w:tc>
        <w:tc>
          <w:tcPr>
            <w:tcW w:type="dxa" w:w="403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核查测绘、称重、组分、合同边界和变更；保留原始记录，依程序调整</w:t>
            </w:r>
          </w:p>
        </w:tc>
        <w:tc>
          <w:tcPr>
            <w:tcW w:type="dxa" w:w="331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业主、监理、造价审核；避免无依据追加费用</w:t>
            </w:r>
          </w:p>
        </w:tc>
      </w:tr>
    </w:tbl>
    <w:p>
      <w:pPr>
        <w:pStyle w:val="BodyText"/>
      </w:pPr>
      <w:r>
        <w:t xml:space="preserve">本项目业主统筹突发环境事件和安全应急衔接，施工单位负责作业面处置，运维单位负责水气设施，监理核查控制条件。严重事件按法定职责及时报告并启动相应预案。[S03第8.2条；S02第7.10条]</w:t>
      </w:r>
    </w:p>
    <w:bookmarkEnd w:id="73"/>
    <w:bookmarkEnd w:id="74"/>
    <w:bookmarkStart w:id="81" w:name="X0175e5b889d8e997a7a6b279c5cec232395abfa"/>
    <w:p>
      <w:pPr>
        <w:pStyle w:val="Heading2"/>
        <w:pageBreakBefore/>
      </w:pPr>
      <w:r>
        <w:t xml:space="preserve">9 投资、运行费用与资金安排</w:t>
      </w:r>
    </w:p>
    <w:bookmarkStart w:id="75" w:name="Xf69e6452e95c0f3a1c11a8830dcc155d38ab378"/>
    <w:p>
      <w:pPr>
        <w:pStyle w:val="Heading3"/>
      </w:pPr>
      <w:r>
        <w:t xml:space="preserve">9.1 可核算的既有运行费用</w:t>
      </w:r>
    </w:p>
    <w:p>
      <w:pPr>
        <w:pStyle w:val="FirstParagraph"/>
      </w:pPr>
      <w:r>
        <w:t xml:space="preserve">场地工作资料提供平均处理170吨/日和既有服务单价115元/吨。若仅以该负荷和单价作365天折算，则年度处理量62050吨、金额7135750元，即约713.6万元/年。平均膜浓缩液20吨/日对应7300吨/年的量级折算。上述计算用于识别现有运维压力，不代表年度实际处理量、既有合同最终结算或未来开挖新增费用。浓缩液、维护、监测等是否包含在服务单价内，以合同原件为准，未核实前不另行重复计费。[B01第3页；本方案算术折算]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2469"/>
        <w:gridCol w:w="3351"/>
        <w:gridCol w:w="3818"/>
      </w:tblGrid>
      <w:tr>
        <w:trPr>
          <w:tblHeader w:val="on"/>
          <w:cantSplit/>
          <w:tblHeader w:val="true"/>
        </w:trPr>
        <w:tc>
          <w:tcPr>
            <w:tcW w:type="dxa" w:w="2469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项目</w:t>
            </w:r>
          </w:p>
        </w:tc>
        <w:tc>
          <w:tcPr>
            <w:tcW w:type="dxa" w:w="3351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计算或资料口径</w:t>
            </w:r>
          </w:p>
        </w:tc>
        <w:tc>
          <w:tcPr>
            <w:tcW w:type="dxa" w:w="3818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用途和限制</w:t>
            </w:r>
          </w:p>
        </w:tc>
      </w:tr>
      <w:tr>
        <w:trPr>
          <w:cantSplit/>
        </w:trPr>
        <w:tc>
          <w:tcPr>
            <w:tcW w:type="dxa" w:w="246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渗滤液处理量折算</w:t>
            </w:r>
          </w:p>
        </w:tc>
        <w:tc>
          <w:tcPr>
            <w:tcW w:type="dxa" w:w="335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170×365＝62050吨/年</w:t>
            </w:r>
          </w:p>
        </w:tc>
        <w:tc>
          <w:tcPr>
            <w:tcW w:type="dxa" w:w="381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仅按资料平均负荷折算；真实年度量以计量台账为准</w:t>
            </w:r>
          </w:p>
        </w:tc>
      </w:tr>
      <w:tr>
        <w:trPr>
          <w:cantSplit/>
        </w:trPr>
        <w:tc>
          <w:tcPr>
            <w:tcW w:type="dxa" w:w="246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对应服务费折算</w:t>
            </w:r>
          </w:p>
        </w:tc>
        <w:tc>
          <w:tcPr>
            <w:tcW w:type="dxa" w:w="335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62050×115＝7135750元/年</w:t>
            </w:r>
          </w:p>
        </w:tc>
        <w:tc>
          <w:tcPr>
            <w:tcW w:type="dxa" w:w="381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非年度决算；不能作为开挖综合单价</w:t>
            </w:r>
          </w:p>
        </w:tc>
      </w:tr>
      <w:tr>
        <w:trPr>
          <w:cantSplit/>
        </w:trPr>
        <w:tc>
          <w:tcPr>
            <w:tcW w:type="dxa" w:w="246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膜浓缩液量折算</w:t>
            </w:r>
          </w:p>
        </w:tc>
        <w:tc>
          <w:tcPr>
            <w:tcW w:type="dxa" w:w="335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20×365＝7300吨/年</w:t>
            </w:r>
          </w:p>
        </w:tc>
        <w:tc>
          <w:tcPr>
            <w:tcW w:type="dxa" w:w="381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浓缩液独立量级；不可与渗滤液进水量相加当作新增产水</w:t>
            </w:r>
          </w:p>
        </w:tc>
      </w:tr>
      <w:tr>
        <w:trPr>
          <w:cantSplit/>
        </w:trPr>
        <w:tc>
          <w:tcPr>
            <w:tcW w:type="dxa" w:w="246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历史封场费用</w:t>
            </w:r>
          </w:p>
        </w:tc>
        <w:tc>
          <w:tcPr>
            <w:tcW w:type="dxa" w:w="335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约1261万元，资料记载含前期</w:t>
            </w:r>
          </w:p>
        </w:tc>
        <w:tc>
          <w:tcPr>
            <w:tcW w:type="dxa" w:w="381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历史封场建设口径；不能替代存量开挖投资</w:t>
            </w:r>
          </w:p>
        </w:tc>
      </w:tr>
    </w:tbl>
    <w:bookmarkEnd w:id="75"/>
    <w:bookmarkStart w:id="79" w:name="X711527ec58604f988071d2db00ccf4627aff0c6"/>
    <w:p>
      <w:pPr>
        <w:pStyle w:val="Heading3"/>
      </w:pPr>
      <w:r>
        <w:t xml:space="preserve">9.2 开挖治理投资工作包</w:t>
      </w:r>
    </w:p>
    <w:p>
      <w:pPr>
        <w:pStyle w:val="FirstParagraph"/>
      </w:pPr>
      <w:r>
        <w:t xml:space="preserve">本项目按调查确认的工程量及合法末端价格编制投资，不套用未经核实的外地每立方米或每吨成本。170万与250万立方米未统一，湿密度、各产物比例、原水负荷、接收日量和价格均尚未取得符合本工程边界的资料，现阶段没有可核定的项目总投资或财务净收益。</w:t>
      </w:r>
    </w:p>
    <w:p>
      <w:pPr>
        <w:pStyle w:val="BodyText"/>
      </w:pPr>
      <w:r>
        <w:drawing>
          <wp:inline>
            <wp:extent cx="6108700" cy="2748915"/>
            <wp:effectExtent b="0" l="0" r="0" t="0"/>
            <wp:docPr descr="投资管理" title="" id="77" name="Picture"/>
            <a:graphic>
              <a:graphicData uri="http://schemas.openxmlformats.org/drawingml/2006/picture">
                <pic:pic>
                  <pic:nvPicPr>
                    <pic:cNvPr descr="../figures/08_budget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48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color w:val="5F7179"/>
          <w:sz w:val="18"/>
        </w:rPr>
        <w:t xml:space="preserve">图8　投资核定流程。分项费用覆盖开挖及后续治理，不以土地出让或产业利润抵减尚未落实的工程支出。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2236"/>
        <w:gridCol w:w="3679"/>
        <w:gridCol w:w="3723"/>
      </w:tblGrid>
      <w:tr>
        <w:trPr>
          <w:tblHeader w:val="on"/>
          <w:cantSplit/>
          <w:tblHeader w:val="true"/>
        </w:trPr>
        <w:tc>
          <w:tcPr>
            <w:tcW w:type="dxa" w:w="2236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投资工作包</w:t>
            </w:r>
          </w:p>
        </w:tc>
        <w:tc>
          <w:tcPr>
            <w:tcW w:type="dxa" w:w="3679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工程量或计价依据</w:t>
            </w:r>
          </w:p>
        </w:tc>
        <w:tc>
          <w:tcPr>
            <w:tcW w:type="dxa" w:w="3723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询价、合同及控制要求</w:t>
            </w:r>
          </w:p>
        </w:tc>
      </w:tr>
      <w:tr>
        <w:trPr>
          <w:cantSplit/>
        </w:trPr>
        <w:tc>
          <w:tcPr>
            <w:tcW w:type="dxa" w:w="223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前期调查评估</w:t>
            </w:r>
          </w:p>
        </w:tc>
        <w:tc>
          <w:tcPr>
            <w:tcW w:type="dxa" w:w="367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测绘、勘探采样、试验、风险评估与专项设计成果</w:t>
            </w:r>
          </w:p>
        </w:tc>
        <w:tc>
          <w:tcPr>
            <w:tcW w:type="dxa" w:w="372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按明确工作内容和检测指标报价，避免重复采购</w:t>
            </w:r>
          </w:p>
        </w:tc>
      </w:tr>
      <w:tr>
        <w:trPr>
          <w:cantSplit/>
        </w:trPr>
        <w:tc>
          <w:tcPr>
            <w:tcW w:type="dxa" w:w="2236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示范单元</w:t>
            </w:r>
          </w:p>
        </w:tc>
        <w:tc>
          <w:tcPr>
            <w:tcW w:type="dxa" w:w="367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代表性垃圾量、运行天数、检测和试接收</w:t>
            </w:r>
          </w:p>
        </w:tc>
        <w:tc>
          <w:tcPr>
            <w:tcW w:type="dxa" w:w="372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分列设施、处置和监测费；形成放大参数</w:t>
            </w:r>
          </w:p>
        </w:tc>
      </w:tr>
      <w:tr>
        <w:trPr>
          <w:cantSplit/>
        </w:trPr>
        <w:tc>
          <w:tcPr>
            <w:tcW w:type="dxa" w:w="223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开挖及场内转运</w:t>
            </w:r>
          </w:p>
        </w:tc>
        <w:tc>
          <w:tcPr>
            <w:tcW w:type="dxa" w:w="367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经核定分区体积、实测湿密度、机械和道路工况</w:t>
            </w:r>
          </w:p>
        </w:tc>
        <w:tc>
          <w:tcPr>
            <w:tcW w:type="dxa" w:w="372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体积与质量口径分别列示；计量、变更和异常物处理明确</w:t>
            </w:r>
          </w:p>
        </w:tc>
      </w:tr>
      <w:tr>
        <w:trPr>
          <w:cantSplit/>
        </w:trPr>
        <w:tc>
          <w:tcPr>
            <w:tcW w:type="dxa" w:w="2236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密闭分选及暂存</w:t>
            </w:r>
          </w:p>
        </w:tc>
        <w:tc>
          <w:tcPr>
            <w:tcW w:type="dxa" w:w="367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实际日处理量、分选配置、承载、防渗、集气及防雨设施</w:t>
            </w:r>
          </w:p>
        </w:tc>
        <w:tc>
          <w:tcPr>
            <w:tcW w:type="dxa" w:w="372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设备利用率与开挖时序匹配；拆迁和租赁比较</w:t>
            </w:r>
          </w:p>
        </w:tc>
      </w:tr>
      <w:tr>
        <w:trPr>
          <w:cantSplit/>
        </w:trPr>
        <w:tc>
          <w:tcPr>
            <w:tcW w:type="dxa" w:w="223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气体和预处理</w:t>
            </w:r>
          </w:p>
        </w:tc>
        <w:tc>
          <w:tcPr>
            <w:tcW w:type="dxa" w:w="367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需处理区域、气井、抽注设备及气体处理负荷</w:t>
            </w:r>
          </w:p>
        </w:tc>
        <w:tc>
          <w:tcPr>
            <w:tcW w:type="dxa" w:w="372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按试验验证的方案计价，包含防火安全监控</w:t>
            </w:r>
          </w:p>
        </w:tc>
      </w:tr>
      <w:tr>
        <w:trPr>
          <w:cantSplit/>
        </w:trPr>
        <w:tc>
          <w:tcPr>
            <w:tcW w:type="dxa" w:w="2236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渗滤液及浓缩液</w:t>
            </w:r>
          </w:p>
        </w:tc>
        <w:tc>
          <w:tcPr>
            <w:tcW w:type="dxa" w:w="367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存量、新增水量及污染负荷、设施和接收费用</w:t>
            </w:r>
          </w:p>
        </w:tc>
        <w:tc>
          <w:tcPr>
            <w:tcW w:type="dxa" w:w="372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分别计量；严防服务范围重复计费及合法接收不足</w:t>
            </w:r>
          </w:p>
        </w:tc>
      </w:tr>
      <w:tr>
        <w:trPr>
          <w:cantSplit/>
        </w:trPr>
        <w:tc>
          <w:tcPr>
            <w:tcW w:type="dxa" w:w="223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外运与末端处置</w:t>
            </w:r>
          </w:p>
        </w:tc>
        <w:tc>
          <w:tcPr>
            <w:tcW w:type="dxa" w:w="367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各产物实际质量×合法接收单价；路线和运输距离</w:t>
            </w:r>
          </w:p>
        </w:tc>
        <w:tc>
          <w:tcPr>
            <w:tcW w:type="dxa" w:w="372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接收质量条件、承诺日量、拒收和备用条款写入合同</w:t>
            </w:r>
          </w:p>
        </w:tc>
      </w:tr>
      <w:tr>
        <w:trPr>
          <w:cantSplit/>
        </w:trPr>
        <w:tc>
          <w:tcPr>
            <w:tcW w:type="dxa" w:w="2236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土壤及地下水治理</w:t>
            </w:r>
          </w:p>
        </w:tc>
        <w:tc>
          <w:tcPr>
            <w:tcW w:type="dxa" w:w="367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调查评估确定的修复范围、措施及后期维护期限</w:t>
            </w:r>
          </w:p>
        </w:tc>
        <w:tc>
          <w:tcPr>
            <w:tcW w:type="dxa" w:w="372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不得把垃圾挖除自动视为此项为零</w:t>
            </w:r>
          </w:p>
        </w:tc>
      </w:tr>
      <w:tr>
        <w:trPr>
          <w:cantSplit/>
        </w:trPr>
        <w:tc>
          <w:tcPr>
            <w:tcW w:type="dxa" w:w="223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监测、效果评估及管理</w:t>
            </w:r>
          </w:p>
        </w:tc>
        <w:tc>
          <w:tcPr>
            <w:tcW w:type="dxa" w:w="3679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实施期与后期监测、评估、监理和管理工作量</w:t>
            </w:r>
          </w:p>
        </w:tc>
        <w:tc>
          <w:tcPr>
            <w:tcW w:type="dxa" w:w="372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独立成果、完整记录、验收与付款条件对应</w:t>
            </w:r>
          </w:p>
        </w:tc>
      </w:tr>
      <w:tr>
        <w:trPr>
          <w:cantSplit/>
        </w:trPr>
        <w:tc>
          <w:tcPr>
            <w:tcW w:type="dxa" w:w="2236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其他费用与预备费</w:t>
            </w:r>
          </w:p>
        </w:tc>
        <w:tc>
          <w:tcPr>
            <w:tcW w:type="dxa" w:w="3679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按项目适用编制依据及实际风险确定</w:t>
            </w:r>
          </w:p>
        </w:tc>
        <w:tc>
          <w:tcPr>
            <w:tcW w:type="dxa" w:w="372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依法核定比例与费用，不凭经验虚设固定收益或储备规模</w:t>
            </w:r>
          </w:p>
        </w:tc>
      </w:tr>
    </w:tbl>
    <w:p>
      <w:pPr>
        <w:pStyle w:val="BodyText"/>
      </w:pPr>
      <w:r>
        <w:t xml:space="preserve">总投资由工程建设费用、工程建设其他费用及依法核定的预备费等组成，运行及长期维护费用单列。末端费用按产物实际质量计，不以垃圾体积直接乘吨单价。投资编制覆盖税费、运输距离、处理服务边界与停工纠偏要求；建设期利息仅在实际融资安排确定后计列。</w:t>
      </w:r>
    </w:p>
    <w:bookmarkEnd w:id="79"/>
    <w:bookmarkStart w:id="80" w:name="X1dd0df106e62da39f3b47745a299ff05c12962c"/>
    <w:p>
      <w:pPr>
        <w:pStyle w:val="Heading3"/>
      </w:pPr>
      <w:r>
        <w:t xml:space="preserve">9.3 资金与经济可行性</w:t>
      </w:r>
    </w:p>
    <w:p>
      <w:pPr>
        <w:pStyle w:val="FirstParagraph"/>
      </w:pPr>
      <w:r>
        <w:t xml:space="preserve">前期调查和连续运维按财政及实际管理责任落实资金，规模工程采用与公益治理性质和现金流相匹配的资金安排。符合条件时可研究中央预算内投资等政策工具，但《行动计划》政策支持不等于本项目已获补助、贷款或资金额度，申报与融资不得替代年度支付能力。[S04（二十三）]</w:t>
      </w:r>
    </w:p>
    <w:p>
      <w:pPr>
        <w:pStyle w:val="BodyText"/>
      </w:pPr>
      <w:r>
        <w:t xml:space="preserve">项目经济比选采用全周期支出：治理建设、运行、末端处置、后期维护和异常风险费用均纳入。收入只计已经具备质量、用途和接收合同的真实回收交易；无合同的金属回收收入、土地溢价、产业产值和碳收益不计入资金平衡。开挖可能减少存量源与未来治理负荷，但节省额须以实际治理后的产液和维护要求测算，现阶段不将713.6万元折算支出全部认定为可节省收益。</w:t>
      </w:r>
    </w:p>
    <w:bookmarkEnd w:id="80"/>
    <w:bookmarkEnd w:id="81"/>
    <w:bookmarkStart w:id="88" w:name="Xd9a9500e3eb34eb458806ccbfa6c07e36efb07c"/>
    <w:p>
      <w:pPr>
        <w:pStyle w:val="Heading2"/>
        <w:pageBreakBefore/>
      </w:pPr>
      <w:r>
        <w:t xml:space="preserve">10 实施周期与治理前后具体安排</w:t>
      </w:r>
    </w:p>
    <w:bookmarkStart w:id="85" w:name="X6004ed0bb863cd63d4b5489d5724b051c6f5cd9"/>
    <w:p>
      <w:pPr>
        <w:pStyle w:val="Heading3"/>
      </w:pPr>
      <w:r>
        <w:t xml:space="preserve">10.1 前期与施工安排</w:t>
      </w:r>
    </w:p>
    <w:p>
      <w:pPr>
        <w:pStyle w:val="FirstParagraph"/>
      </w:pPr>
      <w:r>
        <w:drawing>
          <wp:inline>
            <wp:extent cx="6108700" cy="2748915"/>
            <wp:effectExtent b="0" l="0" r="0" t="0"/>
            <wp:docPr descr="实施阶段" title="" id="83" name="Picture"/>
            <a:graphic>
              <a:graphicData uri="http://schemas.openxmlformats.org/drawingml/2006/picture">
                <pic:pic>
                  <pic:nvPicPr>
                    <pic:cNvPr descr="../figures/07_schedul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48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color w:val="5F7179"/>
          <w:sz w:val="18"/>
        </w:rPr>
        <w:t xml:space="preserve">图9　前期拟定安排。6个月是本项目组织计划，不能理解为依据案例推定的竣工工期。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2182"/>
        <w:gridCol w:w="2840"/>
        <w:gridCol w:w="4616"/>
      </w:tblGrid>
      <w:tr>
        <w:trPr>
          <w:tblHeader w:val="on"/>
          <w:cantSplit/>
          <w:tblHeader w:val="true"/>
        </w:trPr>
        <w:tc>
          <w:tcPr>
            <w:tcW w:type="dxa" w:w="2182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阶段</w:t>
            </w:r>
          </w:p>
        </w:tc>
        <w:tc>
          <w:tcPr>
            <w:tcW w:type="dxa" w:w="2840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本方案拟定安排</w:t>
            </w:r>
          </w:p>
        </w:tc>
        <w:tc>
          <w:tcPr>
            <w:tcW w:type="dxa" w:w="4616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具体成果与进入条件</w:t>
            </w:r>
          </w:p>
        </w:tc>
      </w:tr>
      <w:tr>
        <w:trPr>
          <w:cantSplit/>
        </w:trPr>
        <w:tc>
          <w:tcPr>
            <w:tcW w:type="dxa" w:w="218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连续运维保障</w:t>
            </w:r>
          </w:p>
        </w:tc>
        <w:tc>
          <w:tcPr>
            <w:tcW w:type="dxa" w:w="2840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第0—1个月启动并贯穿全程</w:t>
            </w:r>
          </w:p>
        </w:tc>
        <w:tc>
          <w:tcPr>
            <w:tcW w:type="dxa" w:w="461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合同衔接、设施清单、备用供电和合法接收确认；不得因前期研究暂停治理</w:t>
            </w:r>
          </w:p>
        </w:tc>
      </w:tr>
      <w:tr>
        <w:trPr>
          <w:cantSplit/>
        </w:trPr>
        <w:tc>
          <w:tcPr>
            <w:tcW w:type="dxa" w:w="218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调查评估与比选</w:t>
            </w:r>
          </w:p>
        </w:tc>
        <w:tc>
          <w:tcPr>
            <w:tcW w:type="dxa" w:w="2840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第1—3个月；按调查需要滚动补充</w:t>
            </w:r>
          </w:p>
        </w:tc>
        <w:tc>
          <w:tcPr>
            <w:tcW w:type="dxa" w:w="4616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统一工程量、风险与稳定报告、原水和浓缩液条件、末端试验及比选</w:t>
            </w:r>
          </w:p>
        </w:tc>
      </w:tr>
      <w:tr>
        <w:trPr>
          <w:cantSplit/>
        </w:trPr>
        <w:tc>
          <w:tcPr>
            <w:tcW w:type="dxa" w:w="218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示范和工程前期</w:t>
            </w:r>
          </w:p>
        </w:tc>
        <w:tc>
          <w:tcPr>
            <w:tcW w:type="dxa" w:w="2840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第3—6个月，所需程序先行完成</w:t>
            </w:r>
          </w:p>
        </w:tc>
        <w:tc>
          <w:tcPr>
            <w:tcW w:type="dxa" w:w="461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示范量质和成本成果，环保安全专项、设计、概算及接收合同；未具备程序不得提前开挖</w:t>
            </w:r>
          </w:p>
        </w:tc>
      </w:tr>
      <w:tr>
        <w:trPr>
          <w:cantSplit/>
        </w:trPr>
        <w:tc>
          <w:tcPr>
            <w:tcW w:type="dxa" w:w="218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规模施工</w:t>
            </w:r>
          </w:p>
        </w:tc>
        <w:tc>
          <w:tcPr>
            <w:tcW w:type="dxa" w:w="2840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批准后按核定工程量和有效能力确定</w:t>
            </w:r>
          </w:p>
        </w:tc>
        <w:tc>
          <w:tcPr>
            <w:tcW w:type="dxa" w:w="4616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临建与污染控制先建可用；分区开挖、称重、检测、外运、场底治理同步</w:t>
            </w:r>
          </w:p>
        </w:tc>
      </w:tr>
      <w:tr>
        <w:trPr>
          <w:cantSplit/>
        </w:trPr>
        <w:tc>
          <w:tcPr>
            <w:tcW w:type="dxa" w:w="218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效果评估及后期管理</w:t>
            </w:r>
          </w:p>
        </w:tc>
        <w:tc>
          <w:tcPr>
            <w:tcW w:type="dxa" w:w="2840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按实际治理成果和标准要求安排</w:t>
            </w:r>
          </w:p>
        </w:tc>
        <w:tc>
          <w:tcPr>
            <w:tcW w:type="dxa" w:w="461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完成土壤地下水评估、设施移交、持续运维责任和后续利用程序</w:t>
            </w:r>
          </w:p>
        </w:tc>
      </w:tr>
    </w:tbl>
    <w:p>
      <w:pPr>
        <w:pStyle w:val="BodyText"/>
      </w:pPr>
      <w:r>
        <w:t xml:space="preserve">运维合同据资料至2026年12月31日，当前应提前衔接；本方案阶段计时不改变该合同衔接实际时间。调查、设计和必要审批可依法有序交叉，不能以“示范”为名规避审批。</w:t>
      </w:r>
    </w:p>
    <w:bookmarkEnd w:id="85"/>
    <w:bookmarkStart w:id="86" w:name="Xfaf4d86fdd3f1d076d07a1956f22ad832778c6a"/>
    <w:p>
      <w:pPr>
        <w:pStyle w:val="Heading3"/>
      </w:pPr>
      <w:r>
        <w:t xml:space="preserve">10.2 规模开挖工期的确定方法</w:t>
      </w:r>
    </w:p>
    <w:p>
      <w:pPr>
        <w:pStyle w:val="FirstParagraph"/>
      </w:pPr>
      <w:r>
        <w:t xml:space="preserve">垃圾质量M＝测绘体积V×分区实测湿密度ρ。对产物i，其产率fᵢ由示范取得，末端承诺可接收日量为Rᵢ。可持续垃圾处理能力Q不得高于开挖、筛分、合法接收和水气系统中任何一个瓶颈；在同一质量口径下，末端约束可表示为Q≤min（Rᵢ÷fᵢ）。水处理则用示范产水量及污染负荷单独核算，不将水与固体吨数混算。</w:t>
      </w:r>
    </w:p>
    <w:p>
      <w:pPr>
        <w:pStyle w:val="BodyText"/>
      </w:pPr>
      <w:r>
        <w:t xml:space="preserve">有效作业日D至少满足D≥M÷Q，日历工期还需考虑合法作业时段、天气、检修、接收厂计划停机、分区预处理、场底修复和效果评估。项目不采用北京阿苏卫3000吨/日设计规模推定旧飞鹅工期。实际工程量和合同接收量确定后，在批准设计中形成工期、备用路线及季度里程碑。</w:t>
      </w:r>
    </w:p>
    <w:bookmarkEnd w:id="86"/>
    <w:bookmarkStart w:id="87" w:name="Xe56345b05bd3bab1926f7bfee610e90ea0493a5"/>
    <w:p>
      <w:pPr>
        <w:pStyle w:val="Heading3"/>
      </w:pPr>
      <w:r>
        <w:t xml:space="preserve">10.3 治理前、中、后的闭合措施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1852"/>
        <w:gridCol w:w="4117"/>
        <w:gridCol w:w="3668"/>
      </w:tblGrid>
      <w:tr>
        <w:trPr>
          <w:tblHeader w:val="on"/>
          <w:cantSplit/>
          <w:tblHeader w:val="true"/>
        </w:trPr>
        <w:tc>
          <w:tcPr>
            <w:tcW w:type="dxa" w:w="1852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阶段</w:t>
            </w:r>
          </w:p>
        </w:tc>
        <w:tc>
          <w:tcPr>
            <w:tcW w:type="dxa" w:w="4117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工程和管理措施</w:t>
            </w:r>
          </w:p>
        </w:tc>
        <w:tc>
          <w:tcPr>
            <w:tcW w:type="dxa" w:w="3668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可交付核验成果</w:t>
            </w:r>
          </w:p>
        </w:tc>
      </w:tr>
      <w:tr>
        <w:trPr>
          <w:cantSplit/>
        </w:trPr>
        <w:tc>
          <w:tcPr>
            <w:tcW w:type="dxa" w:w="185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治理前</w:t>
            </w:r>
          </w:p>
        </w:tc>
        <w:tc>
          <w:tcPr>
            <w:tcW w:type="dxa" w:w="411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保护既有封场系统，完成风险与稳定调查、水气设施、末端合同、人员安全和应急准备</w:t>
            </w:r>
          </w:p>
        </w:tc>
        <w:tc>
          <w:tcPr>
            <w:tcW w:type="dxa" w:w="366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现状基线、总图、分区作业方案、污染水平衡、接收许可与合同、审批资料</w:t>
            </w:r>
          </w:p>
        </w:tc>
      </w:tr>
      <w:tr>
        <w:trPr>
          <w:cantSplit/>
        </w:trPr>
        <w:tc>
          <w:tcPr>
            <w:tcW w:type="dxa" w:w="185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治理中</w:t>
            </w:r>
          </w:p>
        </w:tc>
        <w:tc>
          <w:tcPr>
            <w:tcW w:type="dxa" w:w="411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小范围分区开挖、降液位、覆膜、密闭筛分；所有产物计量、检验、运输和回执；异常停工纠偏</w:t>
            </w:r>
          </w:p>
        </w:tc>
        <w:tc>
          <w:tcPr>
            <w:tcW w:type="dxa" w:w="366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逐日量质台账、监测报告、库存和去向闭合、稳定复核及纠偏记录</w:t>
            </w:r>
          </w:p>
        </w:tc>
      </w:tr>
      <w:tr>
        <w:trPr>
          <w:cantSplit/>
        </w:trPr>
        <w:tc>
          <w:tcPr>
            <w:tcW w:type="dxa" w:w="185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治理后</w:t>
            </w:r>
          </w:p>
        </w:tc>
        <w:tc>
          <w:tcPr>
            <w:tcW w:type="dxa" w:w="411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场底土壤与地下水治理、效果评估、必要的持续处理和监测；依程序衔接安全利用</w:t>
            </w:r>
          </w:p>
        </w:tc>
        <w:tc>
          <w:tcPr>
            <w:tcW w:type="dxa" w:w="366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清挖边界和高程、修复评估、残余风险和限制、运维移交、后续用地程序资料</w:t>
            </w:r>
          </w:p>
        </w:tc>
      </w:tr>
    </w:tbl>
    <w:bookmarkEnd w:id="87"/>
    <w:bookmarkEnd w:id="88"/>
    <w:bookmarkStart w:id="96" w:name="Xc771f65782d725ffc1430733b15f0a4411dfbe0"/>
    <w:p>
      <w:pPr>
        <w:pStyle w:val="Heading2"/>
        <w:pageBreakBefore/>
      </w:pPr>
      <w:r>
        <w:t xml:space="preserve">11 环境、社会、经济及公共治理效益</w:t>
      </w:r>
    </w:p>
    <w:p>
      <w:pPr>
        <w:pStyle w:val="FirstParagraph"/>
      </w:pPr>
      <w:r>
        <w:drawing>
          <wp:inline>
            <wp:extent cx="6108700" cy="2748915"/>
            <wp:effectExtent b="0" l="0" r="0" t="0"/>
            <wp:docPr descr="效益核验" title="" id="90" name="Picture"/>
            <a:graphic>
              <a:graphicData uri="http://schemas.openxmlformats.org/drawingml/2006/picture">
                <pic:pic>
                  <pic:nvPicPr>
                    <pic:cNvPr descr="../figures/10_benefit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48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color w:val="5F7179"/>
          <w:sz w:val="18"/>
        </w:rPr>
        <w:t xml:space="preserve">图10　效益机制与结果核验。所有结果以基线、施工记录和效果评估确认。</w:t>
      </w:r>
    </w:p>
    <w:bookmarkStart w:id="92" w:name="X5b11b3a90ba2f66ca6377eb18c3cc72de152cdf"/>
    <w:p>
      <w:pPr>
        <w:pStyle w:val="Heading3"/>
      </w:pPr>
      <w:r>
        <w:t xml:space="preserve">11.1 环境效益</w:t>
      </w:r>
    </w:p>
    <w:p>
      <w:pPr>
        <w:pStyle w:val="FirstParagraph"/>
      </w:pPr>
      <w:r>
        <w:t xml:space="preserve">综合治理通过污染水收集处理、衬层修补或源区开挖减少持续排放和渗漏风险，采取防扩散措施改善地下水风险控制；分区密闭施工降低暴露造成的臭气与飞散。达到何种污染削减量、地下水恢复程度及维护负荷变化，须以治理前后同口径监测和实际处置量确认。拟核验指标包括合法处置垃圾质量、未处理污染水外逸事件、地下水趋势、处理产水符合许可情况、异常整改结果。[S02—S03；S05]</w:t>
      </w:r>
    </w:p>
    <w:bookmarkEnd w:id="92"/>
    <w:bookmarkStart w:id="93" w:name="X4267c5bf71ef07b8c6286d988c0047c74ba2c74"/>
    <w:p>
      <w:pPr>
        <w:pStyle w:val="Heading3"/>
      </w:pPr>
      <w:r>
        <w:t xml:space="preserve">11.2 社会效益</w:t>
      </w:r>
    </w:p>
    <w:p>
      <w:pPr>
        <w:pStyle w:val="FirstParagraph"/>
      </w:pPr>
      <w:r>
        <w:t xml:space="preserve">以明确作业边界、密闭转运、噪声和臭气控制、投诉反馈降低邻近社区施工影响；将工人气体、边坡和车辆风险纳入安全专项。公共设施后期维护、治理过程和结果依法公开，使周边居民能够了解项目影响和异常处置。没有健康调查数据时，不量化疾病减少或健康收益。[S01第513条；S03；S10]</w:t>
      </w:r>
    </w:p>
    <w:bookmarkEnd w:id="93"/>
    <w:bookmarkStart w:id="94" w:name="X1c5bb56d6bc9cdfe9696c9a5c0c84148580810c"/>
    <w:p>
      <w:pPr>
        <w:pStyle w:val="Heading3"/>
      </w:pPr>
      <w:r>
        <w:t xml:space="preserve">11.3 经济效益</w:t>
      </w:r>
    </w:p>
    <w:p>
      <w:pPr>
        <w:pStyle w:val="FirstParagraph"/>
      </w:pPr>
      <w:r>
        <w:t xml:space="preserve">通过源区治理与维护路线比较，优化财政长期支出；统一工程量和真实去向降低重复设计、盲目扩容和拒收退运成本。合规材料回收收入以真实交易确认，后续土地利用价值以权属、规划、污染与工程安全条件满足后的实际安排确认，不能作为本阶段既得收益。工程招标和合同结算围绕质量、环境与计量成果设支付条件，降低治理投入失效风险。</w:t>
      </w:r>
    </w:p>
    <w:bookmarkEnd w:id="94"/>
    <w:bookmarkStart w:id="95" w:name="X98b31d3a0b7caed5c21674698d48d15fbe7ca36"/>
    <w:p>
      <w:pPr>
        <w:pStyle w:val="Heading3"/>
      </w:pPr>
      <w:r>
        <w:t xml:space="preserve">11.4 公共治理和政策落实效益</w:t>
      </w:r>
    </w:p>
    <w:p>
      <w:pPr>
        <w:pStyle w:val="FirstParagraph"/>
      </w:pPr>
      <w:r>
        <w:t xml:space="preserve">“一场一策”把业主、施工、运维、接收、监理与监管责任对应到具体台账和成果，落实国家填埋场隐患治理部署与公共环境设施持续运行责任。治理资金、开挖量、去向和监测可追溯，支持财政审计、依法监管和社会监督。政治与治理效益体现为依法履责、风险问题实际解决和公共服务可靠，不能用无依据的荣誉、排名或政绩数字代替。[S01；S04—S05]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2581"/>
        <w:gridCol w:w="3752"/>
        <w:gridCol w:w="3305"/>
      </w:tblGrid>
      <w:tr>
        <w:trPr>
          <w:tblHeader w:val="on"/>
          <w:cantSplit/>
          <w:tblHeader w:val="true"/>
        </w:trPr>
        <w:tc>
          <w:tcPr>
            <w:tcW w:type="dxa" w:w="2581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效益维度</w:t>
            </w:r>
          </w:p>
        </w:tc>
        <w:tc>
          <w:tcPr>
            <w:tcW w:type="dxa" w:w="3752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项目核验指标</w:t>
            </w:r>
          </w:p>
        </w:tc>
        <w:tc>
          <w:tcPr>
            <w:tcW w:type="dxa" w:w="3305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证据来源</w:t>
            </w:r>
          </w:p>
        </w:tc>
      </w:tr>
      <w:tr>
        <w:trPr>
          <w:cantSplit/>
        </w:trPr>
        <w:tc>
          <w:tcPr>
            <w:tcW w:type="dxa" w:w="258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污染源削减</w:t>
            </w:r>
          </w:p>
        </w:tc>
        <w:tc>
          <w:tcPr>
            <w:tcW w:type="dxa" w:w="375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分区清除质量、合规去向及场底残留</w:t>
            </w:r>
          </w:p>
        </w:tc>
        <w:tc>
          <w:tcPr>
            <w:tcW w:type="dxa" w:w="3305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测绘、称重、接收回执、效果评估</w:t>
            </w:r>
          </w:p>
        </w:tc>
      </w:tr>
      <w:tr>
        <w:trPr>
          <w:cantSplit/>
        </w:trPr>
        <w:tc>
          <w:tcPr>
            <w:tcW w:type="dxa" w:w="258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环境风险控制</w:t>
            </w:r>
          </w:p>
        </w:tc>
        <w:tc>
          <w:tcPr>
            <w:tcW w:type="dxa" w:w="375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地下水趋势、水气处理符合情况、异常闭合</w:t>
            </w:r>
          </w:p>
        </w:tc>
        <w:tc>
          <w:tcPr>
            <w:tcW w:type="dxa" w:w="3305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监测、设施工况、修复及纠偏记录</w:t>
            </w:r>
          </w:p>
        </w:tc>
      </w:tr>
      <w:tr>
        <w:trPr>
          <w:cantSplit/>
        </w:trPr>
        <w:tc>
          <w:tcPr>
            <w:tcW w:type="dxa" w:w="258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群众与人员保障</w:t>
            </w:r>
          </w:p>
        </w:tc>
        <w:tc>
          <w:tcPr>
            <w:tcW w:type="dxa" w:w="375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投诉反馈、运输遗撒整改、安全报警及处置</w:t>
            </w:r>
          </w:p>
        </w:tc>
        <w:tc>
          <w:tcPr>
            <w:tcW w:type="dxa" w:w="3305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投诉台账、巡查、安全和应急记录</w:t>
            </w:r>
          </w:p>
        </w:tc>
      </w:tr>
      <w:tr>
        <w:trPr>
          <w:cantSplit/>
        </w:trPr>
        <w:tc>
          <w:tcPr>
            <w:tcW w:type="dxa" w:w="2581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财政与工程效率</w:t>
            </w:r>
          </w:p>
        </w:tc>
        <w:tc>
          <w:tcPr>
            <w:tcW w:type="dxa" w:w="3752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批准预算执行、实物量结算、变更及后期费用</w:t>
            </w:r>
          </w:p>
        </w:tc>
        <w:tc>
          <w:tcPr>
            <w:tcW w:type="dxa" w:w="3305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合同、造价审核、支付和运维台账</w:t>
            </w:r>
          </w:p>
        </w:tc>
      </w:tr>
      <w:tr>
        <w:trPr>
          <w:cantSplit/>
        </w:trPr>
        <w:tc>
          <w:tcPr>
            <w:tcW w:type="dxa" w:w="2581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后续利用条件</w:t>
            </w:r>
          </w:p>
        </w:tc>
        <w:tc>
          <w:tcPr>
            <w:tcW w:type="dxa" w:w="3752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调查评估合规、用途及安全限制明确</w:t>
            </w:r>
          </w:p>
        </w:tc>
        <w:tc>
          <w:tcPr>
            <w:tcW w:type="dxa" w:w="3305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评审及管理文件、规划和工程成果</w:t>
            </w:r>
          </w:p>
        </w:tc>
      </w:tr>
    </w:tbl>
    <w:bookmarkEnd w:id="95"/>
    <w:bookmarkEnd w:id="96"/>
    <w:bookmarkStart w:id="99" w:name="X6aab6b6234e33863e06e98694e46f10d005d5b1"/>
    <w:p>
      <w:pPr>
        <w:pStyle w:val="Heading2"/>
        <w:pageBreakBefore/>
      </w:pPr>
      <w:r>
        <w:t xml:space="preserve">12 项目组织、验收与近期工作清单</w:t>
      </w:r>
    </w:p>
    <w:bookmarkStart w:id="97" w:name="Xc194d08fc666e6f9a31ef3b055093375ab98bf9"/>
    <w:p>
      <w:pPr>
        <w:pStyle w:val="Heading3"/>
      </w:pPr>
      <w:r>
        <w:t xml:space="preserve">12.1 组织责任</w:t>
      </w:r>
    </w:p>
    <w:p>
      <w:pPr>
        <w:pStyle w:val="FirstParagraph"/>
      </w:pPr>
      <w:r>
        <w:t xml:space="preserve">由项目业主统筹调查、设计、资金、审批和合同管理，建立城管、生态环境、自然资源、住建及排水等部门按职责协同的工作机制。专业调查设计单位负责风险与工程边界，施工单位负责现场水气、开挖和运输控制，运维单位负责既有与新增处理设施，接收单位负责按批准范围和合同质量接收，监理核查工程质量、控制条件和计量。第三方检测及效果评估按相应技术规定独立形成成果。</w:t>
      </w:r>
    </w:p>
    <w:bookmarkEnd w:id="97"/>
    <w:bookmarkStart w:id="98" w:name="X7614a8670095ca65e8b8023b92effa0c34fe00f"/>
    <w:p>
      <w:pPr>
        <w:pStyle w:val="Heading3"/>
      </w:pPr>
      <w:r>
        <w:t xml:space="preserve">12.2 验收与后期移交</w:t>
      </w:r>
    </w:p>
    <w:p>
      <w:pPr>
        <w:pStyle w:val="FirstParagraph"/>
      </w:pPr>
      <w:r>
        <w:t xml:space="preserve">工程完成时核验测绘边界及高程、各类产物累计计量与去向、土壤地下水措施、设施运行和监测结果，不以“垃圾已经运走”或“场地已经平整”作为唯一验收条件。修复效果评估、建设项目适用环保程序和土地利用程序分别履行；需保留的处理、地下水管控和监测设施形成清单、维护资金、责任主体和继续运行条件。[S02第8.7—8.9条；S06；S13]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2507"/>
        <w:gridCol w:w="4026"/>
        <w:gridCol w:w="3105"/>
      </w:tblGrid>
      <w:tr>
        <w:trPr>
          <w:tblHeader w:val="on"/>
          <w:cantSplit/>
          <w:tblHeader w:val="true"/>
        </w:trPr>
        <w:tc>
          <w:tcPr>
            <w:tcW w:type="dxa" w:w="2507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近期工作</w:t>
            </w:r>
          </w:p>
        </w:tc>
        <w:tc>
          <w:tcPr>
            <w:tcW w:type="dxa" w:w="4026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责任及成果</w:t>
            </w:r>
          </w:p>
        </w:tc>
        <w:tc>
          <w:tcPr>
            <w:tcW w:type="dxa" w:w="3105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推进时序</w:t>
            </w:r>
          </w:p>
        </w:tc>
      </w:tr>
      <w:tr>
        <w:trPr>
          <w:cantSplit/>
        </w:trPr>
        <w:tc>
          <w:tcPr>
            <w:tcW w:type="dxa" w:w="250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核对并衔接运维和接收合同</w:t>
            </w:r>
          </w:p>
        </w:tc>
        <w:tc>
          <w:tcPr>
            <w:tcW w:type="dxa" w:w="402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业主、运维与接收单位；合同原件、服务边界、备用渠道、交接</w:t>
            </w:r>
          </w:p>
        </w:tc>
        <w:tc>
          <w:tcPr>
            <w:tcW w:type="dxa" w:w="3105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即刻启动，衔接2026年12月31日合同节点</w:t>
            </w:r>
          </w:p>
        </w:tc>
      </w:tr>
      <w:tr>
        <w:trPr>
          <w:cantSplit/>
        </w:trPr>
        <w:tc>
          <w:tcPr>
            <w:tcW w:type="dxa" w:w="250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调取封场、防渗、环评及监测档案</w:t>
            </w:r>
          </w:p>
        </w:tc>
        <w:tc>
          <w:tcPr>
            <w:tcW w:type="dxa" w:w="4026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业主、档案及专业单位；图纸、批复、许可、连续监测</w:t>
            </w:r>
          </w:p>
        </w:tc>
        <w:tc>
          <w:tcPr>
            <w:tcW w:type="dxa" w:w="3105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与持续维护并行</w:t>
            </w:r>
          </w:p>
        </w:tc>
      </w:tr>
      <w:tr>
        <w:trPr>
          <w:cantSplit/>
        </w:trPr>
        <w:tc>
          <w:tcPr>
            <w:tcW w:type="dxa" w:w="250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统一测绘和存量口径</w:t>
            </w:r>
          </w:p>
        </w:tc>
        <w:tc>
          <w:tcPr>
            <w:tcW w:type="dxa" w:w="402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调查设计单位；现状地形、分区体积与实测密度</w:t>
            </w:r>
          </w:p>
        </w:tc>
        <w:tc>
          <w:tcPr>
            <w:tcW w:type="dxa" w:w="3105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作为预算和工期前置输入</w:t>
            </w:r>
          </w:p>
        </w:tc>
      </w:tr>
      <w:tr>
        <w:trPr>
          <w:cantSplit/>
        </w:trPr>
        <w:tc>
          <w:tcPr>
            <w:tcW w:type="dxa" w:w="250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完成污染、液位及稳定诊断</w:t>
            </w:r>
          </w:p>
        </w:tc>
        <w:tc>
          <w:tcPr>
            <w:tcW w:type="dxa" w:w="4026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专业单位；风险及安全条件、水量水质基线</w:t>
            </w:r>
          </w:p>
        </w:tc>
        <w:tc>
          <w:tcPr>
            <w:tcW w:type="dxa" w:w="3105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先识别应急事项，再确定示范与总体治理范围</w:t>
            </w:r>
          </w:p>
        </w:tc>
      </w:tr>
      <w:tr>
        <w:trPr>
          <w:cantSplit/>
        </w:trPr>
        <w:tc>
          <w:tcPr>
            <w:tcW w:type="dxa" w:w="250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核对末端并试验</w:t>
            </w:r>
          </w:p>
        </w:tc>
        <w:tc>
          <w:tcPr>
            <w:tcW w:type="dxa" w:w="402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业主、施工及接收单位；许可、质量条件、承诺量和实报价</w:t>
            </w:r>
          </w:p>
        </w:tc>
        <w:tc>
          <w:tcPr>
            <w:tcW w:type="dxa" w:w="3105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所有产物均落实去向后方可放大作业</w:t>
            </w:r>
          </w:p>
        </w:tc>
      </w:tr>
      <w:tr>
        <w:trPr>
          <w:cantSplit/>
        </w:trPr>
        <w:tc>
          <w:tcPr>
            <w:tcW w:type="dxa" w:w="250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形成比选、专项设计与投资</w:t>
            </w:r>
          </w:p>
        </w:tc>
        <w:tc>
          <w:tcPr>
            <w:tcW w:type="dxa" w:w="4026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设计、造价、业主；同目标比选、工作包概算及资金安排</w:t>
            </w:r>
          </w:p>
        </w:tc>
        <w:tc>
          <w:tcPr>
            <w:tcW w:type="dxa" w:w="3105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按成果办理适用审批，再决定规模工程</w:t>
            </w:r>
          </w:p>
        </w:tc>
      </w:tr>
      <w:tr>
        <w:trPr>
          <w:cantSplit/>
        </w:trPr>
        <w:tc>
          <w:tcPr>
            <w:tcW w:type="dxa" w:w="250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依法实施示范和规模治理</w:t>
            </w:r>
          </w:p>
        </w:tc>
        <w:tc>
          <w:tcPr>
            <w:tcW w:type="dxa" w:w="4026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施工、运维、监理；量质、环境、安全和费用成果</w:t>
            </w:r>
          </w:p>
        </w:tc>
        <w:tc>
          <w:tcPr>
            <w:tcW w:type="dxa" w:w="3105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每个阶段满足控制条件后进入下一阶段</w:t>
            </w:r>
          </w:p>
        </w:tc>
      </w:tr>
    </w:tbl>
    <w:p>
      <w:pPr>
        <w:pStyle w:val="BodyText"/>
      </w:pPr>
      <w:r>
        <w:t xml:space="preserve">本项目近期将保障持续运维、统一调查、落实末端和形成可批准的工程方案作为先行任务。对经调查确认的高风险问题及时专项治理，对规模开挖按条件批准实施，确保投入、作业强度与实际环境改善相对应。</w:t>
      </w:r>
    </w:p>
    <w:bookmarkEnd w:id="98"/>
    <w:bookmarkEnd w:id="99"/>
    <w:bookmarkStart w:id="136" w:name="附录a-官方文件与案例来源"/>
    <w:p>
      <w:pPr>
        <w:pStyle w:val="Heading2"/>
        <w:pageBreakBefore/>
      </w:pPr>
      <w:r>
        <w:t xml:space="preserve">附录A 官方文件与案例来源</w:t>
      </w:r>
    </w:p>
    <w:p>
      <w:pPr>
        <w:pStyle w:val="FirstParagraph"/>
      </w:pPr>
      <w:r>
        <w:t xml:space="preserve">文内编号对应以下官方原文或场地基础资料。公开文件均检索于2026年10月10日；发布日期与施行日期分开列示。官方链接仅支持其公开内容，未公开的成本、成效及工程量不据此推定。</w:t>
      </w:r>
    </w:p>
    <w:bookmarkStart w:id="100" w:name="b01-旧飞鹅垃圾填埋场场地整治情况"/>
    <w:p>
      <w:pPr>
        <w:pStyle w:val="Heading3"/>
      </w:pPr>
      <w:r>
        <w:t xml:space="preserve">[B01] 《旧飞鹅垃圾填埋场场地整治情况》</w:t>
      </w:r>
    </w:p>
    <w:p>
      <w:pPr>
        <w:pStyle w:val="FirstParagraph"/>
      </w:pPr>
      <w:r>
        <w:t xml:space="preserve">发布或提供主体：用户提供场地工作资料。时间：数据截至2026-04-30。</w:t>
      </w:r>
    </w:p>
    <w:p>
      <w:pPr>
        <w:pStyle w:val="BodyText"/>
      </w:pPr>
      <w:r>
        <w:t xml:space="preserve">定位与适用内容：附件第1—6页；历史封场、处理站规模、运维负荷与合同期限。</w:t>
      </w:r>
    </w:p>
    <w:p>
      <w:pPr>
        <w:pStyle w:val="BodyText"/>
      </w:pPr>
      <w:r>
        <w:t xml:space="preserve">文件状态或案例边界：场地基础资料，原始合同、批复和监测报告待核对。</w:t>
      </w:r>
    </w:p>
    <w:bookmarkEnd w:id="100"/>
    <w:bookmarkStart w:id="101" w:name="b02-大岭山旧飞鹅垃圾填埋场背景资料"/>
    <w:p>
      <w:pPr>
        <w:pStyle w:val="Heading3"/>
      </w:pPr>
      <w:r>
        <w:t xml:space="preserve">[B02] 《大岭山旧飞鹅垃圾填埋场背景资料》</w:t>
      </w:r>
    </w:p>
    <w:p>
      <w:pPr>
        <w:pStyle w:val="FirstParagraph"/>
      </w:pPr>
      <w:r>
        <w:t xml:space="preserve">发布或提供主体：用户提供场地背景资料。时间：附件未明确统一数据基准日。</w:t>
      </w:r>
    </w:p>
    <w:p>
      <w:pPr>
        <w:pStyle w:val="BodyText"/>
      </w:pPr>
      <w:r>
        <w:t xml:space="preserve">定位与适用内容：存量垃圾170万m³，与B01的250万m³口径存在差异。</w:t>
      </w:r>
    </w:p>
    <w:p>
      <w:pPr>
        <w:pStyle w:val="BodyText"/>
      </w:pPr>
      <w:r>
        <w:t xml:space="preserve">文件状态或案例边界：仅用于识别场地基础数据差异。</w:t>
      </w:r>
    </w:p>
    <w:bookmarkEnd w:id="101"/>
    <w:bookmarkStart w:id="103" w:name="s01-中华人民共和国生态环境法典"/>
    <w:p>
      <w:pPr>
        <w:pStyle w:val="Heading3"/>
      </w:pPr>
      <w:r>
        <w:t xml:space="preserve">[S01] 中华人民共和国生态环境法典</w:t>
      </w:r>
    </w:p>
    <w:p>
      <w:pPr>
        <w:pStyle w:val="FirstParagraph"/>
      </w:pPr>
      <w:r>
        <w:t xml:space="preserve">发布或提供主体：全国人民代表大会。时间：2026-03-12通过；2026-08-15施行。</w:t>
      </w:r>
    </w:p>
    <w:p>
      <w:pPr>
        <w:pStyle w:val="BodyText"/>
      </w:pPr>
      <w:r>
        <w:t xml:space="preserve">定位与适用内容：第511—513条、第1242条；环境影响评价、土壤污染风险管控和修复相关章节。</w:t>
      </w:r>
    </w:p>
    <w:p>
      <w:pPr>
        <w:pStyle w:val="BodyText"/>
      </w:pPr>
      <w:r>
        <w:t xml:space="preserve">文件状态或案例边界：现行法律。</w:t>
      </w:r>
    </w:p>
    <w:p>
      <w:pPr>
        <w:pStyle w:val="BodyText"/>
      </w:pPr>
      <w:r>
        <w:t xml:space="preserve">官方原文：</w:t>
      </w:r>
      <w:hyperlink r:id="rId102">
        <w:r>
          <w:rPr>
            <w:rStyle w:val="Hyperlink"/>
          </w:rPr>
          <w:t xml:space="preserve">点击查看</w:t>
        </w:r>
      </w:hyperlink>
      <w:r>
        <w:t xml:space="preserve">。</w:t>
      </w:r>
    </w:p>
    <w:bookmarkEnd w:id="103"/>
    <w:bookmarkStart w:id="105" w:name="s02-生活垃圾填埋场污染控制标准gb-168892024"/>
    <w:p>
      <w:pPr>
        <w:pStyle w:val="Heading3"/>
      </w:pPr>
      <w:r>
        <w:t xml:space="preserve">[S02] 生活垃圾填埋场污染控制标准（GB 16889—2024）</w:t>
      </w:r>
    </w:p>
    <w:p>
      <w:pPr>
        <w:pStyle w:val="FirstParagraph"/>
      </w:pPr>
      <w:r>
        <w:t xml:space="preserve">发布或提供主体：生态环境部、国家市场监督管理总局。时间：2024-09-01实施。</w:t>
      </w:r>
    </w:p>
    <w:p>
      <w:pPr>
        <w:pStyle w:val="BodyText"/>
      </w:pPr>
      <w:r>
        <w:t xml:space="preserve">定位与适用内容：7.8—7.10、8.7—8.9、9.2。</w:t>
      </w:r>
    </w:p>
    <w:p>
      <w:pPr>
        <w:pStyle w:val="BodyText"/>
      </w:pPr>
      <w:r>
        <w:t xml:space="preserve">文件状态或案例边界：现行强制性国家标准。</w:t>
      </w:r>
    </w:p>
    <w:p>
      <w:pPr>
        <w:pStyle w:val="BodyText"/>
      </w:pPr>
      <w:r>
        <w:t xml:space="preserve">官方原文：</w:t>
      </w:r>
      <w:hyperlink r:id="rId104">
        <w:r>
          <w:rPr>
            <w:rStyle w:val="Hyperlink"/>
          </w:rPr>
          <w:t xml:space="preserve">点击查看</w:t>
        </w:r>
      </w:hyperlink>
      <w:r>
        <w:t xml:space="preserve">。</w:t>
      </w:r>
    </w:p>
    <w:bookmarkEnd w:id="105"/>
    <w:bookmarkStart w:id="107" w:name="s03-生活垃圾填埋场开挖治理污染防治技术指南征求意见稿及编制说明"/>
    <w:p>
      <w:pPr>
        <w:pStyle w:val="Heading3"/>
      </w:pPr>
      <w:r>
        <w:t xml:space="preserve">[S03] 生活垃圾填埋场开挖治理污染防治技术指南（征求意见稿）及编制说明</w:t>
      </w:r>
    </w:p>
    <w:p>
      <w:pPr>
        <w:pStyle w:val="FirstParagraph"/>
      </w:pPr>
      <w:r>
        <w:t xml:space="preserve">发布或提供主体：生态环境部。时间：2025-12-26公开征求意见。</w:t>
      </w:r>
    </w:p>
    <w:p>
      <w:pPr>
        <w:pStyle w:val="BodyText"/>
      </w:pPr>
      <w:r>
        <w:t xml:space="preserve">定位与适用内容：4—8章；6.2.1、6.2.6、6.3.1、6.3.5、6.4.3、7.2—7.4。</w:t>
      </w:r>
    </w:p>
    <w:p>
      <w:pPr>
        <w:pStyle w:val="BodyText"/>
      </w:pPr>
      <w:r>
        <w:t xml:space="preserve">文件状态或案例边界：检索取得版本为征求意见稿，作为技术参考。</w:t>
      </w:r>
    </w:p>
    <w:p>
      <w:pPr>
        <w:pStyle w:val="BodyText"/>
      </w:pPr>
      <w:r>
        <w:t xml:space="preserve">官方原文：</w:t>
      </w:r>
      <w:hyperlink r:id="rId106">
        <w:r>
          <w:rPr>
            <w:rStyle w:val="Hyperlink"/>
          </w:rPr>
          <w:t xml:space="preserve">点击查看</w:t>
        </w:r>
      </w:hyperlink>
      <w:r>
        <w:t xml:space="preserve">。</w:t>
      </w:r>
    </w:p>
    <w:bookmarkEnd w:id="107"/>
    <w:bookmarkStart w:id="109" w:name="s04-国务院关于印发固体废物综合治理行动计划的通知国发202514号"/>
    <w:p>
      <w:pPr>
        <w:pStyle w:val="Heading3"/>
      </w:pPr>
      <w:r>
        <w:t xml:space="preserve">[S04] 国务院关于印发《固体废物综合治理行动计划》的通知（国发〔2025〕14号）</w:t>
      </w:r>
    </w:p>
    <w:p>
      <w:pPr>
        <w:pStyle w:val="FirstParagraph"/>
      </w:pPr>
      <w:r>
        <w:t xml:space="preserve">发布或提供主体：国务院。时间：2025-12-27印发。</w:t>
      </w:r>
    </w:p>
    <w:p>
      <w:pPr>
        <w:pStyle w:val="BodyText"/>
      </w:pPr>
      <w:r>
        <w:t xml:space="preserve">定位与适用内容：（十三）、（二十三）、（二十五）；一场一策与停用填埋场封场治理。</w:t>
      </w:r>
    </w:p>
    <w:p>
      <w:pPr>
        <w:pStyle w:val="BodyText"/>
      </w:pPr>
      <w:r>
        <w:t xml:space="preserve">文件状态或案例边界：国家政策文件；2027年节点不等于全量开挖要求。</w:t>
      </w:r>
    </w:p>
    <w:p>
      <w:pPr>
        <w:pStyle w:val="BodyText"/>
      </w:pPr>
      <w:r>
        <w:t xml:space="preserve">官方原文：</w:t>
      </w:r>
      <w:hyperlink r:id="rId108">
        <w:r>
          <w:rPr>
            <w:rStyle w:val="Hyperlink"/>
          </w:rPr>
          <w:t xml:space="preserve">点击查看</w:t>
        </w:r>
      </w:hyperlink>
      <w:r>
        <w:t xml:space="preserve">。</w:t>
      </w:r>
    </w:p>
    <w:bookmarkEnd w:id="109"/>
    <w:bookmarkStart w:id="111" w:name="s05-固体废物污染防治十五五规划"/>
    <w:p>
      <w:pPr>
        <w:pStyle w:val="Heading3"/>
      </w:pPr>
      <w:r>
        <w:t xml:space="preserve">[S05] 固体废物污染防治“十五五”规划</w:t>
      </w:r>
    </w:p>
    <w:p>
      <w:pPr>
        <w:pStyle w:val="FirstParagraph"/>
      </w:pPr>
      <w:r>
        <w:t xml:space="preserve">发布或提供主体：生态环境部等六部门。时间：2026-07-08印发。</w:t>
      </w:r>
    </w:p>
    <w:p>
      <w:pPr>
        <w:pStyle w:val="BodyText"/>
      </w:pPr>
      <w:r>
        <w:t xml:space="preserve">定位与适用内容：二（四）；生活垃圾填埋场隐患台账、高风险综合治理、积存渗滤液与渗漏治理。</w:t>
      </w:r>
    </w:p>
    <w:p>
      <w:pPr>
        <w:pStyle w:val="BodyText"/>
      </w:pPr>
      <w:r>
        <w:t xml:space="preserve">文件状态或案例边界：国家专项规划。</w:t>
      </w:r>
    </w:p>
    <w:p>
      <w:pPr>
        <w:pStyle w:val="BodyText"/>
      </w:pPr>
      <w:r>
        <w:t xml:space="preserve">官方原文：</w:t>
      </w:r>
      <w:hyperlink r:id="rId110">
        <w:r>
          <w:rPr>
            <w:rStyle w:val="Hyperlink"/>
          </w:rPr>
          <w:t xml:space="preserve">点击查看</w:t>
        </w:r>
      </w:hyperlink>
      <w:r>
        <w:t xml:space="preserve">。</w:t>
      </w:r>
    </w:p>
    <w:bookmarkEnd w:id="111"/>
    <w:bookmarkStart w:id="113" w:name="s06-关于做好污染地块环境修复与开发建设衔接的指导意见"/>
    <w:p>
      <w:pPr>
        <w:pStyle w:val="Heading3"/>
      </w:pPr>
      <w:r>
        <w:t xml:space="preserve">[S06] 关于做好污染地块环境修复与开发建设衔接的指导意见</w:t>
      </w:r>
    </w:p>
    <w:p>
      <w:pPr>
        <w:pStyle w:val="FirstParagraph"/>
      </w:pPr>
      <w:r>
        <w:t xml:space="preserve">发布或提供主体：生态环境部、自然资源部、住房城乡建设部。时间：2026-01-16印发。</w:t>
      </w:r>
    </w:p>
    <w:p>
      <w:pPr>
        <w:pStyle w:val="BodyText"/>
      </w:pPr>
      <w:r>
        <w:t xml:space="preserve">定位与适用内容：二（一）（二）、三（四）（五）、四（六）（七）。</w:t>
      </w:r>
    </w:p>
    <w:p>
      <w:pPr>
        <w:pStyle w:val="BodyText"/>
      </w:pPr>
      <w:r>
        <w:t xml:space="preserve">文件状态或案例边界：环境修复与开发建设程序衔接指导文件。</w:t>
      </w:r>
    </w:p>
    <w:p>
      <w:pPr>
        <w:pStyle w:val="BodyText"/>
      </w:pPr>
      <w:r>
        <w:t xml:space="preserve">官方原文：</w:t>
      </w:r>
      <w:hyperlink r:id="rId112">
        <w:r>
          <w:rPr>
            <w:rStyle w:val="Hyperlink"/>
          </w:rPr>
          <w:t xml:space="preserve">点击查看</w:t>
        </w:r>
      </w:hyperlink>
      <w:r>
        <w:t xml:space="preserve">。</w:t>
      </w:r>
    </w:p>
    <w:bookmarkEnd w:id="113"/>
    <w:bookmarkStart w:id="115" w:name="s07-地下水管理条例2026年修订"/>
    <w:p>
      <w:pPr>
        <w:pStyle w:val="Heading3"/>
      </w:pPr>
      <w:r>
        <w:t xml:space="preserve">[S07] 地下水管理条例（2026年修订）</w:t>
      </w:r>
    </w:p>
    <w:p>
      <w:pPr>
        <w:pStyle w:val="FirstParagraph"/>
      </w:pPr>
      <w:r>
        <w:t xml:space="preserve">发布或提供主体：国务院。时间：2026-08-08修订；2026-10-09官网发布。</w:t>
      </w:r>
    </w:p>
    <w:p>
      <w:pPr>
        <w:pStyle w:val="BodyText"/>
      </w:pPr>
      <w:r>
        <w:t xml:space="preserve">定位与适用内容：第40、41、45条；防渗漏、监测井与风险评估。</w:t>
      </w:r>
    </w:p>
    <w:p>
      <w:pPr>
        <w:pStyle w:val="BodyText"/>
      </w:pPr>
      <w:r>
        <w:t xml:space="preserve">文件状态或案例边界：现行行政法规。</w:t>
      </w:r>
    </w:p>
    <w:p>
      <w:pPr>
        <w:pStyle w:val="BodyText"/>
      </w:pPr>
      <w:r>
        <w:t xml:space="preserve">官方原文：</w:t>
      </w:r>
      <w:hyperlink r:id="rId114">
        <w:r>
          <w:rPr>
            <w:rStyle w:val="Hyperlink"/>
          </w:rPr>
          <w:t xml:space="preserve">点击查看</w:t>
        </w:r>
      </w:hyperlink>
      <w:r>
        <w:t xml:space="preserve">。</w:t>
      </w:r>
    </w:p>
    <w:bookmarkEnd w:id="115"/>
    <w:bookmarkStart w:id="117" w:name="s08-城镇排水与污水处理条例2026年修订"/>
    <w:p>
      <w:pPr>
        <w:pStyle w:val="Heading3"/>
      </w:pPr>
      <w:r>
        <w:t xml:space="preserve">[S08] 城镇排水与污水处理条例（2026年修订）</w:t>
      </w:r>
    </w:p>
    <w:p>
      <w:pPr>
        <w:pStyle w:val="FirstParagraph"/>
      </w:pPr>
      <w:r>
        <w:t xml:space="preserve">发布或提供主体：国务院。时间：2026-08-08修订；2026-10-09官网发布。</w:t>
      </w:r>
    </w:p>
    <w:p>
      <w:pPr>
        <w:pStyle w:val="BodyText"/>
      </w:pPr>
      <w:r>
        <w:t xml:space="preserve">定位与适用内容：排水许可、排水水质及接管监管相关条款。</w:t>
      </w:r>
    </w:p>
    <w:p>
      <w:pPr>
        <w:pStyle w:val="BodyText"/>
      </w:pPr>
      <w:r>
        <w:t xml:space="preserve">文件状态或案例边界：现行行政法规。</w:t>
      </w:r>
    </w:p>
    <w:p>
      <w:pPr>
        <w:pStyle w:val="BodyText"/>
      </w:pPr>
      <w:r>
        <w:t xml:space="preserve">官方原文：</w:t>
      </w:r>
      <w:hyperlink r:id="rId116">
        <w:r>
          <w:rPr>
            <w:rStyle w:val="Hyperlink"/>
          </w:rPr>
          <w:t xml:space="preserve">点击查看</w:t>
        </w:r>
      </w:hyperlink>
      <w:r>
        <w:t xml:space="preserve">。</w:t>
      </w:r>
    </w:p>
    <w:bookmarkEnd w:id="117"/>
    <w:bookmarkStart w:id="119" w:name="s09-固体废物鉴别标准-通则gb-343302025"/>
    <w:p>
      <w:pPr>
        <w:pStyle w:val="Heading3"/>
      </w:pPr>
      <w:r>
        <w:t xml:space="preserve">[S09] 固体废物鉴别标准 通则（GB 34330—2025）</w:t>
      </w:r>
    </w:p>
    <w:p>
      <w:pPr>
        <w:pStyle w:val="FirstParagraph"/>
      </w:pPr>
      <w:r>
        <w:t xml:space="preserve">发布或提供主体：生态环境部、国家市场监督管理总局。时间：2026-03-01实施。</w:t>
      </w:r>
    </w:p>
    <w:p>
      <w:pPr>
        <w:pStyle w:val="BodyText"/>
      </w:pPr>
      <w:r>
        <w:t xml:space="preserve">定位与适用内容：第6、7章、8.1、8.4；附录A.3 b）2）；膜浓缩液及利用产物鉴别。</w:t>
      </w:r>
    </w:p>
    <w:p>
      <w:pPr>
        <w:pStyle w:val="BodyText"/>
      </w:pPr>
      <w:r>
        <w:t xml:space="preserve">文件状态或案例边界：现行强制性国家标准；替代2017版。</w:t>
      </w:r>
    </w:p>
    <w:p>
      <w:pPr>
        <w:pStyle w:val="BodyText"/>
      </w:pPr>
      <w:r>
        <w:t xml:space="preserve">官方原文：</w:t>
      </w:r>
      <w:hyperlink r:id="rId118">
        <w:r>
          <w:rPr>
            <w:rStyle w:val="Hyperlink"/>
          </w:rPr>
          <w:t xml:space="preserve">点击查看</w:t>
        </w:r>
      </w:hyperlink>
      <w:r>
        <w:t xml:space="preserve">。</w:t>
      </w:r>
    </w:p>
    <w:bookmarkEnd w:id="119"/>
    <w:bookmarkStart w:id="121" w:name="s10-建筑施工噪声排放标准gb-125232025"/>
    <w:p>
      <w:pPr>
        <w:pStyle w:val="Heading3"/>
      </w:pPr>
      <w:r>
        <w:t xml:space="preserve">[S10] 建筑施工噪声排放标准（GB 12523—2025）</w:t>
      </w:r>
    </w:p>
    <w:p>
      <w:pPr>
        <w:pStyle w:val="FirstParagraph"/>
      </w:pPr>
      <w:r>
        <w:t xml:space="preserve">发布或提供主体：生态环境部、国家市场监督管理总局。时间：2026-01-01实施。</w:t>
      </w:r>
    </w:p>
    <w:p>
      <w:pPr>
        <w:pStyle w:val="BodyText"/>
      </w:pPr>
      <w:r>
        <w:t xml:space="preserve">定位与适用内容：4.1—4.4、表1；昼70、夜55 dB(A)，特殊测点评价按条款。</w:t>
      </w:r>
    </w:p>
    <w:p>
      <w:pPr>
        <w:pStyle w:val="BodyText"/>
      </w:pPr>
      <w:r>
        <w:t xml:space="preserve">文件状态或案例边界：现行强制性国家标准；替代2011版。</w:t>
      </w:r>
    </w:p>
    <w:p>
      <w:pPr>
        <w:pStyle w:val="BodyText"/>
      </w:pPr>
      <w:r>
        <w:t xml:space="preserve">官方原文：</w:t>
      </w:r>
      <w:hyperlink r:id="rId120">
        <w:r>
          <w:rPr>
            <w:rStyle w:val="Hyperlink"/>
          </w:rPr>
          <w:t xml:space="preserve">点击查看</w:t>
        </w:r>
      </w:hyperlink>
      <w:r>
        <w:t xml:space="preserve">。</w:t>
      </w:r>
    </w:p>
    <w:bookmarkEnd w:id="121"/>
    <w:bookmarkStart w:id="123" w:name="s11-土壤环境质量-建设用地土壤污染风险管控标准试行gb-366002018"/>
    <w:p>
      <w:pPr>
        <w:pStyle w:val="Heading3"/>
      </w:pPr>
      <w:r>
        <w:t xml:space="preserve">[S11] 土壤环境质量 建设用地土壤污染风险管控标准（试行）（GB 36600—2018）</w:t>
      </w:r>
    </w:p>
    <w:p>
      <w:pPr>
        <w:pStyle w:val="FirstParagraph"/>
      </w:pPr>
      <w:r>
        <w:t xml:space="preserve">发布或提供主体：生态环境部、国家市场监督管理总局。时间：2018-08-01实施。</w:t>
      </w:r>
    </w:p>
    <w:p>
      <w:pPr>
        <w:pStyle w:val="BodyText"/>
      </w:pPr>
      <w:r>
        <w:t xml:space="preserve">定位与适用内容：建设用地土壤风险筛选与管制；不等同固废产品合规判定。</w:t>
      </w:r>
    </w:p>
    <w:p>
      <w:pPr>
        <w:pStyle w:val="BodyText"/>
      </w:pPr>
      <w:r>
        <w:t xml:space="preserve">文件状态或案例边界：建设用地土壤风险管控国家标准。</w:t>
      </w:r>
    </w:p>
    <w:p>
      <w:pPr>
        <w:pStyle w:val="BodyText"/>
      </w:pPr>
      <w:r>
        <w:t xml:space="preserve">官方原文：</w:t>
      </w:r>
      <w:hyperlink r:id="rId122">
        <w:r>
          <w:rPr>
            <w:rStyle w:val="Hyperlink"/>
          </w:rPr>
          <w:t xml:space="preserve">点击查看</w:t>
        </w:r>
      </w:hyperlink>
      <w:r>
        <w:t xml:space="preserve">。</w:t>
      </w:r>
    </w:p>
    <w:bookmarkEnd w:id="123"/>
    <w:bookmarkStart w:id="125" w:name="s12-关于发布建设用地土壤污染状况调查技术导则等5项国家环境保护标准的公告"/>
    <w:p>
      <w:pPr>
        <w:pStyle w:val="Heading3"/>
      </w:pPr>
      <w:r>
        <w:t xml:space="preserve">[S12] 关于发布《建设用地土壤污染状况调查技术导则》等5项国家环境保护标准的公告</w:t>
      </w:r>
    </w:p>
    <w:p>
      <w:pPr>
        <w:pStyle w:val="FirstParagraph"/>
      </w:pPr>
      <w:r>
        <w:t xml:space="preserve">发布或提供主体：生态环境部。时间：2019-12-05发布实施。</w:t>
      </w:r>
    </w:p>
    <w:p>
      <w:pPr>
        <w:pStyle w:val="BodyText"/>
      </w:pPr>
      <w:r>
        <w:t xml:space="preserve">定位与适用内容：HJ 25.1—2019、HJ 25.2—2019、HJ 25.3—2019、HJ 25.4—2019；公告另含HJ 682—2019。</w:t>
      </w:r>
    </w:p>
    <w:p>
      <w:pPr>
        <w:pStyle w:val="BodyText"/>
      </w:pPr>
      <w:r>
        <w:t xml:space="preserve">文件状态或案例边界：调查、风险评估、修复及监测技术标准。</w:t>
      </w:r>
    </w:p>
    <w:p>
      <w:pPr>
        <w:pStyle w:val="BodyText"/>
      </w:pPr>
      <w:r>
        <w:t xml:space="preserve">官方原文：</w:t>
      </w:r>
      <w:hyperlink r:id="rId124">
        <w:r>
          <w:rPr>
            <w:rStyle w:val="Hyperlink"/>
          </w:rPr>
          <w:t xml:space="preserve">点击查看</w:t>
        </w:r>
      </w:hyperlink>
      <w:r>
        <w:t xml:space="preserve">。</w:t>
      </w:r>
    </w:p>
    <w:bookmarkEnd w:id="125"/>
    <w:bookmarkStart w:id="127" w:name="s13-污染地块风险管控与土壤修复效果评估技术导则hj-2552018"/>
    <w:p>
      <w:pPr>
        <w:pStyle w:val="Heading3"/>
      </w:pPr>
      <w:r>
        <w:t xml:space="preserve">[S13] 污染地块风险管控与土壤修复效果评估技术导则（HJ 25.5—2018）</w:t>
      </w:r>
    </w:p>
    <w:p>
      <w:pPr>
        <w:pStyle w:val="FirstParagraph"/>
      </w:pPr>
      <w:r>
        <w:t xml:space="preserve">发布或提供主体：生态环境部。时间：2018-12-29实施。</w:t>
      </w:r>
    </w:p>
    <w:p>
      <w:pPr>
        <w:pStyle w:val="BodyText"/>
      </w:pPr>
      <w:r>
        <w:t xml:space="preserve">定位与适用内容：适用范围；污染地块风险管控与修复效果评估。</w:t>
      </w:r>
    </w:p>
    <w:p>
      <w:pPr>
        <w:pStyle w:val="BodyText"/>
      </w:pPr>
      <w:r>
        <w:t xml:space="preserve">文件状态或案例边界：技术标准。</w:t>
      </w:r>
    </w:p>
    <w:p>
      <w:pPr>
        <w:pStyle w:val="BodyText"/>
      </w:pPr>
      <w:r>
        <w:t xml:space="preserve">官方原文：</w:t>
      </w:r>
      <w:hyperlink r:id="rId126">
        <w:r>
          <w:rPr>
            <w:rStyle w:val="Hyperlink"/>
          </w:rPr>
          <w:t xml:space="preserve">点击查看</w:t>
        </w:r>
      </w:hyperlink>
      <w:r>
        <w:t xml:space="preserve">。</w:t>
      </w:r>
    </w:p>
    <w:bookmarkEnd w:id="127"/>
    <w:bookmarkStart w:id="129" w:name="c01-深圳市下坪环境园调研组赴海南江西已封场简易填埋场调研学习"/>
    <w:p>
      <w:pPr>
        <w:pStyle w:val="Heading3"/>
      </w:pPr>
      <w:r>
        <w:t xml:space="preserve">[C01] 深圳市下坪环境园调研组赴海南、江西已封场简易填埋场调研学习</w:t>
      </w:r>
    </w:p>
    <w:p>
      <w:pPr>
        <w:pStyle w:val="FirstParagraph"/>
      </w:pPr>
      <w:r>
        <w:t xml:space="preserve">发布或提供主体：深圳市城市管理和综合执法局。时间：2023-05-24发布。</w:t>
      </w:r>
    </w:p>
    <w:p>
      <w:pPr>
        <w:pStyle w:val="BodyText"/>
      </w:pPr>
      <w:r>
        <w:t xml:space="preserve">定位与适用内容：三亚、海口颜春岭、江西吉安泰和；实地考察开挖作业现场、筛分处置流程和工期管理。</w:t>
      </w:r>
    </w:p>
    <w:p>
      <w:pPr>
        <w:pStyle w:val="BodyText"/>
      </w:pPr>
      <w:r>
        <w:t xml:space="preserve">文件状态或案例边界：官方现场调研记录；未公布投资、工程量、完成率或收益。</w:t>
      </w:r>
    </w:p>
    <w:p>
      <w:pPr>
        <w:pStyle w:val="BodyText"/>
      </w:pPr>
      <w:r>
        <w:t xml:space="preserve">官方原文：</w:t>
      </w:r>
      <w:hyperlink r:id="rId128">
        <w:r>
          <w:rPr>
            <w:rStyle w:val="Hyperlink"/>
          </w:rPr>
          <w:t xml:space="preserve">点击查看</w:t>
        </w:r>
      </w:hyperlink>
      <w:r>
        <w:t xml:space="preserve">。</w:t>
      </w:r>
    </w:p>
    <w:bookmarkEnd w:id="129"/>
    <w:bookmarkStart w:id="131" w:name="c02-北京华源惠众环保科技有限公司环保设施向公众开放资料"/>
    <w:p>
      <w:pPr>
        <w:pStyle w:val="Heading3"/>
      </w:pPr>
      <w:r>
        <w:t xml:space="preserve">[C02] 北京华源惠众环保科技有限公司（环保设施向公众开放资料）</w:t>
      </w:r>
    </w:p>
    <w:p>
      <w:pPr>
        <w:pStyle w:val="FirstParagraph"/>
      </w:pPr>
      <w:r>
        <w:t xml:space="preserve">发布或提供主体：生态环境部公开平台。时间：2021-03-09发布。</w:t>
      </w:r>
    </w:p>
    <w:p>
      <w:pPr>
        <w:pStyle w:val="BodyText"/>
      </w:pPr>
      <w:r>
        <w:t xml:space="preserve">定位与适用内容：阿苏卫园区陈腐垃圾筛分3000 t/d、焚烧3000 t/d、渗滤液850 t/d。</w:t>
      </w:r>
    </w:p>
    <w:p>
      <w:pPr>
        <w:pStyle w:val="BodyText"/>
      </w:pPr>
      <w:r>
        <w:t xml:space="preserve">文件状态或案例边界：设施设计配置；不代表实际处理量或完成量。</w:t>
      </w:r>
    </w:p>
    <w:p>
      <w:pPr>
        <w:pStyle w:val="BodyText"/>
      </w:pPr>
      <w:r>
        <w:t xml:space="preserve">官方原文：</w:t>
      </w:r>
      <w:hyperlink r:id="rId130">
        <w:r>
          <w:rPr>
            <w:rStyle w:val="Hyperlink"/>
          </w:rPr>
          <w:t xml:space="preserve">点击查看</w:t>
        </w:r>
      </w:hyperlink>
      <w:r>
        <w:t xml:space="preserve">。</w:t>
      </w:r>
    </w:p>
    <w:bookmarkEnd w:id="131"/>
    <w:bookmarkStart w:id="133" w:name="X7d6d070828af127821396aee839ef9470418280"/>
    <w:p>
      <w:pPr>
        <w:pStyle w:val="Heading3"/>
      </w:pPr>
      <w:r>
        <w:t xml:space="preserve">[C03] 广东省住房和城乡建设厅科技创新计划项目《垃圾填埋场渗滤液膜浓液处理技术研究》顺利通过验收</w:t>
      </w:r>
    </w:p>
    <w:p>
      <w:pPr>
        <w:pStyle w:val="FirstParagraph"/>
      </w:pPr>
      <w:r>
        <w:t xml:space="preserve">发布或提供主体：深圳市城市管理和综合执法局。时间：2026-03-19发布。</w:t>
      </w:r>
    </w:p>
    <w:p>
      <w:pPr>
        <w:pStyle w:val="BodyText"/>
      </w:pPr>
      <w:r>
        <w:t xml:space="preserve">定位与适用内容：2026-03-12科研验收；高效物化沉淀+强化生化处理+PS高级氧化组合中试。</w:t>
      </w:r>
    </w:p>
    <w:p>
      <w:pPr>
        <w:pStyle w:val="BodyText"/>
      </w:pPr>
      <w:r>
        <w:t xml:space="preserve">文件状态或案例边界：科研中试通过验收；不是全规模工程绩效或报价。</w:t>
      </w:r>
    </w:p>
    <w:p>
      <w:pPr>
        <w:pStyle w:val="BodyText"/>
      </w:pPr>
      <w:r>
        <w:t xml:space="preserve">官方原文：</w:t>
      </w:r>
      <w:hyperlink r:id="rId132">
        <w:r>
          <w:rPr>
            <w:rStyle w:val="Hyperlink"/>
          </w:rPr>
          <w:t xml:space="preserve">点击查看</w:t>
        </w:r>
      </w:hyperlink>
      <w:r>
        <w:t xml:space="preserve">。</w:t>
      </w:r>
    </w:p>
    <w:bookmarkEnd w:id="133"/>
    <w:bookmarkStart w:id="135" w:name="c04-开展鸭湖填埋场地下水监测检查及地方规范宣贯的工作信息"/>
    <w:p>
      <w:pPr>
        <w:pStyle w:val="Heading3"/>
      </w:pPr>
      <w:r>
        <w:t xml:space="preserve">[C04] 开展鸭湖填埋场地下水监测检查及地方规范宣贯的工作信息</w:t>
      </w:r>
    </w:p>
    <w:p>
      <w:pPr>
        <w:pStyle w:val="FirstParagraph"/>
      </w:pPr>
      <w:r>
        <w:t xml:space="preserve">发布或提供主体：深圳市城市管理和综合执法局。时间：2024-07-29发布。</w:t>
      </w:r>
    </w:p>
    <w:p>
      <w:pPr>
        <w:pStyle w:val="BodyText"/>
      </w:pPr>
      <w:r>
        <w:t xml:space="preserve">定位与适用内容：深圳《已封场生活垃圾填埋场维护规范》《生活垃圾填埋场搬迁技术规范》2024-07-01生效。</w:t>
      </w:r>
    </w:p>
    <w:p>
      <w:pPr>
        <w:pStyle w:val="BodyText"/>
      </w:pPr>
      <w:r>
        <w:t xml:space="preserve">文件状态或案例边界：用于说明地方监管实践；未引用未取得全文的具体参数。</w:t>
      </w:r>
    </w:p>
    <w:p>
      <w:pPr>
        <w:pStyle w:val="BodyText"/>
      </w:pPr>
      <w:r>
        <w:t xml:space="preserve">官方原文：</w:t>
      </w:r>
      <w:hyperlink r:id="rId134">
        <w:r>
          <w:rPr>
            <w:rStyle w:val="Hyperlink"/>
          </w:rPr>
          <w:t xml:space="preserve">点击查看</w:t>
        </w:r>
      </w:hyperlink>
      <w:r>
        <w:t xml:space="preserve">。</w:t>
      </w:r>
    </w:p>
    <w:bookmarkEnd w:id="135"/>
    <w:bookmarkEnd w:id="136"/>
    <w:bookmarkStart w:id="137" w:name="附录b-项目量质与去向台账字段"/>
    <w:p>
      <w:pPr>
        <w:pStyle w:val="Heading2"/>
        <w:pageBreakBefore w:val="0"/>
      </w:pPr>
      <w:r>
        <w:t xml:space="preserve">附录B 项目量质与去向台账字段</w:t>
      </w:r>
    </w:p>
    <w:tbl>
      <w:tblPr>
        <w:tblStyle w:val="Table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2247"/>
        <w:gridCol w:w="4058"/>
        <w:gridCol w:w="3333"/>
      </w:tblGrid>
      <w:tr>
        <w:trPr>
          <w:tblHeader w:val="on"/>
          <w:cantSplit/>
          <w:tblHeader w:val="true"/>
        </w:trPr>
        <w:tc>
          <w:tcPr>
            <w:tcW w:type="dxa" w:w="2247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台账</w:t>
            </w:r>
          </w:p>
        </w:tc>
        <w:tc>
          <w:tcPr>
            <w:tcW w:type="dxa" w:w="4058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必须关联的字段</w:t>
            </w:r>
          </w:p>
        </w:tc>
        <w:tc>
          <w:tcPr>
            <w:tcW w:type="dxa" w:w="3333"/>
            <w:shd w:fill="174775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9"/>
              </w:rPr>
              <w:t xml:space="preserve">核验关系</w:t>
            </w:r>
          </w:p>
        </w:tc>
      </w:tr>
      <w:tr>
        <w:trPr>
          <w:cantSplit/>
        </w:trPr>
        <w:tc>
          <w:tcPr>
            <w:tcW w:type="dxa" w:w="224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开挖与筛分</w:t>
            </w:r>
          </w:p>
        </w:tc>
        <w:tc>
          <w:tcPr>
            <w:tcW w:type="dxa" w:w="405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日期、单元、深度、体积、称重、含水、批次、筛分参数</w:t>
            </w:r>
          </w:p>
        </w:tc>
        <w:tc>
          <w:tcPr>
            <w:tcW w:type="dxa" w:w="333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输入质量与各产物、沥水和库存按同口径核对</w:t>
            </w:r>
          </w:p>
        </w:tc>
      </w:tr>
      <w:tr>
        <w:trPr>
          <w:cantSplit/>
        </w:trPr>
        <w:tc>
          <w:tcPr>
            <w:tcW w:type="dxa" w:w="224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产物运输</w:t>
            </w:r>
          </w:p>
        </w:tc>
        <w:tc>
          <w:tcPr>
            <w:tcW w:type="dxa" w:w="405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物料类别、批次检测、车牌、出场重量、接收单位及回执</w:t>
            </w:r>
          </w:p>
        </w:tc>
        <w:tc>
          <w:tcPr>
            <w:tcW w:type="dxa" w:w="333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出场与接收量、合法用途及拒收记录闭合</w:t>
            </w:r>
          </w:p>
        </w:tc>
      </w:tr>
      <w:tr>
        <w:trPr>
          <w:cantSplit/>
        </w:trPr>
        <w:tc>
          <w:tcPr>
            <w:tcW w:type="dxa" w:w="224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渗滤液及膜浓缩液</w:t>
            </w:r>
          </w:p>
        </w:tc>
        <w:tc>
          <w:tcPr>
            <w:tcW w:type="dxa" w:w="405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液位、抽排量、原水和产水质量、浓缩液量、设施工况、转运回执</w:t>
            </w:r>
          </w:p>
        </w:tc>
        <w:tc>
          <w:tcPr>
            <w:tcW w:type="dxa" w:w="333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独立统计产水与浓缩液，核查存量变化及合同余量</w:t>
            </w:r>
          </w:p>
        </w:tc>
      </w:tr>
      <w:tr>
        <w:trPr>
          <w:cantSplit/>
        </w:trPr>
        <w:tc>
          <w:tcPr>
            <w:tcW w:type="dxa" w:w="2247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环境与安全</w:t>
            </w:r>
          </w:p>
        </w:tc>
        <w:tc>
          <w:tcPr>
            <w:tcW w:type="dxa" w:w="4058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采样点、指标、时间、天气、作业量、报警与整改</w:t>
            </w:r>
          </w:p>
        </w:tc>
        <w:tc>
          <w:tcPr>
            <w:tcW w:type="dxa" w:w="3333"/>
            <w:shd w:fill="EAF2F9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异常与单元工况对应，复测后形成纠偏闭合</w:t>
            </w:r>
          </w:p>
        </w:tc>
      </w:tr>
      <w:tr>
        <w:trPr>
          <w:cantSplit/>
        </w:trPr>
        <w:tc>
          <w:tcPr>
            <w:tcW w:type="dxa" w:w="2247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投资与支付</w:t>
            </w:r>
          </w:p>
        </w:tc>
        <w:tc>
          <w:tcPr>
            <w:tcW w:type="dxa" w:w="4058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工作包、清单单价、实际量、服务边界、变更、审核及支付</w:t>
            </w:r>
          </w:p>
        </w:tc>
        <w:tc>
          <w:tcPr>
            <w:tcW w:type="dxa" w:w="3333"/>
            <w:shd w:fill="FFFFFF"/>
          </w:tcPr>
          <w:p>
            <w:pPr>
              <w:keepNext w:val="0"/>
              <w:pageBreakBefore w:val="0"/>
              <w:spacing w:after="60" w:before="60" w:line="283" w:lineRule="auto"/>
              <w:jc w:val="left"/>
            </w:pPr>
            <w:r>
              <w:rPr>
                <w:rFonts w:ascii="Arial" w:hAnsi="Arial" w:eastAsia="宋体"/>
                <w:sz w:val="19"/>
              </w:rPr>
              <w:t xml:space="preserve">实物成果、环保合规及金额三者对应</w:t>
            </w:r>
          </w:p>
        </w:tc>
      </w:tr>
    </w:tbl>
    <w:p>
      <w:pPr>
        <w:pStyle w:val="BodyText"/>
      </w:pPr>
      <w:r>
        <w:t xml:space="preserve">按征求意见稿第8.1条建立完整作业和污染控制记录，并依现行档案与项目合同要求保存。表内字段为本项目管理安排，不等同另行增加的国家标准条款。</w:t>
      </w:r>
    </w:p>
    <w:bookmarkEnd w:id="137"/>
    <w:bookmarkEnd w:id="138"/>
    <w:sectPr w:rsidR="00FC693F" w:rsidRPr="0006063C" w:rsidSect="00034616">
      <w:headerReference r:id="rId9" w:type="default"/>
      <w:footerReference r:id="rId10" w:type="default"/>
      <w:pgSz w:h="16838" w:w="11906"/>
      <w:pgMar w:bottom="1191" w:footer="510" w:gutter="0" w:header="510" w:left="1134" w:right="1134" w:top="119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2026年10月10日　｜　第 </w:t>
    </w:r>
    <w:r>
      <w:rPr>
        <w:sz w:val="16"/>
      </w:rPr>
      <w:fldChar w:fldCharType="begin"/>
      <w:instrText xml:space="preserve"> PAGE </w:instrText>
      <w:fldChar w:fldCharType="end"/>
    </w:r>
    <w:r>
      <w:rPr>
        <w:sz w:val="16"/>
      </w:rPr>
      <w:t xml:space="preserve"> / </w:t>
    </w:r>
    <w:r>
      <w:rPr>
        <w:sz w:val="16"/>
      </w:rPr>
      <w:fldChar w:fldCharType="begin"/>
      <w:instrText xml:space="preserve"> NUMPAGES </w:instrText>
      <w:fldChar w:fldCharType="end"/>
    </w:r>
    <w:r>
      <w:rPr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7179"/>
        <w:sz w:val="16"/>
      </w:rPr>
      <w:t>旧飞鹅生活垃圾填埋场综合治理｜官方依据与全国案例论证版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98" w:lineRule="auto"/>
    </w:pPr>
    <w:rPr>
      <w:rFonts w:ascii="Times New Roman" w:eastAsia="Noto Serif CJK SC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80" w:before="240"/>
      <w:outlineLvl w:val="0"/>
    </w:pPr>
    <w:rPr>
      <w:rFonts w:ascii="Arial" w:asciiTheme="majorHAnsi" w:cstheme="majorBidi" w:eastAsia="Noto Sans CJK SC" w:eastAsiaTheme="majorEastAsia" w:hAnsi="Arial" w:hAnsiTheme="majorHAnsi"/>
      <w:b/>
      <w:bCs/>
      <w:color w:val="174775"/>
      <w:sz w:val="4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80" w:before="240"/>
      <w:outlineLvl w:val="1"/>
    </w:pPr>
    <w:rPr>
      <w:rFonts w:ascii="Arial" w:asciiTheme="majorHAnsi" w:cstheme="majorBidi" w:eastAsia="Noto Sans CJK SC" w:eastAsiaTheme="majorEastAsia" w:hAnsi="Arial" w:hAnsiTheme="majorHAnsi"/>
      <w:b/>
      <w:bCs/>
      <w:color w:val="174775"/>
      <w:sz w:val="3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80" w:before="240"/>
      <w:outlineLvl w:val="2"/>
    </w:pPr>
    <w:rPr>
      <w:rFonts w:ascii="Arial" w:asciiTheme="majorHAnsi" w:cstheme="majorBidi" w:eastAsia="Noto Sans CJK SC" w:eastAsiaTheme="majorEastAsia" w:hAnsi="Arial" w:hAnsiTheme="majorHAnsi"/>
      <w:b/>
      <w:bCs/>
      <w:color w:val="174775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80" w:before="240" w:line="240" w:lineRule="auto"/>
      <w:contextualSpacing/>
    </w:pPr>
    <w:rPr>
      <w:rFonts w:ascii="Arial" w:asciiTheme="majorHAnsi" w:cstheme="majorBidi" w:eastAsia="Noto Sans CJK SC" w:eastAsiaTheme="majorEastAsia" w:hAnsi="Arial" w:hAnsiTheme="majorHAnsi"/>
      <w:color w:val="174775"/>
      <w:spacing w:val="5"/>
      <w:kern w:val="28"/>
      <w:sz w:val="5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80" w:before="240"/>
    </w:pPr>
    <w:rPr>
      <w:rFonts w:ascii="Arial" w:asciiTheme="majorHAnsi" w:cstheme="majorBidi" w:eastAsia="Noto Sans CJK SC" w:eastAsiaTheme="majorEastAsia" w:hAnsi="Arial" w:hAnsiTheme="majorHAnsi"/>
      <w:i/>
      <w:iCs/>
      <w:color w:val="174775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80" w:line="298" w:lineRule="auto"/>
    </w:pPr>
    <w:rPr>
      <w:rFonts w:ascii="Times New Roman" w:eastAsia="Noto Serif CJK SC" w:hAnsi="Times New Roman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pPr>
      <w:spacing w:after="80" w:line="298" w:lineRule="auto"/>
    </w:pPr>
    <w:rPr>
      <w:rFonts w:ascii="Times New Roman" w:eastAsia="Noto Serif CJK SC" w:hAnsi="Times New Roman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4" Type="http://schemas.openxmlformats.org/officeDocument/2006/relationships/image" Target="media/rId24.png"/><Relationship Id="rId37" Type="http://schemas.openxmlformats.org/officeDocument/2006/relationships/image" Target="media/rId37.png"/><Relationship Id="rId30" Type="http://schemas.openxmlformats.org/officeDocument/2006/relationships/image" Target="media/rId30.png"/><Relationship Id="rId20" Type="http://schemas.openxmlformats.org/officeDocument/2006/relationships/image" Target="media/rId20.png"/><Relationship Id="rId56" Type="http://schemas.openxmlformats.org/officeDocument/2006/relationships/image" Target="media/rId56.png"/><Relationship Id="rId62" Type="http://schemas.openxmlformats.org/officeDocument/2006/relationships/image" Target="media/rId62.png"/><Relationship Id="rId82" Type="http://schemas.openxmlformats.org/officeDocument/2006/relationships/image" Target="media/rId82.png"/><Relationship Id="rId76" Type="http://schemas.openxmlformats.org/officeDocument/2006/relationships/image" Target="media/rId76.png"/><Relationship Id="rId70" Type="http://schemas.openxmlformats.org/officeDocument/2006/relationships/image" Target="media/rId70.png"/><Relationship Id="rId89" Type="http://schemas.openxmlformats.org/officeDocument/2006/relationships/image" Target="media/rId89.png"/><Relationship Id="rId128" Type="http://schemas.openxmlformats.org/officeDocument/2006/relationships/hyperlink" Target="https://cgj.sz.gov.cn/zwgk/gzdt/content/post_10610768.html" TargetMode="External"/><Relationship Id="rId134" Type="http://schemas.openxmlformats.org/officeDocument/2006/relationships/hyperlink" Target="https://cgj.sz.gov.cn/zwgk/gzdt/content/post_11472014.html" TargetMode="External"/><Relationship Id="rId132" Type="http://schemas.openxmlformats.org/officeDocument/2006/relationships/hyperlink" Target="https://cgj.sz.gov.cn/zwgk/gzdt/content/post_12691232.html" TargetMode="External"/><Relationship Id="rId130" Type="http://schemas.openxmlformats.org/officeDocument/2006/relationships/hyperlink" Target="https://www.mee.gov.cn/home/ztbd/rdzl/sskf/kfss/bjs/dsipbj/202103/t20210309_823930.shtml" TargetMode="External"/><Relationship Id="rId124" Type="http://schemas.openxmlformats.org/officeDocument/2006/relationships/hyperlink" Target="https://www.mee.gov.cn/xxgk2018/xxgk/xxgk01/201912/t20191209_748356.html" TargetMode="External"/><Relationship Id="rId112" Type="http://schemas.openxmlformats.org/officeDocument/2006/relationships/hyperlink" Target="https://www.mee.gov.cn/xxgk2018/xxgk/xxgk03/202601/t20260121_1142344.html" TargetMode="External"/><Relationship Id="rId110" Type="http://schemas.openxmlformats.org/officeDocument/2006/relationships/hyperlink" Target="https://www.mee.gov.cn/xxgk2018/xxgk/xxgk03/202607/t20260714_1161736.html" TargetMode="External"/><Relationship Id="rId106" Type="http://schemas.openxmlformats.org/officeDocument/2006/relationships/hyperlink" Target="https://www.mee.gov.cn/xxgk2018/xxgk/xxgk06/202512/t20251226_1139029.html" TargetMode="External"/><Relationship Id="rId104" Type="http://schemas.openxmlformats.org/officeDocument/2006/relationships/hyperlink" Target="https://www.mee.gov.cn/ywgz/fgbz/bz/bzwb/gthw/gtfwwrkzbz/202408/t20240809_1083681.shtml" TargetMode="External"/><Relationship Id="rId118" Type="http://schemas.openxmlformats.org/officeDocument/2006/relationships/hyperlink" Target="https://www.mee.gov.cn/ywgz/fgbz/bz/bzwb/gthw/gtfwwrkzbz/202512/t20251212_1137618.shtml" TargetMode="External"/><Relationship Id="rId122" Type="http://schemas.openxmlformats.org/officeDocument/2006/relationships/hyperlink" Target="https://www.mee.gov.cn/ywgz/fgbz/bz/bzwb/trhj/201807/t20180703_446027.shtml" TargetMode="External"/><Relationship Id="rId126" Type="http://schemas.openxmlformats.org/officeDocument/2006/relationships/hyperlink" Target="https://www.mee.gov.cn/ywgz/fgbz/bz/bzwb/trhj/201901/t20190107_688646.shtml" TargetMode="External"/><Relationship Id="rId120" Type="http://schemas.openxmlformats.org/officeDocument/2006/relationships/hyperlink" Target="https://www.mee.gov.cn/ywgz/fgbz/bz/bzwb/wlhj/hjzspfbz/202512/t20251211_1137517.shtml" TargetMode="External"/><Relationship Id="rId102" Type="http://schemas.openxmlformats.org/officeDocument/2006/relationships/hyperlink" Target="https://www.mee.gov.cn/ywgz/fgbz/fl/202603/t20260313_1146496.shtml" TargetMode="External"/><Relationship Id="rId108" Type="http://schemas.openxmlformats.org/officeDocument/2006/relationships/hyperlink" Target="https://www.mee.gov.cn/zcwj/gwywj/202601/t20260105_1139840.shtml" TargetMode="External"/><Relationship Id="rId114" Type="http://schemas.openxmlformats.org/officeDocument/2006/relationships/hyperlink" Target="https://www.mee.gov.cn/zcwj/gwywj/202610/t20261009_1175922.shtml" TargetMode="External"/><Relationship Id="rId116" Type="http://schemas.openxmlformats.org/officeDocument/2006/relationships/hyperlink" Target="https://www.mee.gov.cn/zcwj/gwywj/202610/t20261009_1175944.shtml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https://cgj.sz.gov.cn/zwgk/gzdt/content/post_10610768.html" TargetMode="External"/><Relationship Id="rId134" Type="http://schemas.openxmlformats.org/officeDocument/2006/relationships/hyperlink" Target="https://cgj.sz.gov.cn/zwgk/gzdt/content/post_11472014.html" TargetMode="External"/><Relationship Id="rId132" Type="http://schemas.openxmlformats.org/officeDocument/2006/relationships/hyperlink" Target="https://cgj.sz.gov.cn/zwgk/gzdt/content/post_12691232.html" TargetMode="External"/><Relationship Id="rId130" Type="http://schemas.openxmlformats.org/officeDocument/2006/relationships/hyperlink" Target="https://www.mee.gov.cn/home/ztbd/rdzl/sskf/kfss/bjs/dsipbj/202103/t20210309_823930.shtml" TargetMode="External"/><Relationship Id="rId124" Type="http://schemas.openxmlformats.org/officeDocument/2006/relationships/hyperlink" Target="https://www.mee.gov.cn/xxgk2018/xxgk/xxgk01/201912/t20191209_748356.html" TargetMode="External"/><Relationship Id="rId112" Type="http://schemas.openxmlformats.org/officeDocument/2006/relationships/hyperlink" Target="https://www.mee.gov.cn/xxgk2018/xxgk/xxgk03/202601/t20260121_1142344.html" TargetMode="External"/><Relationship Id="rId110" Type="http://schemas.openxmlformats.org/officeDocument/2006/relationships/hyperlink" Target="https://www.mee.gov.cn/xxgk2018/xxgk/xxgk03/202607/t20260714_1161736.html" TargetMode="External"/><Relationship Id="rId106" Type="http://schemas.openxmlformats.org/officeDocument/2006/relationships/hyperlink" Target="https://www.mee.gov.cn/xxgk2018/xxgk/xxgk06/202512/t20251226_1139029.html" TargetMode="External"/><Relationship Id="rId104" Type="http://schemas.openxmlformats.org/officeDocument/2006/relationships/hyperlink" Target="https://www.mee.gov.cn/ywgz/fgbz/bz/bzwb/gthw/gtfwwrkzbz/202408/t20240809_1083681.shtml" TargetMode="External"/><Relationship Id="rId118" Type="http://schemas.openxmlformats.org/officeDocument/2006/relationships/hyperlink" Target="https://www.mee.gov.cn/ywgz/fgbz/bz/bzwb/gthw/gtfwwrkzbz/202512/t20251212_1137618.shtml" TargetMode="External"/><Relationship Id="rId122" Type="http://schemas.openxmlformats.org/officeDocument/2006/relationships/hyperlink" Target="https://www.mee.gov.cn/ywgz/fgbz/bz/bzwb/trhj/201807/t20180703_446027.shtml" TargetMode="External"/><Relationship Id="rId126" Type="http://schemas.openxmlformats.org/officeDocument/2006/relationships/hyperlink" Target="https://www.mee.gov.cn/ywgz/fgbz/bz/bzwb/trhj/201901/t20190107_688646.shtml" TargetMode="External"/><Relationship Id="rId120" Type="http://schemas.openxmlformats.org/officeDocument/2006/relationships/hyperlink" Target="https://www.mee.gov.cn/ywgz/fgbz/bz/bzwb/wlhj/hjzspfbz/202512/t20251211_1137517.shtml" TargetMode="External"/><Relationship Id="rId102" Type="http://schemas.openxmlformats.org/officeDocument/2006/relationships/hyperlink" Target="https://www.mee.gov.cn/ywgz/fgbz/fl/202603/t20260313_1146496.shtml" TargetMode="External"/><Relationship Id="rId108" Type="http://schemas.openxmlformats.org/officeDocument/2006/relationships/hyperlink" Target="https://www.mee.gov.cn/zcwj/gwywj/202601/t20260105_1139840.shtml" TargetMode="External"/><Relationship Id="rId114" Type="http://schemas.openxmlformats.org/officeDocument/2006/relationships/hyperlink" Target="https://www.mee.gov.cn/zcwj/gwywj/202610/t20261009_1175922.shtml" TargetMode="External"/><Relationship Id="rId116" Type="http://schemas.openxmlformats.org/officeDocument/2006/relationships/hyperlink" Target="https://www.mee.gov.cn/zcwj/gwywj/202610/t20261009_1175944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大岭山镇旧飞鹅生活垃圾填埋场综合治理方案</dc:title>
  <dc:creator>旧飞鹅综合治理项目工作稿</dc:creator>
  <cp:keywords/>
  <dcterms:created xsi:type="dcterms:W3CDTF">2026-10-10T07:37:05Z</dcterms:created>
  <dcterms:modified xsi:type="dcterms:W3CDTF">2026-10-10T07:37:05Z</dcterms:modified>
  <dc:subject>2026年现行官方文件、全国实际开挖案例与项目治理措施</dc:subject>
  <dc:description>附件仅用于场地基本情况；数据与结论对应官方来源；投资工期依工程调查核定。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