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6" w:name="大岭山镇旧飞鹅生活垃圾填埋场综合治理可行性研究报告与实施方案"/>
    <w:p>
      <w:pPr>
        <w:pStyle w:val="Title"/>
        <w:jc w:val="center"/>
      </w:pPr>
      <w:r>
        <w:t>大岭山镇旧飞鹅生活垃圾填埋场</w:t>
        <w:br/>
        <w:t>综合治理可行性研究报告</w:t>
        <w:br/>
        <w:t>与实施方案</w:t>
      </w:r>
    </w:p>
    <w:p>
      <w:pPr>
        <w:pStyle w:val="Subtitle"/>
        <w:jc w:val="center"/>
      </w:pPr>
      <w:r>
        <w:t xml:space="preserve">乙方技术研究报告 · 前期研究阶段</w:t>
      </w:r>
    </w:p>
    <w:p>
      <w:pPr>
        <w:pStyle w:val="BodyText"/>
      </w:pPr>
      <w:r>
        <w:t xml:space="preserve">编制日期：2026年10月11日</w:t>
      </w:r>
    </w:p>
    <w:p>
      <w:pPr>
        <w:pStyle w:val="BodyText"/>
      </w:pPr>
      <w:r>
        <w:drawing>
          <wp:inline>
            <wp:extent cx="6108700" cy="2748915"/>
            <wp:effectExtent b="0" l="0" r="0" t="0"/>
            <wp:docPr descr="治理主线" title="" id="21" name="Picture"/>
            <a:graphic>
              <a:graphicData uri="http://schemas.openxmlformats.org/drawingml/2006/picture">
                <pic:pic>
                  <pic:nvPicPr>
                    <pic:cNvPr descr="../figures/04_process.png" id="22" name="Picture"/>
                    <pic:cNvPicPr>
                      <a:picLocks noChangeArrowheads="1" noChangeAspect="1"/>
                    </pic:cNvPicPr>
                  </pic:nvPicPr>
                  <pic:blipFill>
                    <a:blip r:embed="rId20"/>
                    <a:stretch>
                      <a:fillRect/>
                    </a:stretch>
                  </pic:blipFill>
                  <pic:spPr bwMode="auto">
                    <a:xfrm>
                      <a:off x="0" y="0"/>
                      <a:ext cx="6108700" cy="2748915"/>
                    </a:xfrm>
                    <a:prstGeom prst="rect">
                      <a:avLst/>
                    </a:prstGeom>
                    <a:noFill/>
                    <a:ln w="9525">
                      <a:noFill/>
                      <a:headEnd/>
                      <a:tailEnd/>
                    </a:ln>
                  </pic:spPr>
                </pic:pic>
              </a:graphicData>
            </a:graphic>
          </wp:inline>
        </w:drawing>
      </w:r>
    </w:p>
    <w:p>
      <w:pPr>
        <w:pStyle w:val="BodyText"/>
      </w:pPr>
      <w:r>
        <w:t xml:space="preserve">本报告围绕旧飞鹅填埋场存量垃圾、渗滤液及膜浓缩液、填埋气体，以及经调查确认受影响的土壤和地下水提出治理建议。乙方承担本报告的技术论证和方案编制；甲方依法确定项目业主、审批路径、资金安排与实施范围。工程勘察、专项评估及设计批准后形成最终实施参数。</w:t>
      </w:r>
    </w:p>
    <w:bookmarkStart w:id="23" w:name="可研结论摘要"/>
    <w:p>
      <w:pPr>
        <w:pStyle w:val="Heading2"/>
        <w:pageBreakBefore/>
      </w:pPr>
      <w:r>
        <w:t>目　录</w:t>
      </w:r>
    </w:p>
    <w:p>
      <w:pPr>
        <w:spacing w:after="120"/>
      </w:pPr>
      <w:r>
        <w:t>可研结论摘要</w:t>
      </w:r>
    </w:p>
    <w:p>
      <w:pPr>
        <w:spacing w:after="120"/>
      </w:pPr>
      <w:r>
        <w:t>1 基本情况概述</w:t>
      </w:r>
    </w:p>
    <w:p>
      <w:pPr>
        <w:spacing w:after="120"/>
      </w:pPr>
      <w:r>
        <w:t>2 现状、存在问题与急迫任务</w:t>
      </w:r>
    </w:p>
    <w:p>
      <w:pPr>
        <w:spacing w:after="120"/>
      </w:pPr>
      <w:r>
        <w:t>3 针对性举措、方案优缺点与开挖必要性</w:t>
      </w:r>
    </w:p>
    <w:p>
      <w:pPr>
        <w:spacing w:after="120"/>
      </w:pPr>
      <w:r>
        <w:t>4 开挖综合治理政策导向与全国案例</w:t>
      </w:r>
    </w:p>
    <w:p>
      <w:pPr>
        <w:spacing w:after="120"/>
      </w:pPr>
      <w:r>
        <w:t>5 开挖综合治理具体实施方案</w:t>
      </w:r>
    </w:p>
    <w:p>
      <w:pPr>
        <w:spacing w:after="120"/>
      </w:pPr>
      <w:r>
        <w:t>6 投入产出核算、资金与综合效益</w:t>
      </w:r>
    </w:p>
    <w:p>
      <w:pPr>
        <w:spacing w:after="120"/>
      </w:pPr>
      <w:r>
        <w:t>7 顶层设计、实施周期与近期建议</w:t>
      </w:r>
    </w:p>
    <w:p>
      <w:pPr>
        <w:spacing w:after="120"/>
      </w:pPr>
      <w:r>
        <w:t>附录A 文件、案例与场地来源索引</w:t>
      </w:r>
    </w:p>
    <w:p>
      <w:pPr>
        <w:spacing w:after="120"/>
      </w:pPr>
      <w:r>
        <w:t>附录B 实施计量及核算台账</w:t>
      </w:r>
    </w:p>
    <w:p>
      <w:pPr>
        <w:pStyle w:val="Heading2"/>
        <w:pageBreakBefore/>
      </w:pPr>
      <w:r>
        <w:t xml:space="preserve">可研结论摘要</w:t>
      </w:r>
    </w:p>
    <w:p>
      <w:pPr>
        <w:pStyle w:val="FirstParagraph"/>
      </w:pPr>
      <w:r>
        <w:t xml:space="preserve">乙方建议启动以分区开挖为主的综合治理前期，按“污染诊断—风险与稳定评估—末端落实—示范验证—分区开挖修复—效果评估和后期管理”推进。移除堆体、暴露并修复原场底的治理目标需要开挖工程；单纯维护仍是近期保障和方案比较基准，具体开挖范围由调查、示范与审批核定。[B01；S02；S03]</w:t>
      </w:r>
    </w:p>
    <w:p>
      <w:pPr>
        <w:pStyle w:val="BodyText"/>
      </w:pPr>
      <w:r>
        <w:t xml:space="preserve">近期首先保障现有水气治理和接收连续，开展污染现状及环境风险调查。资料记载处理渗滤液170吨/日、浓缩液外运20吨/日，合同至2026年12月31日，距本报告日期81天。全国官方记录确认海南、江西开挖筛分实践和阿苏卫成套设施配置，支持有条件的技术可行性，不替代本场验证。[B01；C01—C02]</w:t>
      </w:r>
    </w:p>
    <w:p>
      <w:pPr>
        <w:pStyle w:val="BodyText"/>
      </w:pPr>
      <w:r>
        <w:t xml:space="preserve">现有量价折算服务费约713.6万元/年。10年、20年无折现理论最高避免支出为7135.8万元、14271.5万元，实际需扣除治理后维护。主体投资尚需实测工程量、全部合法去向和报价；本报告不承诺投资总额、回收期或未经证实的土地产业收入。[B01；乙方计算；S02；S04]</w:t>
      </w:r>
    </w:p>
    <w:tbl>
      <w:tblPr>
        <w:tblStyle w:val="Table"/>
        <w:tblW w:type="dxa" w:w="9638"/>
        <w:jc w:val="left"/>
        <w:tblLayout w:type="fixed"/>
        <w:tblLook w:firstRow="1" w:lastRow="0" w:firstColumn="0" w:lastColumn="0" w:noHBand="0" w:noVBand="0" w:val="0020"/>
      </w:tblPr>
      <w:tblGrid>
        <w:gridCol w:w="2869"/>
        <w:gridCol w:w="6769"/>
      </w:tblGrid>
      <w:tr>
        <w:trPr>
          <w:tblHeader w:val="on"/>
          <w:cantSplit/>
          <w:tblHeader w:val="true"/>
        </w:trPr>
        <w:tc>
          <w:tcPr>
            <w:tcW w:type="dxa" w:w="2869"/>
            <w:shd w:fill="174775"/>
          </w:tcPr>
          <w:p>
            <w:pPr>
              <w:keepNext w:val="0"/>
              <w:pageBreakBefore w:val="0"/>
              <w:spacing w:after="60" w:before="60" w:line="283" w:lineRule="auto"/>
              <w:jc w:val="left"/>
            </w:pPr>
            <w:r>
              <w:rPr>
                <w:rFonts w:ascii="Arial" w:hAnsi="Arial" w:eastAsia="宋体"/>
                <w:b/>
                <w:color w:val="FFFFFF"/>
                <w:sz w:val="19"/>
              </w:rPr>
              <w:t xml:space="preserve">可研判断</w:t>
            </w:r>
          </w:p>
        </w:tc>
        <w:tc>
          <w:tcPr>
            <w:tcW w:type="dxa" w:w="6769"/>
            <w:shd w:fill="174775"/>
          </w:tcPr>
          <w:p>
            <w:pPr>
              <w:keepNext w:val="0"/>
              <w:pageBreakBefore w:val="0"/>
              <w:spacing w:after="60" w:before="60" w:line="283" w:lineRule="auto"/>
              <w:jc w:val="left"/>
            </w:pPr>
            <w:r>
              <w:rPr>
                <w:rFonts w:ascii="Arial" w:hAnsi="Arial" w:eastAsia="宋体"/>
                <w:b/>
                <w:color w:val="FFFFFF"/>
                <w:sz w:val="19"/>
              </w:rPr>
              <w:t xml:space="preserve">乙方建议与实施条件</w:t>
            </w:r>
          </w:p>
        </w:tc>
      </w:tr>
      <w:tr>
        <w:trPr>
          <w:cantSplit/>
        </w:trPr>
        <w:tc>
          <w:tcPr>
            <w:tcW w:type="dxa" w:w="2869"/>
            <w:shd w:fill="FFFFFF"/>
          </w:tcPr>
          <w:p>
            <w:pPr>
              <w:keepNext w:val="0"/>
              <w:pageBreakBefore w:val="0"/>
              <w:spacing w:after="60" w:before="60" w:line="283" w:lineRule="auto"/>
              <w:jc w:val="left"/>
            </w:pPr>
            <w:r>
              <w:rPr>
                <w:rFonts w:ascii="Arial" w:hAnsi="Arial" w:eastAsia="宋体"/>
                <w:sz w:val="19"/>
              </w:rPr>
              <w:t xml:space="preserve">急迫性</w:t>
            </w:r>
          </w:p>
        </w:tc>
        <w:tc>
          <w:tcPr>
            <w:tcW w:type="dxa" w:w="6769"/>
            <w:shd w:fill="FFFFFF"/>
          </w:tcPr>
          <w:p>
            <w:pPr>
              <w:keepNext w:val="0"/>
              <w:pageBreakBefore w:val="0"/>
              <w:spacing w:after="60" w:before="60" w:line="283" w:lineRule="auto"/>
              <w:jc w:val="left"/>
            </w:pPr>
            <w:r>
              <w:rPr>
                <w:rFonts w:ascii="Arial" w:hAnsi="Arial" w:eastAsia="宋体"/>
                <w:sz w:val="19"/>
              </w:rPr>
              <w:t xml:space="preserve">立即衔接运维，开展污染现状、风险和稳定调查；异常问题按预案优先处置</w:t>
            </w:r>
          </w:p>
        </w:tc>
      </w:tr>
      <w:tr>
        <w:trPr>
          <w:cantSplit/>
        </w:trPr>
        <w:tc>
          <w:tcPr>
            <w:tcW w:type="dxa" w:w="2869"/>
            <w:shd w:fill="EAF2F9"/>
          </w:tcPr>
          <w:p>
            <w:pPr>
              <w:keepNext w:val="0"/>
              <w:pageBreakBefore w:val="0"/>
              <w:spacing w:after="60" w:before="60" w:line="283" w:lineRule="auto"/>
              <w:jc w:val="left"/>
            </w:pPr>
            <w:r>
              <w:rPr>
                <w:rFonts w:ascii="Arial" w:hAnsi="Arial" w:eastAsia="宋体"/>
                <w:sz w:val="19"/>
              </w:rPr>
              <w:t xml:space="preserve">必要性</w:t>
            </w:r>
          </w:p>
        </w:tc>
        <w:tc>
          <w:tcPr>
            <w:tcW w:type="dxa" w:w="6769"/>
            <w:shd w:fill="EAF2F9"/>
          </w:tcPr>
          <w:p>
            <w:pPr>
              <w:keepNext w:val="0"/>
              <w:pageBreakBefore w:val="0"/>
              <w:spacing w:after="60" w:before="60" w:line="283" w:lineRule="auto"/>
              <w:jc w:val="left"/>
            </w:pPr>
            <w:r>
              <w:rPr>
                <w:rFonts w:ascii="Arial" w:hAnsi="Arial" w:eastAsia="宋体"/>
                <w:sz w:val="19"/>
              </w:rPr>
              <w:t xml:space="preserve">在移除堆体、核查修复场底的目标下采用分区开挖；具体范围按调查和比选核定</w:t>
            </w:r>
          </w:p>
        </w:tc>
      </w:tr>
      <w:tr>
        <w:trPr>
          <w:cantSplit/>
        </w:trPr>
        <w:tc>
          <w:tcPr>
            <w:tcW w:type="dxa" w:w="2869"/>
            <w:shd w:fill="FFFFFF"/>
          </w:tcPr>
          <w:p>
            <w:pPr>
              <w:keepNext w:val="0"/>
              <w:pageBreakBefore w:val="0"/>
              <w:spacing w:after="60" w:before="60" w:line="283" w:lineRule="auto"/>
              <w:jc w:val="left"/>
            </w:pPr>
            <w:r>
              <w:rPr>
                <w:rFonts w:ascii="Arial" w:hAnsi="Arial" w:eastAsia="宋体"/>
                <w:sz w:val="19"/>
              </w:rPr>
              <w:t xml:space="preserve">技术可行性</w:t>
            </w:r>
          </w:p>
        </w:tc>
        <w:tc>
          <w:tcPr>
            <w:tcW w:type="dxa" w:w="6769"/>
            <w:shd w:fill="FFFFFF"/>
          </w:tcPr>
          <w:p>
            <w:pPr>
              <w:keepNext w:val="0"/>
              <w:pageBreakBefore w:val="0"/>
              <w:spacing w:after="60" w:before="60" w:line="283" w:lineRule="auto"/>
              <w:jc w:val="left"/>
            </w:pPr>
            <w:r>
              <w:rPr>
                <w:rFonts w:ascii="Arial" w:hAnsi="Arial" w:eastAsia="宋体"/>
                <w:sz w:val="19"/>
              </w:rPr>
              <w:t xml:space="preserve">已有工程实践；本场示范取得组分、产水、气体、持续能力和真实接收结果后放大</w:t>
            </w:r>
          </w:p>
        </w:tc>
      </w:tr>
      <w:tr>
        <w:trPr>
          <w:cantSplit/>
        </w:trPr>
        <w:tc>
          <w:tcPr>
            <w:tcW w:type="dxa" w:w="2869"/>
            <w:shd w:fill="EAF2F9"/>
          </w:tcPr>
          <w:p>
            <w:pPr>
              <w:keepNext w:val="0"/>
              <w:pageBreakBefore w:val="0"/>
              <w:spacing w:after="60" w:before="60" w:line="283" w:lineRule="auto"/>
              <w:jc w:val="left"/>
            </w:pPr>
            <w:r>
              <w:rPr>
                <w:rFonts w:ascii="Arial" w:hAnsi="Arial" w:eastAsia="宋体"/>
                <w:sz w:val="19"/>
              </w:rPr>
              <w:t xml:space="preserve">科学性</w:t>
            </w:r>
          </w:p>
        </w:tc>
        <w:tc>
          <w:tcPr>
            <w:tcW w:type="dxa" w:w="6769"/>
            <w:shd w:fill="EAF2F9"/>
          </w:tcPr>
          <w:p>
            <w:pPr>
              <w:keepNext w:val="0"/>
              <w:pageBreakBefore w:val="0"/>
              <w:spacing w:after="60" w:before="60" w:line="283" w:lineRule="auto"/>
              <w:jc w:val="left"/>
            </w:pPr>
            <w:r>
              <w:rPr>
                <w:rFonts w:ascii="Arial" w:hAnsi="Arial" w:eastAsia="宋体"/>
                <w:sz w:val="19"/>
              </w:rPr>
              <w:t xml:space="preserve">以基线、物料与水量平衡、稳定验算、批次检测和效果评估控制方案，不套用假设密度和产率</w:t>
            </w:r>
          </w:p>
        </w:tc>
      </w:tr>
      <w:tr>
        <w:trPr>
          <w:cantSplit/>
        </w:trPr>
        <w:tc>
          <w:tcPr>
            <w:tcW w:type="dxa" w:w="2869"/>
            <w:shd w:fill="FFFFFF"/>
          </w:tcPr>
          <w:p>
            <w:pPr>
              <w:keepNext w:val="0"/>
              <w:pageBreakBefore w:val="0"/>
              <w:spacing w:after="60" w:before="60" w:line="283" w:lineRule="auto"/>
              <w:jc w:val="left"/>
            </w:pPr>
            <w:r>
              <w:rPr>
                <w:rFonts w:ascii="Arial" w:hAnsi="Arial" w:eastAsia="宋体"/>
                <w:sz w:val="19"/>
              </w:rPr>
              <w:t xml:space="preserve">经济可行性</w:t>
            </w:r>
          </w:p>
        </w:tc>
        <w:tc>
          <w:tcPr>
            <w:tcW w:type="dxa" w:w="6769"/>
            <w:shd w:fill="FFFFFF"/>
          </w:tcPr>
          <w:p>
            <w:pPr>
              <w:keepNext w:val="0"/>
              <w:pageBreakBefore w:val="0"/>
              <w:spacing w:after="60" w:before="60" w:line="283" w:lineRule="auto"/>
              <w:jc w:val="left"/>
            </w:pPr>
            <w:r>
              <w:rPr>
                <w:rFonts w:ascii="Arial" w:hAnsi="Arial" w:eastAsia="宋体"/>
                <w:sz w:val="19"/>
              </w:rPr>
              <w:t xml:space="preserve">既有费用可折算，主体投资按工程量、设施及合法末端报价核定；资金落实后批准规模施工</w:t>
            </w:r>
          </w:p>
        </w:tc>
      </w:tr>
      <w:tr>
        <w:trPr>
          <w:cantSplit/>
        </w:trPr>
        <w:tc>
          <w:tcPr>
            <w:tcW w:type="dxa" w:w="2869"/>
            <w:shd w:fill="EAF2F9"/>
          </w:tcPr>
          <w:p>
            <w:pPr>
              <w:keepNext w:val="0"/>
              <w:pageBreakBefore w:val="0"/>
              <w:spacing w:after="60" w:before="60" w:line="283" w:lineRule="auto"/>
              <w:jc w:val="left"/>
            </w:pPr>
            <w:r>
              <w:rPr>
                <w:rFonts w:ascii="Arial" w:hAnsi="Arial" w:eastAsia="宋体"/>
                <w:sz w:val="19"/>
              </w:rPr>
              <w:t xml:space="preserve">实施顺序</w:t>
            </w:r>
          </w:p>
        </w:tc>
        <w:tc>
          <w:tcPr>
            <w:tcW w:type="dxa" w:w="6769"/>
            <w:shd w:fill="EAF2F9"/>
          </w:tcPr>
          <w:p>
            <w:pPr>
              <w:keepNext w:val="0"/>
              <w:pageBreakBefore w:val="0"/>
              <w:spacing w:after="60" w:before="60" w:line="283" w:lineRule="auto"/>
              <w:jc w:val="left"/>
            </w:pPr>
            <w:r>
              <w:rPr>
                <w:rFonts w:ascii="Arial" w:hAnsi="Arial" w:eastAsia="宋体"/>
                <w:sz w:val="19"/>
              </w:rPr>
              <w:t xml:space="preserve">甲方组织审批资金；乙方按委托开展调查、可研设计接口、示范与工程实施；污染控制设施先行</w:t>
            </w:r>
          </w:p>
        </w:tc>
      </w:tr>
    </w:tbl>
    <w:bookmarkEnd w:id="23"/>
    <w:bookmarkStart w:id="30" w:name="X09de7386e16856e3e66c8c831aba79dde80530d"/>
    <w:p>
      <w:pPr>
        <w:pStyle w:val="Heading2"/>
        <w:pageBreakBefore/>
      </w:pPr>
      <w:r>
        <w:t xml:space="preserve">1 基本情况概述</w:t>
      </w:r>
    </w:p>
    <w:bookmarkStart w:id="27" w:name="Xf3bf1c7e71decbbb36eb224a370ea178aaaee4e"/>
    <w:p>
      <w:pPr>
        <w:pStyle w:val="Heading3"/>
      </w:pPr>
      <w:r>
        <w:t xml:space="preserve">1.1 既有建设及运行情况</w:t>
      </w:r>
    </w:p>
    <w:p>
      <w:pPr>
        <w:pStyle w:val="FirstParagraph"/>
      </w:pPr>
      <w:r>
        <w:t xml:space="preserve">场地位于大岭山镇旧飞鹅村，场地工作资料记载1996年开始使用、2019年7月1日正式封场，封场整治占地106845平方米。项目保留已形成的堆体整形、覆盖、导排、绿化和监测设施，并把其运行状态纳入治理前调查。[B01第1—2页]</w:t>
      </w:r>
    </w:p>
    <w:p>
      <w:pPr>
        <w:pStyle w:val="BodyText"/>
      </w:pPr>
      <w:r>
        <w:drawing>
          <wp:inline>
            <wp:extent cx="6108700" cy="2748915"/>
            <wp:effectExtent b="0" l="0" r="0" t="0"/>
            <wp:docPr descr="历史与责任" title="" id="25" name="Picture"/>
            <a:graphic>
              <a:graphicData uri="http://schemas.openxmlformats.org/drawingml/2006/picture">
                <pic:pic>
                  <pic:nvPicPr>
                    <pic:cNvPr descr="../figures/01_history.png" id="26" name="Picture"/>
                    <pic:cNvPicPr>
                      <a:picLocks noChangeArrowheads="1" noChangeAspect="1"/>
                    </pic:cNvPicPr>
                  </pic:nvPicPr>
                  <pic:blipFill>
                    <a:blip r:embed="rId24"/>
                    <a:stretch>
                      <a:fillRect/>
                    </a:stretch>
                  </pic:blipFill>
                  <pic:spPr bwMode="auto">
                    <a:xfrm>
                      <a:off x="0" y="0"/>
                      <a:ext cx="6108700" cy="2748915"/>
                    </a:xfrm>
                    <a:prstGeom prst="rect">
                      <a:avLst/>
                    </a:prstGeom>
                    <a:noFill/>
                    <a:ln w="9525">
                      <a:noFill/>
                      <a:headEnd/>
                      <a:tailEnd/>
                    </a:ln>
                  </pic:spPr>
                </pic:pic>
              </a:graphicData>
            </a:graphic>
          </wp:inline>
        </w:drawing>
      </w:r>
    </w:p>
    <w:p>
      <w:pPr>
        <w:pStyle w:val="BodyText"/>
        <w:jc w:val="center"/>
      </w:pPr>
      <w:r>
        <w:rPr>
          <w:color w:val="5F7179"/>
          <w:sz w:val="18"/>
        </w:rPr>
        <w:t xml:space="preserve">图1　场地历史与持续管理责任。资料所引销号验收函尚需调取原件，历史验收不替代现状风险评估。</w:t>
      </w:r>
    </w:p>
    <w:tbl>
      <w:tblPr>
        <w:tblStyle w:val="Table"/>
        <w:tblW w:type="dxa" w:w="9638"/>
        <w:jc w:val="left"/>
        <w:tblLayout w:type="fixed"/>
        <w:tblLook w:firstRow="1" w:lastRow="0" w:firstColumn="0" w:lastColumn="0" w:noHBand="0" w:noVBand="0" w:val="0020"/>
      </w:tblPr>
      <w:tblGrid>
        <w:gridCol w:w="2034"/>
        <w:gridCol w:w="3903"/>
        <w:gridCol w:w="3701"/>
      </w:tblGrid>
      <w:tr>
        <w:trPr>
          <w:tblHeader w:val="on"/>
          <w:cantSplit/>
          <w:tblHeader w:val="true"/>
        </w:trPr>
        <w:tc>
          <w:tcPr>
            <w:tcW w:type="dxa" w:w="2034"/>
            <w:shd w:fill="174775"/>
          </w:tcPr>
          <w:p>
            <w:pPr>
              <w:keepNext w:val="0"/>
              <w:pageBreakBefore w:val="0"/>
              <w:spacing w:after="60" w:before="60" w:line="283" w:lineRule="auto"/>
              <w:jc w:val="left"/>
            </w:pPr>
            <w:r>
              <w:rPr>
                <w:rFonts w:ascii="Arial" w:hAnsi="Arial" w:eastAsia="宋体"/>
                <w:b/>
                <w:color w:val="FFFFFF"/>
                <w:sz w:val="19"/>
              </w:rPr>
              <w:t xml:space="preserve">基础项目</w:t>
            </w:r>
          </w:p>
        </w:tc>
        <w:tc>
          <w:tcPr>
            <w:tcW w:type="dxa" w:w="3903"/>
            <w:shd w:fill="174775"/>
          </w:tcPr>
          <w:p>
            <w:pPr>
              <w:keepNext w:val="0"/>
              <w:pageBreakBefore w:val="0"/>
              <w:spacing w:after="60" w:before="60" w:line="283" w:lineRule="auto"/>
              <w:jc w:val="left"/>
            </w:pPr>
            <w:r>
              <w:rPr>
                <w:rFonts w:ascii="Arial" w:hAnsi="Arial" w:eastAsia="宋体"/>
                <w:b/>
                <w:color w:val="FFFFFF"/>
                <w:sz w:val="19"/>
              </w:rPr>
              <w:t xml:space="preserve">资料记载及口径</w:t>
            </w:r>
          </w:p>
        </w:tc>
        <w:tc>
          <w:tcPr>
            <w:tcW w:type="dxa" w:w="3701"/>
            <w:shd w:fill="174775"/>
          </w:tcPr>
          <w:p>
            <w:pPr>
              <w:keepNext w:val="0"/>
              <w:pageBreakBefore w:val="0"/>
              <w:spacing w:after="60" w:before="60" w:line="283" w:lineRule="auto"/>
              <w:jc w:val="left"/>
            </w:pPr>
            <w:r>
              <w:rPr>
                <w:rFonts w:ascii="Arial" w:hAnsi="Arial" w:eastAsia="宋体"/>
                <w:b/>
                <w:color w:val="FFFFFF"/>
                <w:sz w:val="19"/>
              </w:rPr>
              <w:t xml:space="preserve">本项目处理方式</w:t>
            </w:r>
          </w:p>
        </w:tc>
      </w:tr>
      <w:tr>
        <w:trPr>
          <w:cantSplit/>
        </w:trPr>
        <w:tc>
          <w:tcPr>
            <w:tcW w:type="dxa" w:w="2034"/>
            <w:shd w:fill="FFFFFF"/>
          </w:tcPr>
          <w:p>
            <w:pPr>
              <w:keepNext w:val="0"/>
              <w:pageBreakBefore w:val="0"/>
              <w:spacing w:after="60" w:before="60" w:line="283" w:lineRule="auto"/>
              <w:jc w:val="left"/>
            </w:pPr>
            <w:r>
              <w:rPr>
                <w:rFonts w:ascii="Arial" w:hAnsi="Arial" w:eastAsia="宋体"/>
                <w:sz w:val="19"/>
              </w:rPr>
              <w:t xml:space="preserve">场地封场</w:t>
            </w:r>
          </w:p>
        </w:tc>
        <w:tc>
          <w:tcPr>
            <w:tcW w:type="dxa" w:w="3903"/>
            <w:shd w:fill="FFFFFF"/>
          </w:tcPr>
          <w:p>
            <w:pPr>
              <w:keepNext w:val="0"/>
              <w:pageBreakBefore w:val="0"/>
              <w:spacing w:after="60" w:before="60" w:line="283" w:lineRule="auto"/>
              <w:jc w:val="left"/>
            </w:pPr>
            <w:r>
              <w:rPr>
                <w:rFonts w:ascii="Arial" w:hAnsi="Arial" w:eastAsia="宋体"/>
                <w:sz w:val="19"/>
              </w:rPr>
              <w:t xml:space="preserve">2019年7月1日正式封场整治；资料记载2019年12月16日通过销号验收</w:t>
            </w:r>
          </w:p>
        </w:tc>
        <w:tc>
          <w:tcPr>
            <w:tcW w:type="dxa" w:w="3701"/>
            <w:shd w:fill="FFFFFF"/>
          </w:tcPr>
          <w:p>
            <w:pPr>
              <w:keepNext w:val="0"/>
              <w:pageBreakBefore w:val="0"/>
              <w:spacing w:after="60" w:before="60" w:line="283" w:lineRule="auto"/>
              <w:jc w:val="left"/>
            </w:pPr>
            <w:r>
              <w:rPr>
                <w:rFonts w:ascii="Arial" w:hAnsi="Arial" w:eastAsia="宋体"/>
                <w:sz w:val="19"/>
              </w:rPr>
              <w:t xml:space="preserve">调取东城综函〔2019〕1688号及竣工图；保留有效封场成果</w:t>
            </w:r>
          </w:p>
        </w:tc>
      </w:tr>
      <w:tr>
        <w:trPr>
          <w:cantSplit/>
        </w:trPr>
        <w:tc>
          <w:tcPr>
            <w:tcW w:type="dxa" w:w="2034"/>
            <w:shd w:fill="EAF2F9"/>
          </w:tcPr>
          <w:p>
            <w:pPr>
              <w:keepNext w:val="0"/>
              <w:pageBreakBefore w:val="0"/>
              <w:spacing w:after="60" w:before="60" w:line="283" w:lineRule="auto"/>
              <w:jc w:val="left"/>
            </w:pPr>
            <w:r>
              <w:rPr>
                <w:rFonts w:ascii="Arial" w:hAnsi="Arial" w:eastAsia="宋体"/>
                <w:sz w:val="19"/>
              </w:rPr>
              <w:t xml:space="preserve">封场占地</w:t>
            </w:r>
          </w:p>
        </w:tc>
        <w:tc>
          <w:tcPr>
            <w:tcW w:type="dxa" w:w="3903"/>
            <w:shd w:fill="EAF2F9"/>
          </w:tcPr>
          <w:p>
            <w:pPr>
              <w:keepNext w:val="0"/>
              <w:pageBreakBefore w:val="0"/>
              <w:spacing w:after="60" w:before="60" w:line="283" w:lineRule="auto"/>
              <w:jc w:val="left"/>
            </w:pPr>
            <w:r>
              <w:rPr>
                <w:rFonts w:ascii="Arial" w:hAnsi="Arial" w:eastAsia="宋体"/>
                <w:sz w:val="19"/>
              </w:rPr>
              <w:t xml:space="preserve">106845平方米，折合约10.68公顷、160.27亩</w:t>
            </w:r>
          </w:p>
        </w:tc>
        <w:tc>
          <w:tcPr>
            <w:tcW w:type="dxa" w:w="3701"/>
            <w:shd w:fill="EAF2F9"/>
          </w:tcPr>
          <w:p>
            <w:pPr>
              <w:keepNext w:val="0"/>
              <w:pageBreakBefore w:val="0"/>
              <w:spacing w:after="60" w:before="60" w:line="283" w:lineRule="auto"/>
              <w:jc w:val="left"/>
            </w:pPr>
            <w:r>
              <w:rPr>
                <w:rFonts w:ascii="Arial" w:hAnsi="Arial" w:eastAsia="宋体"/>
                <w:sz w:val="19"/>
              </w:rPr>
              <w:t xml:space="preserve">仅为既有整治面积；新增临时用地和最终可利用面积另行核定</w:t>
            </w:r>
          </w:p>
        </w:tc>
      </w:tr>
      <w:tr>
        <w:trPr>
          <w:cantSplit/>
        </w:trPr>
        <w:tc>
          <w:tcPr>
            <w:tcW w:type="dxa" w:w="2034"/>
            <w:shd w:fill="FFFFFF"/>
          </w:tcPr>
          <w:p>
            <w:pPr>
              <w:keepNext w:val="0"/>
              <w:pageBreakBefore w:val="0"/>
              <w:spacing w:after="60" w:before="60" w:line="283" w:lineRule="auto"/>
              <w:jc w:val="left"/>
            </w:pPr>
            <w:r>
              <w:rPr>
                <w:rFonts w:ascii="Arial" w:hAnsi="Arial" w:eastAsia="宋体"/>
                <w:sz w:val="19"/>
              </w:rPr>
              <w:t xml:space="preserve">垃圾存量</w:t>
            </w:r>
          </w:p>
        </w:tc>
        <w:tc>
          <w:tcPr>
            <w:tcW w:type="dxa" w:w="3903"/>
            <w:shd w:fill="FFFFFF"/>
          </w:tcPr>
          <w:p>
            <w:pPr>
              <w:keepNext w:val="0"/>
              <w:pageBreakBefore w:val="0"/>
              <w:spacing w:after="60" w:before="60" w:line="283" w:lineRule="auto"/>
              <w:jc w:val="left"/>
            </w:pPr>
            <w:r>
              <w:rPr>
                <w:rFonts w:ascii="Arial" w:hAnsi="Arial" w:eastAsia="宋体"/>
                <w:sz w:val="19"/>
              </w:rPr>
              <w:t xml:space="preserve">B01为250万立方米；B02为170万立方米</w:t>
            </w:r>
          </w:p>
        </w:tc>
        <w:tc>
          <w:tcPr>
            <w:tcW w:type="dxa" w:w="3701"/>
            <w:shd w:fill="FFFFFF"/>
          </w:tcPr>
          <w:p>
            <w:pPr>
              <w:keepNext w:val="0"/>
              <w:pageBreakBefore w:val="0"/>
              <w:spacing w:after="60" w:before="60" w:line="283" w:lineRule="auto"/>
              <w:jc w:val="left"/>
            </w:pPr>
            <w:r>
              <w:rPr>
                <w:rFonts w:ascii="Arial" w:hAnsi="Arial" w:eastAsia="宋体"/>
                <w:sz w:val="19"/>
              </w:rPr>
              <w:t xml:space="preserve">两种资料口径未统一；以现状测绘和历史基底恢复确定工程量</w:t>
            </w:r>
          </w:p>
        </w:tc>
      </w:tr>
      <w:tr>
        <w:trPr>
          <w:cantSplit/>
        </w:trPr>
        <w:tc>
          <w:tcPr>
            <w:tcW w:type="dxa" w:w="2034"/>
            <w:shd w:fill="EAF2F9"/>
          </w:tcPr>
          <w:p>
            <w:pPr>
              <w:keepNext w:val="0"/>
              <w:pageBreakBefore w:val="0"/>
              <w:spacing w:after="60" w:before="60" w:line="283" w:lineRule="auto"/>
              <w:jc w:val="left"/>
            </w:pPr>
            <w:r>
              <w:rPr>
                <w:rFonts w:ascii="Arial" w:hAnsi="Arial" w:eastAsia="宋体"/>
                <w:sz w:val="19"/>
              </w:rPr>
              <w:t xml:space="preserve">历史整治投入</w:t>
            </w:r>
          </w:p>
        </w:tc>
        <w:tc>
          <w:tcPr>
            <w:tcW w:type="dxa" w:w="3903"/>
            <w:shd w:fill="EAF2F9"/>
          </w:tcPr>
          <w:p>
            <w:pPr>
              <w:keepNext w:val="0"/>
              <w:pageBreakBefore w:val="0"/>
              <w:spacing w:after="60" w:before="60" w:line="283" w:lineRule="auto"/>
              <w:jc w:val="left"/>
            </w:pPr>
            <w:r>
              <w:rPr>
                <w:rFonts w:ascii="Arial" w:hAnsi="Arial" w:eastAsia="宋体"/>
                <w:sz w:val="19"/>
              </w:rPr>
              <w:t xml:space="preserve">B01记载约1261万元，含前期</w:t>
            </w:r>
          </w:p>
        </w:tc>
        <w:tc>
          <w:tcPr>
            <w:tcW w:type="dxa" w:w="3701"/>
            <w:shd w:fill="EAF2F9"/>
          </w:tcPr>
          <w:p>
            <w:pPr>
              <w:keepNext w:val="0"/>
              <w:pageBreakBefore w:val="0"/>
              <w:spacing w:after="60" w:before="60" w:line="283" w:lineRule="auto"/>
              <w:jc w:val="left"/>
            </w:pPr>
            <w:r>
              <w:rPr>
                <w:rFonts w:ascii="Arial" w:hAnsi="Arial" w:eastAsia="宋体"/>
                <w:sz w:val="19"/>
              </w:rPr>
              <w:t xml:space="preserve">属于2019年封场整治，不是当前开挖投资基准</w:t>
            </w:r>
          </w:p>
        </w:tc>
      </w:tr>
      <w:tr>
        <w:trPr>
          <w:cantSplit/>
        </w:trPr>
        <w:tc>
          <w:tcPr>
            <w:tcW w:type="dxa" w:w="2034"/>
            <w:shd w:fill="FFFFFF"/>
          </w:tcPr>
          <w:p>
            <w:pPr>
              <w:keepNext w:val="0"/>
              <w:pageBreakBefore w:val="0"/>
              <w:spacing w:after="60" w:before="60" w:line="283" w:lineRule="auto"/>
              <w:jc w:val="left"/>
            </w:pPr>
            <w:r>
              <w:rPr>
                <w:rFonts w:ascii="Arial" w:hAnsi="Arial" w:eastAsia="宋体"/>
                <w:sz w:val="19"/>
              </w:rPr>
              <w:t xml:space="preserve">堆体监测</w:t>
            </w:r>
          </w:p>
        </w:tc>
        <w:tc>
          <w:tcPr>
            <w:tcW w:type="dxa" w:w="3903"/>
            <w:shd w:fill="FFFFFF"/>
          </w:tcPr>
          <w:p>
            <w:pPr>
              <w:keepNext w:val="0"/>
              <w:pageBreakBefore w:val="0"/>
              <w:spacing w:after="60" w:before="60" w:line="283" w:lineRule="auto"/>
              <w:jc w:val="left"/>
            </w:pPr>
            <w:r>
              <w:rPr>
                <w:rFonts w:ascii="Arial" w:hAnsi="Arial" w:eastAsia="宋体"/>
                <w:sz w:val="19"/>
              </w:rPr>
              <w:t xml:space="preserve">16个监测点，资料记载每月形成报告</w:t>
            </w:r>
          </w:p>
        </w:tc>
        <w:tc>
          <w:tcPr>
            <w:tcW w:type="dxa" w:w="3701"/>
            <w:shd w:fill="FFFFFF"/>
          </w:tcPr>
          <w:p>
            <w:pPr>
              <w:keepNext w:val="0"/>
              <w:pageBreakBefore w:val="0"/>
              <w:spacing w:after="60" w:before="60" w:line="283" w:lineRule="auto"/>
              <w:jc w:val="left"/>
            </w:pPr>
            <w:r>
              <w:rPr>
                <w:rFonts w:ascii="Arial" w:hAnsi="Arial" w:eastAsia="宋体"/>
                <w:sz w:val="19"/>
              </w:rPr>
              <w:t xml:space="preserve">核对布点、位移序列、设备状态和警戒值，按开挖工况补充</w:t>
            </w:r>
          </w:p>
        </w:tc>
      </w:tr>
      <w:tr>
        <w:trPr>
          <w:cantSplit/>
        </w:trPr>
        <w:tc>
          <w:tcPr>
            <w:tcW w:type="dxa" w:w="2034"/>
            <w:shd w:fill="EAF2F9"/>
          </w:tcPr>
          <w:p>
            <w:pPr>
              <w:keepNext w:val="0"/>
              <w:pageBreakBefore w:val="0"/>
              <w:spacing w:after="60" w:before="60" w:line="283" w:lineRule="auto"/>
              <w:jc w:val="left"/>
            </w:pPr>
            <w:r>
              <w:rPr>
                <w:rFonts w:ascii="Arial" w:hAnsi="Arial" w:eastAsia="宋体"/>
                <w:sz w:val="19"/>
              </w:rPr>
              <w:t xml:space="preserve">环境监测</w:t>
            </w:r>
          </w:p>
        </w:tc>
        <w:tc>
          <w:tcPr>
            <w:tcW w:type="dxa" w:w="3903"/>
            <w:shd w:fill="EAF2F9"/>
          </w:tcPr>
          <w:p>
            <w:pPr>
              <w:keepNext w:val="0"/>
              <w:pageBreakBefore w:val="0"/>
              <w:spacing w:after="60" w:before="60" w:line="283" w:lineRule="auto"/>
              <w:jc w:val="left"/>
            </w:pPr>
            <w:r>
              <w:rPr>
                <w:rFonts w:ascii="Arial" w:hAnsi="Arial" w:eastAsia="宋体"/>
                <w:sz w:val="19"/>
              </w:rPr>
              <w:t xml:space="preserve">资料记载地下水、地表水、气体季度监测</w:t>
            </w:r>
          </w:p>
        </w:tc>
        <w:tc>
          <w:tcPr>
            <w:tcW w:type="dxa" w:w="3701"/>
            <w:shd w:fill="EAF2F9"/>
          </w:tcPr>
          <w:p>
            <w:pPr>
              <w:keepNext w:val="0"/>
              <w:pageBreakBefore w:val="0"/>
              <w:spacing w:after="60" w:before="60" w:line="283" w:lineRule="auto"/>
              <w:jc w:val="left"/>
            </w:pPr>
            <w:r>
              <w:rPr>
                <w:rFonts w:ascii="Arial" w:hAnsi="Arial" w:eastAsia="宋体"/>
                <w:sz w:val="19"/>
              </w:rPr>
              <w:t xml:space="preserve">取得原始报告、采样位置及指标，建立现状基线</w:t>
            </w:r>
          </w:p>
        </w:tc>
      </w:tr>
      <w:tr>
        <w:trPr>
          <w:cantSplit/>
        </w:trPr>
        <w:tc>
          <w:tcPr>
            <w:tcW w:type="dxa" w:w="2034"/>
            <w:shd w:fill="FFFFFF"/>
          </w:tcPr>
          <w:p>
            <w:pPr>
              <w:keepNext w:val="0"/>
              <w:pageBreakBefore w:val="0"/>
              <w:spacing w:after="60" w:before="60" w:line="283" w:lineRule="auto"/>
              <w:jc w:val="left"/>
            </w:pPr>
            <w:r>
              <w:rPr>
                <w:rFonts w:ascii="Arial" w:hAnsi="Arial" w:eastAsia="宋体"/>
                <w:sz w:val="19"/>
              </w:rPr>
              <w:t xml:space="preserve">处理站场地</w:t>
            </w:r>
          </w:p>
        </w:tc>
        <w:tc>
          <w:tcPr>
            <w:tcW w:type="dxa" w:w="3903"/>
            <w:shd w:fill="FFFFFF"/>
          </w:tcPr>
          <w:p>
            <w:pPr>
              <w:keepNext w:val="0"/>
              <w:pageBreakBefore w:val="0"/>
              <w:spacing w:after="60" w:before="60" w:line="283" w:lineRule="auto"/>
              <w:jc w:val="left"/>
            </w:pPr>
            <w:r>
              <w:rPr>
                <w:rFonts w:ascii="Arial" w:hAnsi="Arial" w:eastAsia="宋体"/>
                <w:sz w:val="19"/>
              </w:rPr>
              <w:t xml:space="preserve">占地6175平方米，建构筑物面积2100平方米</w:t>
            </w:r>
          </w:p>
        </w:tc>
        <w:tc>
          <w:tcPr>
            <w:tcW w:type="dxa" w:w="3701"/>
            <w:shd w:fill="FFFFFF"/>
          </w:tcPr>
          <w:p>
            <w:pPr>
              <w:keepNext w:val="0"/>
              <w:pageBreakBefore w:val="0"/>
              <w:spacing w:after="60" w:before="60" w:line="283" w:lineRule="auto"/>
              <w:jc w:val="left"/>
            </w:pPr>
            <w:r>
              <w:rPr>
                <w:rFonts w:ascii="Arial" w:hAnsi="Arial" w:eastAsia="宋体"/>
                <w:sz w:val="19"/>
              </w:rPr>
              <w:t xml:space="preserve">核查实际设施布局、承载、管线和可改造空间</w:t>
            </w:r>
          </w:p>
        </w:tc>
      </w:tr>
      <w:tr>
        <w:trPr>
          <w:cantSplit/>
        </w:trPr>
        <w:tc>
          <w:tcPr>
            <w:tcW w:type="dxa" w:w="2034"/>
            <w:shd w:fill="EAF2F9"/>
          </w:tcPr>
          <w:p>
            <w:pPr>
              <w:keepNext w:val="0"/>
              <w:pageBreakBefore w:val="0"/>
              <w:spacing w:after="60" w:before="60" w:line="283" w:lineRule="auto"/>
              <w:jc w:val="left"/>
            </w:pPr>
            <w:r>
              <w:rPr>
                <w:rFonts w:ascii="Arial" w:hAnsi="Arial" w:eastAsia="宋体"/>
                <w:sz w:val="19"/>
              </w:rPr>
              <w:t xml:space="preserve">渗滤液设施</w:t>
            </w:r>
          </w:p>
        </w:tc>
        <w:tc>
          <w:tcPr>
            <w:tcW w:type="dxa" w:w="3903"/>
            <w:shd w:fill="EAF2F9"/>
          </w:tcPr>
          <w:p>
            <w:pPr>
              <w:keepNext w:val="0"/>
              <w:pageBreakBefore w:val="0"/>
              <w:spacing w:after="60" w:before="60" w:line="283" w:lineRule="auto"/>
              <w:jc w:val="left"/>
            </w:pPr>
            <w:r>
              <w:rPr>
                <w:rFonts w:ascii="Arial" w:hAnsi="Arial" w:eastAsia="宋体"/>
                <w:sz w:val="19"/>
              </w:rPr>
              <w:t xml:space="preserve">常规规模180吨/日，应急规模300吨/日；预处理＋集装箱式两级DTRO</w:t>
            </w:r>
          </w:p>
        </w:tc>
        <w:tc>
          <w:tcPr>
            <w:tcW w:type="dxa" w:w="3701"/>
            <w:shd w:fill="EAF2F9"/>
          </w:tcPr>
          <w:p>
            <w:pPr>
              <w:keepNext w:val="0"/>
              <w:pageBreakBefore w:val="0"/>
              <w:spacing w:after="60" w:before="60" w:line="283" w:lineRule="auto"/>
              <w:jc w:val="left"/>
            </w:pPr>
            <w:r>
              <w:rPr>
                <w:rFonts w:ascii="Arial" w:hAnsi="Arial" w:eastAsia="宋体"/>
                <w:sz w:val="19"/>
              </w:rPr>
              <w:t xml:space="preserve">不把两种规模直接相加；以可持续达标能力确定新增负荷</w:t>
            </w:r>
          </w:p>
        </w:tc>
      </w:tr>
      <w:tr>
        <w:trPr>
          <w:cantSplit/>
        </w:trPr>
        <w:tc>
          <w:tcPr>
            <w:tcW w:type="dxa" w:w="2034"/>
            <w:shd w:fill="FFFFFF"/>
          </w:tcPr>
          <w:p>
            <w:pPr>
              <w:keepNext w:val="0"/>
              <w:pageBreakBefore w:val="0"/>
              <w:spacing w:after="60" w:before="60" w:line="283" w:lineRule="auto"/>
              <w:jc w:val="left"/>
            </w:pPr>
            <w:r>
              <w:rPr>
                <w:rFonts w:ascii="Arial" w:hAnsi="Arial" w:eastAsia="宋体"/>
                <w:sz w:val="19"/>
              </w:rPr>
              <w:t xml:space="preserve">现有负荷</w:t>
            </w:r>
          </w:p>
        </w:tc>
        <w:tc>
          <w:tcPr>
            <w:tcW w:type="dxa" w:w="3903"/>
            <w:shd w:fill="FFFFFF"/>
          </w:tcPr>
          <w:p>
            <w:pPr>
              <w:keepNext w:val="0"/>
              <w:pageBreakBefore w:val="0"/>
              <w:spacing w:after="60" w:before="60" w:line="283" w:lineRule="auto"/>
              <w:jc w:val="left"/>
            </w:pPr>
            <w:r>
              <w:rPr>
                <w:rFonts w:ascii="Arial" w:hAnsi="Arial" w:eastAsia="宋体"/>
                <w:sz w:val="19"/>
              </w:rPr>
              <w:t xml:space="preserve">平均渗滤液170吨/日；膜浓缩液外运20吨/日</w:t>
            </w:r>
          </w:p>
        </w:tc>
        <w:tc>
          <w:tcPr>
            <w:tcW w:type="dxa" w:w="3701"/>
            <w:shd w:fill="FFFFFF"/>
          </w:tcPr>
          <w:p>
            <w:pPr>
              <w:keepNext w:val="0"/>
              <w:pageBreakBefore w:val="0"/>
              <w:spacing w:after="60" w:before="60" w:line="283" w:lineRule="auto"/>
              <w:jc w:val="left"/>
            </w:pPr>
            <w:r>
              <w:rPr>
                <w:rFonts w:ascii="Arial" w:hAnsi="Arial" w:eastAsia="宋体"/>
                <w:sz w:val="19"/>
              </w:rPr>
              <w:t xml:space="preserve">属于工作资料记载负荷；不得作为全年实绩或开挖产率</w:t>
            </w:r>
          </w:p>
        </w:tc>
      </w:tr>
      <w:tr>
        <w:trPr>
          <w:cantSplit/>
        </w:trPr>
        <w:tc>
          <w:tcPr>
            <w:tcW w:type="dxa" w:w="2034"/>
            <w:shd w:fill="EAF2F9"/>
          </w:tcPr>
          <w:p>
            <w:pPr>
              <w:keepNext w:val="0"/>
              <w:pageBreakBefore w:val="0"/>
              <w:spacing w:after="60" w:before="60" w:line="283" w:lineRule="auto"/>
              <w:jc w:val="left"/>
            </w:pPr>
            <w:r>
              <w:rPr>
                <w:rFonts w:ascii="Arial" w:hAnsi="Arial" w:eastAsia="宋体"/>
                <w:sz w:val="19"/>
              </w:rPr>
              <w:t xml:space="preserve">累计处理量</w:t>
            </w:r>
          </w:p>
        </w:tc>
        <w:tc>
          <w:tcPr>
            <w:tcW w:type="dxa" w:w="3903"/>
            <w:shd w:fill="EAF2F9"/>
          </w:tcPr>
          <w:p>
            <w:pPr>
              <w:keepNext w:val="0"/>
              <w:pageBreakBefore w:val="0"/>
              <w:spacing w:after="60" w:before="60" w:line="283" w:lineRule="auto"/>
              <w:jc w:val="left"/>
            </w:pPr>
            <w:r>
              <w:rPr>
                <w:rFonts w:ascii="Arial" w:hAnsi="Arial" w:eastAsia="宋体"/>
                <w:sz w:val="19"/>
              </w:rPr>
              <w:t xml:space="preserve">2018年10月至2026年4月30日累计68.81万吨</w:t>
            </w:r>
          </w:p>
        </w:tc>
        <w:tc>
          <w:tcPr>
            <w:tcW w:type="dxa" w:w="3701"/>
            <w:shd w:fill="EAF2F9"/>
          </w:tcPr>
          <w:p>
            <w:pPr>
              <w:keepNext w:val="0"/>
              <w:pageBreakBefore w:val="0"/>
              <w:spacing w:after="60" w:before="60" w:line="283" w:lineRule="auto"/>
              <w:jc w:val="left"/>
            </w:pPr>
            <w:r>
              <w:rPr>
                <w:rFonts w:ascii="Arial" w:hAnsi="Arial" w:eastAsia="宋体"/>
                <w:sz w:val="19"/>
              </w:rPr>
              <w:t xml:space="preserve">保留统计截止日，核对计量及结算台账</w:t>
            </w:r>
          </w:p>
        </w:tc>
      </w:tr>
      <w:tr>
        <w:trPr>
          <w:cantSplit/>
        </w:trPr>
        <w:tc>
          <w:tcPr>
            <w:tcW w:type="dxa" w:w="2034"/>
            <w:shd w:fill="FFFFFF"/>
          </w:tcPr>
          <w:p>
            <w:pPr>
              <w:keepNext w:val="0"/>
              <w:pageBreakBefore w:val="0"/>
              <w:spacing w:after="60" w:before="60" w:line="283" w:lineRule="auto"/>
              <w:jc w:val="left"/>
            </w:pPr>
            <w:r>
              <w:rPr>
                <w:rFonts w:ascii="Arial" w:hAnsi="Arial" w:eastAsia="宋体"/>
                <w:sz w:val="19"/>
              </w:rPr>
              <w:t xml:space="preserve">调节池</w:t>
            </w:r>
          </w:p>
        </w:tc>
        <w:tc>
          <w:tcPr>
            <w:tcW w:type="dxa" w:w="3903"/>
            <w:shd w:fill="FFFFFF"/>
          </w:tcPr>
          <w:p>
            <w:pPr>
              <w:keepNext w:val="0"/>
              <w:pageBreakBefore w:val="0"/>
              <w:spacing w:after="60" w:before="60" w:line="283" w:lineRule="auto"/>
              <w:jc w:val="left"/>
            </w:pPr>
            <w:r>
              <w:rPr>
                <w:rFonts w:ascii="Arial" w:hAnsi="Arial" w:eastAsia="宋体"/>
                <w:sz w:val="19"/>
              </w:rPr>
              <w:t xml:space="preserve">记载1座约30000立方米，无收集井、环场导排收集</w:t>
            </w:r>
          </w:p>
        </w:tc>
        <w:tc>
          <w:tcPr>
            <w:tcW w:type="dxa" w:w="3701"/>
            <w:shd w:fill="FFFFFF"/>
          </w:tcPr>
          <w:p>
            <w:pPr>
              <w:keepNext w:val="0"/>
              <w:pageBreakBefore w:val="0"/>
              <w:spacing w:after="60" w:before="60" w:line="283" w:lineRule="auto"/>
              <w:jc w:val="left"/>
            </w:pPr>
            <w:r>
              <w:rPr>
                <w:rFonts w:ascii="Arial" w:hAnsi="Arial" w:eastAsia="宋体"/>
                <w:sz w:val="19"/>
              </w:rPr>
              <w:t xml:space="preserve">池容不等于存量或可用容量；堆体降液位措施另行设计</w:t>
            </w:r>
          </w:p>
        </w:tc>
      </w:tr>
      <w:tr>
        <w:trPr>
          <w:cantSplit/>
        </w:trPr>
        <w:tc>
          <w:tcPr>
            <w:tcW w:type="dxa" w:w="2034"/>
            <w:shd w:fill="EAF2F9"/>
          </w:tcPr>
          <w:p>
            <w:pPr>
              <w:keepNext w:val="0"/>
              <w:pageBreakBefore w:val="0"/>
              <w:spacing w:after="60" w:before="60" w:line="283" w:lineRule="auto"/>
              <w:jc w:val="left"/>
            </w:pPr>
            <w:r>
              <w:rPr>
                <w:rFonts w:ascii="Arial" w:hAnsi="Arial" w:eastAsia="宋体"/>
                <w:sz w:val="19"/>
              </w:rPr>
              <w:t xml:space="preserve">运维合同</w:t>
            </w:r>
          </w:p>
        </w:tc>
        <w:tc>
          <w:tcPr>
            <w:tcW w:type="dxa" w:w="3903"/>
            <w:shd w:fill="EAF2F9"/>
          </w:tcPr>
          <w:p>
            <w:pPr>
              <w:keepNext w:val="0"/>
              <w:pageBreakBefore w:val="0"/>
              <w:spacing w:after="60" w:before="60" w:line="283" w:lineRule="auto"/>
              <w:jc w:val="left"/>
            </w:pPr>
            <w:r>
              <w:rPr>
                <w:rFonts w:ascii="Arial" w:hAnsi="Arial" w:eastAsia="宋体"/>
                <w:sz w:val="19"/>
              </w:rPr>
              <w:t xml:space="preserve">资料记载2024年12月31日至2026年12月31日，处理单价115元/吨</w:t>
            </w:r>
          </w:p>
        </w:tc>
        <w:tc>
          <w:tcPr>
            <w:tcW w:type="dxa" w:w="3701"/>
            <w:shd w:fill="EAF2F9"/>
          </w:tcPr>
          <w:p>
            <w:pPr>
              <w:keepNext w:val="0"/>
              <w:pageBreakBefore w:val="0"/>
              <w:spacing w:after="60" w:before="60" w:line="283" w:lineRule="auto"/>
              <w:jc w:val="left"/>
            </w:pPr>
            <w:r>
              <w:rPr>
                <w:rFonts w:ascii="Arial" w:hAnsi="Arial" w:eastAsia="宋体"/>
                <w:sz w:val="19"/>
              </w:rPr>
              <w:t xml:space="preserve">核对合同原件、服务范围、调价和结算条款；及时衔接</w:t>
            </w:r>
          </w:p>
        </w:tc>
      </w:tr>
    </w:tbl>
    <w:p>
      <w:pPr>
        <w:pStyle w:val="BodyText"/>
      </w:pPr>
      <w:r>
        <w:t xml:space="preserve">基础数据来源：B01第1—6页，B02存量信息；公顷、亩数按面积换算。上述运行负荷沿用场地资料的吨/日口径，水系统设计时按实测密度、流量和污染负荷核算，不能未经换算直接等同立方米/日。</w:t>
      </w:r>
    </w:p>
    <w:bookmarkEnd w:id="27"/>
    <w:bookmarkStart w:id="28" w:name="Xb72f3d01d732280fe85824c782b9523364a0a76"/>
    <w:p>
      <w:pPr>
        <w:pStyle w:val="Heading3"/>
      </w:pPr>
      <w:r>
        <w:t xml:space="preserve">1.2 场地与设施边界</w:t>
      </w:r>
    </w:p>
    <w:p>
      <w:pPr>
        <w:pStyle w:val="FirstParagraph"/>
      </w:pPr>
      <w:r>
        <w:t xml:space="preserve">本项目的调查边界覆盖实际垃圾堆体、渗滤液收集和处理设施、历史排水路径、场底及侧向可能受影响区域，以及经水文地质调查识别的地下水下游受体。治理边界根据调查结果确定，不以既有围栏或封场面积机械替代污染边界。土地权属、库区基底、堆体高度、原防渗结构、邻近居民和水体距离等，须以档案及现场成果补齐。[S02第8.8—8.9条；S07第41、45条；S12]</w:t>
      </w:r>
    </w:p>
    <w:p>
      <w:pPr>
        <w:pStyle w:val="BodyText"/>
      </w:pPr>
      <w:r>
        <w:t xml:space="preserve">场地资料记载处理产水经尾水专管进入市政污水管网，再进入连马污水处理厂；膜浓缩液由外部单位运输并接收。本项目核查既有环评、排污许可、排水许可、接收合同和接收设施批准范围，新增开挖负荷按现行标准及许可条件办理相应手续。接收单位过去承接过浓缩液，不等于未来已承诺开挖期间全部新增量。[B01第3—6页；S02第9.2条；S08；S09]</w:t>
      </w:r>
    </w:p>
    <w:bookmarkEnd w:id="28"/>
    <w:bookmarkStart w:id="29" w:name="Xa04f0acd77473f10183fefefbe80a9778733c5f"/>
    <w:p>
      <w:pPr>
        <w:pStyle w:val="Heading3"/>
      </w:pPr>
      <w:r>
        <w:t xml:space="preserve">1.3 场地资料的适用口径</w:t>
      </w:r>
    </w:p>
    <w:p>
      <w:pPr>
        <w:pStyle w:val="FirstParagraph"/>
      </w:pPr>
      <w:r>
        <w:t xml:space="preserve">本报告以场地整治工作资料[B01]记录的封场、设施及运维情况为基础。其他背景资料[B02]中垃圾存量等存在差异，作为测绘需统一的输入，不将其风险等级、产业收益或未经提供原件的判断作为现状结论。原始监测、衬层结构、堆体基底、排水许可及接收合同仍需调取核对。资料缺项反映本次研究需要补充的证据，不表示场地运营单位从未实施相应工作。</w:t>
      </w:r>
    </w:p>
    <w:bookmarkEnd w:id="29"/>
    <w:bookmarkEnd w:id="30"/>
    <w:bookmarkStart w:id="37" w:name="X54d5122a81bd98038cdc1c7cc94015b977c3a10"/>
    <w:p>
      <w:pPr>
        <w:pStyle w:val="Heading2"/>
        <w:pageBreakBefore/>
      </w:pPr>
      <w:r>
        <w:t xml:space="preserve">2 现状、存在问题与急迫任务</w:t>
      </w:r>
    </w:p>
    <w:bookmarkStart w:id="34" w:name="Xcdbaeb4cc60ac0a290d15ffabc526a5dc065a4f"/>
    <w:p>
      <w:pPr>
        <w:pStyle w:val="Heading3"/>
      </w:pPr>
      <w:r>
        <w:t xml:space="preserve">2.1 已有治理成果与持续负荷</w:t>
      </w:r>
    </w:p>
    <w:p>
      <w:pPr>
        <w:pStyle w:val="FirstParagraph"/>
      </w:pPr>
      <w:r>
        <w:t xml:space="preserve">场地已完成封场覆盖、整形、导排和处理设施建设，工作资料记载2019年通过销号验收，应保留其有效成果。持续渗滤液和浓缩液处理说明封场后仍存在长期治理负荷。GB 16889—2024第8.7条规定的维护终止条件针对填埋场产生的渗滤液，不是处理站产水；本场目前没有提供满足该终止条件的完整连续数据。[B01；S02]</w:t>
      </w:r>
    </w:p>
    <w:p>
      <w:pPr>
        <w:pStyle w:val="BodyText"/>
      </w:pPr>
      <w:r>
        <w:drawing>
          <wp:inline>
            <wp:extent cx="6108700" cy="2748915"/>
            <wp:effectExtent b="0" l="0" r="0" t="0"/>
            <wp:docPr descr="现有处理负荷" title="" id="32" name="Picture"/>
            <a:graphic>
              <a:graphicData uri="http://schemas.openxmlformats.org/drawingml/2006/picture">
                <pic:pic>
                  <pic:nvPicPr>
                    <pic:cNvPr descr="../figures/02_capacity.png" id="33" name="Picture"/>
                    <pic:cNvPicPr>
                      <a:picLocks noChangeArrowheads="1" noChangeAspect="1"/>
                    </pic:cNvPicPr>
                  </pic:nvPicPr>
                  <pic:blipFill>
                    <a:blip r:embed="rId31"/>
                    <a:stretch>
                      <a:fillRect/>
                    </a:stretch>
                  </pic:blipFill>
                  <pic:spPr bwMode="auto">
                    <a:xfrm>
                      <a:off x="0" y="0"/>
                      <a:ext cx="6108700" cy="2748915"/>
                    </a:xfrm>
                    <a:prstGeom prst="rect">
                      <a:avLst/>
                    </a:prstGeom>
                    <a:noFill/>
                    <a:ln w="9525">
                      <a:noFill/>
                      <a:headEnd/>
                      <a:tailEnd/>
                    </a:ln>
                  </pic:spPr>
                </pic:pic>
              </a:graphicData>
            </a:graphic>
          </wp:inline>
        </w:drawing>
      </w:r>
    </w:p>
    <w:p>
      <w:pPr>
        <w:pStyle w:val="BodyText"/>
        <w:jc w:val="center"/>
      </w:pPr>
      <w:r>
        <w:rPr>
          <w:color w:val="5F7179"/>
          <w:sz w:val="18"/>
        </w:rPr>
        <w:t xml:space="preserve">图2　工作资料记载负荷与名义规模。170÷180＝94.4%为算术量比，不是实测剩余能力。吨与立方米在工程设计中按实测密度和流量换算。</w:t>
      </w:r>
    </w:p>
    <w:bookmarkEnd w:id="34"/>
    <w:bookmarkStart w:id="35" w:name="X058d440ddc91e500c53d9c2913ae4e474b53c2f"/>
    <w:p>
      <w:pPr>
        <w:pStyle w:val="Heading3"/>
      </w:pPr>
      <w:r>
        <w:t xml:space="preserve">2.2 需针对性解决的问题</w:t>
      </w:r>
    </w:p>
    <w:tbl>
      <w:tblPr>
        <w:tblStyle w:val="Table"/>
        <w:tblW w:type="dxa" w:w="9638"/>
        <w:jc w:val="left"/>
        <w:tblLayout w:type="fixed"/>
        <w:tblLook w:firstRow="1" w:lastRow="0" w:firstColumn="0" w:lastColumn="0" w:noHBand="0" w:noVBand="0" w:val="0020"/>
      </w:tblPr>
      <w:tblGrid>
        <w:gridCol w:w="2576"/>
        <w:gridCol w:w="3274"/>
        <w:gridCol w:w="3788"/>
      </w:tblGrid>
      <w:tr>
        <w:trPr>
          <w:tblHeader w:val="on"/>
          <w:cantSplit/>
          <w:tblHeader w:val="true"/>
        </w:trPr>
        <w:tc>
          <w:tcPr>
            <w:tcW w:type="dxa" w:w="2576"/>
            <w:shd w:fill="174775"/>
          </w:tcPr>
          <w:p>
            <w:pPr>
              <w:keepNext w:val="0"/>
              <w:pageBreakBefore w:val="0"/>
              <w:spacing w:after="60" w:before="60" w:line="283" w:lineRule="auto"/>
              <w:jc w:val="left"/>
            </w:pPr>
            <w:r>
              <w:rPr>
                <w:rFonts w:ascii="Arial" w:hAnsi="Arial" w:eastAsia="宋体"/>
                <w:b/>
                <w:color w:val="FFFFFF"/>
                <w:sz w:val="19"/>
              </w:rPr>
              <w:t xml:space="preserve">现状或资料条件</w:t>
            </w:r>
          </w:p>
        </w:tc>
        <w:tc>
          <w:tcPr>
            <w:tcW w:type="dxa" w:w="3274"/>
            <w:shd w:fill="174775"/>
          </w:tcPr>
          <w:p>
            <w:pPr>
              <w:keepNext w:val="0"/>
              <w:pageBreakBefore w:val="0"/>
              <w:spacing w:after="60" w:before="60" w:line="283" w:lineRule="auto"/>
              <w:jc w:val="left"/>
            </w:pPr>
            <w:r>
              <w:rPr>
                <w:rFonts w:ascii="Arial" w:hAnsi="Arial" w:eastAsia="宋体"/>
                <w:b/>
                <w:color w:val="FFFFFF"/>
                <w:sz w:val="19"/>
              </w:rPr>
              <w:t xml:space="preserve">工程及管理问题</w:t>
            </w:r>
          </w:p>
        </w:tc>
        <w:tc>
          <w:tcPr>
            <w:tcW w:type="dxa" w:w="3788"/>
            <w:shd w:fill="174775"/>
          </w:tcPr>
          <w:p>
            <w:pPr>
              <w:keepNext w:val="0"/>
              <w:pageBreakBefore w:val="0"/>
              <w:spacing w:after="60" w:before="60" w:line="283" w:lineRule="auto"/>
              <w:jc w:val="left"/>
            </w:pPr>
            <w:r>
              <w:rPr>
                <w:rFonts w:ascii="Arial" w:hAnsi="Arial" w:eastAsia="宋体"/>
                <w:b/>
                <w:color w:val="FFFFFF"/>
                <w:sz w:val="19"/>
              </w:rPr>
              <w:t xml:space="preserve">拟采取措施与证据成果</w:t>
            </w:r>
          </w:p>
        </w:tc>
      </w:tr>
      <w:tr>
        <w:trPr>
          <w:cantSplit/>
        </w:trPr>
        <w:tc>
          <w:tcPr>
            <w:tcW w:type="dxa" w:w="2576"/>
            <w:shd w:fill="FFFFFF"/>
          </w:tcPr>
          <w:p>
            <w:pPr>
              <w:keepNext w:val="0"/>
              <w:pageBreakBefore w:val="0"/>
              <w:spacing w:after="60" w:before="60" w:line="283" w:lineRule="auto"/>
              <w:jc w:val="left"/>
            </w:pPr>
            <w:r>
              <w:rPr>
                <w:rFonts w:ascii="Arial" w:hAnsi="Arial" w:eastAsia="宋体"/>
                <w:sz w:val="19"/>
              </w:rPr>
              <w:t xml:space="preserve">封场后仍有渗滤液与浓缩液负荷</w:t>
            </w:r>
          </w:p>
        </w:tc>
        <w:tc>
          <w:tcPr>
            <w:tcW w:type="dxa" w:w="3274"/>
            <w:shd w:fill="FFFFFF"/>
          </w:tcPr>
          <w:p>
            <w:pPr>
              <w:keepNext w:val="0"/>
              <w:pageBreakBefore w:val="0"/>
              <w:spacing w:after="60" w:before="60" w:line="283" w:lineRule="auto"/>
              <w:jc w:val="left"/>
            </w:pPr>
            <w:r>
              <w:rPr>
                <w:rFonts w:ascii="Arial" w:hAnsi="Arial" w:eastAsia="宋体"/>
                <w:sz w:val="19"/>
              </w:rPr>
              <w:t xml:space="preserve">存量源未移除，持续费用和处理责任仍存在</w:t>
            </w:r>
          </w:p>
        </w:tc>
        <w:tc>
          <w:tcPr>
            <w:tcW w:type="dxa" w:w="3788"/>
            <w:shd w:fill="FFFFFF"/>
          </w:tcPr>
          <w:p>
            <w:pPr>
              <w:keepNext w:val="0"/>
              <w:pageBreakBefore w:val="0"/>
              <w:spacing w:after="60" w:before="60" w:line="283" w:lineRule="auto"/>
              <w:jc w:val="left"/>
            </w:pPr>
            <w:r>
              <w:rPr>
                <w:rFonts w:ascii="Arial" w:hAnsi="Arial" w:eastAsia="宋体"/>
                <w:sz w:val="19"/>
              </w:rPr>
              <w:t xml:space="preserve">污染诊断、源区削减与长期维护路线比较，保留现有处理能力</w:t>
            </w:r>
          </w:p>
        </w:tc>
      </w:tr>
      <w:tr>
        <w:trPr>
          <w:cantSplit/>
        </w:trPr>
        <w:tc>
          <w:tcPr>
            <w:tcW w:type="dxa" w:w="2576"/>
            <w:shd w:fill="EAF2F9"/>
          </w:tcPr>
          <w:p>
            <w:pPr>
              <w:keepNext w:val="0"/>
              <w:pageBreakBefore w:val="0"/>
              <w:spacing w:after="60" w:before="60" w:line="283" w:lineRule="auto"/>
              <w:jc w:val="left"/>
            </w:pPr>
            <w:r>
              <w:rPr>
                <w:rFonts w:ascii="Arial" w:hAnsi="Arial" w:eastAsia="宋体"/>
                <w:sz w:val="19"/>
              </w:rPr>
              <w:t xml:space="preserve">常规180吨/日、平均170吨/日</w:t>
            </w:r>
          </w:p>
        </w:tc>
        <w:tc>
          <w:tcPr>
            <w:tcW w:type="dxa" w:w="3274"/>
            <w:shd w:fill="EAF2F9"/>
          </w:tcPr>
          <w:p>
            <w:pPr>
              <w:keepNext w:val="0"/>
              <w:pageBreakBefore w:val="0"/>
              <w:spacing w:after="60" w:before="60" w:line="283" w:lineRule="auto"/>
              <w:jc w:val="left"/>
            </w:pPr>
            <w:r>
              <w:rPr>
                <w:rFonts w:ascii="Arial" w:hAnsi="Arial" w:eastAsia="宋体"/>
                <w:sz w:val="19"/>
              </w:rPr>
              <w:t xml:space="preserve">新增抽排、沥水与洗车水不能按名义规模默认接入</w:t>
            </w:r>
          </w:p>
        </w:tc>
        <w:tc>
          <w:tcPr>
            <w:tcW w:type="dxa" w:w="3788"/>
            <w:shd w:fill="EAF2F9"/>
          </w:tcPr>
          <w:p>
            <w:pPr>
              <w:keepNext w:val="0"/>
              <w:pageBreakBefore w:val="0"/>
              <w:spacing w:after="60" w:before="60" w:line="283" w:lineRule="auto"/>
              <w:jc w:val="left"/>
            </w:pPr>
            <w:r>
              <w:rPr>
                <w:rFonts w:ascii="Arial" w:hAnsi="Arial" w:eastAsia="宋体"/>
                <w:sz w:val="19"/>
              </w:rPr>
              <w:t xml:space="preserve">实测峰值、停机、污染负荷与稳定处理能力，形成新增承载方案</w:t>
            </w:r>
          </w:p>
        </w:tc>
      </w:tr>
      <w:tr>
        <w:trPr>
          <w:cantSplit/>
        </w:trPr>
        <w:tc>
          <w:tcPr>
            <w:tcW w:type="dxa" w:w="2576"/>
            <w:shd w:fill="FFFFFF"/>
          </w:tcPr>
          <w:p>
            <w:pPr>
              <w:keepNext w:val="0"/>
              <w:pageBreakBefore w:val="0"/>
              <w:spacing w:after="60" w:before="60" w:line="283" w:lineRule="auto"/>
              <w:jc w:val="left"/>
            </w:pPr>
            <w:r>
              <w:rPr>
                <w:rFonts w:ascii="Arial" w:hAnsi="Arial" w:eastAsia="宋体"/>
                <w:sz w:val="19"/>
              </w:rPr>
              <w:t xml:space="preserve">原资料记载环场导排、无收集井</w:t>
            </w:r>
          </w:p>
        </w:tc>
        <w:tc>
          <w:tcPr>
            <w:tcW w:type="dxa" w:w="3274"/>
            <w:shd w:fill="FFFFFF"/>
          </w:tcPr>
          <w:p>
            <w:pPr>
              <w:keepNext w:val="0"/>
              <w:pageBreakBefore w:val="0"/>
              <w:spacing w:after="60" w:before="60" w:line="283" w:lineRule="auto"/>
              <w:jc w:val="left"/>
            </w:pPr>
            <w:r>
              <w:rPr>
                <w:rFonts w:ascii="Arial" w:hAnsi="Arial" w:eastAsia="宋体"/>
                <w:sz w:val="19"/>
              </w:rPr>
              <w:t xml:space="preserve">是否存在内部积液、环场导排能否降低单元水位需查明</w:t>
            </w:r>
          </w:p>
        </w:tc>
        <w:tc>
          <w:tcPr>
            <w:tcW w:type="dxa" w:w="3788"/>
            <w:shd w:fill="FFFFFF"/>
          </w:tcPr>
          <w:p>
            <w:pPr>
              <w:keepNext w:val="0"/>
              <w:pageBreakBefore w:val="0"/>
              <w:spacing w:after="60" w:before="60" w:line="283" w:lineRule="auto"/>
              <w:jc w:val="left"/>
            </w:pPr>
            <w:r>
              <w:rPr>
                <w:rFonts w:ascii="Arial" w:hAnsi="Arial" w:eastAsia="宋体"/>
                <w:sz w:val="19"/>
              </w:rPr>
              <w:t xml:space="preserve">堆体液位调查及分区抽提设计，不能仅抽调节池替代降堆体水位</w:t>
            </w:r>
          </w:p>
        </w:tc>
      </w:tr>
      <w:tr>
        <w:trPr>
          <w:cantSplit/>
        </w:trPr>
        <w:tc>
          <w:tcPr>
            <w:tcW w:type="dxa" w:w="2576"/>
            <w:shd w:fill="EAF2F9"/>
          </w:tcPr>
          <w:p>
            <w:pPr>
              <w:keepNext w:val="0"/>
              <w:pageBreakBefore w:val="0"/>
              <w:spacing w:after="60" w:before="60" w:line="283" w:lineRule="auto"/>
              <w:jc w:val="left"/>
            </w:pPr>
            <w:r>
              <w:rPr>
                <w:rFonts w:ascii="Arial" w:hAnsi="Arial" w:eastAsia="宋体"/>
                <w:sz w:val="19"/>
              </w:rPr>
              <w:t xml:space="preserve">膜浓缩液约20吨/日外运</w:t>
            </w:r>
          </w:p>
        </w:tc>
        <w:tc>
          <w:tcPr>
            <w:tcW w:type="dxa" w:w="3274"/>
            <w:shd w:fill="EAF2F9"/>
          </w:tcPr>
          <w:p>
            <w:pPr>
              <w:keepNext w:val="0"/>
              <w:pageBreakBefore w:val="0"/>
              <w:spacing w:after="60" w:before="60" w:line="283" w:lineRule="auto"/>
              <w:jc w:val="left"/>
            </w:pPr>
            <w:r>
              <w:rPr>
                <w:rFonts w:ascii="Arial" w:hAnsi="Arial" w:eastAsia="宋体"/>
                <w:sz w:val="19"/>
              </w:rPr>
              <w:t xml:space="preserve">接收批准范围、余量、属性管理和中断应急决定连续运行</w:t>
            </w:r>
          </w:p>
        </w:tc>
        <w:tc>
          <w:tcPr>
            <w:tcW w:type="dxa" w:w="3788"/>
            <w:shd w:fill="EAF2F9"/>
          </w:tcPr>
          <w:p>
            <w:pPr>
              <w:keepNext w:val="0"/>
              <w:pageBreakBefore w:val="0"/>
              <w:spacing w:after="60" w:before="60" w:line="283" w:lineRule="auto"/>
              <w:jc w:val="left"/>
            </w:pPr>
            <w:r>
              <w:rPr>
                <w:rFonts w:ascii="Arial" w:hAnsi="Arial" w:eastAsia="宋体"/>
                <w:sz w:val="19"/>
              </w:rPr>
              <w:t xml:space="preserve">独立计量、属性核查、接收及备用合同、储存液位控制</w:t>
            </w:r>
          </w:p>
        </w:tc>
      </w:tr>
      <w:tr>
        <w:trPr>
          <w:cantSplit/>
        </w:trPr>
        <w:tc>
          <w:tcPr>
            <w:tcW w:type="dxa" w:w="2576"/>
            <w:shd w:fill="FFFFFF"/>
          </w:tcPr>
          <w:p>
            <w:pPr>
              <w:keepNext w:val="0"/>
              <w:pageBreakBefore w:val="0"/>
              <w:spacing w:after="60" w:before="60" w:line="283" w:lineRule="auto"/>
              <w:jc w:val="left"/>
            </w:pPr>
            <w:r>
              <w:rPr>
                <w:rFonts w:ascii="Arial" w:hAnsi="Arial" w:eastAsia="宋体"/>
                <w:sz w:val="19"/>
              </w:rPr>
              <w:t xml:space="preserve">垃圾量250万与170万立方米差异</w:t>
            </w:r>
          </w:p>
        </w:tc>
        <w:tc>
          <w:tcPr>
            <w:tcW w:type="dxa" w:w="3274"/>
            <w:shd w:fill="FFFFFF"/>
          </w:tcPr>
          <w:p>
            <w:pPr>
              <w:keepNext w:val="0"/>
              <w:pageBreakBefore w:val="0"/>
              <w:spacing w:after="60" w:before="60" w:line="283" w:lineRule="auto"/>
              <w:jc w:val="left"/>
            </w:pPr>
            <w:r>
              <w:rPr>
                <w:rFonts w:ascii="Arial" w:hAnsi="Arial" w:eastAsia="宋体"/>
                <w:sz w:val="19"/>
              </w:rPr>
              <w:t xml:space="preserve">直接影响工程量、运输、暂存、预算及工期</w:t>
            </w:r>
          </w:p>
        </w:tc>
        <w:tc>
          <w:tcPr>
            <w:tcW w:type="dxa" w:w="3788"/>
            <w:shd w:fill="FFFFFF"/>
          </w:tcPr>
          <w:p>
            <w:pPr>
              <w:keepNext w:val="0"/>
              <w:pageBreakBefore w:val="0"/>
              <w:spacing w:after="60" w:before="60" w:line="283" w:lineRule="auto"/>
              <w:jc w:val="left"/>
            </w:pPr>
            <w:r>
              <w:rPr>
                <w:rFonts w:ascii="Arial" w:hAnsi="Arial" w:eastAsia="宋体"/>
                <w:sz w:val="19"/>
              </w:rPr>
              <w:t xml:space="preserve">测绘基底、分区体积、实测湿密度和组分，不任选数据核定总投资</w:t>
            </w:r>
          </w:p>
        </w:tc>
      </w:tr>
      <w:tr>
        <w:trPr>
          <w:cantSplit/>
        </w:trPr>
        <w:tc>
          <w:tcPr>
            <w:tcW w:type="dxa" w:w="2576"/>
            <w:shd w:fill="EAF2F9"/>
          </w:tcPr>
          <w:p>
            <w:pPr>
              <w:keepNext w:val="0"/>
              <w:pageBreakBefore w:val="0"/>
              <w:spacing w:after="60" w:before="60" w:line="283" w:lineRule="auto"/>
              <w:jc w:val="left"/>
            </w:pPr>
            <w:r>
              <w:rPr>
                <w:rFonts w:ascii="Arial" w:hAnsi="Arial" w:eastAsia="宋体"/>
                <w:sz w:val="19"/>
              </w:rPr>
              <w:t xml:space="preserve">监测结论主要为资料叙述</w:t>
            </w:r>
          </w:p>
        </w:tc>
        <w:tc>
          <w:tcPr>
            <w:tcW w:type="dxa" w:w="3274"/>
            <w:shd w:fill="EAF2F9"/>
          </w:tcPr>
          <w:p>
            <w:pPr>
              <w:keepNext w:val="0"/>
              <w:pageBreakBefore w:val="0"/>
              <w:spacing w:after="60" w:before="60" w:line="283" w:lineRule="auto"/>
              <w:jc w:val="left"/>
            </w:pPr>
            <w:r>
              <w:rPr>
                <w:rFonts w:ascii="Arial" w:hAnsi="Arial" w:eastAsia="宋体"/>
                <w:sz w:val="19"/>
              </w:rPr>
              <w:t xml:space="preserve">不能据此定位现状污染、背景变化和地下水受体风险</w:t>
            </w:r>
          </w:p>
        </w:tc>
        <w:tc>
          <w:tcPr>
            <w:tcW w:type="dxa" w:w="3788"/>
            <w:shd w:fill="EAF2F9"/>
          </w:tcPr>
          <w:p>
            <w:pPr>
              <w:keepNext w:val="0"/>
              <w:pageBreakBefore w:val="0"/>
              <w:spacing w:after="60" w:before="60" w:line="283" w:lineRule="auto"/>
              <w:jc w:val="left"/>
            </w:pPr>
            <w:r>
              <w:rPr>
                <w:rFonts w:ascii="Arial" w:hAnsi="Arial" w:eastAsia="宋体"/>
                <w:sz w:val="19"/>
              </w:rPr>
              <w:t xml:space="preserve">调取2026年4月后运行及监测，补充基线和风险评估</w:t>
            </w:r>
          </w:p>
        </w:tc>
      </w:tr>
      <w:tr>
        <w:trPr>
          <w:cantSplit/>
        </w:trPr>
        <w:tc>
          <w:tcPr>
            <w:tcW w:type="dxa" w:w="2576"/>
            <w:shd w:fill="FFFFFF"/>
          </w:tcPr>
          <w:p>
            <w:pPr>
              <w:keepNext w:val="0"/>
              <w:pageBreakBefore w:val="0"/>
              <w:spacing w:after="60" w:before="60" w:line="283" w:lineRule="auto"/>
              <w:jc w:val="left"/>
            </w:pPr>
            <w:r>
              <w:rPr>
                <w:rFonts w:ascii="Arial" w:hAnsi="Arial" w:eastAsia="宋体"/>
                <w:sz w:val="19"/>
              </w:rPr>
              <w:t xml:space="preserve">原衬层、场底及开挖岩土条件未明</w:t>
            </w:r>
          </w:p>
        </w:tc>
        <w:tc>
          <w:tcPr>
            <w:tcW w:type="dxa" w:w="3274"/>
            <w:shd w:fill="FFFFFF"/>
          </w:tcPr>
          <w:p>
            <w:pPr>
              <w:keepNext w:val="0"/>
              <w:pageBreakBefore w:val="0"/>
              <w:spacing w:after="60" w:before="60" w:line="283" w:lineRule="auto"/>
              <w:jc w:val="left"/>
            </w:pPr>
            <w:r>
              <w:rPr>
                <w:rFonts w:ascii="Arial" w:hAnsi="Arial" w:eastAsia="宋体"/>
                <w:sz w:val="19"/>
              </w:rPr>
              <w:t xml:space="preserve">决定场底清挖、支护、深度和地下水控制方式</w:t>
            </w:r>
          </w:p>
        </w:tc>
        <w:tc>
          <w:tcPr>
            <w:tcW w:type="dxa" w:w="3788"/>
            <w:shd w:fill="FFFFFF"/>
          </w:tcPr>
          <w:p>
            <w:pPr>
              <w:keepNext w:val="0"/>
              <w:pageBreakBefore w:val="0"/>
              <w:spacing w:after="60" w:before="60" w:line="283" w:lineRule="auto"/>
              <w:jc w:val="left"/>
            </w:pPr>
            <w:r>
              <w:rPr>
                <w:rFonts w:ascii="Arial" w:hAnsi="Arial" w:eastAsia="宋体"/>
                <w:sz w:val="19"/>
              </w:rPr>
              <w:t xml:space="preserve">档案与勘探联动，分工况稳定验算、污染边界调查</w:t>
            </w:r>
          </w:p>
        </w:tc>
      </w:tr>
      <w:tr>
        <w:trPr>
          <w:cantSplit/>
        </w:trPr>
        <w:tc>
          <w:tcPr>
            <w:tcW w:type="dxa" w:w="2576"/>
            <w:shd w:fill="EAF2F9"/>
          </w:tcPr>
          <w:p>
            <w:pPr>
              <w:keepNext w:val="0"/>
              <w:pageBreakBefore w:val="0"/>
              <w:spacing w:after="60" w:before="60" w:line="283" w:lineRule="auto"/>
              <w:jc w:val="left"/>
            </w:pPr>
            <w:r>
              <w:rPr>
                <w:rFonts w:ascii="Arial" w:hAnsi="Arial" w:eastAsia="宋体"/>
                <w:sz w:val="19"/>
              </w:rPr>
              <w:t xml:space="preserve">未落实未来全部筛分产物的接收</w:t>
            </w:r>
          </w:p>
        </w:tc>
        <w:tc>
          <w:tcPr>
            <w:tcW w:type="dxa" w:w="3274"/>
            <w:shd w:fill="EAF2F9"/>
          </w:tcPr>
          <w:p>
            <w:pPr>
              <w:keepNext w:val="0"/>
              <w:pageBreakBefore w:val="0"/>
              <w:spacing w:after="60" w:before="60" w:line="283" w:lineRule="auto"/>
              <w:jc w:val="left"/>
            </w:pPr>
            <w:r>
              <w:rPr>
                <w:rFonts w:ascii="Arial" w:hAnsi="Arial" w:eastAsia="宋体"/>
                <w:sz w:val="19"/>
              </w:rPr>
              <w:t xml:space="preserve">有筛分设施不等于能够完成最终处置</w:t>
            </w:r>
          </w:p>
        </w:tc>
        <w:tc>
          <w:tcPr>
            <w:tcW w:type="dxa" w:w="3788"/>
            <w:shd w:fill="EAF2F9"/>
          </w:tcPr>
          <w:p>
            <w:pPr>
              <w:keepNext w:val="0"/>
              <w:pageBreakBefore w:val="0"/>
              <w:spacing w:after="60" w:before="60" w:line="283" w:lineRule="auto"/>
              <w:jc w:val="left"/>
            </w:pPr>
            <w:r>
              <w:rPr>
                <w:rFonts w:ascii="Arial" w:hAnsi="Arial" w:eastAsia="宋体"/>
                <w:sz w:val="19"/>
              </w:rPr>
              <w:t xml:space="preserve">分类试验、试接收与承诺日量，细料无去向时停止新增物料</w:t>
            </w:r>
          </w:p>
        </w:tc>
      </w:tr>
    </w:tbl>
    <w:p>
      <w:pPr>
        <w:pStyle w:val="BodyText"/>
      </w:pPr>
      <w:r>
        <w:t xml:space="preserve">依据：B01—B02；S02第7.8—7.10、8.7—8.9及9.2条；S03第4—8章；S09。表中“需查明”项目为研究缺口，未被写成已经发生的污染或违法事实。</w:t>
      </w:r>
    </w:p>
    <w:bookmarkEnd w:id="35"/>
    <w:bookmarkStart w:id="36" w:name="X80616c6ce76adca12bed039b1d945ac7d747905"/>
    <w:p>
      <w:pPr>
        <w:pStyle w:val="Heading3"/>
      </w:pPr>
      <w:r>
        <w:t xml:space="preserve">2.3 当前急迫任务与处置优先级</w:t>
      </w:r>
    </w:p>
    <w:p>
      <w:pPr>
        <w:pStyle w:val="FirstParagraph"/>
      </w:pPr>
      <w:r>
        <w:t xml:space="preserve">从2026年10月11日至现有合同记载到期日2026年12月31日为81天。乙方建议甲方将下一服务周期、设施交接、在线监测及合法接收衔接列为近期管理节点。在资料量价和负荷不变的计算边界下，81天渗滤液处理量折算13770吨、对应服务费158.4万元；实际费用按合同服务范围和计量结算，不能以该折算替代采购预算。[B01；本报告计算]</w:t>
      </w:r>
    </w:p>
    <w:p>
      <w:pPr>
        <w:pStyle w:val="BodyText"/>
      </w:pPr>
      <w:r>
        <w:t xml:space="preserve">优先顺序为：首先排查气体安全、异常位移、液体外溢及地下水加重等需即时响应事项；其次保持或补齐覆膜、排洪、导排、水气处理和监测；同步完成污染现状及风险诊断，再确定开挖单元和工程量。已确认的风险问题立即针对性处置，主体工程准备不能延误应急措施。[S02第7.10条；S03第8.2条]</w:t>
      </w:r>
    </w:p>
    <w:p>
      <w:pPr>
        <w:pStyle w:val="BodyText"/>
      </w:pPr>
      <w:r>
        <w:t xml:space="preserve">国家要求系统建立填埋场隐患台账并“一场一策”治理。“十五五”规划特别要求积存渗滤液和渗漏治理、防止地下水污染扩散或加重。国家2027年节点针对符合条件的停用场封场治理，本场已记载封场验收，不将其解释为全量开挖的统一时限。[S04（十三）；S05二（四）]</w:t>
      </w:r>
    </w:p>
    <w:bookmarkEnd w:id="36"/>
    <w:bookmarkEnd w:id="37"/>
    <w:bookmarkStart w:id="44" w:name="X98d7df8f6b1818bd609656204e05f378679d97c"/>
    <w:p>
      <w:pPr>
        <w:pStyle w:val="Heading2"/>
        <w:pageBreakBefore/>
      </w:pPr>
      <w:r>
        <w:t xml:space="preserve">3 针对性举措、方案优缺点与开挖必要性</w:t>
      </w:r>
    </w:p>
    <w:bookmarkStart w:id="41" w:name="Xdfe6d7c05631fea653f1c760d4f421c51f793e8"/>
    <w:p>
      <w:pPr>
        <w:pStyle w:val="Heading3"/>
      </w:pPr>
      <w:r>
        <w:t xml:space="preserve">3.1 治理目标与比选边界</w:t>
      </w:r>
    </w:p>
    <w:p>
      <w:pPr>
        <w:pStyle w:val="FirstParagraph"/>
      </w:pPr>
      <w:r>
        <w:t xml:space="preserve">乙方提出两层治理目标：近期保障水气治理连续、识别并控制实际风险；工程阶段有序移除经核定的存量垃圾堆体，暴露并调查原场底，对确认污染的土壤、地下水开展修复或管控，为后续安全利用创造条件。后续用途、净利用面积和开发强度由依法批准的规划、污染与岩土安全条件确定。[S02第8.7—8.8条；S06；S12—S13]</w:t>
      </w:r>
    </w:p>
    <w:p>
      <w:pPr>
        <w:pStyle w:val="BodyText"/>
      </w:pPr>
      <w:r>
        <w:t xml:space="preserve">三个方案按污染控制、源区去除、场底可核查性、施工风险、长期维护及费用边界比较，不以历史验收或未取得的风险等级决定路线。后续安全利用并非只有开挖一种方式；但本项目拟定的“移除堆体并核查修复原场底”目标不能由单纯封场实现。</w:t>
      </w:r>
    </w:p>
    <w:tbl>
      <w:tblPr>
        <w:tblStyle w:val="Table"/>
        <w:tblW w:type="dxa" w:w="9638"/>
        <w:jc w:val="left"/>
        <w:tblLayout w:type="fixed"/>
        <w:tblLook w:firstRow="1" w:lastRow="0" w:firstColumn="0" w:lastColumn="0" w:noHBand="0" w:noVBand="0" w:val="0020"/>
      </w:tblPr>
      <w:tblGrid>
        <w:gridCol w:w="1409"/>
        <w:gridCol w:w="2894"/>
        <w:gridCol w:w="2926"/>
        <w:gridCol w:w="2409"/>
      </w:tblGrid>
      <w:tr>
        <w:trPr>
          <w:tblHeader w:val="on"/>
          <w:cantSplit/>
          <w:tblHeader w:val="true"/>
        </w:trPr>
        <w:tc>
          <w:tcPr>
            <w:tcW w:type="dxa" w:w="1409"/>
            <w:shd w:fill="174775"/>
          </w:tcPr>
          <w:p>
            <w:pPr>
              <w:keepNext w:val="0"/>
              <w:pageBreakBefore w:val="0"/>
              <w:spacing w:after="60" w:before="60" w:line="283" w:lineRule="auto"/>
              <w:jc w:val="left"/>
            </w:pPr>
            <w:r>
              <w:rPr>
                <w:rFonts w:ascii="Arial" w:hAnsi="Arial" w:eastAsia="宋体"/>
                <w:b/>
                <w:color w:val="FFFFFF"/>
                <w:sz w:val="19"/>
              </w:rPr>
              <w:t xml:space="preserve">治理路线</w:t>
            </w:r>
          </w:p>
        </w:tc>
        <w:tc>
          <w:tcPr>
            <w:tcW w:type="dxa" w:w="2894"/>
            <w:shd w:fill="174775"/>
          </w:tcPr>
          <w:p>
            <w:pPr>
              <w:keepNext w:val="0"/>
              <w:pageBreakBefore w:val="0"/>
              <w:spacing w:after="60" w:before="60" w:line="283" w:lineRule="auto"/>
              <w:jc w:val="left"/>
            </w:pPr>
            <w:r>
              <w:rPr>
                <w:rFonts w:ascii="Arial" w:hAnsi="Arial" w:eastAsia="宋体"/>
                <w:b/>
                <w:color w:val="FFFFFF"/>
                <w:sz w:val="19"/>
              </w:rPr>
              <w:t xml:space="preserve">针对措施与优点</w:t>
            </w:r>
          </w:p>
        </w:tc>
        <w:tc>
          <w:tcPr>
            <w:tcW w:type="dxa" w:w="2926"/>
            <w:shd w:fill="174775"/>
          </w:tcPr>
          <w:p>
            <w:pPr>
              <w:keepNext w:val="0"/>
              <w:pageBreakBefore w:val="0"/>
              <w:spacing w:after="60" w:before="60" w:line="283" w:lineRule="auto"/>
              <w:jc w:val="left"/>
            </w:pPr>
            <w:r>
              <w:rPr>
                <w:rFonts w:ascii="Arial" w:hAnsi="Arial" w:eastAsia="宋体"/>
                <w:b/>
                <w:color w:val="FFFFFF"/>
                <w:sz w:val="19"/>
              </w:rPr>
              <w:t xml:space="preserve">局限与代价</w:t>
            </w:r>
          </w:p>
        </w:tc>
        <w:tc>
          <w:tcPr>
            <w:tcW w:type="dxa" w:w="2409"/>
            <w:shd w:fill="174775"/>
          </w:tcPr>
          <w:p>
            <w:pPr>
              <w:keepNext w:val="0"/>
              <w:pageBreakBefore w:val="0"/>
              <w:spacing w:after="60" w:before="60" w:line="283" w:lineRule="auto"/>
              <w:jc w:val="left"/>
            </w:pPr>
            <w:r>
              <w:rPr>
                <w:rFonts w:ascii="Arial" w:hAnsi="Arial" w:eastAsia="宋体"/>
                <w:b/>
                <w:color w:val="FFFFFF"/>
                <w:sz w:val="19"/>
              </w:rPr>
              <w:t xml:space="preserve">本场适用判断</w:t>
            </w:r>
          </w:p>
        </w:tc>
      </w:tr>
      <w:tr>
        <w:trPr>
          <w:cantSplit/>
        </w:trPr>
        <w:tc>
          <w:tcPr>
            <w:tcW w:type="dxa" w:w="1409"/>
            <w:shd w:fill="FFFFFF"/>
          </w:tcPr>
          <w:p>
            <w:pPr>
              <w:keepNext w:val="0"/>
              <w:pageBreakBefore w:val="0"/>
              <w:spacing w:after="60" w:before="60" w:line="283" w:lineRule="auto"/>
              <w:jc w:val="left"/>
            </w:pPr>
            <w:r>
              <w:rPr>
                <w:rFonts w:ascii="Arial" w:hAnsi="Arial" w:eastAsia="宋体"/>
                <w:sz w:val="19"/>
              </w:rPr>
              <w:t xml:space="preserve">A 强化维护与风险管控</w:t>
            </w:r>
          </w:p>
        </w:tc>
        <w:tc>
          <w:tcPr>
            <w:tcW w:type="dxa" w:w="2894"/>
            <w:shd w:fill="FFFFFF"/>
          </w:tcPr>
          <w:p>
            <w:pPr>
              <w:keepNext w:val="0"/>
              <w:pageBreakBefore w:val="0"/>
              <w:spacing w:after="60" w:before="60" w:line="283" w:lineRule="auto"/>
              <w:jc w:val="left"/>
            </w:pPr>
            <w:r>
              <w:rPr>
                <w:rFonts w:ascii="Arial" w:hAnsi="Arial" w:eastAsia="宋体"/>
                <w:sz w:val="19"/>
              </w:rPr>
              <w:t xml:space="preserve">保留封场；修复膜、导排和处理设施；必要地下水控制。施工扰动小，可迅速保障持续运行</w:t>
            </w:r>
          </w:p>
        </w:tc>
        <w:tc>
          <w:tcPr>
            <w:tcW w:type="dxa" w:w="2926"/>
            <w:shd w:fill="FFFFFF"/>
          </w:tcPr>
          <w:p>
            <w:pPr>
              <w:keepNext w:val="0"/>
              <w:pageBreakBefore w:val="0"/>
              <w:spacing w:after="60" w:before="60" w:line="283" w:lineRule="auto"/>
              <w:jc w:val="left"/>
            </w:pPr>
            <w:r>
              <w:rPr>
                <w:rFonts w:ascii="Arial" w:hAnsi="Arial" w:eastAsia="宋体"/>
                <w:sz w:val="19"/>
              </w:rPr>
              <w:t xml:space="preserve">存量垃圾保留，处理和监测延续；难直接接近场底；用途受稳定、气体及风险条件约束</w:t>
            </w:r>
          </w:p>
        </w:tc>
        <w:tc>
          <w:tcPr>
            <w:tcW w:type="dxa" w:w="2409"/>
            <w:shd w:fill="FFFFFF"/>
          </w:tcPr>
          <w:p>
            <w:pPr>
              <w:keepNext w:val="0"/>
              <w:pageBreakBefore w:val="0"/>
              <w:spacing w:after="60" w:before="60" w:line="283" w:lineRule="auto"/>
              <w:jc w:val="left"/>
            </w:pPr>
            <w:r>
              <w:rPr>
                <w:rFonts w:ascii="Arial" w:hAnsi="Arial" w:eastAsia="宋体"/>
                <w:sz w:val="19"/>
              </w:rPr>
              <w:t xml:space="preserve">作为即刻保障措施及费用比较基准；不能完成移除堆体任务</w:t>
            </w:r>
          </w:p>
        </w:tc>
      </w:tr>
      <w:tr>
        <w:trPr>
          <w:cantSplit/>
        </w:trPr>
        <w:tc>
          <w:tcPr>
            <w:tcW w:type="dxa" w:w="1409"/>
            <w:shd w:fill="EAF2F9"/>
          </w:tcPr>
          <w:p>
            <w:pPr>
              <w:keepNext w:val="0"/>
              <w:pageBreakBefore w:val="0"/>
              <w:spacing w:after="60" w:before="60" w:line="283" w:lineRule="auto"/>
              <w:jc w:val="left"/>
            </w:pPr>
            <w:r>
              <w:rPr>
                <w:rFonts w:ascii="Arial" w:hAnsi="Arial" w:eastAsia="宋体"/>
                <w:sz w:val="19"/>
              </w:rPr>
              <w:t xml:space="preserve">B 重点源区开挖＋剩余区维护</w:t>
            </w:r>
          </w:p>
        </w:tc>
        <w:tc>
          <w:tcPr>
            <w:tcW w:type="dxa" w:w="2894"/>
            <w:shd w:fill="EAF2F9"/>
          </w:tcPr>
          <w:p>
            <w:pPr>
              <w:keepNext w:val="0"/>
              <w:pageBreakBefore w:val="0"/>
              <w:spacing w:after="60" w:before="60" w:line="283" w:lineRule="auto"/>
              <w:jc w:val="left"/>
            </w:pPr>
            <w:r>
              <w:rPr>
                <w:rFonts w:ascii="Arial" w:hAnsi="Arial" w:eastAsia="宋体"/>
                <w:sz w:val="19"/>
              </w:rPr>
              <w:t xml:space="preserve">针对局部渗漏、高液位或其他调查确认问题开挖；较小工程范围，阶段削减源区</w:t>
            </w:r>
          </w:p>
        </w:tc>
        <w:tc>
          <w:tcPr>
            <w:tcW w:type="dxa" w:w="2926"/>
            <w:shd w:fill="EAF2F9"/>
          </w:tcPr>
          <w:p>
            <w:pPr>
              <w:keepNext w:val="0"/>
              <w:pageBreakBefore w:val="0"/>
              <w:spacing w:after="60" w:before="60" w:line="283" w:lineRule="auto"/>
              <w:jc w:val="left"/>
            </w:pPr>
            <w:r>
              <w:rPr>
                <w:rFonts w:ascii="Arial" w:hAnsi="Arial" w:eastAsia="宋体"/>
                <w:sz w:val="19"/>
              </w:rPr>
              <w:t xml:space="preserve">污染边界和剩余堆体风险需证明；剩余区长期费用继续，不能自动具备全场利用条件</w:t>
            </w:r>
          </w:p>
        </w:tc>
        <w:tc>
          <w:tcPr>
            <w:tcW w:type="dxa" w:w="2409"/>
            <w:shd w:fill="EAF2F9"/>
          </w:tcPr>
          <w:p>
            <w:pPr>
              <w:keepNext w:val="0"/>
              <w:pageBreakBefore w:val="0"/>
              <w:spacing w:after="60" w:before="60" w:line="283" w:lineRule="auto"/>
              <w:jc w:val="left"/>
            </w:pPr>
            <w:r>
              <w:rPr>
                <w:rFonts w:ascii="Arial" w:hAnsi="Arial" w:eastAsia="宋体"/>
                <w:sz w:val="19"/>
              </w:rPr>
              <w:t xml:space="preserve">调查证明问题集中时可先实施；可与分期总体开挖衔接</w:t>
            </w:r>
          </w:p>
        </w:tc>
      </w:tr>
      <w:tr>
        <w:trPr>
          <w:cantSplit/>
        </w:trPr>
        <w:tc>
          <w:tcPr>
            <w:tcW w:type="dxa" w:w="1409"/>
            <w:shd w:fill="FFFFFF"/>
          </w:tcPr>
          <w:p>
            <w:pPr>
              <w:keepNext w:val="0"/>
              <w:pageBreakBefore w:val="0"/>
              <w:spacing w:after="60" w:before="60" w:line="283" w:lineRule="auto"/>
              <w:jc w:val="left"/>
            </w:pPr>
            <w:r>
              <w:rPr>
                <w:rFonts w:ascii="Arial" w:hAnsi="Arial" w:eastAsia="宋体"/>
                <w:sz w:val="19"/>
              </w:rPr>
              <w:t xml:space="preserve">C 分区开挖综合治理</w:t>
            </w:r>
          </w:p>
        </w:tc>
        <w:tc>
          <w:tcPr>
            <w:tcW w:type="dxa" w:w="2894"/>
            <w:shd w:fill="FFFFFF"/>
          </w:tcPr>
          <w:p>
            <w:pPr>
              <w:keepNext w:val="0"/>
              <w:pageBreakBefore w:val="0"/>
              <w:spacing w:after="60" w:before="60" w:line="283" w:lineRule="auto"/>
              <w:jc w:val="left"/>
            </w:pPr>
            <w:r>
              <w:rPr>
                <w:rFonts w:ascii="Arial" w:hAnsi="Arial" w:eastAsia="宋体"/>
                <w:sz w:val="19"/>
              </w:rPr>
              <w:t xml:space="preserve">有序清除经核定垃圾，分选合法处置；场底可直接调查和修复；逐区完成效果评估</w:t>
            </w:r>
          </w:p>
        </w:tc>
        <w:tc>
          <w:tcPr>
            <w:tcW w:type="dxa" w:w="2926"/>
            <w:shd w:fill="FFFFFF"/>
          </w:tcPr>
          <w:p>
            <w:pPr>
              <w:keepNext w:val="0"/>
              <w:pageBreakBefore w:val="0"/>
              <w:spacing w:after="60" w:before="60" w:line="283" w:lineRule="auto"/>
              <w:jc w:val="left"/>
            </w:pPr>
            <w:r>
              <w:rPr>
                <w:rFonts w:ascii="Arial" w:hAnsi="Arial" w:eastAsia="宋体"/>
                <w:sz w:val="19"/>
              </w:rPr>
              <w:t xml:space="preserve">暴露、排水、边坡与运输风险增加，设施、全部末端和资金须先落实；地下水恢复可能更长</w:t>
            </w:r>
          </w:p>
        </w:tc>
        <w:tc>
          <w:tcPr>
            <w:tcW w:type="dxa" w:w="2409"/>
            <w:shd w:fill="FFFFFF"/>
          </w:tcPr>
          <w:p>
            <w:pPr>
              <w:keepNext w:val="0"/>
              <w:pageBreakBefore w:val="0"/>
              <w:spacing w:after="60" w:before="60" w:line="283" w:lineRule="auto"/>
              <w:jc w:val="left"/>
            </w:pPr>
            <w:r>
              <w:rPr>
                <w:rFonts w:ascii="Arial" w:hAnsi="Arial" w:eastAsia="宋体"/>
                <w:sz w:val="19"/>
              </w:rPr>
              <w:t xml:space="preserve">乙方推荐的主体研究路线；实际范围、时序和规模经调查、示范与批准确定</w:t>
            </w:r>
          </w:p>
        </w:tc>
      </w:tr>
    </w:tbl>
    <w:p>
      <w:pPr>
        <w:pStyle w:val="BodyText"/>
      </w:pPr>
      <w:r>
        <w:t xml:space="preserve">依据：S02第7—8章、S03第4—8章、S06；全国实践C01—C02。优缺点为基于工程机制的乙方比较结论，未赋予未经数据支持的评分或费用差额。</w:t>
      </w:r>
    </w:p>
    <w:p>
      <w:pPr>
        <w:pStyle w:val="BodyText"/>
      </w:pPr>
      <w:r>
        <w:drawing>
          <wp:inline>
            <wp:extent cx="6108700" cy="2748915"/>
            <wp:effectExtent b="0" l="0" r="0" t="0"/>
            <wp:docPr descr="治理路线" title="" id="39" name="Picture"/>
            <a:graphic>
              <a:graphicData uri="http://schemas.openxmlformats.org/drawingml/2006/picture">
                <pic:pic>
                  <pic:nvPicPr>
                    <pic:cNvPr descr="../figures/11_options.png" id="40" name="Picture"/>
                    <pic:cNvPicPr>
                      <a:picLocks noChangeArrowheads="1" noChangeAspect="1"/>
                    </pic:cNvPicPr>
                  </pic:nvPicPr>
                  <pic:blipFill>
                    <a:blip r:embed="rId38"/>
                    <a:stretch>
                      <a:fillRect/>
                    </a:stretch>
                  </pic:blipFill>
                  <pic:spPr bwMode="auto">
                    <a:xfrm>
                      <a:off x="0" y="0"/>
                      <a:ext cx="6108700" cy="2748915"/>
                    </a:xfrm>
                    <a:prstGeom prst="rect">
                      <a:avLst/>
                    </a:prstGeom>
                    <a:noFill/>
                    <a:ln w="9525">
                      <a:noFill/>
                      <a:headEnd/>
                      <a:tailEnd/>
                    </a:ln>
                  </pic:spPr>
                </pic:pic>
              </a:graphicData>
            </a:graphic>
          </wp:inline>
        </w:drawing>
      </w:r>
    </w:p>
    <w:p>
      <w:pPr>
        <w:pStyle w:val="BodyText"/>
        <w:jc w:val="center"/>
      </w:pPr>
      <w:r>
        <w:rPr>
          <w:color w:val="5F7179"/>
          <w:sz w:val="18"/>
        </w:rPr>
        <w:t xml:space="preserve">图3　三个路线对应的源区和场底治理范围示意。施工是否达到全量垃圾移除目标，按批准边界及实际工程量核验。</w:t>
      </w:r>
    </w:p>
    <w:bookmarkEnd w:id="41"/>
    <w:bookmarkStart w:id="42" w:name="X8535de681299a7b65d0861063ada9a6d612d114"/>
    <w:p>
      <w:pPr>
        <w:pStyle w:val="Heading3"/>
      </w:pPr>
      <w:r>
        <w:t xml:space="preserve">3.2 开挖治理必要性的具体落点</w:t>
      </w:r>
    </w:p>
    <w:p>
      <w:pPr>
        <w:pStyle w:val="FirstParagraph"/>
      </w:pPr>
      <w:r>
        <w:t xml:space="preserve">第一，现有覆盖和处理主要管理填埋堆体持续产生的水气，存量源本身仍在场内。移除经确定的垃圾源必须通过开挖、分选及合法利用处置实施，覆膜和达标出水不能替代该实物任务。[B01；S02第8.7条；S03第1、5—6章]</w:t>
      </w:r>
    </w:p>
    <w:p>
      <w:pPr>
        <w:pStyle w:val="BodyText"/>
      </w:pPr>
      <w:r>
        <w:t xml:space="preserve">第二，拟开展原场底污染调查与修复的区域，需要形成可采样、可施工和可验证的工作面。若仍被垃圾堆体覆盖，则需采取开挖暴露或其他经论证可达到相同目标的方法；乙方推荐分区开挖，使场底调查、源区移除与修复验收衔接。[S03第6.3.8条；S12—S13]</w:t>
      </w:r>
    </w:p>
    <w:p>
      <w:pPr>
        <w:pStyle w:val="BodyText"/>
      </w:pPr>
      <w:r>
        <w:t xml:space="preserve">第三，后续场地安全利用必须解决土壤、地下水、沉降和残余气体条件，不能以平整地表替代。对决定移除堆体的地块，开挖是治理与安全利用衔接的必要工程环节；具体后续用途仍须依法审查。[S02第8.8条；S06]</w:t>
      </w:r>
    </w:p>
    <w:p>
      <w:pPr>
        <w:pStyle w:val="BodyText"/>
      </w:pPr>
      <w:r>
        <w:t xml:space="preserve">因此，乙方建议启动以分区开挖为主的综合治理工程前期。该建议针对项目目标和实际长期负荷，不属于“法律一律要求所有已封场填埋场全量开挖”的判断。调查如证明局部先行即可实现阶段目标，可先实施B；继续保留区按A维护，最终范围由设计和审批核定。</w:t>
      </w:r>
    </w:p>
    <w:bookmarkEnd w:id="42"/>
    <w:bookmarkStart w:id="43" w:name="Xf9be6df3f3b4fded9543a5942b1e28c24100a3f"/>
    <w:p>
      <w:pPr>
        <w:pStyle w:val="Heading3"/>
      </w:pPr>
      <w:r>
        <w:t xml:space="preserve">3.3 技术子方案比较与选取原则</w:t>
      </w:r>
    </w:p>
    <w:tbl>
      <w:tblPr>
        <w:tblStyle w:val="Table"/>
        <w:tblW w:type="dxa" w:w="9638"/>
        <w:jc w:val="left"/>
        <w:tblLayout w:type="fixed"/>
        <w:tblLook w:firstRow="1" w:lastRow="0" w:firstColumn="0" w:lastColumn="0" w:noHBand="0" w:noVBand="0" w:val="0020"/>
      </w:tblPr>
      <w:tblGrid>
        <w:gridCol w:w="1288"/>
        <w:gridCol w:w="2725"/>
        <w:gridCol w:w="2888"/>
        <w:gridCol w:w="2736"/>
      </w:tblGrid>
      <w:tr>
        <w:trPr>
          <w:tblHeader w:val="on"/>
          <w:cantSplit/>
          <w:tblHeader w:val="true"/>
        </w:trPr>
        <w:tc>
          <w:tcPr>
            <w:tcW w:type="dxa" w:w="1288"/>
            <w:shd w:fill="174775"/>
          </w:tcPr>
          <w:p>
            <w:pPr>
              <w:keepNext w:val="0"/>
              <w:pageBreakBefore w:val="0"/>
              <w:spacing w:after="60" w:before="60" w:line="283" w:lineRule="auto"/>
              <w:jc w:val="left"/>
            </w:pPr>
            <w:r>
              <w:rPr>
                <w:rFonts w:ascii="Arial" w:hAnsi="Arial" w:eastAsia="宋体"/>
                <w:b/>
                <w:color w:val="FFFFFF"/>
                <w:sz w:val="19"/>
              </w:rPr>
              <w:t xml:space="preserve">子系统</w:t>
            </w:r>
          </w:p>
        </w:tc>
        <w:tc>
          <w:tcPr>
            <w:tcW w:type="dxa" w:w="2725"/>
            <w:shd w:fill="174775"/>
          </w:tcPr>
          <w:p>
            <w:pPr>
              <w:keepNext w:val="0"/>
              <w:pageBreakBefore w:val="0"/>
              <w:spacing w:after="60" w:before="60" w:line="283" w:lineRule="auto"/>
              <w:jc w:val="left"/>
            </w:pPr>
            <w:r>
              <w:rPr>
                <w:rFonts w:ascii="Arial" w:hAnsi="Arial" w:eastAsia="宋体"/>
                <w:b/>
                <w:color w:val="FFFFFF"/>
                <w:sz w:val="19"/>
              </w:rPr>
              <w:t xml:space="preserve">可选办法与优势</w:t>
            </w:r>
          </w:p>
        </w:tc>
        <w:tc>
          <w:tcPr>
            <w:tcW w:type="dxa" w:w="2888"/>
            <w:shd w:fill="174775"/>
          </w:tcPr>
          <w:p>
            <w:pPr>
              <w:keepNext w:val="0"/>
              <w:pageBreakBefore w:val="0"/>
              <w:spacing w:after="60" w:before="60" w:line="283" w:lineRule="auto"/>
              <w:jc w:val="left"/>
            </w:pPr>
            <w:r>
              <w:rPr>
                <w:rFonts w:ascii="Arial" w:hAnsi="Arial" w:eastAsia="宋体"/>
                <w:b/>
                <w:color w:val="FFFFFF"/>
                <w:sz w:val="19"/>
              </w:rPr>
              <w:t xml:space="preserve">限制及风险</w:t>
            </w:r>
          </w:p>
        </w:tc>
        <w:tc>
          <w:tcPr>
            <w:tcW w:type="dxa" w:w="2736"/>
            <w:shd w:fill="174775"/>
          </w:tcPr>
          <w:p>
            <w:pPr>
              <w:keepNext w:val="0"/>
              <w:pageBreakBefore w:val="0"/>
              <w:spacing w:after="60" w:before="60" w:line="283" w:lineRule="auto"/>
              <w:jc w:val="left"/>
            </w:pPr>
            <w:r>
              <w:rPr>
                <w:rFonts w:ascii="Arial" w:hAnsi="Arial" w:eastAsia="宋体"/>
                <w:b/>
                <w:color w:val="FFFFFF"/>
                <w:sz w:val="19"/>
              </w:rPr>
              <w:t xml:space="preserve">乙方拟采用路径</w:t>
            </w:r>
          </w:p>
        </w:tc>
      </w:tr>
      <w:tr>
        <w:trPr>
          <w:cantSplit/>
        </w:trPr>
        <w:tc>
          <w:tcPr>
            <w:tcW w:type="dxa" w:w="1288"/>
            <w:shd w:fill="FFFFFF"/>
          </w:tcPr>
          <w:p>
            <w:pPr>
              <w:keepNext w:val="0"/>
              <w:pageBreakBefore w:val="0"/>
              <w:spacing w:after="60" w:before="60" w:line="283" w:lineRule="auto"/>
              <w:jc w:val="left"/>
            </w:pPr>
            <w:r>
              <w:rPr>
                <w:rFonts w:ascii="Arial" w:hAnsi="Arial" w:eastAsia="宋体"/>
                <w:sz w:val="19"/>
              </w:rPr>
              <w:t xml:space="preserve">开挖臭气控制</w:t>
            </w:r>
          </w:p>
        </w:tc>
        <w:tc>
          <w:tcPr>
            <w:tcW w:type="dxa" w:w="2725"/>
            <w:shd w:fill="FFFFFF"/>
          </w:tcPr>
          <w:p>
            <w:pPr>
              <w:keepNext w:val="0"/>
              <w:pageBreakBefore w:val="0"/>
              <w:spacing w:after="60" w:before="60" w:line="283" w:lineRule="auto"/>
              <w:jc w:val="left"/>
            </w:pPr>
            <w:r>
              <w:rPr>
                <w:rFonts w:ascii="Arial" w:hAnsi="Arial" w:eastAsia="宋体"/>
                <w:sz w:val="19"/>
              </w:rPr>
              <w:t xml:space="preserve">整体罩棚有利集中收集；移动式密闭单元有利分区；膜下抽气能结合既有覆盖</w:t>
            </w:r>
          </w:p>
        </w:tc>
        <w:tc>
          <w:tcPr>
            <w:tcW w:type="dxa" w:w="2888"/>
            <w:shd w:fill="FFFFFF"/>
          </w:tcPr>
          <w:p>
            <w:pPr>
              <w:keepNext w:val="0"/>
              <w:pageBreakBefore w:val="0"/>
              <w:spacing w:after="60" w:before="60" w:line="283" w:lineRule="auto"/>
              <w:jc w:val="left"/>
            </w:pPr>
            <w:r>
              <w:rPr>
                <w:rFonts w:ascii="Arial" w:hAnsi="Arial" w:eastAsia="宋体"/>
                <w:sz w:val="19"/>
              </w:rPr>
              <w:t xml:space="preserve">整体结构需论证用地、风荷载、消防及投资；移动单元接口可能泄漏；单独喷药不能替代集气与安全控制</w:t>
            </w:r>
          </w:p>
        </w:tc>
        <w:tc>
          <w:tcPr>
            <w:tcW w:type="dxa" w:w="2736"/>
            <w:shd w:fill="FFFFFF"/>
          </w:tcPr>
          <w:p>
            <w:pPr>
              <w:keepNext w:val="0"/>
              <w:pageBreakBefore w:val="0"/>
              <w:spacing w:after="60" w:before="60" w:line="283" w:lineRule="auto"/>
              <w:jc w:val="left"/>
            </w:pPr>
            <w:r>
              <w:rPr>
                <w:rFonts w:ascii="Arial" w:hAnsi="Arial" w:eastAsia="宋体"/>
                <w:sz w:val="19"/>
              </w:rPr>
              <w:t xml:space="preserve">以可控制的小单元、密闭作业和集中处理为设计目标；覆盖结构经气象、空间及安全专项确定</w:t>
            </w:r>
          </w:p>
        </w:tc>
      </w:tr>
      <w:tr>
        <w:trPr>
          <w:cantSplit/>
        </w:trPr>
        <w:tc>
          <w:tcPr>
            <w:tcW w:type="dxa" w:w="1288"/>
            <w:shd w:fill="EAF2F9"/>
          </w:tcPr>
          <w:p>
            <w:pPr>
              <w:keepNext w:val="0"/>
              <w:pageBreakBefore w:val="0"/>
              <w:spacing w:after="60" w:before="60" w:line="283" w:lineRule="auto"/>
              <w:jc w:val="left"/>
            </w:pPr>
            <w:r>
              <w:rPr>
                <w:rFonts w:ascii="Arial" w:hAnsi="Arial" w:eastAsia="宋体"/>
                <w:sz w:val="19"/>
              </w:rPr>
              <w:t xml:space="preserve">渗滤液处理</w:t>
            </w:r>
          </w:p>
        </w:tc>
        <w:tc>
          <w:tcPr>
            <w:tcW w:type="dxa" w:w="2725"/>
            <w:shd w:fill="EAF2F9"/>
          </w:tcPr>
          <w:p>
            <w:pPr>
              <w:keepNext w:val="0"/>
              <w:pageBreakBefore w:val="0"/>
              <w:spacing w:after="60" w:before="60" w:line="283" w:lineRule="auto"/>
              <w:jc w:val="left"/>
            </w:pPr>
            <w:r>
              <w:rPr>
                <w:rFonts w:ascii="Arial" w:hAnsi="Arial" w:eastAsia="宋体"/>
                <w:sz w:val="19"/>
              </w:rPr>
              <w:t xml:space="preserve">利用现有预处理＋DTRO有运行基础；新增临时或扩建设施应对抽排；合法外部接收提供备用</w:t>
            </w:r>
          </w:p>
        </w:tc>
        <w:tc>
          <w:tcPr>
            <w:tcW w:type="dxa" w:w="2888"/>
            <w:shd w:fill="EAF2F9"/>
          </w:tcPr>
          <w:p>
            <w:pPr>
              <w:keepNext w:val="0"/>
              <w:pageBreakBefore w:val="0"/>
              <w:spacing w:after="60" w:before="60" w:line="283" w:lineRule="auto"/>
              <w:jc w:val="left"/>
            </w:pPr>
            <w:r>
              <w:rPr>
                <w:rFonts w:ascii="Arial" w:hAnsi="Arial" w:eastAsia="宋体"/>
                <w:sz w:val="19"/>
              </w:rPr>
              <w:t xml:space="preserve">实际可用能力未核定；膜浓缩液增加；外部接收须符合水质、水量、许可和合同</w:t>
            </w:r>
          </w:p>
        </w:tc>
        <w:tc>
          <w:tcPr>
            <w:tcW w:type="dxa" w:w="2736"/>
            <w:shd w:fill="EAF2F9"/>
          </w:tcPr>
          <w:p>
            <w:pPr>
              <w:keepNext w:val="0"/>
              <w:pageBreakBefore w:val="0"/>
              <w:spacing w:after="60" w:before="60" w:line="283" w:lineRule="auto"/>
              <w:jc w:val="left"/>
            </w:pPr>
            <w:r>
              <w:rPr>
                <w:rFonts w:ascii="Arial" w:hAnsi="Arial" w:eastAsia="宋体"/>
                <w:sz w:val="19"/>
              </w:rPr>
              <w:t xml:space="preserve">现有系统连续运行，先核能力与浓缩液去向，按新增负荷试验后决定扩建或接收</w:t>
            </w:r>
          </w:p>
        </w:tc>
      </w:tr>
      <w:tr>
        <w:trPr>
          <w:cantSplit/>
        </w:trPr>
        <w:tc>
          <w:tcPr>
            <w:tcW w:type="dxa" w:w="1288"/>
            <w:shd w:fill="FFFFFF"/>
          </w:tcPr>
          <w:p>
            <w:pPr>
              <w:keepNext w:val="0"/>
              <w:pageBreakBefore w:val="0"/>
              <w:spacing w:after="60" w:before="60" w:line="283" w:lineRule="auto"/>
              <w:jc w:val="left"/>
            </w:pPr>
            <w:r>
              <w:rPr>
                <w:rFonts w:ascii="Arial" w:hAnsi="Arial" w:eastAsia="宋体"/>
                <w:sz w:val="19"/>
              </w:rPr>
              <w:t xml:space="preserve">膜浓缩液</w:t>
            </w:r>
          </w:p>
        </w:tc>
        <w:tc>
          <w:tcPr>
            <w:tcW w:type="dxa" w:w="2725"/>
            <w:shd w:fill="FFFFFF"/>
          </w:tcPr>
          <w:p>
            <w:pPr>
              <w:keepNext w:val="0"/>
              <w:pageBreakBefore w:val="0"/>
              <w:spacing w:after="60" w:before="60" w:line="283" w:lineRule="auto"/>
              <w:jc w:val="left"/>
            </w:pPr>
            <w:r>
              <w:rPr>
                <w:rFonts w:ascii="Arial" w:hAnsi="Arial" w:eastAsia="宋体"/>
                <w:sz w:val="19"/>
              </w:rPr>
              <w:t xml:space="preserve">合规外部接收可衔接现有模式；物化、生化及高级氧化组合可作为技术候选</w:t>
            </w:r>
          </w:p>
        </w:tc>
        <w:tc>
          <w:tcPr>
            <w:tcW w:type="dxa" w:w="2888"/>
            <w:shd w:fill="FFFFFF"/>
          </w:tcPr>
          <w:p>
            <w:pPr>
              <w:keepNext w:val="0"/>
              <w:pageBreakBefore w:val="0"/>
              <w:spacing w:after="60" w:before="60" w:line="283" w:lineRule="auto"/>
              <w:jc w:val="left"/>
            </w:pPr>
            <w:r>
              <w:rPr>
                <w:rFonts w:ascii="Arial" w:hAnsi="Arial" w:eastAsia="宋体"/>
                <w:sz w:val="19"/>
              </w:rPr>
              <w:t xml:space="preserve">运输和接收中断影响全系统；科研中试不能代替本场全规模达标、单价与属性核查</w:t>
            </w:r>
          </w:p>
        </w:tc>
        <w:tc>
          <w:tcPr>
            <w:tcW w:type="dxa" w:w="2736"/>
            <w:shd w:fill="FFFFFF"/>
          </w:tcPr>
          <w:p>
            <w:pPr>
              <w:keepNext w:val="0"/>
              <w:pageBreakBefore w:val="0"/>
              <w:spacing w:after="60" w:before="60" w:line="283" w:lineRule="auto"/>
              <w:jc w:val="left"/>
            </w:pPr>
            <w:r>
              <w:rPr>
                <w:rFonts w:ascii="Arial" w:hAnsi="Arial" w:eastAsia="宋体"/>
                <w:sz w:val="19"/>
              </w:rPr>
              <w:t xml:space="preserve">先落实合法接收与备用；本场水质中试比较，未经验证不改变既有基线工艺</w:t>
            </w:r>
          </w:p>
        </w:tc>
      </w:tr>
      <w:tr>
        <w:trPr>
          <w:cantSplit/>
        </w:trPr>
        <w:tc>
          <w:tcPr>
            <w:tcW w:type="dxa" w:w="1288"/>
            <w:shd w:fill="EAF2F9"/>
          </w:tcPr>
          <w:p>
            <w:pPr>
              <w:keepNext w:val="0"/>
              <w:pageBreakBefore w:val="0"/>
              <w:spacing w:after="60" w:before="60" w:line="283" w:lineRule="auto"/>
              <w:jc w:val="left"/>
            </w:pPr>
            <w:r>
              <w:rPr>
                <w:rFonts w:ascii="Arial" w:hAnsi="Arial" w:eastAsia="宋体"/>
                <w:sz w:val="19"/>
              </w:rPr>
              <w:t xml:space="preserve">垃圾分选</w:t>
            </w:r>
          </w:p>
        </w:tc>
        <w:tc>
          <w:tcPr>
            <w:tcW w:type="dxa" w:w="2725"/>
            <w:shd w:fill="EAF2F9"/>
          </w:tcPr>
          <w:p>
            <w:pPr>
              <w:keepNext w:val="0"/>
              <w:pageBreakBefore w:val="0"/>
              <w:spacing w:after="60" w:before="60" w:line="283" w:lineRule="auto"/>
              <w:jc w:val="left"/>
            </w:pPr>
            <w:r>
              <w:rPr>
                <w:rFonts w:ascii="Arial" w:hAnsi="Arial" w:eastAsia="宋体"/>
                <w:sz w:val="19"/>
              </w:rPr>
              <w:t xml:space="preserve">沥水后筛分、金属分离及适配轻重分选可减少不必要处理环节</w:t>
            </w:r>
          </w:p>
        </w:tc>
        <w:tc>
          <w:tcPr>
            <w:tcW w:type="dxa" w:w="2888"/>
            <w:shd w:fill="EAF2F9"/>
          </w:tcPr>
          <w:p>
            <w:pPr>
              <w:keepNext w:val="0"/>
              <w:pageBreakBefore w:val="0"/>
              <w:spacing w:after="60" w:before="60" w:line="283" w:lineRule="auto"/>
              <w:jc w:val="left"/>
            </w:pPr>
            <w:r>
              <w:rPr>
                <w:rFonts w:ascii="Arial" w:hAnsi="Arial" w:eastAsia="宋体"/>
                <w:sz w:val="19"/>
              </w:rPr>
              <w:t xml:space="preserve">含水、黏结、细料比例影响产能；盲目新增破碎或湿洗可能增加气液负担</w:t>
            </w:r>
          </w:p>
        </w:tc>
        <w:tc>
          <w:tcPr>
            <w:tcW w:type="dxa" w:w="2736"/>
            <w:shd w:fill="EAF2F9"/>
          </w:tcPr>
          <w:p>
            <w:pPr>
              <w:keepNext w:val="0"/>
              <w:pageBreakBefore w:val="0"/>
              <w:spacing w:after="60" w:before="60" w:line="283" w:lineRule="auto"/>
              <w:jc w:val="left"/>
            </w:pPr>
            <w:r>
              <w:rPr>
                <w:rFonts w:ascii="Arial" w:hAnsi="Arial" w:eastAsia="宋体"/>
                <w:sz w:val="19"/>
              </w:rPr>
              <w:t xml:space="preserve">以代表性试验确定流程、筛孔和持续能力，所有产物落实最终去向</w:t>
            </w:r>
          </w:p>
        </w:tc>
      </w:tr>
      <w:tr>
        <w:trPr>
          <w:cantSplit/>
        </w:trPr>
        <w:tc>
          <w:tcPr>
            <w:tcW w:type="dxa" w:w="1288"/>
            <w:shd w:fill="FFFFFF"/>
          </w:tcPr>
          <w:p>
            <w:pPr>
              <w:keepNext w:val="0"/>
              <w:pageBreakBefore w:val="0"/>
              <w:spacing w:after="60" w:before="60" w:line="283" w:lineRule="auto"/>
              <w:jc w:val="left"/>
            </w:pPr>
            <w:r>
              <w:rPr>
                <w:rFonts w:ascii="Arial" w:hAnsi="Arial" w:eastAsia="宋体"/>
                <w:sz w:val="19"/>
              </w:rPr>
              <w:t xml:space="preserve">地下水控制</w:t>
            </w:r>
          </w:p>
        </w:tc>
        <w:tc>
          <w:tcPr>
            <w:tcW w:type="dxa" w:w="2725"/>
            <w:shd w:fill="FFFFFF"/>
          </w:tcPr>
          <w:p>
            <w:pPr>
              <w:keepNext w:val="0"/>
              <w:pageBreakBefore w:val="0"/>
              <w:spacing w:after="60" w:before="60" w:line="283" w:lineRule="auto"/>
              <w:jc w:val="left"/>
            </w:pPr>
            <w:r>
              <w:rPr>
                <w:rFonts w:ascii="Arial" w:hAnsi="Arial" w:eastAsia="宋体"/>
                <w:sz w:val="19"/>
              </w:rPr>
              <w:t xml:space="preserve">查漏、降堆体液位、防渗修补、抽提或阻隔可针对不同污染机制</w:t>
            </w:r>
          </w:p>
        </w:tc>
        <w:tc>
          <w:tcPr>
            <w:tcW w:type="dxa" w:w="2888"/>
            <w:shd w:fill="FFFFFF"/>
          </w:tcPr>
          <w:p>
            <w:pPr>
              <w:keepNext w:val="0"/>
              <w:pageBreakBefore w:val="0"/>
              <w:spacing w:after="60" w:before="60" w:line="283" w:lineRule="auto"/>
              <w:jc w:val="left"/>
            </w:pPr>
            <w:r>
              <w:rPr>
                <w:rFonts w:ascii="Arial" w:hAnsi="Arial" w:eastAsia="宋体"/>
                <w:sz w:val="19"/>
              </w:rPr>
              <w:t xml:space="preserve">需明确流场、污染范围、抽提水处理和长期有效性，不能机械选取同一措施</w:t>
            </w:r>
          </w:p>
        </w:tc>
        <w:tc>
          <w:tcPr>
            <w:tcW w:type="dxa" w:w="2736"/>
            <w:shd w:fill="FFFFFF"/>
          </w:tcPr>
          <w:p>
            <w:pPr>
              <w:keepNext w:val="0"/>
              <w:pageBreakBefore w:val="0"/>
              <w:spacing w:after="60" w:before="60" w:line="283" w:lineRule="auto"/>
              <w:jc w:val="left"/>
            </w:pPr>
            <w:r>
              <w:rPr>
                <w:rFonts w:ascii="Arial" w:hAnsi="Arial" w:eastAsia="宋体"/>
                <w:sz w:val="19"/>
              </w:rPr>
              <w:t xml:space="preserve">按诊断与风险评估设计，地下水与堆体排水分系统计量和管理</w:t>
            </w:r>
          </w:p>
        </w:tc>
      </w:tr>
    </w:tbl>
    <w:p>
      <w:pPr>
        <w:pStyle w:val="BodyText"/>
      </w:pPr>
      <w:r>
        <w:t xml:space="preserve">技术方向依据S02第7.10、9.2条，S03第6章及C03。表内方案为乙方拟定比选，具体设备、尺寸、能力和单价通过专项设计与示范核定。</w:t>
      </w:r>
    </w:p>
    <w:bookmarkEnd w:id="43"/>
    <w:bookmarkEnd w:id="44"/>
    <w:bookmarkStart w:id="53" w:name="Xbe8806ae4b5176353b4cf70ab076638ee5f0de6"/>
    <w:p>
      <w:pPr>
        <w:pStyle w:val="Heading2"/>
        <w:pageBreakBefore/>
      </w:pPr>
      <w:r>
        <w:t xml:space="preserve">4 开挖综合治理政策导向与全国案例</w:t>
      </w:r>
    </w:p>
    <w:bookmarkStart w:id="48" w:name="Xacd2d4d63815e4fab25934c142f8abbf174cef3"/>
    <w:p>
      <w:pPr>
        <w:pStyle w:val="Heading3"/>
      </w:pPr>
      <w:r>
        <w:t xml:space="preserve">4.1 2026年现行体系</w:t>
      </w:r>
    </w:p>
    <w:p>
      <w:pPr>
        <w:pStyle w:val="FirstParagraph"/>
      </w:pPr>
      <w:r>
        <w:t xml:space="preserve">《中华人民共和国生态环境法典》自2026年8月15日起施行，原环境保护法、环境影响评价法、固体废物污染环境防治法、土壤污染防治法等法律同时废止。项目法律依据采用法典；旧文件中对原法律的引用按其发布背景理解，具体实施服从现行法律、行政法规、标准和许可要求。[S01第1242条]</w:t>
      </w:r>
    </w:p>
    <w:p>
      <w:pPr>
        <w:pStyle w:val="BodyText"/>
      </w:pPr>
      <w:r>
        <w:drawing>
          <wp:inline>
            <wp:extent cx="6108700" cy="2748915"/>
            <wp:effectExtent b="0" l="0" r="0" t="0"/>
            <wp:docPr descr="适用体系" title="" id="46" name="Picture"/>
            <a:graphic>
              <a:graphicData uri="http://schemas.openxmlformats.org/drawingml/2006/picture">
                <pic:pic>
                  <pic:nvPicPr>
                    <pic:cNvPr descr="../figures/03_law.png" id="47" name="Picture"/>
                    <pic:cNvPicPr>
                      <a:picLocks noChangeArrowheads="1" noChangeAspect="1"/>
                    </pic:cNvPicPr>
                  </pic:nvPicPr>
                  <pic:blipFill>
                    <a:blip r:embed="rId45"/>
                    <a:stretch>
                      <a:fillRect/>
                    </a:stretch>
                  </pic:blipFill>
                  <pic:spPr bwMode="auto">
                    <a:xfrm>
                      <a:off x="0" y="0"/>
                      <a:ext cx="6108700" cy="2748915"/>
                    </a:xfrm>
                    <a:prstGeom prst="rect">
                      <a:avLst/>
                    </a:prstGeom>
                    <a:noFill/>
                    <a:ln w="9525">
                      <a:noFill/>
                      <a:headEnd/>
                      <a:tailEnd/>
                    </a:ln>
                  </pic:spPr>
                </pic:pic>
              </a:graphicData>
            </a:graphic>
          </wp:inline>
        </w:drawing>
      </w:r>
    </w:p>
    <w:p>
      <w:pPr>
        <w:pStyle w:val="BodyText"/>
        <w:jc w:val="center"/>
      </w:pPr>
      <w:r>
        <w:rPr>
          <w:color w:val="5F7179"/>
          <w:sz w:val="18"/>
        </w:rPr>
        <w:t xml:space="preserve">图4　项目文件适用层次。征求意见稿及外地地方实践用于技术论证，不能替代广东、东莞项目审批要求。</w:t>
      </w:r>
    </w:p>
    <w:tbl>
      <w:tblPr>
        <w:tblStyle w:val="Table"/>
        <w:tblW w:type="dxa" w:w="9638"/>
        <w:jc w:val="left"/>
        <w:tblLayout w:type="fixed"/>
        <w:tblLook w:firstRow="1" w:lastRow="0" w:firstColumn="0" w:lastColumn="0" w:noHBand="0" w:noVBand="0" w:val="0020"/>
      </w:tblPr>
      <w:tblGrid>
        <w:gridCol w:w="3034"/>
        <w:gridCol w:w="4039"/>
        <w:gridCol w:w="2565"/>
      </w:tblGrid>
      <w:tr>
        <w:trPr>
          <w:tblHeader w:val="on"/>
          <w:cantSplit/>
          <w:tblHeader w:val="true"/>
        </w:trPr>
        <w:tc>
          <w:tcPr>
            <w:tcW w:type="dxa" w:w="3034"/>
            <w:shd w:fill="174775"/>
          </w:tcPr>
          <w:p>
            <w:pPr>
              <w:keepNext w:val="0"/>
              <w:pageBreakBefore w:val="0"/>
              <w:spacing w:after="60" w:before="60" w:line="283" w:lineRule="auto"/>
              <w:jc w:val="left"/>
            </w:pPr>
            <w:r>
              <w:rPr>
                <w:rFonts w:ascii="Arial" w:hAnsi="Arial" w:eastAsia="宋体"/>
                <w:b/>
                <w:color w:val="FFFFFF"/>
                <w:sz w:val="19"/>
              </w:rPr>
              <w:t xml:space="preserve">文件</w:t>
            </w:r>
          </w:p>
        </w:tc>
        <w:tc>
          <w:tcPr>
            <w:tcW w:type="dxa" w:w="4039"/>
            <w:shd w:fill="174775"/>
          </w:tcPr>
          <w:p>
            <w:pPr>
              <w:keepNext w:val="0"/>
              <w:pageBreakBefore w:val="0"/>
              <w:spacing w:after="60" w:before="60" w:line="283" w:lineRule="auto"/>
              <w:jc w:val="left"/>
            </w:pPr>
            <w:r>
              <w:rPr>
                <w:rFonts w:ascii="Arial" w:hAnsi="Arial" w:eastAsia="宋体"/>
                <w:b/>
                <w:color w:val="FFFFFF"/>
                <w:sz w:val="19"/>
              </w:rPr>
              <w:t xml:space="preserve">对本项目的约束或指导</w:t>
            </w:r>
          </w:p>
        </w:tc>
        <w:tc>
          <w:tcPr>
            <w:tcW w:type="dxa" w:w="2565"/>
            <w:shd w:fill="174775"/>
          </w:tcPr>
          <w:p>
            <w:pPr>
              <w:keepNext w:val="0"/>
              <w:pageBreakBefore w:val="0"/>
              <w:spacing w:after="60" w:before="60" w:line="283" w:lineRule="auto"/>
              <w:jc w:val="left"/>
            </w:pPr>
            <w:r>
              <w:rPr>
                <w:rFonts w:ascii="Arial" w:hAnsi="Arial" w:eastAsia="宋体"/>
                <w:b/>
                <w:color w:val="FFFFFF"/>
                <w:sz w:val="19"/>
              </w:rPr>
              <w:t xml:space="preserve">具体适用位置</w:t>
            </w:r>
          </w:p>
        </w:tc>
      </w:tr>
      <w:tr>
        <w:trPr>
          <w:cantSplit/>
        </w:trPr>
        <w:tc>
          <w:tcPr>
            <w:tcW w:type="dxa" w:w="3034"/>
            <w:shd w:fill="FFFFFF"/>
          </w:tcPr>
          <w:p>
            <w:pPr>
              <w:keepNext w:val="0"/>
              <w:pageBreakBefore w:val="0"/>
              <w:spacing w:after="60" w:before="60" w:line="283" w:lineRule="auto"/>
              <w:jc w:val="left"/>
            </w:pPr>
            <w:r>
              <w:rPr>
                <w:rFonts w:ascii="Arial" w:hAnsi="Arial" w:eastAsia="宋体"/>
                <w:sz w:val="19"/>
              </w:rPr>
              <w:t xml:space="preserve">生态环境法典</w:t>
            </w:r>
          </w:p>
        </w:tc>
        <w:tc>
          <w:tcPr>
            <w:tcW w:type="dxa" w:w="4039"/>
            <w:shd w:fill="FFFFFF"/>
          </w:tcPr>
          <w:p>
            <w:pPr>
              <w:keepNext w:val="0"/>
              <w:pageBreakBefore w:val="0"/>
              <w:spacing w:after="60" w:before="60" w:line="283" w:lineRule="auto"/>
              <w:jc w:val="left"/>
            </w:pPr>
            <w:r>
              <w:rPr>
                <w:rFonts w:ascii="Arial" w:hAnsi="Arial" w:eastAsia="宋体"/>
                <w:sz w:val="19"/>
              </w:rPr>
              <w:t xml:space="preserve">回收物质按规定用途标准使用；处理设施不得擅自关闭、闲置或拆除；监测依法实施</w:t>
            </w:r>
          </w:p>
        </w:tc>
        <w:tc>
          <w:tcPr>
            <w:tcW w:type="dxa" w:w="2565"/>
            <w:shd w:fill="FFFFFF"/>
          </w:tcPr>
          <w:p>
            <w:pPr>
              <w:keepNext w:val="0"/>
              <w:pageBreakBefore w:val="0"/>
              <w:spacing w:after="60" w:before="60" w:line="283" w:lineRule="auto"/>
              <w:jc w:val="left"/>
            </w:pPr>
            <w:r>
              <w:rPr>
                <w:rFonts w:ascii="Arial" w:hAnsi="Arial" w:eastAsia="宋体"/>
                <w:sz w:val="19"/>
              </w:rPr>
              <w:t xml:space="preserve">S01第511—513条；建设、排放及修复遵守对应章节</w:t>
            </w:r>
          </w:p>
        </w:tc>
      </w:tr>
      <w:tr>
        <w:trPr>
          <w:cantSplit/>
        </w:trPr>
        <w:tc>
          <w:tcPr>
            <w:tcW w:type="dxa" w:w="3034"/>
            <w:shd w:fill="EAF2F9"/>
          </w:tcPr>
          <w:p>
            <w:pPr>
              <w:keepNext w:val="0"/>
              <w:pageBreakBefore w:val="0"/>
              <w:spacing w:after="60" w:before="60" w:line="283" w:lineRule="auto"/>
              <w:jc w:val="left"/>
            </w:pPr>
            <w:r>
              <w:rPr>
                <w:rFonts w:ascii="Arial" w:hAnsi="Arial" w:eastAsia="宋体"/>
                <w:sz w:val="19"/>
              </w:rPr>
              <w:t xml:space="preserve">GB 16889—2024</w:t>
            </w:r>
          </w:p>
        </w:tc>
        <w:tc>
          <w:tcPr>
            <w:tcW w:type="dxa" w:w="4039"/>
            <w:shd w:fill="EAF2F9"/>
          </w:tcPr>
          <w:p>
            <w:pPr>
              <w:keepNext w:val="0"/>
              <w:pageBreakBefore w:val="0"/>
              <w:spacing w:after="60" w:before="60" w:line="283" w:lineRule="auto"/>
              <w:jc w:val="left"/>
            </w:pPr>
            <w:r>
              <w:rPr>
                <w:rFonts w:ascii="Arial" w:hAnsi="Arial" w:eastAsia="宋体"/>
                <w:sz w:val="19"/>
              </w:rPr>
              <w:t xml:space="preserve">封场后继续处理渗滤液和气体；衬层检测、地下水风险评估、异常应急；开发前调查评估</w:t>
            </w:r>
          </w:p>
        </w:tc>
        <w:tc>
          <w:tcPr>
            <w:tcW w:type="dxa" w:w="2565"/>
            <w:shd w:fill="EAF2F9"/>
          </w:tcPr>
          <w:p>
            <w:pPr>
              <w:keepNext w:val="0"/>
              <w:pageBreakBefore w:val="0"/>
              <w:spacing w:after="60" w:before="60" w:line="283" w:lineRule="auto"/>
              <w:jc w:val="left"/>
            </w:pPr>
            <w:r>
              <w:rPr>
                <w:rFonts w:ascii="Arial" w:hAnsi="Arial" w:eastAsia="宋体"/>
                <w:sz w:val="19"/>
              </w:rPr>
              <w:t xml:space="preserve">S02第7.8—7.10、8.7—8.9、9.2条</w:t>
            </w:r>
          </w:p>
        </w:tc>
      </w:tr>
      <w:tr>
        <w:trPr>
          <w:cantSplit/>
        </w:trPr>
        <w:tc>
          <w:tcPr>
            <w:tcW w:type="dxa" w:w="3034"/>
            <w:shd w:fill="FFFFFF"/>
          </w:tcPr>
          <w:p>
            <w:pPr>
              <w:keepNext w:val="0"/>
              <w:pageBreakBefore w:val="0"/>
              <w:spacing w:after="60" w:before="60" w:line="283" w:lineRule="auto"/>
              <w:jc w:val="left"/>
            </w:pPr>
            <w:r>
              <w:rPr>
                <w:rFonts w:ascii="Arial" w:hAnsi="Arial" w:eastAsia="宋体"/>
                <w:sz w:val="19"/>
              </w:rPr>
              <w:t xml:space="preserve">地下水管理条例，2026年修订</w:t>
            </w:r>
          </w:p>
        </w:tc>
        <w:tc>
          <w:tcPr>
            <w:tcW w:type="dxa" w:w="4039"/>
            <w:shd w:fill="FFFFFF"/>
          </w:tcPr>
          <w:p>
            <w:pPr>
              <w:keepNext w:val="0"/>
              <w:pageBreakBefore w:val="0"/>
              <w:spacing w:after="60" w:before="60" w:line="283" w:lineRule="auto"/>
              <w:jc w:val="left"/>
            </w:pPr>
            <w:r>
              <w:rPr>
                <w:rFonts w:ascii="Arial" w:hAnsi="Arial" w:eastAsia="宋体"/>
                <w:sz w:val="19"/>
              </w:rPr>
              <w:t xml:space="preserve">填埋场防渗漏、地下水监测井、风险评估和修复纳入地下水防治内容</w:t>
            </w:r>
          </w:p>
        </w:tc>
        <w:tc>
          <w:tcPr>
            <w:tcW w:type="dxa" w:w="2565"/>
            <w:shd w:fill="FFFFFF"/>
          </w:tcPr>
          <w:p>
            <w:pPr>
              <w:keepNext w:val="0"/>
              <w:pageBreakBefore w:val="0"/>
              <w:spacing w:after="60" w:before="60" w:line="283" w:lineRule="auto"/>
              <w:jc w:val="left"/>
            </w:pPr>
            <w:r>
              <w:rPr>
                <w:rFonts w:ascii="Arial" w:hAnsi="Arial" w:eastAsia="宋体"/>
                <w:sz w:val="19"/>
              </w:rPr>
              <w:t xml:space="preserve">S07第40、41、45条</w:t>
            </w:r>
          </w:p>
        </w:tc>
      </w:tr>
      <w:tr>
        <w:trPr>
          <w:cantSplit/>
        </w:trPr>
        <w:tc>
          <w:tcPr>
            <w:tcW w:type="dxa" w:w="3034"/>
            <w:shd w:fill="EAF2F9"/>
          </w:tcPr>
          <w:p>
            <w:pPr>
              <w:keepNext w:val="0"/>
              <w:pageBreakBefore w:val="0"/>
              <w:spacing w:after="60" w:before="60" w:line="283" w:lineRule="auto"/>
              <w:jc w:val="left"/>
            </w:pPr>
            <w:r>
              <w:rPr>
                <w:rFonts w:ascii="Arial" w:hAnsi="Arial" w:eastAsia="宋体"/>
                <w:sz w:val="19"/>
              </w:rPr>
              <w:t xml:space="preserve">城镇排水与污水处理条例，2026年修订</w:t>
            </w:r>
          </w:p>
        </w:tc>
        <w:tc>
          <w:tcPr>
            <w:tcW w:type="dxa" w:w="4039"/>
            <w:shd w:fill="EAF2F9"/>
          </w:tcPr>
          <w:p>
            <w:pPr>
              <w:keepNext w:val="0"/>
              <w:pageBreakBefore w:val="0"/>
              <w:spacing w:after="60" w:before="60" w:line="283" w:lineRule="auto"/>
              <w:jc w:val="left"/>
            </w:pPr>
            <w:r>
              <w:rPr>
                <w:rFonts w:ascii="Arial" w:hAnsi="Arial" w:eastAsia="宋体"/>
                <w:sz w:val="19"/>
              </w:rPr>
              <w:t xml:space="preserve">依法取得适用排水许可、执行水质要求，接受接管监管</w:t>
            </w:r>
          </w:p>
        </w:tc>
        <w:tc>
          <w:tcPr>
            <w:tcW w:type="dxa" w:w="2565"/>
            <w:shd w:fill="EAF2F9"/>
          </w:tcPr>
          <w:p>
            <w:pPr>
              <w:keepNext w:val="0"/>
              <w:pageBreakBefore w:val="0"/>
              <w:spacing w:after="60" w:before="60" w:line="283" w:lineRule="auto"/>
              <w:jc w:val="left"/>
            </w:pPr>
            <w:r>
              <w:rPr>
                <w:rFonts w:ascii="Arial" w:hAnsi="Arial" w:eastAsia="宋体"/>
                <w:sz w:val="19"/>
              </w:rPr>
              <w:t xml:space="preserve">S08排水许可及排水管理条款</w:t>
            </w:r>
          </w:p>
        </w:tc>
      </w:tr>
      <w:tr>
        <w:trPr>
          <w:cantSplit/>
        </w:trPr>
        <w:tc>
          <w:tcPr>
            <w:tcW w:type="dxa" w:w="3034"/>
            <w:shd w:fill="FFFFFF"/>
          </w:tcPr>
          <w:p>
            <w:pPr>
              <w:keepNext w:val="0"/>
              <w:pageBreakBefore w:val="0"/>
              <w:spacing w:after="60" w:before="60" w:line="283" w:lineRule="auto"/>
              <w:jc w:val="left"/>
            </w:pPr>
            <w:r>
              <w:rPr>
                <w:rFonts w:ascii="Arial" w:hAnsi="Arial" w:eastAsia="宋体"/>
                <w:sz w:val="19"/>
              </w:rPr>
              <w:t xml:space="preserve">GB 34330—2025</w:t>
            </w:r>
          </w:p>
        </w:tc>
        <w:tc>
          <w:tcPr>
            <w:tcW w:type="dxa" w:w="4039"/>
            <w:shd w:fill="FFFFFF"/>
          </w:tcPr>
          <w:p>
            <w:pPr>
              <w:keepNext w:val="0"/>
              <w:pageBreakBefore w:val="0"/>
              <w:spacing w:after="60" w:before="60" w:line="283" w:lineRule="auto"/>
              <w:jc w:val="left"/>
            </w:pPr>
            <w:r>
              <w:rPr>
                <w:rFonts w:ascii="Arial" w:hAnsi="Arial" w:eastAsia="宋体"/>
                <w:sz w:val="19"/>
              </w:rPr>
              <w:t xml:space="preserve">确定固废属性，核查利用产物和膜浓缩液管理条件</w:t>
            </w:r>
          </w:p>
        </w:tc>
        <w:tc>
          <w:tcPr>
            <w:tcW w:type="dxa" w:w="2565"/>
            <w:shd w:fill="FFFFFF"/>
          </w:tcPr>
          <w:p>
            <w:pPr>
              <w:keepNext w:val="0"/>
              <w:pageBreakBefore w:val="0"/>
              <w:spacing w:after="60" w:before="60" w:line="283" w:lineRule="auto"/>
              <w:jc w:val="left"/>
            </w:pPr>
            <w:r>
              <w:rPr>
                <w:rFonts w:ascii="Arial" w:hAnsi="Arial" w:eastAsia="宋体"/>
                <w:sz w:val="19"/>
              </w:rPr>
              <w:t xml:space="preserve">S09第6—8章、附录A.3 b）2）</w:t>
            </w:r>
          </w:p>
        </w:tc>
      </w:tr>
      <w:tr>
        <w:trPr>
          <w:cantSplit/>
        </w:trPr>
        <w:tc>
          <w:tcPr>
            <w:tcW w:type="dxa" w:w="3034"/>
            <w:shd w:fill="EAF2F9"/>
          </w:tcPr>
          <w:p>
            <w:pPr>
              <w:keepNext w:val="0"/>
              <w:pageBreakBefore w:val="0"/>
              <w:spacing w:after="60" w:before="60" w:line="283" w:lineRule="auto"/>
              <w:jc w:val="left"/>
            </w:pPr>
            <w:r>
              <w:rPr>
                <w:rFonts w:ascii="Arial" w:hAnsi="Arial" w:eastAsia="宋体"/>
                <w:sz w:val="19"/>
              </w:rPr>
              <w:t xml:space="preserve">GB 12523—2025</w:t>
            </w:r>
          </w:p>
        </w:tc>
        <w:tc>
          <w:tcPr>
            <w:tcW w:type="dxa" w:w="4039"/>
            <w:shd w:fill="EAF2F9"/>
          </w:tcPr>
          <w:p>
            <w:pPr>
              <w:keepNext w:val="0"/>
              <w:pageBreakBefore w:val="0"/>
              <w:spacing w:after="60" w:before="60" w:line="283" w:lineRule="auto"/>
              <w:jc w:val="left"/>
            </w:pPr>
            <w:r>
              <w:rPr>
                <w:rFonts w:ascii="Arial" w:hAnsi="Arial" w:eastAsia="宋体"/>
                <w:sz w:val="19"/>
              </w:rPr>
              <w:t xml:space="preserve">施工噪声限值、测点及评价；2026年1月1日替代2011版</w:t>
            </w:r>
          </w:p>
        </w:tc>
        <w:tc>
          <w:tcPr>
            <w:tcW w:type="dxa" w:w="2565"/>
            <w:shd w:fill="EAF2F9"/>
          </w:tcPr>
          <w:p>
            <w:pPr>
              <w:keepNext w:val="0"/>
              <w:pageBreakBefore w:val="0"/>
              <w:spacing w:after="60" w:before="60" w:line="283" w:lineRule="auto"/>
              <w:jc w:val="left"/>
            </w:pPr>
            <w:r>
              <w:rPr>
                <w:rFonts w:ascii="Arial" w:hAnsi="Arial" w:eastAsia="宋体"/>
                <w:sz w:val="19"/>
              </w:rPr>
              <w:t xml:space="preserve">S10第4章及表1</w:t>
            </w:r>
          </w:p>
        </w:tc>
      </w:tr>
      <w:tr>
        <w:trPr>
          <w:cantSplit/>
        </w:trPr>
        <w:tc>
          <w:tcPr>
            <w:tcW w:type="dxa" w:w="3034"/>
            <w:shd w:fill="FFFFFF"/>
          </w:tcPr>
          <w:p>
            <w:pPr>
              <w:keepNext w:val="0"/>
              <w:pageBreakBefore w:val="0"/>
              <w:spacing w:after="60" w:before="60" w:line="283" w:lineRule="auto"/>
              <w:jc w:val="left"/>
            </w:pPr>
            <w:r>
              <w:rPr>
                <w:rFonts w:ascii="Arial" w:hAnsi="Arial" w:eastAsia="宋体"/>
                <w:sz w:val="19"/>
              </w:rPr>
              <w:t xml:space="preserve">GB 36600—2018，HJ 25.1—2019至HJ 25.4—2019及HJ 25.5—2018</w:t>
            </w:r>
          </w:p>
        </w:tc>
        <w:tc>
          <w:tcPr>
            <w:tcW w:type="dxa" w:w="4039"/>
            <w:shd w:fill="FFFFFF"/>
          </w:tcPr>
          <w:p>
            <w:pPr>
              <w:keepNext w:val="0"/>
              <w:pageBreakBefore w:val="0"/>
              <w:spacing w:after="60" w:before="60" w:line="283" w:lineRule="auto"/>
              <w:jc w:val="left"/>
            </w:pPr>
            <w:r>
              <w:rPr>
                <w:rFonts w:ascii="Arial" w:hAnsi="Arial" w:eastAsia="宋体"/>
                <w:sz w:val="19"/>
              </w:rPr>
              <w:t xml:space="preserve">建设用地土壤调查、风险评估、修复与效果评估；不替代固废属性判断</w:t>
            </w:r>
          </w:p>
        </w:tc>
        <w:tc>
          <w:tcPr>
            <w:tcW w:type="dxa" w:w="2565"/>
            <w:shd w:fill="FFFFFF"/>
          </w:tcPr>
          <w:p>
            <w:pPr>
              <w:keepNext w:val="0"/>
              <w:pageBreakBefore w:val="0"/>
              <w:spacing w:after="60" w:before="60" w:line="283" w:lineRule="auto"/>
              <w:jc w:val="left"/>
            </w:pPr>
            <w:r>
              <w:rPr>
                <w:rFonts w:ascii="Arial" w:hAnsi="Arial" w:eastAsia="宋体"/>
                <w:sz w:val="19"/>
              </w:rPr>
              <w:t xml:space="preserve">S11—S13</w:t>
            </w:r>
          </w:p>
        </w:tc>
      </w:tr>
      <w:tr>
        <w:trPr>
          <w:cantSplit/>
        </w:trPr>
        <w:tc>
          <w:tcPr>
            <w:tcW w:type="dxa" w:w="3034"/>
            <w:shd w:fill="EAF2F9"/>
          </w:tcPr>
          <w:p>
            <w:pPr>
              <w:keepNext w:val="0"/>
              <w:pageBreakBefore w:val="0"/>
              <w:spacing w:after="60" w:before="60" w:line="283" w:lineRule="auto"/>
              <w:jc w:val="left"/>
            </w:pPr>
            <w:r>
              <w:rPr>
                <w:rFonts w:ascii="Arial" w:hAnsi="Arial" w:eastAsia="宋体"/>
                <w:sz w:val="19"/>
              </w:rPr>
              <w:t xml:space="preserve">固体废物综合治理行动计划，国发〔2025〕14号</w:t>
            </w:r>
          </w:p>
        </w:tc>
        <w:tc>
          <w:tcPr>
            <w:tcW w:type="dxa" w:w="4039"/>
            <w:shd w:fill="EAF2F9"/>
          </w:tcPr>
          <w:p>
            <w:pPr>
              <w:keepNext w:val="0"/>
              <w:pageBreakBefore w:val="0"/>
              <w:spacing w:after="60" w:before="60" w:line="283" w:lineRule="auto"/>
              <w:jc w:val="left"/>
            </w:pPr>
            <w:r>
              <w:rPr>
                <w:rFonts w:ascii="Arial" w:hAnsi="Arial" w:eastAsia="宋体"/>
                <w:sz w:val="19"/>
              </w:rPr>
              <w:t xml:space="preserve">隐患排查、“一场一策”、持续治理、合规资金支持及责任落实</w:t>
            </w:r>
          </w:p>
        </w:tc>
        <w:tc>
          <w:tcPr>
            <w:tcW w:type="dxa" w:w="2565"/>
            <w:shd w:fill="EAF2F9"/>
          </w:tcPr>
          <w:p>
            <w:pPr>
              <w:keepNext w:val="0"/>
              <w:pageBreakBefore w:val="0"/>
              <w:spacing w:after="60" w:before="60" w:line="283" w:lineRule="auto"/>
              <w:jc w:val="left"/>
            </w:pPr>
            <w:r>
              <w:rPr>
                <w:rFonts w:ascii="Arial" w:hAnsi="Arial" w:eastAsia="宋体"/>
                <w:sz w:val="19"/>
              </w:rPr>
              <w:t xml:space="preserve">S04（十三）、（二十三）、（二十五）</w:t>
            </w:r>
          </w:p>
        </w:tc>
      </w:tr>
      <w:tr>
        <w:trPr>
          <w:cantSplit/>
        </w:trPr>
        <w:tc>
          <w:tcPr>
            <w:tcW w:type="dxa" w:w="3034"/>
            <w:shd w:fill="FFFFFF"/>
          </w:tcPr>
          <w:p>
            <w:pPr>
              <w:keepNext w:val="0"/>
              <w:pageBreakBefore w:val="0"/>
              <w:spacing w:after="60" w:before="60" w:line="283" w:lineRule="auto"/>
              <w:jc w:val="left"/>
            </w:pPr>
            <w:r>
              <w:rPr>
                <w:rFonts w:ascii="Arial" w:hAnsi="Arial" w:eastAsia="宋体"/>
                <w:sz w:val="19"/>
              </w:rPr>
              <w:t xml:space="preserve">固体废物污染防治“十五五”规划，2026年</w:t>
            </w:r>
          </w:p>
        </w:tc>
        <w:tc>
          <w:tcPr>
            <w:tcW w:type="dxa" w:w="4039"/>
            <w:shd w:fill="FFFFFF"/>
          </w:tcPr>
          <w:p>
            <w:pPr>
              <w:keepNext w:val="0"/>
              <w:pageBreakBefore w:val="0"/>
              <w:spacing w:after="60" w:before="60" w:line="283" w:lineRule="auto"/>
              <w:jc w:val="left"/>
            </w:pPr>
            <w:r>
              <w:rPr>
                <w:rFonts w:ascii="Arial" w:hAnsi="Arial" w:eastAsia="宋体"/>
                <w:sz w:val="19"/>
              </w:rPr>
              <w:t xml:space="preserve">建立隐患台账、高风险场地综合治理，处理积存渗滤液、防止地下水扩散或加重</w:t>
            </w:r>
          </w:p>
        </w:tc>
        <w:tc>
          <w:tcPr>
            <w:tcW w:type="dxa" w:w="2565"/>
            <w:shd w:fill="FFFFFF"/>
          </w:tcPr>
          <w:p>
            <w:pPr>
              <w:keepNext w:val="0"/>
              <w:pageBreakBefore w:val="0"/>
              <w:spacing w:after="60" w:before="60" w:line="283" w:lineRule="auto"/>
              <w:jc w:val="left"/>
            </w:pPr>
            <w:r>
              <w:rPr>
                <w:rFonts w:ascii="Arial" w:hAnsi="Arial" w:eastAsia="宋体"/>
                <w:sz w:val="19"/>
              </w:rPr>
              <w:t xml:space="preserve">S05二（四）</w:t>
            </w:r>
          </w:p>
        </w:tc>
      </w:tr>
      <w:tr>
        <w:trPr>
          <w:cantSplit/>
        </w:trPr>
        <w:tc>
          <w:tcPr>
            <w:tcW w:type="dxa" w:w="3034"/>
            <w:shd w:fill="EAF2F9"/>
          </w:tcPr>
          <w:p>
            <w:pPr>
              <w:keepNext w:val="0"/>
              <w:pageBreakBefore w:val="0"/>
              <w:spacing w:after="60" w:before="60" w:line="283" w:lineRule="auto"/>
              <w:jc w:val="left"/>
            </w:pPr>
            <w:r>
              <w:rPr>
                <w:rFonts w:ascii="Arial" w:hAnsi="Arial" w:eastAsia="宋体"/>
                <w:sz w:val="19"/>
              </w:rPr>
              <w:t xml:space="preserve">污染地块修复与开发建设衔接指导意见，2026年</w:t>
            </w:r>
          </w:p>
        </w:tc>
        <w:tc>
          <w:tcPr>
            <w:tcW w:type="dxa" w:w="4039"/>
            <w:shd w:fill="EAF2F9"/>
          </w:tcPr>
          <w:p>
            <w:pPr>
              <w:keepNext w:val="0"/>
              <w:pageBreakBefore w:val="0"/>
              <w:spacing w:after="60" w:before="60" w:line="283" w:lineRule="auto"/>
              <w:jc w:val="left"/>
            </w:pPr>
            <w:r>
              <w:rPr>
                <w:rFonts w:ascii="Arial" w:hAnsi="Arial" w:eastAsia="宋体"/>
                <w:sz w:val="19"/>
              </w:rPr>
              <w:t xml:space="preserve">分区调查、程序衔接、修复方案与开发参数协调，严格限制重大安全隐患修复方式</w:t>
            </w:r>
          </w:p>
        </w:tc>
        <w:tc>
          <w:tcPr>
            <w:tcW w:type="dxa" w:w="2565"/>
            <w:shd w:fill="EAF2F9"/>
          </w:tcPr>
          <w:p>
            <w:pPr>
              <w:keepNext w:val="0"/>
              <w:pageBreakBefore w:val="0"/>
              <w:spacing w:after="60" w:before="60" w:line="283" w:lineRule="auto"/>
              <w:jc w:val="left"/>
            </w:pPr>
            <w:r>
              <w:rPr>
                <w:rFonts w:ascii="Arial" w:hAnsi="Arial" w:eastAsia="宋体"/>
                <w:sz w:val="19"/>
              </w:rPr>
              <w:t xml:space="preserve">S06二至五</w:t>
            </w:r>
          </w:p>
        </w:tc>
      </w:tr>
      <w:tr>
        <w:trPr>
          <w:cantSplit/>
        </w:trPr>
        <w:tc>
          <w:tcPr>
            <w:tcW w:type="dxa" w:w="3034"/>
            <w:shd w:fill="FFFFFF"/>
          </w:tcPr>
          <w:p>
            <w:pPr>
              <w:keepNext w:val="0"/>
              <w:pageBreakBefore w:val="0"/>
              <w:spacing w:after="60" w:before="60" w:line="283" w:lineRule="auto"/>
              <w:jc w:val="left"/>
            </w:pPr>
            <w:r>
              <w:rPr>
                <w:rFonts w:ascii="Arial" w:hAnsi="Arial" w:eastAsia="宋体"/>
                <w:sz w:val="19"/>
              </w:rPr>
              <w:t xml:space="preserve">开挖治理污染防治技术指南，2025年征求意见稿</w:t>
            </w:r>
          </w:p>
        </w:tc>
        <w:tc>
          <w:tcPr>
            <w:tcW w:type="dxa" w:w="4039"/>
            <w:shd w:fill="FFFFFF"/>
          </w:tcPr>
          <w:p>
            <w:pPr>
              <w:keepNext w:val="0"/>
              <w:pageBreakBefore w:val="0"/>
              <w:spacing w:after="60" w:before="60" w:line="283" w:lineRule="auto"/>
              <w:jc w:val="left"/>
            </w:pPr>
            <w:r>
              <w:rPr>
                <w:rFonts w:ascii="Arial" w:hAnsi="Arial" w:eastAsia="宋体"/>
                <w:sz w:val="19"/>
              </w:rPr>
              <w:t xml:space="preserve">调查、预处理、开挖、分选、产物去向、监测与应急技术参考</w:t>
            </w:r>
          </w:p>
        </w:tc>
        <w:tc>
          <w:tcPr>
            <w:tcW w:type="dxa" w:w="2565"/>
            <w:shd w:fill="FFFFFF"/>
          </w:tcPr>
          <w:p>
            <w:pPr>
              <w:keepNext w:val="0"/>
              <w:pageBreakBefore w:val="0"/>
              <w:spacing w:after="60" w:before="60" w:line="283" w:lineRule="auto"/>
              <w:jc w:val="left"/>
            </w:pPr>
            <w:r>
              <w:rPr>
                <w:rFonts w:ascii="Arial" w:hAnsi="Arial" w:eastAsia="宋体"/>
                <w:sz w:val="19"/>
              </w:rPr>
              <w:t xml:space="preserve">S03第4—8章；检索取得版本为征求意见稿</w:t>
            </w:r>
          </w:p>
        </w:tc>
      </w:tr>
    </w:tbl>
    <w:p>
      <w:pPr>
        <w:pStyle w:val="BodyText"/>
      </w:pPr>
      <w:r>
        <w:t xml:space="preserve">HJ 25标准组在本表中分别为HJ 25.1—2019、HJ 25.2—2019、HJ 25.3—2019、HJ 25.4—2019；HJ 25.5为2018版。其他工程设计、恶臭、颗粒物、焚烧和安全标准，在专项设计中按主管部门最新有效文本及相应许可要求落实。征求意见稿中的数值若被本方案采用，均作为拟采用的技术控制参考，不能表述为已生效的国家开挖强制条款。</w:t>
      </w:r>
    </w:p>
    <w:bookmarkEnd w:id="48"/>
    <w:bookmarkStart w:id="49" w:name="Xb3ad29f05759f8663e74d4a9db45b0df29ec0e2"/>
    <w:p>
      <w:pPr>
        <w:pStyle w:val="Heading3"/>
      </w:pPr>
      <w:r>
        <w:t xml:space="preserve">4.2 三项直接影响项目决策的要求</w:t>
      </w:r>
    </w:p>
    <w:p>
      <w:pPr>
        <w:pStyle w:val="FirstParagraph"/>
      </w:pPr>
      <w:r>
        <w:t xml:space="preserve">第一，封场后管理存在明确延续条件。GB 16889—2024第8.7条要求继续运行维护渗滤液收集和导排系统，继续处理填埋场产生的渗滤液和气体并定期监测，直到填埋场产生的渗滤液中水污染物浓度连续两年低于表2、表3限值。处理站产水达标不等于未经处理的填埋场渗滤液达到该终止条件，现有资料不足以支持停止后期治理。[S02]</w:t>
      </w:r>
    </w:p>
    <w:p>
      <w:pPr>
        <w:pStyle w:val="BodyText"/>
      </w:pPr>
      <w:r>
        <w:t xml:space="preserve">第二，国家2027年节点要求符合条件的停用填埋场完成封场治理。《行动计划》规定，2024年底前停用且无后续使用计划的填埋场，原则上到2027年全部完成封场治理。本场资料已经记载封场验收，当前重点是核实后期维护与隐患治理，不将该政策误读为全量开挖的统一截止日。“十五五”规划要求完成高风险生活垃圾填埋场综合治理，但本场是否属高风险须依据专项调查认定。[S04（十三）；S05二（四）]</w:t>
      </w:r>
    </w:p>
    <w:p>
      <w:pPr>
        <w:pStyle w:val="BodyText"/>
      </w:pPr>
      <w:r>
        <w:t xml:space="preserve">第三，垃圾清运、场地环境修复与开发利用是相互关联的不同任务。垃圾挖除以后仍需确认场底土壤和地下水风险；场地后续利用必须履行相应调查、评估、修复、效果评估与规划程序。大面积深基坑方案应特别核查安全风险，不能以尽快开发为由跳过污染诊断和修复效果评估。[S02第8.8条；S06；S12—S13]</w:t>
      </w:r>
    </w:p>
    <w:bookmarkEnd w:id="49"/>
    <w:bookmarkStart w:id="50" w:name="X3b8904339ec80b6caf7bd05aa251009c02a10af"/>
    <w:p>
      <w:pPr>
        <w:pStyle w:val="Heading3"/>
      </w:pPr>
      <w:r>
        <w:t xml:space="preserve">4.3 跨地区开挖治理实践</w:t>
      </w:r>
    </w:p>
    <w:p>
      <w:pPr>
        <w:pStyle w:val="FirstParagraph"/>
      </w:pPr>
      <w:r>
        <w:t xml:space="preserve">深圳市城市管理和综合执法局2023年5月24日发布的现场调研记录，明确调研组赴海南三亚、海口颜春岭和江西吉安泰和等填埋场，实地考察库区维护、配套设施运营及开挖作业现场，了解开挖筛分处置、工期管理、搬迁和生态修复问题。该记录证明跨地区存在实际开挖和筛分实践，但未公布各项目总投资、工程量、完成率和利润。[C01正文]</w:t>
      </w:r>
    </w:p>
    <w:tbl>
      <w:tblPr>
        <w:tblStyle w:val="Table"/>
        <w:tblW w:type="dxa" w:w="9638"/>
        <w:jc w:val="left"/>
        <w:tblLayout w:type="fixed"/>
        <w:tblLook w:firstRow="1" w:lastRow="0" w:firstColumn="0" w:lastColumn="0" w:noHBand="0" w:noVBand="0" w:val="0020"/>
      </w:tblPr>
      <w:tblGrid>
        <w:gridCol w:w="1501"/>
        <w:gridCol w:w="2962"/>
        <w:gridCol w:w="2506"/>
        <w:gridCol w:w="2668"/>
      </w:tblGrid>
      <w:tr>
        <w:trPr>
          <w:tblHeader w:val="on"/>
          <w:cantSplit/>
          <w:tblHeader w:val="true"/>
        </w:trPr>
        <w:tc>
          <w:tcPr>
            <w:tcW w:type="dxa" w:w="1501"/>
            <w:shd w:fill="174775"/>
          </w:tcPr>
          <w:p>
            <w:pPr>
              <w:keepNext w:val="0"/>
              <w:pageBreakBefore w:val="0"/>
              <w:spacing w:after="60" w:before="60" w:line="283" w:lineRule="auto"/>
              <w:jc w:val="left"/>
            </w:pPr>
            <w:r>
              <w:rPr>
                <w:rFonts w:ascii="Arial" w:hAnsi="Arial" w:eastAsia="宋体"/>
                <w:b/>
                <w:color w:val="FFFFFF"/>
                <w:sz w:val="19"/>
              </w:rPr>
              <w:t xml:space="preserve">地区与案例</w:t>
            </w:r>
          </w:p>
        </w:tc>
        <w:tc>
          <w:tcPr>
            <w:tcW w:type="dxa" w:w="2962"/>
            <w:shd w:fill="174775"/>
          </w:tcPr>
          <w:p>
            <w:pPr>
              <w:keepNext w:val="0"/>
              <w:pageBreakBefore w:val="0"/>
              <w:spacing w:after="60" w:before="60" w:line="283" w:lineRule="auto"/>
              <w:jc w:val="left"/>
            </w:pPr>
            <w:r>
              <w:rPr>
                <w:rFonts w:ascii="Arial" w:hAnsi="Arial" w:eastAsia="宋体"/>
                <w:b/>
                <w:color w:val="FFFFFF"/>
                <w:sz w:val="19"/>
              </w:rPr>
              <w:t xml:space="preserve">官方资料直接确认的事实</w:t>
            </w:r>
          </w:p>
        </w:tc>
        <w:tc>
          <w:tcPr>
            <w:tcW w:type="dxa" w:w="2506"/>
            <w:shd w:fill="174775"/>
          </w:tcPr>
          <w:p>
            <w:pPr>
              <w:keepNext w:val="0"/>
              <w:pageBreakBefore w:val="0"/>
              <w:spacing w:after="60" w:before="60" w:line="283" w:lineRule="auto"/>
              <w:jc w:val="left"/>
            </w:pPr>
            <w:r>
              <w:rPr>
                <w:rFonts w:ascii="Arial" w:hAnsi="Arial" w:eastAsia="宋体"/>
                <w:b/>
                <w:color w:val="FFFFFF"/>
                <w:sz w:val="19"/>
              </w:rPr>
              <w:t xml:space="preserve">本项目采用的经验</w:t>
            </w:r>
          </w:p>
        </w:tc>
        <w:tc>
          <w:tcPr>
            <w:tcW w:type="dxa" w:w="2668"/>
            <w:shd w:fill="174775"/>
          </w:tcPr>
          <w:p>
            <w:pPr>
              <w:keepNext w:val="0"/>
              <w:pageBreakBefore w:val="0"/>
              <w:spacing w:after="60" w:before="60" w:line="283" w:lineRule="auto"/>
              <w:jc w:val="left"/>
            </w:pPr>
            <w:r>
              <w:rPr>
                <w:rFonts w:ascii="Arial" w:hAnsi="Arial" w:eastAsia="宋体"/>
                <w:b/>
                <w:color w:val="FFFFFF"/>
                <w:sz w:val="19"/>
              </w:rPr>
              <w:t xml:space="preserve">证据适用边界</w:t>
            </w:r>
          </w:p>
        </w:tc>
      </w:tr>
      <w:tr>
        <w:trPr>
          <w:cantSplit/>
        </w:trPr>
        <w:tc>
          <w:tcPr>
            <w:tcW w:type="dxa" w:w="1501"/>
            <w:shd w:fill="FFFFFF"/>
          </w:tcPr>
          <w:p>
            <w:pPr>
              <w:keepNext w:val="0"/>
              <w:pageBreakBefore w:val="0"/>
              <w:spacing w:after="60" w:before="60" w:line="283" w:lineRule="auto"/>
              <w:jc w:val="left"/>
            </w:pPr>
            <w:r>
              <w:rPr>
                <w:rFonts w:ascii="Arial" w:hAnsi="Arial" w:eastAsia="宋体"/>
                <w:sz w:val="19"/>
              </w:rPr>
              <w:t xml:space="preserve">海南三亚填埋场调研对象</w:t>
            </w:r>
          </w:p>
        </w:tc>
        <w:tc>
          <w:tcPr>
            <w:tcW w:type="dxa" w:w="2962"/>
            <w:shd w:fill="FFFFFF"/>
          </w:tcPr>
          <w:p>
            <w:pPr>
              <w:keepNext w:val="0"/>
              <w:pageBreakBefore w:val="0"/>
              <w:spacing w:after="60" w:before="60" w:line="283" w:lineRule="auto"/>
              <w:jc w:val="left"/>
            </w:pPr>
            <w:r>
              <w:rPr>
                <w:rFonts w:ascii="Arial" w:hAnsi="Arial" w:eastAsia="宋体"/>
                <w:sz w:val="19"/>
              </w:rPr>
              <w:t xml:space="preserve">官方记录包括三亚现场开挖、配套设施和筛分处置流程考察</w:t>
            </w:r>
          </w:p>
        </w:tc>
        <w:tc>
          <w:tcPr>
            <w:tcW w:type="dxa" w:w="2506"/>
            <w:shd w:fill="FFFFFF"/>
          </w:tcPr>
          <w:p>
            <w:pPr>
              <w:keepNext w:val="0"/>
              <w:pageBreakBefore w:val="0"/>
              <w:spacing w:after="60" w:before="60" w:line="283" w:lineRule="auto"/>
              <w:jc w:val="left"/>
            </w:pPr>
            <w:r>
              <w:rPr>
                <w:rFonts w:ascii="Arial" w:hAnsi="Arial" w:eastAsia="宋体"/>
                <w:sz w:val="19"/>
              </w:rPr>
              <w:t xml:space="preserve">把原场维护、处理设施与开挖同时纳入组织计划</w:t>
            </w:r>
          </w:p>
        </w:tc>
        <w:tc>
          <w:tcPr>
            <w:tcW w:type="dxa" w:w="2668"/>
            <w:shd w:fill="FFFFFF"/>
          </w:tcPr>
          <w:p>
            <w:pPr>
              <w:keepNext w:val="0"/>
              <w:pageBreakBefore w:val="0"/>
              <w:spacing w:after="60" w:before="60" w:line="283" w:lineRule="auto"/>
              <w:jc w:val="left"/>
            </w:pPr>
            <w:r>
              <w:rPr>
                <w:rFonts w:ascii="Arial" w:hAnsi="Arial" w:eastAsia="宋体"/>
                <w:sz w:val="19"/>
              </w:rPr>
              <w:t xml:space="preserve">记录未列具体场名、规模和治理完成情况，不扩展为特定未核实项目</w:t>
            </w:r>
          </w:p>
        </w:tc>
      </w:tr>
      <w:tr>
        <w:trPr>
          <w:cantSplit/>
        </w:trPr>
        <w:tc>
          <w:tcPr>
            <w:tcW w:type="dxa" w:w="1501"/>
            <w:shd w:fill="EAF2F9"/>
          </w:tcPr>
          <w:p>
            <w:pPr>
              <w:keepNext w:val="0"/>
              <w:pageBreakBefore w:val="0"/>
              <w:spacing w:after="60" w:before="60" w:line="283" w:lineRule="auto"/>
              <w:jc w:val="left"/>
            </w:pPr>
            <w:r>
              <w:rPr>
                <w:rFonts w:ascii="Arial" w:hAnsi="Arial" w:eastAsia="宋体"/>
                <w:sz w:val="19"/>
              </w:rPr>
              <w:t xml:space="preserve">海南海口颜春岭</w:t>
            </w:r>
          </w:p>
        </w:tc>
        <w:tc>
          <w:tcPr>
            <w:tcW w:type="dxa" w:w="2962"/>
            <w:shd w:fill="EAF2F9"/>
          </w:tcPr>
          <w:p>
            <w:pPr>
              <w:keepNext w:val="0"/>
              <w:pageBreakBefore w:val="0"/>
              <w:spacing w:after="60" w:before="60" w:line="283" w:lineRule="auto"/>
              <w:jc w:val="left"/>
            </w:pPr>
            <w:r>
              <w:rPr>
                <w:rFonts w:ascii="Arial" w:hAnsi="Arial" w:eastAsia="宋体"/>
                <w:sz w:val="19"/>
              </w:rPr>
              <w:t xml:space="preserve">官方现场调研明确点名；考察开挖作业及搬迁修复相关问题</w:t>
            </w:r>
          </w:p>
        </w:tc>
        <w:tc>
          <w:tcPr>
            <w:tcW w:type="dxa" w:w="2506"/>
            <w:shd w:fill="EAF2F9"/>
          </w:tcPr>
          <w:p>
            <w:pPr>
              <w:keepNext w:val="0"/>
              <w:pageBreakBefore w:val="0"/>
              <w:spacing w:after="60" w:before="60" w:line="283" w:lineRule="auto"/>
              <w:jc w:val="left"/>
            </w:pPr>
            <w:r>
              <w:rPr>
                <w:rFonts w:ascii="Arial" w:hAnsi="Arial" w:eastAsia="宋体"/>
                <w:sz w:val="19"/>
              </w:rPr>
              <w:t xml:space="preserve">开挖前落实接收设施和工期衔接，保留处理能力</w:t>
            </w:r>
          </w:p>
        </w:tc>
        <w:tc>
          <w:tcPr>
            <w:tcW w:type="dxa" w:w="2668"/>
            <w:shd w:fill="EAF2F9"/>
          </w:tcPr>
          <w:p>
            <w:pPr>
              <w:keepNext w:val="0"/>
              <w:pageBreakBefore w:val="0"/>
              <w:spacing w:after="60" w:before="60" w:line="283" w:lineRule="auto"/>
              <w:jc w:val="left"/>
            </w:pPr>
            <w:r>
              <w:rPr>
                <w:rFonts w:ascii="Arial" w:hAnsi="Arial" w:eastAsia="宋体"/>
                <w:sz w:val="19"/>
              </w:rPr>
              <w:t xml:space="preserve">未披露投资、工程量和经济回收数据，不作为单价标杆</w:t>
            </w:r>
          </w:p>
        </w:tc>
      </w:tr>
      <w:tr>
        <w:trPr>
          <w:cantSplit/>
        </w:trPr>
        <w:tc>
          <w:tcPr>
            <w:tcW w:type="dxa" w:w="1501"/>
            <w:shd w:fill="FFFFFF"/>
          </w:tcPr>
          <w:p>
            <w:pPr>
              <w:keepNext w:val="0"/>
              <w:pageBreakBefore w:val="0"/>
              <w:spacing w:after="60" w:before="60" w:line="283" w:lineRule="auto"/>
              <w:jc w:val="left"/>
            </w:pPr>
            <w:r>
              <w:rPr>
                <w:rFonts w:ascii="Arial" w:hAnsi="Arial" w:eastAsia="宋体"/>
                <w:sz w:val="19"/>
              </w:rPr>
              <w:t xml:space="preserve">江西吉安泰和</w:t>
            </w:r>
          </w:p>
        </w:tc>
        <w:tc>
          <w:tcPr>
            <w:tcW w:type="dxa" w:w="2962"/>
            <w:shd w:fill="FFFFFF"/>
          </w:tcPr>
          <w:p>
            <w:pPr>
              <w:keepNext w:val="0"/>
              <w:pageBreakBefore w:val="0"/>
              <w:spacing w:after="60" w:before="60" w:line="283" w:lineRule="auto"/>
              <w:jc w:val="left"/>
            </w:pPr>
            <w:r>
              <w:rPr>
                <w:rFonts w:ascii="Arial" w:hAnsi="Arial" w:eastAsia="宋体"/>
                <w:sz w:val="19"/>
              </w:rPr>
              <w:t xml:space="preserve">官方调研明确地点，涉及开挖筛分及生态修复问题</w:t>
            </w:r>
          </w:p>
        </w:tc>
        <w:tc>
          <w:tcPr>
            <w:tcW w:type="dxa" w:w="2506"/>
            <w:shd w:fill="FFFFFF"/>
          </w:tcPr>
          <w:p>
            <w:pPr>
              <w:keepNext w:val="0"/>
              <w:pageBreakBefore w:val="0"/>
              <w:spacing w:after="60" w:before="60" w:line="283" w:lineRule="auto"/>
              <w:jc w:val="left"/>
            </w:pPr>
            <w:r>
              <w:rPr>
                <w:rFonts w:ascii="Arial" w:hAnsi="Arial" w:eastAsia="宋体"/>
                <w:sz w:val="19"/>
              </w:rPr>
              <w:t xml:space="preserve">按地形、场底和末端条件分区，记录作业问题和纠偏</w:t>
            </w:r>
          </w:p>
        </w:tc>
        <w:tc>
          <w:tcPr>
            <w:tcW w:type="dxa" w:w="2668"/>
            <w:shd w:fill="FFFFFF"/>
          </w:tcPr>
          <w:p>
            <w:pPr>
              <w:keepNext w:val="0"/>
              <w:pageBreakBefore w:val="0"/>
              <w:spacing w:after="60" w:before="60" w:line="283" w:lineRule="auto"/>
              <w:jc w:val="left"/>
            </w:pPr>
            <w:r>
              <w:rPr>
                <w:rFonts w:ascii="Arial" w:hAnsi="Arial" w:eastAsia="宋体"/>
                <w:sz w:val="19"/>
              </w:rPr>
              <w:t xml:space="preserve">不据调研记录声称已竣工或达到某种收益</w:t>
            </w:r>
          </w:p>
        </w:tc>
      </w:tr>
      <w:tr>
        <w:trPr>
          <w:cantSplit/>
        </w:trPr>
        <w:tc>
          <w:tcPr>
            <w:tcW w:type="dxa" w:w="1501"/>
            <w:shd w:fill="EAF2F9"/>
          </w:tcPr>
          <w:p>
            <w:pPr>
              <w:keepNext w:val="0"/>
              <w:pageBreakBefore w:val="0"/>
              <w:spacing w:after="60" w:before="60" w:line="283" w:lineRule="auto"/>
              <w:jc w:val="left"/>
            </w:pPr>
            <w:r>
              <w:rPr>
                <w:rFonts w:ascii="Arial" w:hAnsi="Arial" w:eastAsia="宋体"/>
                <w:sz w:val="19"/>
              </w:rPr>
              <w:t xml:space="preserve">北京阿苏卫园区</w:t>
            </w:r>
          </w:p>
        </w:tc>
        <w:tc>
          <w:tcPr>
            <w:tcW w:type="dxa" w:w="2962"/>
            <w:shd w:fill="EAF2F9"/>
          </w:tcPr>
          <w:p>
            <w:pPr>
              <w:keepNext w:val="0"/>
              <w:pageBreakBefore w:val="0"/>
              <w:spacing w:after="60" w:before="60" w:line="283" w:lineRule="auto"/>
              <w:jc w:val="left"/>
            </w:pPr>
            <w:r>
              <w:rPr>
                <w:rFonts w:ascii="Arial" w:hAnsi="Arial" w:eastAsia="宋体"/>
                <w:sz w:val="19"/>
              </w:rPr>
              <w:t xml:space="preserve">官方开放资料列陈腐筛分3000吨/日、焚烧3000吨/日、渗滤液850吨/日的设施配置</w:t>
            </w:r>
          </w:p>
        </w:tc>
        <w:tc>
          <w:tcPr>
            <w:tcW w:type="dxa" w:w="2506"/>
            <w:shd w:fill="EAF2F9"/>
          </w:tcPr>
          <w:p>
            <w:pPr>
              <w:keepNext w:val="0"/>
              <w:pageBreakBefore w:val="0"/>
              <w:spacing w:after="60" w:before="60" w:line="283" w:lineRule="auto"/>
              <w:jc w:val="left"/>
            </w:pPr>
            <w:r>
              <w:rPr>
                <w:rFonts w:ascii="Arial" w:hAnsi="Arial" w:eastAsia="宋体"/>
                <w:sz w:val="19"/>
              </w:rPr>
              <w:t xml:space="preserve">固体去向与水处理配套，不能只有筛分线而无最终接收能力</w:t>
            </w:r>
          </w:p>
        </w:tc>
        <w:tc>
          <w:tcPr>
            <w:tcW w:type="dxa" w:w="2668"/>
            <w:shd w:fill="EAF2F9"/>
          </w:tcPr>
          <w:p>
            <w:pPr>
              <w:keepNext w:val="0"/>
              <w:pageBreakBefore w:val="0"/>
              <w:spacing w:after="60" w:before="60" w:line="283" w:lineRule="auto"/>
              <w:jc w:val="left"/>
            </w:pPr>
            <w:r>
              <w:rPr>
                <w:rFonts w:ascii="Arial" w:hAnsi="Arial" w:eastAsia="宋体"/>
                <w:sz w:val="19"/>
              </w:rPr>
              <w:t xml:space="preserve">数据属于配置规模，不是实际年处理量、垃圾清除完成量或本场处理率</w:t>
            </w:r>
          </w:p>
        </w:tc>
      </w:tr>
    </w:tbl>
    <w:p>
      <w:pPr>
        <w:pStyle w:val="BodyText"/>
      </w:pPr>
      <w:r>
        <w:t xml:space="preserve">案例来源：前三项C01，第四项C02。不同设施的设计规模不构成物料收支比例，不能用850÷3000作为本场产水系数。</w:t>
      </w:r>
    </w:p>
    <w:bookmarkEnd w:id="50"/>
    <w:bookmarkStart w:id="51" w:name="X7bdee52b79871abc1b80200cbdb2f60c0aa9d4d"/>
    <w:p>
      <w:pPr>
        <w:pStyle w:val="Heading3"/>
      </w:pPr>
      <w:r>
        <w:t xml:space="preserve">4.4 广东浓缩液技术与地方监管实践</w:t>
      </w:r>
    </w:p>
    <w:p>
      <w:pPr>
        <w:pStyle w:val="FirstParagraph"/>
      </w:pPr>
      <w:r>
        <w:t xml:space="preserve">深圳市城管部门2026年3月19日公开信息确认，广东省住建厅科技项目《垃圾填埋场渗滤液膜浓液处理技术研究》于3月12日通过科研验收，组合技术为“高效物化沉淀＋强化生化处理＋PS高级氧化”。本项目可将该技术作为浓缩液处理比选和针对本场水质的中试候选；科研中试验收不等于在本场全规模连续达标、成本确定或可直接替换DTRO。[C03]</w:t>
      </w:r>
    </w:p>
    <w:p>
      <w:pPr>
        <w:pStyle w:val="BodyText"/>
      </w:pPr>
      <w:r>
        <w:t xml:space="preserve">深圳2024年鸭湖填埋场地下水检查信息同时开展地方维护、搬迁规范宣贯，确认当地《已封场生活垃圾填埋场维护规范》《生活垃圾填埋场搬迁技术规范》于2024年7月1日生效。这说明封场维护、地下水监测与搬迁监管具有衔接实践。本项目依法执行广东、东莞实际适用文件，不直接将深圳地方规范作为本镇强制性规定。[C04]</w:t>
      </w:r>
    </w:p>
    <w:bookmarkEnd w:id="51"/>
    <w:bookmarkStart w:id="52" w:name="X2bb3b5edd63a7d8b35ab6939d49c890b9974df4"/>
    <w:p>
      <w:pPr>
        <w:pStyle w:val="Heading3"/>
      </w:pPr>
      <w:r>
        <w:t xml:space="preserve">4.5 末端出口不足导致治理失效的监管案例</w:t>
      </w:r>
    </w:p>
    <w:p>
      <w:pPr>
        <w:pStyle w:val="FirstParagraph"/>
      </w:pPr>
      <w:r>
        <w:t xml:space="preserve">生态环境部2019年5月15日公开营口市生活垃圾污染问题督察信息，指出最终无害化处置“出口”不足，所依托筛分—发酵设施长期无法正常运行，生活垃圾多处周转。该案例属于监管反面案例，不能作为成功清挖竣工或成本标杆；其直接启示是筛分和转运本身不能完成污染治理，必须具备真实、持续、合规的最终接收能力。[C05存在问题部分]</w:t>
      </w:r>
    </w:p>
    <w:p>
      <w:pPr>
        <w:pStyle w:val="BodyText"/>
      </w:pPr>
      <w:r>
        <w:t xml:space="preserve">乙方将接收厂质量要求、批准范围、可接收日量、计划停机、拒收和备用路线作为工程放大条件。案例资料中未公布且未取得原件的投资、利润与竣工效果不进入本场投资或收益测算。北京配置规模不作为本场产水系数、筛分产能或固定工期。[C01—C02；C05；S03第6.3.1条]</w:t>
      </w:r>
    </w:p>
    <w:bookmarkEnd w:id="52"/>
    <w:bookmarkEnd w:id="53"/>
    <w:bookmarkStart w:id="79" w:name="X0a2c35073a82cc7be579f123732ffe47d0caef6"/>
    <w:p>
      <w:pPr>
        <w:pStyle w:val="Heading2"/>
        <w:pageBreakBefore/>
      </w:pPr>
      <w:r>
        <w:t xml:space="preserve">5 开挖综合治理具体实施方案</w:t>
      </w:r>
    </w:p>
    <w:bookmarkStart w:id="54" w:name="X9e64ca932cb4552acead059d7befe35388a76b4"/>
    <w:p>
      <w:pPr>
        <w:pStyle w:val="Heading3"/>
      </w:pPr>
      <w:r>
        <w:t xml:space="preserve">5.1 工程范围、控制目标与甲乙方接口</w:t>
      </w:r>
    </w:p>
    <w:p>
      <w:pPr>
        <w:pStyle w:val="FirstParagraph"/>
      </w:pPr>
      <w:r>
        <w:t xml:space="preserve">拟实施范围为经调查确定的垃圾堆体、现有及新增水气处理设施、分选与暂存、场内及外部运输，以及需修复的场底土壤和地下水。工程边界、临时用地和可利用面积由权属、测绘、调查及依法批准的文件共同确定。所有分区按“控制设施可用、稳定气液条件具备、产物去向落实、资金和必要程序齐备”进入开挖，实行单元检查、停工纠偏与复核制度。[S01—S03；S06]</w:t>
      </w:r>
    </w:p>
    <w:tbl>
      <w:tblPr>
        <w:tblStyle w:val="Table"/>
        <w:tblW w:type="dxa" w:w="9638"/>
        <w:jc w:val="left"/>
        <w:tblLayout w:type="fixed"/>
        <w:tblLook w:firstRow="1" w:lastRow="0" w:firstColumn="0" w:lastColumn="0" w:noHBand="0" w:noVBand="0" w:val="0020"/>
      </w:tblPr>
      <w:tblGrid>
        <w:gridCol w:w="1909"/>
        <w:gridCol w:w="2445"/>
        <w:gridCol w:w="2700"/>
        <w:gridCol w:w="2584"/>
      </w:tblGrid>
      <w:tr>
        <w:trPr>
          <w:tblHeader w:val="on"/>
          <w:cantSplit/>
          <w:tblHeader w:val="true"/>
        </w:trPr>
        <w:tc>
          <w:tcPr>
            <w:tcW w:type="dxa" w:w="1909"/>
            <w:shd w:fill="174775"/>
          </w:tcPr>
          <w:p>
            <w:pPr>
              <w:keepNext w:val="0"/>
              <w:pageBreakBefore w:val="0"/>
              <w:spacing w:after="60" w:before="60" w:line="283" w:lineRule="auto"/>
              <w:jc w:val="left"/>
            </w:pPr>
            <w:r>
              <w:rPr>
                <w:rFonts w:ascii="Arial" w:hAnsi="Arial" w:eastAsia="宋体"/>
                <w:b/>
                <w:color w:val="FFFFFF"/>
                <w:sz w:val="19"/>
              </w:rPr>
              <w:t xml:space="preserve">管理接口</w:t>
            </w:r>
          </w:p>
        </w:tc>
        <w:tc>
          <w:tcPr>
            <w:tcW w:type="dxa" w:w="2445"/>
            <w:shd w:fill="174775"/>
          </w:tcPr>
          <w:p>
            <w:pPr>
              <w:keepNext w:val="0"/>
              <w:pageBreakBefore w:val="0"/>
              <w:spacing w:after="60" w:before="60" w:line="283" w:lineRule="auto"/>
              <w:jc w:val="left"/>
            </w:pPr>
            <w:r>
              <w:rPr>
                <w:rFonts w:ascii="Arial" w:hAnsi="Arial" w:eastAsia="宋体"/>
                <w:b/>
                <w:color w:val="FFFFFF"/>
                <w:sz w:val="19"/>
              </w:rPr>
              <w:t xml:space="preserve">甲方或项目业主</w:t>
            </w:r>
          </w:p>
        </w:tc>
        <w:tc>
          <w:tcPr>
            <w:tcW w:type="dxa" w:w="2700"/>
            <w:shd w:fill="174775"/>
          </w:tcPr>
          <w:p>
            <w:pPr>
              <w:keepNext w:val="0"/>
              <w:pageBreakBefore w:val="0"/>
              <w:spacing w:after="60" w:before="60" w:line="283" w:lineRule="auto"/>
              <w:jc w:val="left"/>
            </w:pPr>
            <w:r>
              <w:rPr>
                <w:rFonts w:ascii="Arial" w:hAnsi="Arial" w:eastAsia="宋体"/>
                <w:b/>
                <w:color w:val="FFFFFF"/>
                <w:sz w:val="19"/>
              </w:rPr>
              <w:t xml:space="preserve">乙方技术及实施团队</w:t>
            </w:r>
          </w:p>
        </w:tc>
        <w:tc>
          <w:tcPr>
            <w:tcW w:type="dxa" w:w="2584"/>
            <w:shd w:fill="174775"/>
          </w:tcPr>
          <w:p>
            <w:pPr>
              <w:keepNext w:val="0"/>
              <w:pageBreakBefore w:val="0"/>
              <w:spacing w:after="60" w:before="60" w:line="283" w:lineRule="auto"/>
              <w:jc w:val="left"/>
            </w:pPr>
            <w:r>
              <w:rPr>
                <w:rFonts w:ascii="Arial" w:hAnsi="Arial" w:eastAsia="宋体"/>
                <w:b/>
                <w:color w:val="FFFFFF"/>
                <w:sz w:val="19"/>
              </w:rPr>
              <w:t xml:space="preserve">形成的交付成果</w:t>
            </w:r>
          </w:p>
        </w:tc>
      </w:tr>
      <w:tr>
        <w:trPr>
          <w:cantSplit/>
        </w:trPr>
        <w:tc>
          <w:tcPr>
            <w:tcW w:type="dxa" w:w="1909"/>
            <w:shd w:fill="FFFFFF"/>
          </w:tcPr>
          <w:p>
            <w:pPr>
              <w:keepNext w:val="0"/>
              <w:pageBreakBefore w:val="0"/>
              <w:spacing w:after="60" w:before="60" w:line="283" w:lineRule="auto"/>
              <w:jc w:val="left"/>
            </w:pPr>
            <w:r>
              <w:rPr>
                <w:rFonts w:ascii="Arial" w:hAnsi="Arial" w:eastAsia="宋体"/>
                <w:sz w:val="19"/>
              </w:rPr>
              <w:t xml:space="preserve">目标与范围</w:t>
            </w:r>
          </w:p>
        </w:tc>
        <w:tc>
          <w:tcPr>
            <w:tcW w:type="dxa" w:w="2445"/>
            <w:shd w:fill="FFFFFF"/>
          </w:tcPr>
          <w:p>
            <w:pPr>
              <w:keepNext w:val="0"/>
              <w:pageBreakBefore w:val="0"/>
              <w:spacing w:after="60" w:before="60" w:line="283" w:lineRule="auto"/>
              <w:jc w:val="left"/>
            </w:pPr>
            <w:r>
              <w:rPr>
                <w:rFonts w:ascii="Arial" w:hAnsi="Arial" w:eastAsia="宋体"/>
                <w:sz w:val="19"/>
              </w:rPr>
              <w:t xml:space="preserve">确定委托范围、权属和项目目标</w:t>
            </w:r>
          </w:p>
        </w:tc>
        <w:tc>
          <w:tcPr>
            <w:tcW w:type="dxa" w:w="2700"/>
            <w:shd w:fill="FFFFFF"/>
          </w:tcPr>
          <w:p>
            <w:pPr>
              <w:keepNext w:val="0"/>
              <w:pageBreakBefore w:val="0"/>
              <w:spacing w:after="60" w:before="60" w:line="283" w:lineRule="auto"/>
              <w:jc w:val="left"/>
            </w:pPr>
            <w:r>
              <w:rPr>
                <w:rFonts w:ascii="Arial" w:hAnsi="Arial" w:eastAsia="宋体"/>
                <w:sz w:val="19"/>
              </w:rPr>
              <w:t xml:space="preserve">调查、风险及工程边界论证</w:t>
            </w:r>
          </w:p>
        </w:tc>
        <w:tc>
          <w:tcPr>
            <w:tcW w:type="dxa" w:w="2584"/>
            <w:shd w:fill="FFFFFF"/>
          </w:tcPr>
          <w:p>
            <w:pPr>
              <w:keepNext w:val="0"/>
              <w:pageBreakBefore w:val="0"/>
              <w:spacing w:after="60" w:before="60" w:line="283" w:lineRule="auto"/>
              <w:jc w:val="left"/>
            </w:pPr>
            <w:r>
              <w:rPr>
                <w:rFonts w:ascii="Arial" w:hAnsi="Arial" w:eastAsia="宋体"/>
                <w:sz w:val="19"/>
              </w:rPr>
              <w:t xml:space="preserve">现状总图、治理分区、目标与范围建议</w:t>
            </w:r>
          </w:p>
        </w:tc>
      </w:tr>
      <w:tr>
        <w:trPr>
          <w:cantSplit/>
        </w:trPr>
        <w:tc>
          <w:tcPr>
            <w:tcW w:type="dxa" w:w="1909"/>
            <w:shd w:fill="EAF2F9"/>
          </w:tcPr>
          <w:p>
            <w:pPr>
              <w:keepNext w:val="0"/>
              <w:pageBreakBefore w:val="0"/>
              <w:spacing w:after="60" w:before="60" w:line="283" w:lineRule="auto"/>
              <w:jc w:val="left"/>
            </w:pPr>
            <w:r>
              <w:rPr>
                <w:rFonts w:ascii="Arial" w:hAnsi="Arial" w:eastAsia="宋体"/>
                <w:sz w:val="19"/>
              </w:rPr>
              <w:t xml:space="preserve">审批与资金</w:t>
            </w:r>
          </w:p>
        </w:tc>
        <w:tc>
          <w:tcPr>
            <w:tcW w:type="dxa" w:w="2445"/>
            <w:shd w:fill="EAF2F9"/>
          </w:tcPr>
          <w:p>
            <w:pPr>
              <w:keepNext w:val="0"/>
              <w:pageBreakBefore w:val="0"/>
              <w:spacing w:after="60" w:before="60" w:line="283" w:lineRule="auto"/>
              <w:jc w:val="left"/>
            </w:pPr>
            <w:r>
              <w:rPr>
                <w:rFonts w:ascii="Arial" w:hAnsi="Arial" w:eastAsia="宋体"/>
                <w:sz w:val="19"/>
              </w:rPr>
              <w:t xml:space="preserve">依法组织审批、资金安排和对外合同</w:t>
            </w:r>
          </w:p>
        </w:tc>
        <w:tc>
          <w:tcPr>
            <w:tcW w:type="dxa" w:w="2700"/>
            <w:shd w:fill="EAF2F9"/>
          </w:tcPr>
          <w:p>
            <w:pPr>
              <w:keepNext w:val="0"/>
              <w:pageBreakBefore w:val="0"/>
              <w:spacing w:after="60" w:before="60" w:line="283" w:lineRule="auto"/>
              <w:jc w:val="left"/>
            </w:pPr>
            <w:r>
              <w:rPr>
                <w:rFonts w:ascii="Arial" w:hAnsi="Arial" w:eastAsia="宋体"/>
                <w:sz w:val="19"/>
              </w:rPr>
              <w:t xml:space="preserve">提供技术资料、设计接口、工程量及测算</w:t>
            </w:r>
          </w:p>
        </w:tc>
        <w:tc>
          <w:tcPr>
            <w:tcW w:type="dxa" w:w="2584"/>
            <w:shd w:fill="EAF2F9"/>
          </w:tcPr>
          <w:p>
            <w:pPr>
              <w:keepNext w:val="0"/>
              <w:pageBreakBefore w:val="0"/>
              <w:spacing w:after="60" w:before="60" w:line="283" w:lineRule="auto"/>
              <w:jc w:val="left"/>
            </w:pPr>
            <w:r>
              <w:rPr>
                <w:rFonts w:ascii="Arial" w:hAnsi="Arial" w:eastAsia="宋体"/>
                <w:sz w:val="19"/>
              </w:rPr>
              <w:t xml:space="preserve">适用程序清单、可研与专项、概算输入</w:t>
            </w:r>
          </w:p>
        </w:tc>
      </w:tr>
      <w:tr>
        <w:trPr>
          <w:cantSplit/>
        </w:trPr>
        <w:tc>
          <w:tcPr>
            <w:tcW w:type="dxa" w:w="1909"/>
            <w:shd w:fill="FFFFFF"/>
          </w:tcPr>
          <w:p>
            <w:pPr>
              <w:keepNext w:val="0"/>
              <w:pageBreakBefore w:val="0"/>
              <w:spacing w:after="60" w:before="60" w:line="283" w:lineRule="auto"/>
              <w:jc w:val="left"/>
            </w:pPr>
            <w:r>
              <w:rPr>
                <w:rFonts w:ascii="Arial" w:hAnsi="Arial" w:eastAsia="宋体"/>
                <w:sz w:val="19"/>
              </w:rPr>
              <w:t xml:space="preserve">处理和末端</w:t>
            </w:r>
          </w:p>
        </w:tc>
        <w:tc>
          <w:tcPr>
            <w:tcW w:type="dxa" w:w="2445"/>
            <w:shd w:fill="FFFFFF"/>
          </w:tcPr>
          <w:p>
            <w:pPr>
              <w:keepNext w:val="0"/>
              <w:pageBreakBefore w:val="0"/>
              <w:spacing w:after="60" w:before="60" w:line="283" w:lineRule="auto"/>
              <w:jc w:val="left"/>
            </w:pPr>
            <w:r>
              <w:rPr>
                <w:rFonts w:ascii="Arial" w:hAnsi="Arial" w:eastAsia="宋体"/>
                <w:sz w:val="19"/>
              </w:rPr>
              <w:t xml:space="preserve">落实原设施管理、合法接收协调</w:t>
            </w:r>
          </w:p>
        </w:tc>
        <w:tc>
          <w:tcPr>
            <w:tcW w:type="dxa" w:w="2700"/>
            <w:shd w:fill="FFFFFF"/>
          </w:tcPr>
          <w:p>
            <w:pPr>
              <w:keepNext w:val="0"/>
              <w:pageBreakBefore w:val="0"/>
              <w:spacing w:after="60" w:before="60" w:line="283" w:lineRule="auto"/>
              <w:jc w:val="left"/>
            </w:pPr>
            <w:r>
              <w:rPr>
                <w:rFonts w:ascii="Arial" w:hAnsi="Arial" w:eastAsia="宋体"/>
                <w:sz w:val="19"/>
              </w:rPr>
              <w:t xml:space="preserve">验证设施能力、样品与试接收、日量约束</w:t>
            </w:r>
          </w:p>
        </w:tc>
        <w:tc>
          <w:tcPr>
            <w:tcW w:type="dxa" w:w="2584"/>
            <w:shd w:fill="FFFFFF"/>
          </w:tcPr>
          <w:p>
            <w:pPr>
              <w:keepNext w:val="0"/>
              <w:pageBreakBefore w:val="0"/>
              <w:spacing w:after="60" w:before="60" w:line="283" w:lineRule="auto"/>
              <w:jc w:val="left"/>
            </w:pPr>
            <w:r>
              <w:rPr>
                <w:rFonts w:ascii="Arial" w:hAnsi="Arial" w:eastAsia="宋体"/>
                <w:sz w:val="19"/>
              </w:rPr>
              <w:t xml:space="preserve">水气方案、物料平衡、接收技术条件</w:t>
            </w:r>
          </w:p>
        </w:tc>
      </w:tr>
      <w:tr>
        <w:trPr>
          <w:cantSplit/>
        </w:trPr>
        <w:tc>
          <w:tcPr>
            <w:tcW w:type="dxa" w:w="1909"/>
            <w:shd w:fill="EAF2F9"/>
          </w:tcPr>
          <w:p>
            <w:pPr>
              <w:keepNext w:val="0"/>
              <w:pageBreakBefore w:val="0"/>
              <w:spacing w:after="60" w:before="60" w:line="283" w:lineRule="auto"/>
              <w:jc w:val="left"/>
            </w:pPr>
            <w:r>
              <w:rPr>
                <w:rFonts w:ascii="Arial" w:hAnsi="Arial" w:eastAsia="宋体"/>
                <w:sz w:val="19"/>
              </w:rPr>
              <w:t xml:space="preserve">施工与监管</w:t>
            </w:r>
          </w:p>
        </w:tc>
        <w:tc>
          <w:tcPr>
            <w:tcW w:type="dxa" w:w="2445"/>
            <w:shd w:fill="EAF2F9"/>
          </w:tcPr>
          <w:p>
            <w:pPr>
              <w:keepNext w:val="0"/>
              <w:pageBreakBefore w:val="0"/>
              <w:spacing w:after="60" w:before="60" w:line="283" w:lineRule="auto"/>
              <w:jc w:val="left"/>
            </w:pPr>
            <w:r>
              <w:rPr>
                <w:rFonts w:ascii="Arial" w:hAnsi="Arial" w:eastAsia="宋体"/>
                <w:sz w:val="19"/>
              </w:rPr>
              <w:t xml:space="preserve">组织相应招标、监理和监管接口</w:t>
            </w:r>
          </w:p>
        </w:tc>
        <w:tc>
          <w:tcPr>
            <w:tcW w:type="dxa" w:w="2700"/>
            <w:shd w:fill="EAF2F9"/>
          </w:tcPr>
          <w:p>
            <w:pPr>
              <w:keepNext w:val="0"/>
              <w:pageBreakBefore w:val="0"/>
              <w:spacing w:after="60" w:before="60" w:line="283" w:lineRule="auto"/>
              <w:jc w:val="left"/>
            </w:pPr>
            <w:r>
              <w:rPr>
                <w:rFonts w:ascii="Arial" w:hAnsi="Arial" w:eastAsia="宋体"/>
                <w:sz w:val="19"/>
              </w:rPr>
              <w:t xml:space="preserve">按合同及批准方案实施，记录环境安全和去向</w:t>
            </w:r>
          </w:p>
        </w:tc>
        <w:tc>
          <w:tcPr>
            <w:tcW w:type="dxa" w:w="2584"/>
            <w:shd w:fill="EAF2F9"/>
          </w:tcPr>
          <w:p>
            <w:pPr>
              <w:keepNext w:val="0"/>
              <w:pageBreakBefore w:val="0"/>
              <w:spacing w:after="60" w:before="60" w:line="283" w:lineRule="auto"/>
              <w:jc w:val="left"/>
            </w:pPr>
            <w:r>
              <w:rPr>
                <w:rFonts w:ascii="Arial" w:hAnsi="Arial" w:eastAsia="宋体"/>
                <w:sz w:val="19"/>
              </w:rPr>
              <w:t xml:space="preserve">单元记录、监测、计量、异常闭合</w:t>
            </w:r>
          </w:p>
        </w:tc>
      </w:tr>
      <w:tr>
        <w:trPr>
          <w:cantSplit/>
        </w:trPr>
        <w:tc>
          <w:tcPr>
            <w:tcW w:type="dxa" w:w="1909"/>
            <w:shd w:fill="FFFFFF"/>
          </w:tcPr>
          <w:p>
            <w:pPr>
              <w:keepNext w:val="0"/>
              <w:pageBreakBefore w:val="0"/>
              <w:spacing w:after="60" w:before="60" w:line="283" w:lineRule="auto"/>
              <w:jc w:val="left"/>
            </w:pPr>
            <w:r>
              <w:rPr>
                <w:rFonts w:ascii="Arial" w:hAnsi="Arial" w:eastAsia="宋体"/>
                <w:sz w:val="19"/>
              </w:rPr>
              <w:t xml:space="preserve">效果与移交</w:t>
            </w:r>
          </w:p>
        </w:tc>
        <w:tc>
          <w:tcPr>
            <w:tcW w:type="dxa" w:w="2445"/>
            <w:shd w:fill="FFFFFF"/>
          </w:tcPr>
          <w:p>
            <w:pPr>
              <w:keepNext w:val="0"/>
              <w:pageBreakBefore w:val="0"/>
              <w:spacing w:after="60" w:before="60" w:line="283" w:lineRule="auto"/>
              <w:jc w:val="left"/>
            </w:pPr>
            <w:r>
              <w:rPr>
                <w:rFonts w:ascii="Arial" w:hAnsi="Arial" w:eastAsia="宋体"/>
                <w:sz w:val="19"/>
              </w:rPr>
              <w:t xml:space="preserve">组织适用验收、后期主体和资金</w:t>
            </w:r>
          </w:p>
        </w:tc>
        <w:tc>
          <w:tcPr>
            <w:tcW w:type="dxa" w:w="2700"/>
            <w:shd w:fill="FFFFFF"/>
          </w:tcPr>
          <w:p>
            <w:pPr>
              <w:keepNext w:val="0"/>
              <w:pageBreakBefore w:val="0"/>
              <w:spacing w:after="60" w:before="60" w:line="283" w:lineRule="auto"/>
              <w:jc w:val="left"/>
            </w:pPr>
            <w:r>
              <w:rPr>
                <w:rFonts w:ascii="Arial" w:hAnsi="Arial" w:eastAsia="宋体"/>
                <w:sz w:val="19"/>
              </w:rPr>
              <w:t xml:space="preserve">提交竣工、去向、效果及维护资料</w:t>
            </w:r>
          </w:p>
        </w:tc>
        <w:tc>
          <w:tcPr>
            <w:tcW w:type="dxa" w:w="2584"/>
            <w:shd w:fill="FFFFFF"/>
          </w:tcPr>
          <w:p>
            <w:pPr>
              <w:keepNext w:val="0"/>
              <w:pageBreakBefore w:val="0"/>
              <w:spacing w:after="60" w:before="60" w:line="283" w:lineRule="auto"/>
              <w:jc w:val="left"/>
            </w:pPr>
            <w:r>
              <w:rPr>
                <w:rFonts w:ascii="Arial" w:hAnsi="Arial" w:eastAsia="宋体"/>
                <w:sz w:val="19"/>
              </w:rPr>
              <w:t xml:space="preserve">成果档案、剩余风险与移交清单</w:t>
            </w:r>
          </w:p>
        </w:tc>
      </w:tr>
    </w:tbl>
    <w:p>
      <w:pPr>
        <w:pStyle w:val="BodyText"/>
      </w:pPr>
      <w:r>
        <w:t xml:space="preserve">甲乙方具体职责以法定责任和最终合同明确；乙方技术建议不替代主管部门审批，也不默认乙方兼有独立监理、检测或效果评估职能。</w:t>
      </w:r>
    </w:p>
    <w:bookmarkEnd w:id="54"/>
    <w:bookmarkStart w:id="55" w:name="X148fdef1fb144b02b25a49c472530528a0f6c8a"/>
    <w:p>
      <w:pPr>
        <w:pStyle w:val="Heading3"/>
      </w:pPr>
      <w:r>
        <w:t xml:space="preserve">5.2 调查工作与成果</w:t>
      </w:r>
    </w:p>
    <w:tbl>
      <w:tblPr>
        <w:tblStyle w:val="Table"/>
        <w:tblW w:type="dxa" w:w="9638"/>
        <w:jc w:val="left"/>
        <w:tblLayout w:type="fixed"/>
        <w:tblLook w:firstRow="1" w:lastRow="0" w:firstColumn="0" w:lastColumn="0" w:noHBand="0" w:noVBand="0" w:val="0020"/>
      </w:tblPr>
      <w:tblGrid>
        <w:gridCol w:w="1999"/>
        <w:gridCol w:w="4352"/>
        <w:gridCol w:w="3287"/>
      </w:tblGrid>
      <w:tr>
        <w:trPr>
          <w:tblHeader w:val="on"/>
          <w:cantSplit/>
          <w:tblHeader w:val="true"/>
        </w:trPr>
        <w:tc>
          <w:tcPr>
            <w:tcW w:type="dxa" w:w="1999"/>
            <w:shd w:fill="174775"/>
          </w:tcPr>
          <w:p>
            <w:pPr>
              <w:keepNext w:val="0"/>
              <w:pageBreakBefore w:val="0"/>
              <w:spacing w:after="60" w:before="60" w:line="283" w:lineRule="auto"/>
              <w:jc w:val="left"/>
            </w:pPr>
            <w:r>
              <w:rPr>
                <w:rFonts w:ascii="Arial" w:hAnsi="Arial" w:eastAsia="宋体"/>
                <w:b/>
                <w:color w:val="FFFFFF"/>
                <w:sz w:val="19"/>
              </w:rPr>
              <w:t xml:space="preserve">调查内容</w:t>
            </w:r>
          </w:p>
        </w:tc>
        <w:tc>
          <w:tcPr>
            <w:tcW w:type="dxa" w:w="4352"/>
            <w:shd w:fill="174775"/>
          </w:tcPr>
          <w:p>
            <w:pPr>
              <w:keepNext w:val="0"/>
              <w:pageBreakBefore w:val="0"/>
              <w:spacing w:after="60" w:before="60" w:line="283" w:lineRule="auto"/>
              <w:jc w:val="left"/>
            </w:pPr>
            <w:r>
              <w:rPr>
                <w:rFonts w:ascii="Arial" w:hAnsi="Arial" w:eastAsia="宋体"/>
                <w:b/>
                <w:color w:val="FFFFFF"/>
                <w:sz w:val="19"/>
              </w:rPr>
              <w:t xml:space="preserve">具体工作</w:t>
            </w:r>
          </w:p>
        </w:tc>
        <w:tc>
          <w:tcPr>
            <w:tcW w:type="dxa" w:w="3287"/>
            <w:shd w:fill="174775"/>
          </w:tcPr>
          <w:p>
            <w:pPr>
              <w:keepNext w:val="0"/>
              <w:pageBreakBefore w:val="0"/>
              <w:spacing w:after="60" w:before="60" w:line="283" w:lineRule="auto"/>
              <w:jc w:val="left"/>
            </w:pPr>
            <w:r>
              <w:rPr>
                <w:rFonts w:ascii="Arial" w:hAnsi="Arial" w:eastAsia="宋体"/>
                <w:b/>
                <w:color w:val="FFFFFF"/>
                <w:sz w:val="19"/>
              </w:rPr>
              <w:t xml:space="preserve">形成成果与用途</w:t>
            </w:r>
          </w:p>
        </w:tc>
      </w:tr>
      <w:tr>
        <w:trPr>
          <w:cantSplit/>
        </w:trPr>
        <w:tc>
          <w:tcPr>
            <w:tcW w:type="dxa" w:w="1999"/>
            <w:shd w:fill="FFFFFF"/>
          </w:tcPr>
          <w:p>
            <w:pPr>
              <w:keepNext w:val="0"/>
              <w:pageBreakBefore w:val="0"/>
              <w:spacing w:after="60" w:before="60" w:line="283" w:lineRule="auto"/>
              <w:jc w:val="left"/>
            </w:pPr>
            <w:r>
              <w:rPr>
                <w:rFonts w:ascii="Arial" w:hAnsi="Arial" w:eastAsia="宋体"/>
                <w:sz w:val="19"/>
              </w:rPr>
              <w:t xml:space="preserve">档案与权属</w:t>
            </w:r>
          </w:p>
        </w:tc>
        <w:tc>
          <w:tcPr>
            <w:tcW w:type="dxa" w:w="4352"/>
            <w:shd w:fill="FFFFFF"/>
          </w:tcPr>
          <w:p>
            <w:pPr>
              <w:keepNext w:val="0"/>
              <w:pageBreakBefore w:val="0"/>
              <w:spacing w:after="60" w:before="60" w:line="283" w:lineRule="auto"/>
              <w:jc w:val="left"/>
            </w:pPr>
            <w:r>
              <w:rPr>
                <w:rFonts w:ascii="Arial" w:hAnsi="Arial" w:eastAsia="宋体"/>
                <w:sz w:val="19"/>
              </w:rPr>
              <w:t xml:space="preserve">调取征地、历次设计竣工图、封场验收、底部防渗、环评许可、运维和接收合同</w:t>
            </w:r>
          </w:p>
        </w:tc>
        <w:tc>
          <w:tcPr>
            <w:tcW w:type="dxa" w:w="3287"/>
            <w:shd w:fill="FFFFFF"/>
          </w:tcPr>
          <w:p>
            <w:pPr>
              <w:keepNext w:val="0"/>
              <w:pageBreakBefore w:val="0"/>
              <w:spacing w:after="60" w:before="60" w:line="283" w:lineRule="auto"/>
              <w:jc w:val="left"/>
            </w:pPr>
            <w:r>
              <w:rPr>
                <w:rFonts w:ascii="Arial" w:hAnsi="Arial" w:eastAsia="宋体"/>
                <w:sz w:val="19"/>
              </w:rPr>
              <w:t xml:space="preserve">确定责任及合法边界，识别原设施可保留部分</w:t>
            </w:r>
          </w:p>
        </w:tc>
      </w:tr>
      <w:tr>
        <w:trPr>
          <w:cantSplit/>
        </w:trPr>
        <w:tc>
          <w:tcPr>
            <w:tcW w:type="dxa" w:w="1999"/>
            <w:shd w:fill="EAF2F9"/>
          </w:tcPr>
          <w:p>
            <w:pPr>
              <w:keepNext w:val="0"/>
              <w:pageBreakBefore w:val="0"/>
              <w:spacing w:after="60" w:before="60" w:line="283" w:lineRule="auto"/>
              <w:jc w:val="left"/>
            </w:pPr>
            <w:r>
              <w:rPr>
                <w:rFonts w:ascii="Arial" w:hAnsi="Arial" w:eastAsia="宋体"/>
                <w:sz w:val="19"/>
              </w:rPr>
              <w:t xml:space="preserve">垃圾量及基底</w:t>
            </w:r>
          </w:p>
        </w:tc>
        <w:tc>
          <w:tcPr>
            <w:tcW w:type="dxa" w:w="4352"/>
            <w:shd w:fill="EAF2F9"/>
          </w:tcPr>
          <w:p>
            <w:pPr>
              <w:keepNext w:val="0"/>
              <w:pageBreakBefore w:val="0"/>
              <w:spacing w:after="60" w:before="60" w:line="283" w:lineRule="auto"/>
              <w:jc w:val="left"/>
            </w:pPr>
            <w:r>
              <w:rPr>
                <w:rFonts w:ascii="Arial" w:hAnsi="Arial" w:eastAsia="宋体"/>
                <w:sz w:val="19"/>
              </w:rPr>
              <w:t xml:space="preserve">地形测绘；结合历史地形、勘探恢复基底，分区计算体积；测定湿密度</w:t>
            </w:r>
          </w:p>
        </w:tc>
        <w:tc>
          <w:tcPr>
            <w:tcW w:type="dxa" w:w="3287"/>
            <w:shd w:fill="EAF2F9"/>
          </w:tcPr>
          <w:p>
            <w:pPr>
              <w:keepNext w:val="0"/>
              <w:pageBreakBefore w:val="0"/>
              <w:spacing w:after="60" w:before="60" w:line="283" w:lineRule="auto"/>
              <w:jc w:val="left"/>
            </w:pPr>
            <w:r>
              <w:rPr>
                <w:rFonts w:ascii="Arial" w:hAnsi="Arial" w:eastAsia="宋体"/>
                <w:sz w:val="19"/>
              </w:rPr>
              <w:t xml:space="preserve">统一170万、250万立方米差异；体积和质量不混用</w:t>
            </w:r>
          </w:p>
        </w:tc>
      </w:tr>
      <w:tr>
        <w:trPr>
          <w:cantSplit/>
        </w:trPr>
        <w:tc>
          <w:tcPr>
            <w:tcW w:type="dxa" w:w="1999"/>
            <w:shd w:fill="FFFFFF"/>
          </w:tcPr>
          <w:p>
            <w:pPr>
              <w:keepNext w:val="0"/>
              <w:pageBreakBefore w:val="0"/>
              <w:spacing w:after="60" w:before="60" w:line="283" w:lineRule="auto"/>
              <w:jc w:val="left"/>
            </w:pPr>
            <w:r>
              <w:rPr>
                <w:rFonts w:ascii="Arial" w:hAnsi="Arial" w:eastAsia="宋体"/>
                <w:sz w:val="19"/>
              </w:rPr>
              <w:t xml:space="preserve">垃圾组分与筛分</w:t>
            </w:r>
          </w:p>
        </w:tc>
        <w:tc>
          <w:tcPr>
            <w:tcW w:type="dxa" w:w="4352"/>
            <w:shd w:fill="FFFFFF"/>
          </w:tcPr>
          <w:p>
            <w:pPr>
              <w:keepNext w:val="0"/>
              <w:pageBreakBefore w:val="0"/>
              <w:spacing w:after="60" w:before="60" w:line="283" w:lineRule="auto"/>
              <w:jc w:val="left"/>
            </w:pPr>
            <w:r>
              <w:rPr>
                <w:rFonts w:ascii="Arial" w:hAnsi="Arial" w:eastAsia="宋体"/>
                <w:sz w:val="19"/>
              </w:rPr>
              <w:t xml:space="preserve">按历史填埋分区、深度和差异采样，开展含水、组分、筛分试验及必要污染特征分析</w:t>
            </w:r>
          </w:p>
        </w:tc>
        <w:tc>
          <w:tcPr>
            <w:tcW w:type="dxa" w:w="3287"/>
            <w:shd w:fill="FFFFFF"/>
          </w:tcPr>
          <w:p>
            <w:pPr>
              <w:keepNext w:val="0"/>
              <w:pageBreakBefore w:val="0"/>
              <w:spacing w:after="60" w:before="60" w:line="283" w:lineRule="auto"/>
              <w:jc w:val="left"/>
            </w:pPr>
            <w:r>
              <w:rPr>
                <w:rFonts w:ascii="Arial" w:hAnsi="Arial" w:eastAsia="宋体"/>
                <w:sz w:val="19"/>
              </w:rPr>
              <w:t xml:space="preserve">得到各产物质量比例、沥水量和适配工艺；无固定套用比例</w:t>
            </w:r>
          </w:p>
        </w:tc>
      </w:tr>
      <w:tr>
        <w:trPr>
          <w:cantSplit/>
        </w:trPr>
        <w:tc>
          <w:tcPr>
            <w:tcW w:type="dxa" w:w="1999"/>
            <w:shd w:fill="EAF2F9"/>
          </w:tcPr>
          <w:p>
            <w:pPr>
              <w:keepNext w:val="0"/>
              <w:pageBreakBefore w:val="0"/>
              <w:spacing w:after="60" w:before="60" w:line="283" w:lineRule="auto"/>
              <w:jc w:val="left"/>
            </w:pPr>
            <w:r>
              <w:rPr>
                <w:rFonts w:ascii="Arial" w:hAnsi="Arial" w:eastAsia="宋体"/>
                <w:sz w:val="19"/>
              </w:rPr>
              <w:t xml:space="preserve">堆体及结构</w:t>
            </w:r>
          </w:p>
        </w:tc>
        <w:tc>
          <w:tcPr>
            <w:tcW w:type="dxa" w:w="4352"/>
            <w:shd w:fill="EAF2F9"/>
          </w:tcPr>
          <w:p>
            <w:pPr>
              <w:keepNext w:val="0"/>
              <w:pageBreakBefore w:val="0"/>
              <w:spacing w:after="60" w:before="60" w:line="283" w:lineRule="auto"/>
              <w:jc w:val="left"/>
            </w:pPr>
            <w:r>
              <w:rPr>
                <w:rFonts w:ascii="Arial" w:hAnsi="Arial" w:eastAsia="宋体"/>
                <w:sz w:val="19"/>
              </w:rPr>
              <w:t xml:space="preserve">复核16个点位和位移序列，查明坝体、侧坡、支护、防渗结构与收集管</w:t>
            </w:r>
          </w:p>
        </w:tc>
        <w:tc>
          <w:tcPr>
            <w:tcW w:type="dxa" w:w="3287"/>
            <w:shd w:fill="EAF2F9"/>
          </w:tcPr>
          <w:p>
            <w:pPr>
              <w:keepNext w:val="0"/>
              <w:pageBreakBefore w:val="0"/>
              <w:spacing w:after="60" w:before="60" w:line="283" w:lineRule="auto"/>
              <w:jc w:val="left"/>
            </w:pPr>
            <w:r>
              <w:rPr>
                <w:rFonts w:ascii="Arial" w:hAnsi="Arial" w:eastAsia="宋体"/>
                <w:sz w:val="19"/>
              </w:rPr>
              <w:t xml:space="preserve">不同液位、开挖深度和机械荷载下稳定验算</w:t>
            </w:r>
          </w:p>
        </w:tc>
      </w:tr>
      <w:tr>
        <w:trPr>
          <w:cantSplit/>
        </w:trPr>
        <w:tc>
          <w:tcPr>
            <w:tcW w:type="dxa" w:w="1999"/>
            <w:shd w:fill="FFFFFF"/>
          </w:tcPr>
          <w:p>
            <w:pPr>
              <w:keepNext w:val="0"/>
              <w:pageBreakBefore w:val="0"/>
              <w:spacing w:after="60" w:before="60" w:line="283" w:lineRule="auto"/>
              <w:jc w:val="left"/>
            </w:pPr>
            <w:r>
              <w:rPr>
                <w:rFonts w:ascii="Arial" w:hAnsi="Arial" w:eastAsia="宋体"/>
                <w:sz w:val="19"/>
              </w:rPr>
              <w:t xml:space="preserve">水文地质与污染</w:t>
            </w:r>
          </w:p>
        </w:tc>
        <w:tc>
          <w:tcPr>
            <w:tcW w:type="dxa" w:w="4352"/>
            <w:shd w:fill="FFFFFF"/>
          </w:tcPr>
          <w:p>
            <w:pPr>
              <w:keepNext w:val="0"/>
              <w:pageBreakBefore w:val="0"/>
              <w:spacing w:after="60" w:before="60" w:line="283" w:lineRule="auto"/>
              <w:jc w:val="left"/>
            </w:pPr>
            <w:r>
              <w:rPr>
                <w:rFonts w:ascii="Arial" w:hAnsi="Arial" w:eastAsia="宋体"/>
                <w:sz w:val="19"/>
              </w:rPr>
              <w:t xml:space="preserve">识别含水层、流向、上下游和敏感受体；核对监测井和历史水质，开展土壤调查</w:t>
            </w:r>
          </w:p>
        </w:tc>
        <w:tc>
          <w:tcPr>
            <w:tcW w:type="dxa" w:w="3287"/>
            <w:shd w:fill="FFFFFF"/>
          </w:tcPr>
          <w:p>
            <w:pPr>
              <w:keepNext w:val="0"/>
              <w:pageBreakBefore w:val="0"/>
              <w:spacing w:after="60" w:before="60" w:line="283" w:lineRule="auto"/>
              <w:jc w:val="left"/>
            </w:pPr>
            <w:r>
              <w:rPr>
                <w:rFonts w:ascii="Arial" w:hAnsi="Arial" w:eastAsia="宋体"/>
                <w:sz w:val="19"/>
              </w:rPr>
              <w:t xml:space="preserve">确定背景与异常变化、污染范围和修复目标</w:t>
            </w:r>
          </w:p>
        </w:tc>
      </w:tr>
      <w:tr>
        <w:trPr>
          <w:cantSplit/>
        </w:trPr>
        <w:tc>
          <w:tcPr>
            <w:tcW w:type="dxa" w:w="1999"/>
            <w:shd w:fill="EAF2F9"/>
          </w:tcPr>
          <w:p>
            <w:pPr>
              <w:keepNext w:val="0"/>
              <w:pageBreakBefore w:val="0"/>
              <w:spacing w:after="60" w:before="60" w:line="283" w:lineRule="auto"/>
              <w:jc w:val="left"/>
            </w:pPr>
            <w:r>
              <w:rPr>
                <w:rFonts w:ascii="Arial" w:hAnsi="Arial" w:eastAsia="宋体"/>
                <w:sz w:val="19"/>
              </w:rPr>
              <w:t xml:space="preserve">气体与稳定化</w:t>
            </w:r>
          </w:p>
        </w:tc>
        <w:tc>
          <w:tcPr>
            <w:tcW w:type="dxa" w:w="4352"/>
            <w:shd w:fill="EAF2F9"/>
          </w:tcPr>
          <w:p>
            <w:pPr>
              <w:keepNext w:val="0"/>
              <w:pageBreakBefore w:val="0"/>
              <w:spacing w:after="60" w:before="60" w:line="283" w:lineRule="auto"/>
              <w:jc w:val="left"/>
            </w:pPr>
            <w:r>
              <w:rPr>
                <w:rFonts w:ascii="Arial" w:hAnsi="Arial" w:eastAsia="宋体"/>
                <w:sz w:val="19"/>
              </w:rPr>
              <w:t xml:space="preserve">调查甲烷、硫化氢等及堆体稳定化状态，识别需要预处理的区域</w:t>
            </w:r>
          </w:p>
        </w:tc>
        <w:tc>
          <w:tcPr>
            <w:tcW w:type="dxa" w:w="3287"/>
            <w:shd w:fill="EAF2F9"/>
          </w:tcPr>
          <w:p>
            <w:pPr>
              <w:keepNext w:val="0"/>
              <w:pageBreakBefore w:val="0"/>
              <w:spacing w:after="60" w:before="60" w:line="283" w:lineRule="auto"/>
              <w:jc w:val="left"/>
            </w:pPr>
            <w:r>
              <w:rPr>
                <w:rFonts w:ascii="Arial" w:hAnsi="Arial" w:eastAsia="宋体"/>
                <w:sz w:val="19"/>
              </w:rPr>
              <w:t xml:space="preserve">确定气体抽排、好氧预处理、防火与安全方案</w:t>
            </w:r>
          </w:p>
        </w:tc>
      </w:tr>
      <w:tr>
        <w:trPr>
          <w:cantSplit/>
        </w:trPr>
        <w:tc>
          <w:tcPr>
            <w:tcW w:type="dxa" w:w="1999"/>
            <w:shd w:fill="FFFFFF"/>
          </w:tcPr>
          <w:p>
            <w:pPr>
              <w:keepNext w:val="0"/>
              <w:pageBreakBefore w:val="0"/>
              <w:spacing w:after="60" w:before="60" w:line="283" w:lineRule="auto"/>
              <w:jc w:val="left"/>
            </w:pPr>
            <w:r>
              <w:rPr>
                <w:rFonts w:ascii="Arial" w:hAnsi="Arial" w:eastAsia="宋体"/>
                <w:sz w:val="19"/>
              </w:rPr>
              <w:t xml:space="preserve">液体和处理设施</w:t>
            </w:r>
          </w:p>
        </w:tc>
        <w:tc>
          <w:tcPr>
            <w:tcW w:type="dxa" w:w="4352"/>
            <w:shd w:fill="FFFFFF"/>
          </w:tcPr>
          <w:p>
            <w:pPr>
              <w:keepNext w:val="0"/>
              <w:pageBreakBefore w:val="0"/>
              <w:spacing w:after="60" w:before="60" w:line="283" w:lineRule="auto"/>
              <w:jc w:val="left"/>
            </w:pPr>
            <w:r>
              <w:rPr>
                <w:rFonts w:ascii="Arial" w:hAnsi="Arial" w:eastAsia="宋体"/>
                <w:sz w:val="19"/>
              </w:rPr>
              <w:t xml:space="preserve">测量堆体及调节池液位、存量、雨天变化；核实实际处理能力、浓缩液产量和外运</w:t>
            </w:r>
          </w:p>
        </w:tc>
        <w:tc>
          <w:tcPr>
            <w:tcW w:type="dxa" w:w="3287"/>
            <w:shd w:fill="FFFFFF"/>
          </w:tcPr>
          <w:p>
            <w:pPr>
              <w:keepNext w:val="0"/>
              <w:pageBreakBefore w:val="0"/>
              <w:spacing w:after="60" w:before="60" w:line="283" w:lineRule="auto"/>
              <w:jc w:val="left"/>
            </w:pPr>
            <w:r>
              <w:rPr>
                <w:rFonts w:ascii="Arial" w:hAnsi="Arial" w:eastAsia="宋体"/>
                <w:sz w:val="19"/>
              </w:rPr>
              <w:t xml:space="preserve">形成水量水质平衡和新增设施设计输入</w:t>
            </w:r>
          </w:p>
        </w:tc>
      </w:tr>
      <w:tr>
        <w:trPr>
          <w:cantSplit/>
        </w:trPr>
        <w:tc>
          <w:tcPr>
            <w:tcW w:type="dxa" w:w="1999"/>
            <w:shd w:fill="EAF2F9"/>
          </w:tcPr>
          <w:p>
            <w:pPr>
              <w:keepNext w:val="0"/>
              <w:pageBreakBefore w:val="0"/>
              <w:spacing w:after="60" w:before="60" w:line="283" w:lineRule="auto"/>
              <w:jc w:val="left"/>
            </w:pPr>
            <w:r>
              <w:rPr>
                <w:rFonts w:ascii="Arial" w:hAnsi="Arial" w:eastAsia="宋体"/>
                <w:sz w:val="19"/>
              </w:rPr>
              <w:t xml:space="preserve">末端能力</w:t>
            </w:r>
          </w:p>
        </w:tc>
        <w:tc>
          <w:tcPr>
            <w:tcW w:type="dxa" w:w="4352"/>
            <w:shd w:fill="EAF2F9"/>
          </w:tcPr>
          <w:p>
            <w:pPr>
              <w:keepNext w:val="0"/>
              <w:pageBreakBefore w:val="0"/>
              <w:spacing w:after="60" w:before="60" w:line="283" w:lineRule="auto"/>
              <w:jc w:val="left"/>
            </w:pPr>
            <w:r>
              <w:rPr>
                <w:rFonts w:ascii="Arial" w:hAnsi="Arial" w:eastAsia="宋体"/>
                <w:sz w:val="19"/>
              </w:rPr>
              <w:t xml:space="preserve">核对接收厂批复、许可、现有负荷和可承接日量；样品试验与试接收</w:t>
            </w:r>
          </w:p>
        </w:tc>
        <w:tc>
          <w:tcPr>
            <w:tcW w:type="dxa" w:w="3287"/>
            <w:shd w:fill="EAF2F9"/>
          </w:tcPr>
          <w:p>
            <w:pPr>
              <w:keepNext w:val="0"/>
              <w:pageBreakBefore w:val="0"/>
              <w:spacing w:after="60" w:before="60" w:line="283" w:lineRule="auto"/>
              <w:jc w:val="left"/>
            </w:pPr>
            <w:r>
              <w:rPr>
                <w:rFonts w:ascii="Arial" w:hAnsi="Arial" w:eastAsia="宋体"/>
                <w:sz w:val="19"/>
              </w:rPr>
              <w:t xml:space="preserve">明确所有产物去向、质量条件、价格和备用渠道</w:t>
            </w:r>
          </w:p>
        </w:tc>
      </w:tr>
    </w:tbl>
    <w:p>
      <w:pPr>
        <w:pStyle w:val="BodyText"/>
      </w:pPr>
      <w:r>
        <w:t xml:space="preserve">调查按S02、S03第4章、S07及S12适用要求执行。布点、数量和深度由现场条件和规范设计确定，不以固定少量样品替代代表性调查。涉及井、池或封闭空间的工作执行独立安全程序。</w:t>
      </w:r>
    </w:p>
    <w:bookmarkEnd w:id="55"/>
    <w:bookmarkStart w:id="56" w:name="Xb573dbd3bb39d172d44a7dbc972ac3223c1f87f"/>
    <w:p>
      <w:pPr>
        <w:pStyle w:val="Heading3"/>
      </w:pPr>
      <w:r>
        <w:t xml:space="preserve">5.3 示范单元</w:t>
      </w:r>
    </w:p>
    <w:p>
      <w:pPr>
        <w:pStyle w:val="FirstParagraph"/>
      </w:pPr>
      <w:r>
        <w:t xml:space="preserve">本项目在调查明确、依法完成所需程序、处理设施可用和接收条件已落实的区域设置示范单元。示范单元覆盖代表性垃圾层位和不同含水情况，记录“开挖输入—沥水—各产物—外运—库存”的质量收支及完整工作日运行数据，形成量价、能耗、气液负荷和接收适应性成果。</w:t>
      </w:r>
    </w:p>
    <w:p>
      <w:pPr>
        <w:pStyle w:val="BodyText"/>
      </w:pPr>
      <w:r>
        <w:t xml:space="preserve">示范单元设备包括适配的筛分、金属分离和必要轻重分选，具体筛孔、流程和能力通过试验确定，不预先认定所有垃圾必须破碎或所有细料可以利用。需破碎时先隔离异常废物并完成气体安全评估，避免含气物料及异常物混入高速设备。[S03第5.3、6.4—6.5条]</w:t>
      </w:r>
    </w:p>
    <w:tbl>
      <w:tblPr>
        <w:tblStyle w:val="Table"/>
        <w:tblW w:type="dxa" w:w="9638"/>
        <w:jc w:val="left"/>
        <w:tblLayout w:type="fixed"/>
        <w:tblLook w:firstRow="1" w:lastRow="0" w:firstColumn="0" w:lastColumn="0" w:noHBand="0" w:noVBand="0" w:val="0020"/>
      </w:tblPr>
      <w:tblGrid>
        <w:gridCol w:w="2556"/>
        <w:gridCol w:w="3411"/>
        <w:gridCol w:w="3671"/>
      </w:tblGrid>
      <w:tr>
        <w:trPr>
          <w:tblHeader w:val="on"/>
          <w:cantSplit/>
          <w:tblHeader w:val="true"/>
        </w:trPr>
        <w:tc>
          <w:tcPr>
            <w:tcW w:type="dxa" w:w="2556"/>
            <w:shd w:fill="174775"/>
          </w:tcPr>
          <w:p>
            <w:pPr>
              <w:keepNext w:val="0"/>
              <w:pageBreakBefore w:val="0"/>
              <w:spacing w:after="60" w:before="60" w:line="283" w:lineRule="auto"/>
              <w:jc w:val="left"/>
            </w:pPr>
            <w:r>
              <w:rPr>
                <w:rFonts w:ascii="Arial" w:hAnsi="Arial" w:eastAsia="宋体"/>
                <w:b/>
                <w:color w:val="FFFFFF"/>
                <w:sz w:val="19"/>
              </w:rPr>
              <w:t xml:space="preserve">示范记录</w:t>
            </w:r>
          </w:p>
        </w:tc>
        <w:tc>
          <w:tcPr>
            <w:tcW w:type="dxa" w:w="3411"/>
            <w:shd w:fill="174775"/>
          </w:tcPr>
          <w:p>
            <w:pPr>
              <w:keepNext w:val="0"/>
              <w:pageBreakBefore w:val="0"/>
              <w:spacing w:after="60" w:before="60" w:line="283" w:lineRule="auto"/>
              <w:jc w:val="left"/>
            </w:pPr>
            <w:r>
              <w:rPr>
                <w:rFonts w:ascii="Arial" w:hAnsi="Arial" w:eastAsia="宋体"/>
                <w:b/>
                <w:color w:val="FFFFFF"/>
                <w:sz w:val="19"/>
              </w:rPr>
              <w:t xml:space="preserve">用于放大设计的结果</w:t>
            </w:r>
          </w:p>
        </w:tc>
        <w:tc>
          <w:tcPr>
            <w:tcW w:type="dxa" w:w="3671"/>
            <w:shd w:fill="174775"/>
          </w:tcPr>
          <w:p>
            <w:pPr>
              <w:keepNext w:val="0"/>
              <w:pageBreakBefore w:val="0"/>
              <w:spacing w:after="60" w:before="60" w:line="283" w:lineRule="auto"/>
              <w:jc w:val="left"/>
            </w:pPr>
            <w:r>
              <w:rPr>
                <w:rFonts w:ascii="Arial" w:hAnsi="Arial" w:eastAsia="宋体"/>
                <w:b/>
                <w:color w:val="FFFFFF"/>
                <w:sz w:val="19"/>
              </w:rPr>
              <w:t xml:space="preserve">停止或调整条件</w:t>
            </w:r>
          </w:p>
        </w:tc>
      </w:tr>
      <w:tr>
        <w:trPr>
          <w:cantSplit/>
        </w:trPr>
        <w:tc>
          <w:tcPr>
            <w:tcW w:type="dxa" w:w="2556"/>
            <w:shd w:fill="FFFFFF"/>
          </w:tcPr>
          <w:p>
            <w:pPr>
              <w:keepNext w:val="0"/>
              <w:pageBreakBefore w:val="0"/>
              <w:spacing w:after="60" w:before="60" w:line="283" w:lineRule="auto"/>
              <w:jc w:val="left"/>
            </w:pPr>
            <w:r>
              <w:rPr>
                <w:rFonts w:ascii="Arial" w:hAnsi="Arial" w:eastAsia="宋体"/>
                <w:sz w:val="19"/>
              </w:rPr>
              <w:t xml:space="preserve">每日各类产物量、含水和质量</w:t>
            </w:r>
          </w:p>
        </w:tc>
        <w:tc>
          <w:tcPr>
            <w:tcW w:type="dxa" w:w="3411"/>
            <w:shd w:fill="FFFFFF"/>
          </w:tcPr>
          <w:p>
            <w:pPr>
              <w:keepNext w:val="0"/>
              <w:pageBreakBefore w:val="0"/>
              <w:spacing w:after="60" w:before="60" w:line="283" w:lineRule="auto"/>
              <w:jc w:val="left"/>
            </w:pPr>
            <w:r>
              <w:rPr>
                <w:rFonts w:ascii="Arial" w:hAnsi="Arial" w:eastAsia="宋体"/>
                <w:sz w:val="19"/>
              </w:rPr>
              <w:t xml:space="preserve">实际筛分比例、稳定产能、合法去向与接收率</w:t>
            </w:r>
          </w:p>
        </w:tc>
        <w:tc>
          <w:tcPr>
            <w:tcW w:type="dxa" w:w="3671"/>
            <w:shd w:fill="FFFFFF"/>
          </w:tcPr>
          <w:p>
            <w:pPr>
              <w:keepNext w:val="0"/>
              <w:pageBreakBefore w:val="0"/>
              <w:spacing w:after="60" w:before="60" w:line="283" w:lineRule="auto"/>
              <w:jc w:val="left"/>
            </w:pPr>
            <w:r>
              <w:rPr>
                <w:rFonts w:ascii="Arial" w:hAnsi="Arial" w:eastAsia="宋体"/>
                <w:sz w:val="19"/>
              </w:rPr>
              <w:t xml:space="preserve">出现未识别物、超接收条件或大量滞留时调整</w:t>
            </w:r>
          </w:p>
        </w:tc>
      </w:tr>
      <w:tr>
        <w:trPr>
          <w:cantSplit/>
        </w:trPr>
        <w:tc>
          <w:tcPr>
            <w:tcW w:type="dxa" w:w="2556"/>
            <w:shd w:fill="EAF2F9"/>
          </w:tcPr>
          <w:p>
            <w:pPr>
              <w:keepNext w:val="0"/>
              <w:pageBreakBefore w:val="0"/>
              <w:spacing w:after="60" w:before="60" w:line="283" w:lineRule="auto"/>
              <w:jc w:val="left"/>
            </w:pPr>
            <w:r>
              <w:rPr>
                <w:rFonts w:ascii="Arial" w:hAnsi="Arial" w:eastAsia="宋体"/>
                <w:sz w:val="19"/>
              </w:rPr>
              <w:t xml:space="preserve">进出水量及原水特征</w:t>
            </w:r>
          </w:p>
        </w:tc>
        <w:tc>
          <w:tcPr>
            <w:tcW w:type="dxa" w:w="3411"/>
            <w:shd w:fill="EAF2F9"/>
          </w:tcPr>
          <w:p>
            <w:pPr>
              <w:keepNext w:val="0"/>
              <w:pageBreakBefore w:val="0"/>
              <w:spacing w:after="60" w:before="60" w:line="283" w:lineRule="auto"/>
              <w:jc w:val="left"/>
            </w:pPr>
            <w:r>
              <w:rPr>
                <w:rFonts w:ascii="Arial" w:hAnsi="Arial" w:eastAsia="宋体"/>
                <w:sz w:val="19"/>
              </w:rPr>
              <w:t xml:space="preserve">处理设施可承载水量和污染负荷，浓缩液独立量</w:t>
            </w:r>
          </w:p>
        </w:tc>
        <w:tc>
          <w:tcPr>
            <w:tcW w:type="dxa" w:w="3671"/>
            <w:shd w:fill="EAF2F9"/>
          </w:tcPr>
          <w:p>
            <w:pPr>
              <w:keepNext w:val="0"/>
              <w:pageBreakBefore w:val="0"/>
              <w:spacing w:after="60" w:before="60" w:line="283" w:lineRule="auto"/>
              <w:jc w:val="left"/>
            </w:pPr>
            <w:r>
              <w:rPr>
                <w:rFonts w:ascii="Arial" w:hAnsi="Arial" w:eastAsia="宋体"/>
                <w:sz w:val="19"/>
              </w:rPr>
              <w:t xml:space="preserve">不能达标或合法接收不足时停止新增物料</w:t>
            </w:r>
          </w:p>
        </w:tc>
      </w:tr>
      <w:tr>
        <w:trPr>
          <w:cantSplit/>
        </w:trPr>
        <w:tc>
          <w:tcPr>
            <w:tcW w:type="dxa" w:w="2556"/>
            <w:shd w:fill="FFFFFF"/>
          </w:tcPr>
          <w:p>
            <w:pPr>
              <w:keepNext w:val="0"/>
              <w:pageBreakBefore w:val="0"/>
              <w:spacing w:after="60" w:before="60" w:line="283" w:lineRule="auto"/>
              <w:jc w:val="left"/>
            </w:pPr>
            <w:r>
              <w:rPr>
                <w:rFonts w:ascii="Arial" w:hAnsi="Arial" w:eastAsia="宋体"/>
                <w:sz w:val="19"/>
              </w:rPr>
              <w:t xml:space="preserve">甲烷、硫化氢、温度和臭气</w:t>
            </w:r>
          </w:p>
        </w:tc>
        <w:tc>
          <w:tcPr>
            <w:tcW w:type="dxa" w:w="3411"/>
            <w:shd w:fill="FFFFFF"/>
          </w:tcPr>
          <w:p>
            <w:pPr>
              <w:keepNext w:val="0"/>
              <w:pageBreakBefore w:val="0"/>
              <w:spacing w:after="60" w:before="60" w:line="283" w:lineRule="auto"/>
              <w:jc w:val="left"/>
            </w:pPr>
            <w:r>
              <w:rPr>
                <w:rFonts w:ascii="Arial" w:hAnsi="Arial" w:eastAsia="宋体"/>
                <w:sz w:val="19"/>
              </w:rPr>
              <w:t xml:space="preserve">预处理、密闭抽气及安全设计参数</w:t>
            </w:r>
          </w:p>
        </w:tc>
        <w:tc>
          <w:tcPr>
            <w:tcW w:type="dxa" w:w="3671"/>
            <w:shd w:fill="FFFFFF"/>
          </w:tcPr>
          <w:p>
            <w:pPr>
              <w:keepNext w:val="0"/>
              <w:pageBreakBefore w:val="0"/>
              <w:spacing w:after="60" w:before="60" w:line="283" w:lineRule="auto"/>
              <w:jc w:val="left"/>
            </w:pPr>
            <w:r>
              <w:rPr>
                <w:rFonts w:ascii="Arial" w:hAnsi="Arial" w:eastAsia="宋体"/>
                <w:sz w:val="19"/>
              </w:rPr>
              <w:t xml:space="preserve">安全报警、局部自热或臭气控制失效时停工查因</w:t>
            </w:r>
          </w:p>
        </w:tc>
      </w:tr>
      <w:tr>
        <w:trPr>
          <w:cantSplit/>
        </w:trPr>
        <w:tc>
          <w:tcPr>
            <w:tcW w:type="dxa" w:w="2556"/>
            <w:shd w:fill="EAF2F9"/>
          </w:tcPr>
          <w:p>
            <w:pPr>
              <w:keepNext w:val="0"/>
              <w:pageBreakBefore w:val="0"/>
              <w:spacing w:after="60" w:before="60" w:line="283" w:lineRule="auto"/>
              <w:jc w:val="left"/>
            </w:pPr>
            <w:r>
              <w:rPr>
                <w:rFonts w:ascii="Arial" w:hAnsi="Arial" w:eastAsia="宋体"/>
                <w:sz w:val="19"/>
              </w:rPr>
              <w:t xml:space="preserve">位移、液位与开挖稳定</w:t>
            </w:r>
          </w:p>
        </w:tc>
        <w:tc>
          <w:tcPr>
            <w:tcW w:type="dxa" w:w="3411"/>
            <w:shd w:fill="EAF2F9"/>
          </w:tcPr>
          <w:p>
            <w:pPr>
              <w:keepNext w:val="0"/>
              <w:pageBreakBefore w:val="0"/>
              <w:spacing w:after="60" w:before="60" w:line="283" w:lineRule="auto"/>
              <w:jc w:val="left"/>
            </w:pPr>
            <w:r>
              <w:rPr>
                <w:rFonts w:ascii="Arial" w:hAnsi="Arial" w:eastAsia="宋体"/>
                <w:sz w:val="19"/>
              </w:rPr>
              <w:t xml:space="preserve">层厚、作业面、抽排和边坡条件</w:t>
            </w:r>
          </w:p>
        </w:tc>
        <w:tc>
          <w:tcPr>
            <w:tcW w:type="dxa" w:w="3671"/>
            <w:shd w:fill="EAF2F9"/>
          </w:tcPr>
          <w:p>
            <w:pPr>
              <w:keepNext w:val="0"/>
              <w:pageBreakBefore w:val="0"/>
              <w:spacing w:after="60" w:before="60" w:line="283" w:lineRule="auto"/>
              <w:jc w:val="left"/>
            </w:pPr>
            <w:r>
              <w:rPr>
                <w:rFonts w:ascii="Arial" w:hAnsi="Arial" w:eastAsia="宋体"/>
                <w:sz w:val="19"/>
              </w:rPr>
              <w:t xml:space="preserve">位移异常、积水或稳定不足时停止危险区作业</w:t>
            </w:r>
          </w:p>
        </w:tc>
      </w:tr>
      <w:tr>
        <w:trPr>
          <w:cantSplit/>
        </w:trPr>
        <w:tc>
          <w:tcPr>
            <w:tcW w:type="dxa" w:w="2556"/>
            <w:shd w:fill="FFFFFF"/>
          </w:tcPr>
          <w:p>
            <w:pPr>
              <w:keepNext w:val="0"/>
              <w:pageBreakBefore w:val="0"/>
              <w:spacing w:after="60" w:before="60" w:line="283" w:lineRule="auto"/>
              <w:jc w:val="left"/>
            </w:pPr>
            <w:r>
              <w:rPr>
                <w:rFonts w:ascii="Arial" w:hAnsi="Arial" w:eastAsia="宋体"/>
                <w:sz w:val="19"/>
              </w:rPr>
              <w:t xml:space="preserve">计量、人工、设备与转运</w:t>
            </w:r>
          </w:p>
        </w:tc>
        <w:tc>
          <w:tcPr>
            <w:tcW w:type="dxa" w:w="3411"/>
            <w:shd w:fill="FFFFFF"/>
          </w:tcPr>
          <w:p>
            <w:pPr>
              <w:keepNext w:val="0"/>
              <w:pageBreakBefore w:val="0"/>
              <w:spacing w:after="60" w:before="60" w:line="283" w:lineRule="auto"/>
              <w:jc w:val="left"/>
            </w:pPr>
            <w:r>
              <w:rPr>
                <w:rFonts w:ascii="Arial" w:hAnsi="Arial" w:eastAsia="宋体"/>
                <w:sz w:val="19"/>
              </w:rPr>
              <w:t xml:space="preserve">工作包实际用量和可核验单价</w:t>
            </w:r>
          </w:p>
        </w:tc>
        <w:tc>
          <w:tcPr>
            <w:tcW w:type="dxa" w:w="3671"/>
            <w:shd w:fill="FFFFFF"/>
          </w:tcPr>
          <w:p>
            <w:pPr>
              <w:keepNext w:val="0"/>
              <w:pageBreakBefore w:val="0"/>
              <w:spacing w:after="60" w:before="60" w:line="283" w:lineRule="auto"/>
              <w:jc w:val="left"/>
            </w:pPr>
            <w:r>
              <w:rPr>
                <w:rFonts w:ascii="Arial" w:hAnsi="Arial" w:eastAsia="宋体"/>
                <w:sz w:val="19"/>
              </w:rPr>
              <w:t xml:space="preserve">质量收支不闭合、去向回执缺失时纠偏</w:t>
            </w:r>
          </w:p>
        </w:tc>
      </w:tr>
    </w:tbl>
    <w:bookmarkEnd w:id="56"/>
    <w:bookmarkStart w:id="59" w:name="X95156fa500b0fb2dd75b629ec92ce410143d3ce"/>
    <w:p>
      <w:pPr>
        <w:pStyle w:val="Heading3"/>
      </w:pPr>
      <w:r>
        <w:t xml:space="preserve">5.4 总体流程与分区组织</w:t>
      </w:r>
    </w:p>
    <w:p>
      <w:pPr>
        <w:pStyle w:val="FirstParagraph"/>
      </w:pPr>
      <w:r>
        <w:t xml:space="preserve">本项目采用分区、分层和小范围暴露的作业方式，按照末端接收能力组织开挖。保留有效覆盖和原有水气控制设施，对正在开挖的单元设置临时截洪、防渗导排、抽气及安全监测；未开挖区维持原覆膜和维护，完成区尽快进入场底调查或覆盖管理。作业道路与临时设施避开未经核查的薄弱坝体和边坡。[S03第6.3.1—6.3.3条]</w:t>
      </w:r>
    </w:p>
    <w:p>
      <w:pPr>
        <w:pStyle w:val="BodyText"/>
      </w:pPr>
      <w:r>
        <w:drawing>
          <wp:inline>
            <wp:extent cx="6108700" cy="2748915"/>
            <wp:effectExtent b="0" l="0" r="0" t="0"/>
            <wp:docPr descr="工艺流程" title="" id="57" name="Picture"/>
            <a:graphic>
              <a:graphicData uri="http://schemas.openxmlformats.org/drawingml/2006/picture">
                <pic:pic>
                  <pic:nvPicPr>
                    <pic:cNvPr descr="../figures/04_process.png" id="58" name="Picture"/>
                    <pic:cNvPicPr>
                      <a:picLocks noChangeArrowheads="1" noChangeAspect="1"/>
                    </pic:cNvPicPr>
                  </pic:nvPicPr>
                  <pic:blipFill>
                    <a:blip r:embed="rId20"/>
                    <a:stretch>
                      <a:fillRect/>
                    </a:stretch>
                  </pic:blipFill>
                  <pic:spPr bwMode="auto">
                    <a:xfrm>
                      <a:off x="0" y="0"/>
                      <a:ext cx="6108700" cy="2748915"/>
                    </a:xfrm>
                    <a:prstGeom prst="rect">
                      <a:avLst/>
                    </a:prstGeom>
                    <a:noFill/>
                    <a:ln w="9525">
                      <a:noFill/>
                      <a:headEnd/>
                      <a:tailEnd/>
                    </a:ln>
                  </pic:spPr>
                </pic:pic>
              </a:graphicData>
            </a:graphic>
          </wp:inline>
        </w:drawing>
      </w:r>
    </w:p>
    <w:p>
      <w:pPr>
        <w:pStyle w:val="BodyText"/>
        <w:jc w:val="center"/>
      </w:pPr>
      <w:r>
        <w:rPr>
          <w:color w:val="5F7179"/>
          <w:sz w:val="18"/>
        </w:rPr>
        <w:t xml:space="preserve">图5　拟采用治理流程。调查确认稳定化程度后确定是否需要好氧预处理及其工艺，不对全场机械套用统一预处理期限。</w:t>
      </w:r>
    </w:p>
    <w:bookmarkEnd w:id="59"/>
    <w:bookmarkStart w:id="63" w:name="X779f82ef052dd078b221b6d0f2e494971acd2cb"/>
    <w:p>
      <w:pPr>
        <w:pStyle w:val="Heading3"/>
      </w:pPr>
      <w:r>
        <w:t xml:space="preserve">5.5 渗滤液与浓缩液控制</w:t>
      </w:r>
    </w:p>
    <w:p>
      <w:pPr>
        <w:pStyle w:val="FirstParagraph"/>
      </w:pPr>
      <w:r>
        <w:t xml:space="preserve">抽排或预处理之前，本项目查清堆体积存液、调节池积存液、持续产液，以及施工新增沥水和冲洗水。原收集系统资料记载无收集井，环场导排是否能降低内部液位须经调查；必要时设置分区抽提设施，避免仅抽空调节池而堆体高液位仍未下降。[B01；S03第6.1.1条]</w:t>
      </w:r>
    </w:p>
    <w:p>
      <w:pPr>
        <w:pStyle w:val="BodyText"/>
      </w:pPr>
      <w:r>
        <w:t xml:space="preserve">开挖前将水位降低至安全工况。参照征求意见稿第6.3.5条，单元渗滤液水位控制在开挖单元底部以下1—2米，并以稳定验算复核抽排和开挖进度。地下水抽提和堆体渗滤液抽排采用可识别的独立系统，防止不同污染程度水体无序混合。[S03；S07]</w:t>
      </w:r>
    </w:p>
    <w:p>
      <w:pPr>
        <w:pStyle w:val="BodyText"/>
      </w:pPr>
      <w:r>
        <w:drawing>
          <wp:inline>
            <wp:extent cx="6108700" cy="2748915"/>
            <wp:effectExtent b="0" l="0" r="0" t="0"/>
            <wp:docPr descr="水系统" title="" id="61" name="Picture"/>
            <a:graphic>
              <a:graphicData uri="http://schemas.openxmlformats.org/drawingml/2006/picture">
                <pic:pic>
                  <pic:nvPicPr>
                    <pic:cNvPr descr="../figures/05_water.png" id="62" name="Picture"/>
                    <pic:cNvPicPr>
                      <a:picLocks noChangeArrowheads="1" noChangeAspect="1"/>
                    </pic:cNvPicPr>
                  </pic:nvPicPr>
                  <pic:blipFill>
                    <a:blip r:embed="rId60"/>
                    <a:stretch>
                      <a:fillRect/>
                    </a:stretch>
                  </pic:blipFill>
                  <pic:spPr bwMode="auto">
                    <a:xfrm>
                      <a:off x="0" y="0"/>
                      <a:ext cx="6108700" cy="2748915"/>
                    </a:xfrm>
                    <a:prstGeom prst="rect">
                      <a:avLst/>
                    </a:prstGeom>
                    <a:noFill/>
                    <a:ln w="9525">
                      <a:noFill/>
                      <a:headEnd/>
                      <a:tailEnd/>
                    </a:ln>
                  </pic:spPr>
                </pic:pic>
              </a:graphicData>
            </a:graphic>
          </wp:inline>
        </w:drawing>
      </w:r>
    </w:p>
    <w:p>
      <w:pPr>
        <w:pStyle w:val="BodyText"/>
        <w:jc w:val="center"/>
      </w:pPr>
      <w:r>
        <w:rPr>
          <w:color w:val="5F7179"/>
          <w:sz w:val="18"/>
        </w:rPr>
        <w:t xml:space="preserve">图6　拟建水系统关系。浓缩液不是已经达标的产水，禁止把其独立去向省略。</w:t>
      </w:r>
    </w:p>
    <w:tbl>
      <w:tblPr>
        <w:tblStyle w:val="Table"/>
        <w:tblW w:type="dxa" w:w="9638"/>
        <w:jc w:val="left"/>
        <w:tblLayout w:type="fixed"/>
        <w:tblLook w:firstRow="1" w:lastRow="0" w:firstColumn="0" w:lastColumn="0" w:noHBand="0" w:noVBand="0" w:val="0020"/>
      </w:tblPr>
      <w:tblGrid>
        <w:gridCol w:w="1887"/>
        <w:gridCol w:w="3690"/>
        <w:gridCol w:w="4060"/>
      </w:tblGrid>
      <w:tr>
        <w:trPr>
          <w:tblHeader w:val="on"/>
          <w:cantSplit/>
          <w:tblHeader w:val="true"/>
        </w:trPr>
        <w:tc>
          <w:tcPr>
            <w:tcW w:type="dxa" w:w="1887"/>
            <w:shd w:fill="174775"/>
          </w:tcPr>
          <w:p>
            <w:pPr>
              <w:keepNext w:val="0"/>
              <w:pageBreakBefore w:val="0"/>
              <w:spacing w:after="60" w:before="60" w:line="283" w:lineRule="auto"/>
              <w:jc w:val="left"/>
            </w:pPr>
            <w:r>
              <w:rPr>
                <w:rFonts w:ascii="Arial" w:hAnsi="Arial" w:eastAsia="宋体"/>
                <w:b/>
                <w:color w:val="FFFFFF"/>
                <w:sz w:val="19"/>
              </w:rPr>
              <w:t xml:space="preserve">液体环节</w:t>
            </w:r>
          </w:p>
        </w:tc>
        <w:tc>
          <w:tcPr>
            <w:tcW w:type="dxa" w:w="3690"/>
            <w:shd w:fill="174775"/>
          </w:tcPr>
          <w:p>
            <w:pPr>
              <w:keepNext w:val="0"/>
              <w:pageBreakBefore w:val="0"/>
              <w:spacing w:after="60" w:before="60" w:line="283" w:lineRule="auto"/>
              <w:jc w:val="left"/>
            </w:pPr>
            <w:r>
              <w:rPr>
                <w:rFonts w:ascii="Arial" w:hAnsi="Arial" w:eastAsia="宋体"/>
                <w:b/>
                <w:color w:val="FFFFFF"/>
                <w:sz w:val="19"/>
              </w:rPr>
              <w:t xml:space="preserve">本项目措施</w:t>
            </w:r>
          </w:p>
        </w:tc>
        <w:tc>
          <w:tcPr>
            <w:tcW w:type="dxa" w:w="4060"/>
            <w:shd w:fill="174775"/>
          </w:tcPr>
          <w:p>
            <w:pPr>
              <w:keepNext w:val="0"/>
              <w:pageBreakBefore w:val="0"/>
              <w:spacing w:after="60" w:before="60" w:line="283" w:lineRule="auto"/>
              <w:jc w:val="left"/>
            </w:pPr>
            <w:r>
              <w:rPr>
                <w:rFonts w:ascii="Arial" w:hAnsi="Arial" w:eastAsia="宋体"/>
                <w:b/>
                <w:color w:val="FFFFFF"/>
                <w:sz w:val="19"/>
              </w:rPr>
              <w:t xml:space="preserve">核验与运行条件</w:t>
            </w:r>
          </w:p>
        </w:tc>
      </w:tr>
      <w:tr>
        <w:trPr>
          <w:cantSplit/>
        </w:trPr>
        <w:tc>
          <w:tcPr>
            <w:tcW w:type="dxa" w:w="1887"/>
            <w:shd w:fill="FFFFFF"/>
          </w:tcPr>
          <w:p>
            <w:pPr>
              <w:keepNext w:val="0"/>
              <w:pageBreakBefore w:val="0"/>
              <w:spacing w:after="60" w:before="60" w:line="283" w:lineRule="auto"/>
              <w:jc w:val="left"/>
            </w:pPr>
            <w:r>
              <w:rPr>
                <w:rFonts w:ascii="Arial" w:hAnsi="Arial" w:eastAsia="宋体"/>
                <w:sz w:val="19"/>
              </w:rPr>
              <w:t xml:space="preserve">清污分流</w:t>
            </w:r>
          </w:p>
        </w:tc>
        <w:tc>
          <w:tcPr>
            <w:tcW w:type="dxa" w:w="3690"/>
            <w:shd w:fill="FFFFFF"/>
          </w:tcPr>
          <w:p>
            <w:pPr>
              <w:keepNext w:val="0"/>
              <w:pageBreakBefore w:val="0"/>
              <w:spacing w:after="60" w:before="60" w:line="283" w:lineRule="auto"/>
              <w:jc w:val="left"/>
            </w:pPr>
            <w:r>
              <w:rPr>
                <w:rFonts w:ascii="Arial" w:hAnsi="Arial" w:eastAsia="宋体"/>
                <w:sz w:val="19"/>
              </w:rPr>
              <w:t xml:space="preserve">库区外截洪绕行；作业区降雨、沥水、洗车及设备冲洗水进入污染水收集系统</w:t>
            </w:r>
          </w:p>
        </w:tc>
        <w:tc>
          <w:tcPr>
            <w:tcW w:type="dxa" w:w="4060"/>
            <w:shd w:fill="FFFFFF"/>
          </w:tcPr>
          <w:p>
            <w:pPr>
              <w:keepNext w:val="0"/>
              <w:pageBreakBefore w:val="0"/>
              <w:spacing w:after="60" w:before="60" w:line="283" w:lineRule="auto"/>
              <w:jc w:val="left"/>
            </w:pPr>
            <w:r>
              <w:rPr>
                <w:rFonts w:ascii="Arial" w:hAnsi="Arial" w:eastAsia="宋体"/>
                <w:sz w:val="19"/>
              </w:rPr>
              <w:t xml:space="preserve">每日巡查连通、堵塞、围堰及膜破损；雨前复核</w:t>
            </w:r>
          </w:p>
        </w:tc>
      </w:tr>
      <w:tr>
        <w:trPr>
          <w:cantSplit/>
        </w:trPr>
        <w:tc>
          <w:tcPr>
            <w:tcW w:type="dxa" w:w="1887"/>
            <w:shd w:fill="EAF2F9"/>
          </w:tcPr>
          <w:p>
            <w:pPr>
              <w:keepNext w:val="0"/>
              <w:pageBreakBefore w:val="0"/>
              <w:spacing w:after="60" w:before="60" w:line="283" w:lineRule="auto"/>
              <w:jc w:val="left"/>
            </w:pPr>
            <w:r>
              <w:rPr>
                <w:rFonts w:ascii="Arial" w:hAnsi="Arial" w:eastAsia="宋体"/>
                <w:sz w:val="19"/>
              </w:rPr>
              <w:t xml:space="preserve">调节和应急</w:t>
            </w:r>
          </w:p>
        </w:tc>
        <w:tc>
          <w:tcPr>
            <w:tcW w:type="dxa" w:w="3690"/>
            <w:shd w:fill="EAF2F9"/>
          </w:tcPr>
          <w:p>
            <w:pPr>
              <w:keepNext w:val="0"/>
              <w:pageBreakBefore w:val="0"/>
              <w:spacing w:after="60" w:before="60" w:line="283" w:lineRule="auto"/>
              <w:jc w:val="left"/>
            </w:pPr>
            <w:r>
              <w:rPr>
                <w:rFonts w:ascii="Arial" w:hAnsi="Arial" w:eastAsia="宋体"/>
                <w:sz w:val="19"/>
              </w:rPr>
              <w:t xml:space="preserve">核定实有液量、可用调蓄及应急余量，设置液位监控、备用泵和供电</w:t>
            </w:r>
          </w:p>
        </w:tc>
        <w:tc>
          <w:tcPr>
            <w:tcW w:type="dxa" w:w="4060"/>
            <w:shd w:fill="EAF2F9"/>
          </w:tcPr>
          <w:p>
            <w:pPr>
              <w:keepNext w:val="0"/>
              <w:pageBreakBefore w:val="0"/>
              <w:spacing w:after="60" w:before="60" w:line="283" w:lineRule="auto"/>
              <w:jc w:val="left"/>
            </w:pPr>
            <w:r>
              <w:rPr>
                <w:rFonts w:ascii="Arial" w:hAnsi="Arial" w:eastAsia="宋体"/>
                <w:sz w:val="19"/>
              </w:rPr>
              <w:t xml:space="preserve">不能以30000立方米设计容积直接当作可用应急池容</w:t>
            </w:r>
          </w:p>
        </w:tc>
      </w:tr>
      <w:tr>
        <w:trPr>
          <w:cantSplit/>
        </w:trPr>
        <w:tc>
          <w:tcPr>
            <w:tcW w:type="dxa" w:w="1887"/>
            <w:shd w:fill="FFFFFF"/>
          </w:tcPr>
          <w:p>
            <w:pPr>
              <w:keepNext w:val="0"/>
              <w:pageBreakBefore w:val="0"/>
              <w:spacing w:after="60" w:before="60" w:line="283" w:lineRule="auto"/>
              <w:jc w:val="left"/>
            </w:pPr>
            <w:r>
              <w:rPr>
                <w:rFonts w:ascii="Arial" w:hAnsi="Arial" w:eastAsia="宋体"/>
                <w:sz w:val="19"/>
              </w:rPr>
              <w:t xml:space="preserve">现有DTRO</w:t>
            </w:r>
          </w:p>
        </w:tc>
        <w:tc>
          <w:tcPr>
            <w:tcW w:type="dxa" w:w="3690"/>
            <w:shd w:fill="FFFFFF"/>
          </w:tcPr>
          <w:p>
            <w:pPr>
              <w:keepNext w:val="0"/>
              <w:pageBreakBefore w:val="0"/>
              <w:spacing w:after="60" w:before="60" w:line="283" w:lineRule="auto"/>
              <w:jc w:val="left"/>
            </w:pPr>
            <w:r>
              <w:rPr>
                <w:rFonts w:ascii="Arial" w:hAnsi="Arial" w:eastAsia="宋体"/>
                <w:sz w:val="19"/>
              </w:rPr>
              <w:t xml:space="preserve">评价预处理、膜污染、供电、停机、产水水质和浓缩液负荷</w:t>
            </w:r>
          </w:p>
        </w:tc>
        <w:tc>
          <w:tcPr>
            <w:tcW w:type="dxa" w:w="4060"/>
            <w:shd w:fill="FFFFFF"/>
          </w:tcPr>
          <w:p>
            <w:pPr>
              <w:keepNext w:val="0"/>
              <w:pageBreakBefore w:val="0"/>
              <w:spacing w:after="60" w:before="60" w:line="283" w:lineRule="auto"/>
              <w:jc w:val="left"/>
            </w:pPr>
            <w:r>
              <w:rPr>
                <w:rFonts w:ascii="Arial" w:hAnsi="Arial" w:eastAsia="宋体"/>
                <w:sz w:val="19"/>
              </w:rPr>
              <w:t xml:space="preserve">180、300吨/日名义规模经实际连续运行核定，避免未经试验扩载</w:t>
            </w:r>
          </w:p>
        </w:tc>
      </w:tr>
      <w:tr>
        <w:trPr>
          <w:cantSplit/>
        </w:trPr>
        <w:tc>
          <w:tcPr>
            <w:tcW w:type="dxa" w:w="1887"/>
            <w:shd w:fill="EAF2F9"/>
          </w:tcPr>
          <w:p>
            <w:pPr>
              <w:keepNext w:val="0"/>
              <w:pageBreakBefore w:val="0"/>
              <w:spacing w:after="60" w:before="60" w:line="283" w:lineRule="auto"/>
              <w:jc w:val="left"/>
            </w:pPr>
            <w:r>
              <w:rPr>
                <w:rFonts w:ascii="Arial" w:hAnsi="Arial" w:eastAsia="宋体"/>
                <w:sz w:val="19"/>
              </w:rPr>
              <w:t xml:space="preserve">新增处理</w:t>
            </w:r>
          </w:p>
        </w:tc>
        <w:tc>
          <w:tcPr>
            <w:tcW w:type="dxa" w:w="3690"/>
            <w:shd w:fill="EAF2F9"/>
          </w:tcPr>
          <w:p>
            <w:pPr>
              <w:keepNext w:val="0"/>
              <w:pageBreakBefore w:val="0"/>
              <w:spacing w:after="60" w:before="60" w:line="283" w:lineRule="auto"/>
              <w:jc w:val="left"/>
            </w:pPr>
            <w:r>
              <w:rPr>
                <w:rFonts w:ascii="Arial" w:hAnsi="Arial" w:eastAsia="宋体"/>
                <w:sz w:val="19"/>
              </w:rPr>
              <w:t xml:space="preserve">根据新增污染负荷比选扩建、临时设施及合法外部接收；按本场原水中试</w:t>
            </w:r>
          </w:p>
        </w:tc>
        <w:tc>
          <w:tcPr>
            <w:tcW w:type="dxa" w:w="4060"/>
            <w:shd w:fill="EAF2F9"/>
          </w:tcPr>
          <w:p>
            <w:pPr>
              <w:keepNext w:val="0"/>
              <w:pageBreakBefore w:val="0"/>
              <w:spacing w:after="60" w:before="60" w:line="283" w:lineRule="auto"/>
              <w:jc w:val="left"/>
            </w:pPr>
            <w:r>
              <w:rPr>
                <w:rFonts w:ascii="Arial" w:hAnsi="Arial" w:eastAsia="宋体"/>
                <w:sz w:val="19"/>
              </w:rPr>
              <w:t xml:space="preserve">接收厂正常运行和处理效果不得受影响；设施和程序先于新增开挖</w:t>
            </w:r>
          </w:p>
        </w:tc>
      </w:tr>
      <w:tr>
        <w:trPr>
          <w:cantSplit/>
        </w:trPr>
        <w:tc>
          <w:tcPr>
            <w:tcW w:type="dxa" w:w="1887"/>
            <w:shd w:fill="FFFFFF"/>
          </w:tcPr>
          <w:p>
            <w:pPr>
              <w:keepNext w:val="0"/>
              <w:pageBreakBefore w:val="0"/>
              <w:spacing w:after="60" w:before="60" w:line="283" w:lineRule="auto"/>
              <w:jc w:val="left"/>
            </w:pPr>
            <w:r>
              <w:rPr>
                <w:rFonts w:ascii="Arial" w:hAnsi="Arial" w:eastAsia="宋体"/>
                <w:sz w:val="19"/>
              </w:rPr>
              <w:t xml:space="preserve">纳管产水</w:t>
            </w:r>
          </w:p>
        </w:tc>
        <w:tc>
          <w:tcPr>
            <w:tcW w:type="dxa" w:w="3690"/>
            <w:shd w:fill="FFFFFF"/>
          </w:tcPr>
          <w:p>
            <w:pPr>
              <w:keepNext w:val="0"/>
              <w:pageBreakBefore w:val="0"/>
              <w:spacing w:after="60" w:before="60" w:line="283" w:lineRule="auto"/>
              <w:jc w:val="left"/>
            </w:pPr>
            <w:r>
              <w:rPr>
                <w:rFonts w:ascii="Arial" w:hAnsi="Arial" w:eastAsia="宋体"/>
                <w:sz w:val="19"/>
              </w:rPr>
              <w:t xml:space="preserve">核对排水许可、污水厂接收条件、合法合同及适用排放限值</w:t>
            </w:r>
          </w:p>
        </w:tc>
        <w:tc>
          <w:tcPr>
            <w:tcW w:type="dxa" w:w="4060"/>
            <w:shd w:fill="FFFFFF"/>
          </w:tcPr>
          <w:p>
            <w:pPr>
              <w:keepNext w:val="0"/>
              <w:pageBreakBefore w:val="0"/>
              <w:spacing w:after="60" w:before="60" w:line="283" w:lineRule="auto"/>
              <w:jc w:val="left"/>
            </w:pPr>
            <w:r>
              <w:rPr>
                <w:rFonts w:ascii="Arial" w:hAnsi="Arial" w:eastAsia="宋体"/>
                <w:sz w:val="19"/>
              </w:rPr>
              <w:t xml:space="preserve">按GB 16889第9.2条执行间接排放要求及更严格许可条件；资料中的表2口径不自动替代现行纳管要求</w:t>
            </w:r>
          </w:p>
        </w:tc>
      </w:tr>
      <w:tr>
        <w:trPr>
          <w:cantSplit/>
        </w:trPr>
        <w:tc>
          <w:tcPr>
            <w:tcW w:type="dxa" w:w="1887"/>
            <w:shd w:fill="EAF2F9"/>
          </w:tcPr>
          <w:p>
            <w:pPr>
              <w:keepNext w:val="0"/>
              <w:pageBreakBefore w:val="0"/>
              <w:spacing w:after="60" w:before="60" w:line="283" w:lineRule="auto"/>
              <w:jc w:val="left"/>
            </w:pPr>
            <w:r>
              <w:rPr>
                <w:rFonts w:ascii="Arial" w:hAnsi="Arial" w:eastAsia="宋体"/>
                <w:sz w:val="19"/>
              </w:rPr>
              <w:t xml:space="preserve">膜浓缩液</w:t>
            </w:r>
          </w:p>
        </w:tc>
        <w:tc>
          <w:tcPr>
            <w:tcW w:type="dxa" w:w="3690"/>
            <w:shd w:fill="EAF2F9"/>
          </w:tcPr>
          <w:p>
            <w:pPr>
              <w:keepNext w:val="0"/>
              <w:pageBreakBefore w:val="0"/>
              <w:spacing w:after="60" w:before="60" w:line="283" w:lineRule="auto"/>
              <w:jc w:val="left"/>
            </w:pPr>
            <w:r>
              <w:rPr>
                <w:rFonts w:ascii="Arial" w:hAnsi="Arial" w:eastAsia="宋体"/>
                <w:sz w:val="19"/>
              </w:rPr>
              <w:t xml:space="preserve">独立储存、计量、运输和接收回执；核查固废及危险废物属性</w:t>
            </w:r>
          </w:p>
        </w:tc>
        <w:tc>
          <w:tcPr>
            <w:tcW w:type="dxa" w:w="4060"/>
            <w:shd w:fill="EAF2F9"/>
          </w:tcPr>
          <w:p>
            <w:pPr>
              <w:keepNext w:val="0"/>
              <w:pageBreakBefore w:val="0"/>
              <w:spacing w:after="60" w:before="60" w:line="283" w:lineRule="auto"/>
              <w:jc w:val="left"/>
            </w:pPr>
            <w:r>
              <w:rPr>
                <w:rFonts w:ascii="Arial" w:hAnsi="Arial" w:eastAsia="宋体"/>
                <w:sz w:val="19"/>
              </w:rPr>
              <w:t xml:space="preserve">GB 34330附录A.3明确列出膜浓缩液；结合第8.1条等适用条件核定管理方式，不一概认定危废</w:t>
            </w:r>
          </w:p>
        </w:tc>
      </w:tr>
      <w:tr>
        <w:trPr>
          <w:cantSplit/>
        </w:trPr>
        <w:tc>
          <w:tcPr>
            <w:tcW w:type="dxa" w:w="1887"/>
            <w:shd w:fill="FFFFFF"/>
          </w:tcPr>
          <w:p>
            <w:pPr>
              <w:keepNext w:val="0"/>
              <w:pageBreakBefore w:val="0"/>
              <w:spacing w:after="60" w:before="60" w:line="283" w:lineRule="auto"/>
              <w:jc w:val="left"/>
            </w:pPr>
            <w:r>
              <w:rPr>
                <w:rFonts w:ascii="Arial" w:hAnsi="Arial" w:eastAsia="宋体"/>
                <w:sz w:val="19"/>
              </w:rPr>
              <w:t xml:space="preserve">处理残渣和污泥</w:t>
            </w:r>
          </w:p>
        </w:tc>
        <w:tc>
          <w:tcPr>
            <w:tcW w:type="dxa" w:w="3690"/>
            <w:shd w:fill="FFFFFF"/>
          </w:tcPr>
          <w:p>
            <w:pPr>
              <w:keepNext w:val="0"/>
              <w:pageBreakBefore w:val="0"/>
              <w:spacing w:after="60" w:before="60" w:line="283" w:lineRule="auto"/>
              <w:jc w:val="left"/>
            </w:pPr>
            <w:r>
              <w:rPr>
                <w:rFonts w:ascii="Arial" w:hAnsi="Arial" w:eastAsia="宋体"/>
                <w:sz w:val="19"/>
              </w:rPr>
              <w:t xml:space="preserve">按来源、属性分类，防渗、防雨、规范台账和转移</w:t>
            </w:r>
          </w:p>
        </w:tc>
        <w:tc>
          <w:tcPr>
            <w:tcW w:type="dxa" w:w="4060"/>
            <w:shd w:fill="FFFFFF"/>
          </w:tcPr>
          <w:p>
            <w:pPr>
              <w:keepNext w:val="0"/>
              <w:pageBreakBefore w:val="0"/>
              <w:spacing w:after="60" w:before="60" w:line="283" w:lineRule="auto"/>
              <w:jc w:val="left"/>
            </w:pPr>
            <w:r>
              <w:rPr>
                <w:rFonts w:ascii="Arial" w:hAnsi="Arial" w:eastAsia="宋体"/>
                <w:sz w:val="19"/>
              </w:rPr>
              <w:t xml:space="preserve">接收许可覆盖对应类别；禁止混入普通土料和细料</w:t>
            </w:r>
          </w:p>
        </w:tc>
      </w:tr>
    </w:tbl>
    <w:p>
      <w:pPr>
        <w:pStyle w:val="BodyText"/>
      </w:pPr>
      <w:r>
        <w:t xml:space="preserve">依据：S02第9.2条；S03第6.1、6.4条；S08；S09。原资料记载过去有浓缩液回灌，本项目不以回灌作为减少外运的默认措施。任何变更均须满足现行标准、许可和污染风险控制要求。</w:t>
      </w:r>
    </w:p>
    <w:bookmarkEnd w:id="63"/>
    <w:bookmarkStart w:id="64" w:name="X60bb581bcd78cdb00889bf2884a3b067143255d"/>
    <w:p>
      <w:pPr>
        <w:pStyle w:val="Heading3"/>
      </w:pPr>
      <w:r>
        <w:t xml:space="preserve">5.6 气体、恶臭、颗粒物与安全控制</w:t>
      </w:r>
    </w:p>
    <w:p>
      <w:pPr>
        <w:pStyle w:val="FirstParagraph"/>
      </w:pPr>
      <w:r>
        <w:t xml:space="preserve">先调查填埋气体、垃圾稳定化和水位，针对尚不符合开挖条件的区域实施抽气或经验证的好氧预处理。注气前识别自热、火灾和边坡风险；设置温度、气体与系统运行监控，异常时停止注气、隔离并采用专项措施，防止把环境治理变为火灾风险。[S03第5.2、6.2条；本项目风险控制设计]</w:t>
      </w:r>
    </w:p>
    <w:p>
      <w:pPr>
        <w:pStyle w:val="BodyText"/>
      </w:pPr>
      <w:r>
        <w:t xml:space="preserve">开挖区采取膜下抽气、缩小作业面、及时覆盖和适配除臭；筛分车间采用密闭、防渗、局部集气及集中处理，物料传输和装卸控制散逸。通风除臭系统同时开展防爆和职业健康评估，不以增加抽风代替人员保护。治理车间按垃圾性质选择除尘和臭气处理工艺，避免高尘负荷、湿气和腐蚀性气体造成设施失效。[S03第6.1.3、6.2.4、6.3.6、6.4.4—6.4.5条]</w:t>
      </w:r>
    </w:p>
    <w:tbl>
      <w:tblPr>
        <w:tblStyle w:val="Table"/>
        <w:tblW w:type="dxa" w:w="9638"/>
        <w:jc w:val="left"/>
        <w:tblLayout w:type="fixed"/>
        <w:tblLook w:firstRow="1" w:lastRow="0" w:firstColumn="0" w:lastColumn="0" w:noHBand="0" w:noVBand="0" w:val="0020"/>
      </w:tblPr>
      <w:tblGrid>
        <w:gridCol w:w="2037"/>
        <w:gridCol w:w="3441"/>
        <w:gridCol w:w="4160"/>
      </w:tblGrid>
      <w:tr>
        <w:trPr>
          <w:tblHeader w:val="on"/>
          <w:cantSplit/>
          <w:tblHeader w:val="true"/>
        </w:trPr>
        <w:tc>
          <w:tcPr>
            <w:tcW w:type="dxa" w:w="2037"/>
            <w:shd w:fill="174775"/>
          </w:tcPr>
          <w:p>
            <w:pPr>
              <w:keepNext w:val="0"/>
              <w:pageBreakBefore w:val="0"/>
              <w:spacing w:after="60" w:before="60" w:line="283" w:lineRule="auto"/>
              <w:jc w:val="left"/>
            </w:pPr>
            <w:r>
              <w:rPr>
                <w:rFonts w:ascii="Arial" w:hAnsi="Arial" w:eastAsia="宋体"/>
                <w:b/>
                <w:color w:val="FFFFFF"/>
                <w:sz w:val="19"/>
              </w:rPr>
              <w:t xml:space="preserve">技术参数或措施</w:t>
            </w:r>
          </w:p>
        </w:tc>
        <w:tc>
          <w:tcPr>
            <w:tcW w:type="dxa" w:w="3441"/>
            <w:shd w:fill="174775"/>
          </w:tcPr>
          <w:p>
            <w:pPr>
              <w:keepNext w:val="0"/>
              <w:pageBreakBefore w:val="0"/>
              <w:spacing w:after="60" w:before="60" w:line="283" w:lineRule="auto"/>
              <w:jc w:val="left"/>
            </w:pPr>
            <w:r>
              <w:rPr>
                <w:rFonts w:ascii="Arial" w:hAnsi="Arial" w:eastAsia="宋体"/>
                <w:b/>
                <w:color w:val="FFFFFF"/>
                <w:sz w:val="19"/>
              </w:rPr>
              <w:t xml:space="preserve">官方参考内容</w:t>
            </w:r>
          </w:p>
        </w:tc>
        <w:tc>
          <w:tcPr>
            <w:tcW w:type="dxa" w:w="4160"/>
            <w:shd w:fill="174775"/>
          </w:tcPr>
          <w:p>
            <w:pPr>
              <w:keepNext w:val="0"/>
              <w:pageBreakBefore w:val="0"/>
              <w:spacing w:after="60" w:before="60" w:line="283" w:lineRule="auto"/>
              <w:jc w:val="left"/>
            </w:pPr>
            <w:r>
              <w:rPr>
                <w:rFonts w:ascii="Arial" w:hAnsi="Arial" w:eastAsia="宋体"/>
                <w:b/>
                <w:color w:val="FFFFFF"/>
                <w:sz w:val="19"/>
              </w:rPr>
              <w:t xml:space="preserve">本项目适用说明</w:t>
            </w:r>
          </w:p>
        </w:tc>
      </w:tr>
      <w:tr>
        <w:trPr>
          <w:cantSplit/>
        </w:trPr>
        <w:tc>
          <w:tcPr>
            <w:tcW w:type="dxa" w:w="2037"/>
            <w:shd w:fill="FFFFFF"/>
          </w:tcPr>
          <w:p>
            <w:pPr>
              <w:keepNext w:val="0"/>
              <w:pageBreakBefore w:val="0"/>
              <w:spacing w:after="60" w:before="60" w:line="283" w:lineRule="auto"/>
              <w:jc w:val="left"/>
            </w:pPr>
            <w:r>
              <w:rPr>
                <w:rFonts w:ascii="Arial" w:hAnsi="Arial" w:eastAsia="宋体"/>
                <w:sz w:val="19"/>
              </w:rPr>
              <w:t xml:space="preserve">预处理气体核验</w:t>
            </w:r>
          </w:p>
        </w:tc>
        <w:tc>
          <w:tcPr>
            <w:tcW w:type="dxa" w:w="3441"/>
            <w:shd w:fill="FFFFFF"/>
          </w:tcPr>
          <w:p>
            <w:pPr>
              <w:keepNext w:val="0"/>
              <w:pageBreakBefore w:val="0"/>
              <w:spacing w:after="60" w:before="60" w:line="283" w:lineRule="auto"/>
              <w:jc w:val="left"/>
            </w:pPr>
            <w:r>
              <w:rPr>
                <w:rFonts w:ascii="Arial" w:hAnsi="Arial" w:eastAsia="宋体"/>
                <w:sz w:val="19"/>
              </w:rPr>
              <w:t xml:space="preserve">停止抽注气24小时后检测注气井和抽气井甲烷，预处理要求低于5%</w:t>
            </w:r>
          </w:p>
        </w:tc>
        <w:tc>
          <w:tcPr>
            <w:tcW w:type="dxa" w:w="4160"/>
            <w:shd w:fill="FFFFFF"/>
          </w:tcPr>
          <w:p>
            <w:pPr>
              <w:keepNext w:val="0"/>
              <w:pageBreakBefore w:val="0"/>
              <w:spacing w:after="60" w:before="60" w:line="283" w:lineRule="auto"/>
              <w:jc w:val="left"/>
            </w:pPr>
            <w:r>
              <w:rPr>
                <w:rFonts w:ascii="Arial" w:hAnsi="Arial" w:eastAsia="宋体"/>
                <w:sz w:val="19"/>
              </w:rPr>
              <w:t xml:space="preserve">S03第6.2.1条；仅为稿件中的堆体预处理指标，不能作为人员进入或机械安全阈值</w:t>
            </w:r>
          </w:p>
        </w:tc>
      </w:tr>
      <w:tr>
        <w:trPr>
          <w:cantSplit/>
        </w:trPr>
        <w:tc>
          <w:tcPr>
            <w:tcW w:type="dxa" w:w="2037"/>
            <w:shd w:fill="EAF2F9"/>
          </w:tcPr>
          <w:p>
            <w:pPr>
              <w:keepNext w:val="0"/>
              <w:pageBreakBefore w:val="0"/>
              <w:spacing w:after="60" w:before="60" w:line="283" w:lineRule="auto"/>
              <w:jc w:val="left"/>
            </w:pPr>
            <w:r>
              <w:rPr>
                <w:rFonts w:ascii="Arial" w:hAnsi="Arial" w:eastAsia="宋体"/>
                <w:sz w:val="19"/>
              </w:rPr>
              <w:t xml:space="preserve">预处理期限</w:t>
            </w:r>
          </w:p>
        </w:tc>
        <w:tc>
          <w:tcPr>
            <w:tcW w:type="dxa" w:w="3441"/>
            <w:shd w:fill="EAF2F9"/>
          </w:tcPr>
          <w:p>
            <w:pPr>
              <w:keepNext w:val="0"/>
              <w:pageBreakBefore w:val="0"/>
              <w:spacing w:after="60" w:before="60" w:line="283" w:lineRule="auto"/>
              <w:jc w:val="left"/>
            </w:pPr>
            <w:r>
              <w:rPr>
                <w:rFonts w:ascii="Arial" w:hAnsi="Arial" w:eastAsia="宋体"/>
                <w:sz w:val="19"/>
              </w:rPr>
              <w:t xml:space="preserve">根据甲烷和含水情况确定，不低于12天</w:t>
            </w:r>
          </w:p>
        </w:tc>
        <w:tc>
          <w:tcPr>
            <w:tcW w:type="dxa" w:w="4160"/>
            <w:shd w:fill="EAF2F9"/>
          </w:tcPr>
          <w:p>
            <w:pPr>
              <w:keepNext w:val="0"/>
              <w:pageBreakBefore w:val="0"/>
              <w:spacing w:after="60" w:before="60" w:line="283" w:lineRule="auto"/>
              <w:jc w:val="left"/>
            </w:pPr>
            <w:r>
              <w:rPr>
                <w:rFonts w:ascii="Arial" w:hAnsi="Arial" w:eastAsia="宋体"/>
                <w:sz w:val="19"/>
              </w:rPr>
              <w:t xml:space="preserve">S03第6.2.6条；达到天数不自动具备开挖许可</w:t>
            </w:r>
          </w:p>
        </w:tc>
      </w:tr>
      <w:tr>
        <w:trPr>
          <w:cantSplit/>
        </w:trPr>
        <w:tc>
          <w:tcPr>
            <w:tcW w:type="dxa" w:w="2037"/>
            <w:shd w:fill="FFFFFF"/>
          </w:tcPr>
          <w:p>
            <w:pPr>
              <w:keepNext w:val="0"/>
              <w:pageBreakBefore w:val="0"/>
              <w:spacing w:after="60" w:before="60" w:line="283" w:lineRule="auto"/>
              <w:jc w:val="left"/>
            </w:pPr>
            <w:r>
              <w:rPr>
                <w:rFonts w:ascii="Arial" w:hAnsi="Arial" w:eastAsia="宋体"/>
                <w:sz w:val="19"/>
              </w:rPr>
              <w:t xml:space="preserve">预处理层深</w:t>
            </w:r>
          </w:p>
        </w:tc>
        <w:tc>
          <w:tcPr>
            <w:tcW w:type="dxa" w:w="3441"/>
            <w:shd w:fill="FFFFFF"/>
          </w:tcPr>
          <w:p>
            <w:pPr>
              <w:keepNext w:val="0"/>
              <w:pageBreakBefore w:val="0"/>
              <w:spacing w:after="60" w:before="60" w:line="283" w:lineRule="auto"/>
              <w:jc w:val="left"/>
            </w:pPr>
            <w:r>
              <w:rPr>
                <w:rFonts w:ascii="Arial" w:hAnsi="Arial" w:eastAsia="宋体"/>
                <w:sz w:val="19"/>
              </w:rPr>
              <w:t xml:space="preserve">宜分层，深度宜5—6米</w:t>
            </w:r>
          </w:p>
        </w:tc>
        <w:tc>
          <w:tcPr>
            <w:tcW w:type="dxa" w:w="4160"/>
            <w:shd w:fill="FFFFFF"/>
          </w:tcPr>
          <w:p>
            <w:pPr>
              <w:keepNext w:val="0"/>
              <w:pageBreakBefore w:val="0"/>
              <w:spacing w:after="60" w:before="60" w:line="283" w:lineRule="auto"/>
              <w:jc w:val="left"/>
            </w:pPr>
            <w:r>
              <w:rPr>
                <w:rFonts w:ascii="Arial" w:hAnsi="Arial" w:eastAsia="宋体"/>
                <w:sz w:val="19"/>
              </w:rPr>
              <w:t xml:space="preserve">S03第6.2.3条；结合场地液位、结构和工艺试验采用</w:t>
            </w:r>
          </w:p>
        </w:tc>
      </w:tr>
      <w:tr>
        <w:trPr>
          <w:cantSplit/>
        </w:trPr>
        <w:tc>
          <w:tcPr>
            <w:tcW w:type="dxa" w:w="2037"/>
            <w:shd w:fill="EAF2F9"/>
          </w:tcPr>
          <w:p>
            <w:pPr>
              <w:keepNext w:val="0"/>
              <w:pageBreakBefore w:val="0"/>
              <w:spacing w:after="60" w:before="60" w:line="283" w:lineRule="auto"/>
              <w:jc w:val="left"/>
            </w:pPr>
            <w:r>
              <w:rPr>
                <w:rFonts w:ascii="Arial" w:hAnsi="Arial" w:eastAsia="宋体"/>
                <w:sz w:val="19"/>
              </w:rPr>
              <w:t xml:space="preserve">作业面气体监测</w:t>
            </w:r>
          </w:p>
        </w:tc>
        <w:tc>
          <w:tcPr>
            <w:tcW w:type="dxa" w:w="3441"/>
            <w:shd w:fill="EAF2F9"/>
          </w:tcPr>
          <w:p>
            <w:pPr>
              <w:keepNext w:val="0"/>
              <w:pageBreakBefore w:val="0"/>
              <w:spacing w:after="60" w:before="60" w:line="283" w:lineRule="auto"/>
              <w:jc w:val="left"/>
            </w:pPr>
            <w:r>
              <w:rPr>
                <w:rFonts w:ascii="Arial" w:hAnsi="Arial" w:eastAsia="宋体"/>
                <w:sz w:val="19"/>
              </w:rPr>
              <w:t xml:space="preserve">作业面上2米范围1—3点，至少每日1次，甲烷超过1%加密</w:t>
            </w:r>
          </w:p>
        </w:tc>
        <w:tc>
          <w:tcPr>
            <w:tcW w:type="dxa" w:w="4160"/>
            <w:shd w:fill="EAF2F9"/>
          </w:tcPr>
          <w:p>
            <w:pPr>
              <w:keepNext w:val="0"/>
              <w:pageBreakBefore w:val="0"/>
              <w:spacing w:after="60" w:before="60" w:line="283" w:lineRule="auto"/>
              <w:jc w:val="left"/>
            </w:pPr>
            <w:r>
              <w:rPr>
                <w:rFonts w:ascii="Arial" w:hAnsi="Arial" w:eastAsia="宋体"/>
                <w:sz w:val="19"/>
              </w:rPr>
              <w:t xml:space="preserve">S03第7.3条；环境监测最低技术参考，独立安全监测按安全设计连续或更严格执行</w:t>
            </w:r>
          </w:p>
        </w:tc>
      </w:tr>
      <w:tr>
        <w:trPr>
          <w:cantSplit/>
        </w:trPr>
        <w:tc>
          <w:tcPr>
            <w:tcW w:type="dxa" w:w="2037"/>
            <w:shd w:fill="FFFFFF"/>
          </w:tcPr>
          <w:p>
            <w:pPr>
              <w:keepNext w:val="0"/>
              <w:pageBreakBefore w:val="0"/>
              <w:spacing w:after="60" w:before="60" w:line="283" w:lineRule="auto"/>
              <w:jc w:val="left"/>
            </w:pPr>
            <w:r>
              <w:rPr>
                <w:rFonts w:ascii="Arial" w:hAnsi="Arial" w:eastAsia="宋体"/>
                <w:sz w:val="19"/>
              </w:rPr>
              <w:t xml:space="preserve">工艺密闭</w:t>
            </w:r>
          </w:p>
        </w:tc>
        <w:tc>
          <w:tcPr>
            <w:tcW w:type="dxa" w:w="3441"/>
            <w:shd w:fill="FFFFFF"/>
          </w:tcPr>
          <w:p>
            <w:pPr>
              <w:keepNext w:val="0"/>
              <w:pageBreakBefore w:val="0"/>
              <w:spacing w:after="60" w:before="60" w:line="283" w:lineRule="auto"/>
              <w:jc w:val="left"/>
            </w:pPr>
            <w:r>
              <w:rPr>
                <w:rFonts w:ascii="Arial" w:hAnsi="Arial" w:eastAsia="宋体"/>
                <w:sz w:val="19"/>
              </w:rPr>
              <w:t xml:space="preserve">沥水、筛分、暂存设施防雨、防渗、集气；输送和装卸防散逸</w:t>
            </w:r>
          </w:p>
        </w:tc>
        <w:tc>
          <w:tcPr>
            <w:tcW w:type="dxa" w:w="4160"/>
            <w:shd w:fill="FFFFFF"/>
          </w:tcPr>
          <w:p>
            <w:pPr>
              <w:keepNext w:val="0"/>
              <w:pageBreakBefore w:val="0"/>
              <w:spacing w:after="60" w:before="60" w:line="283" w:lineRule="auto"/>
              <w:jc w:val="left"/>
            </w:pPr>
            <w:r>
              <w:rPr>
                <w:rFonts w:ascii="Arial" w:hAnsi="Arial" w:eastAsia="宋体"/>
                <w:sz w:val="19"/>
              </w:rPr>
              <w:t xml:space="preserve">S03第6.4条；除臭故障、明显散逸时暂停新增物料</w:t>
            </w:r>
          </w:p>
        </w:tc>
      </w:tr>
    </w:tbl>
    <w:p>
      <w:pPr>
        <w:pStyle w:val="BodyText"/>
      </w:pPr>
      <w:r>
        <w:t xml:space="preserve">人员作业采用独立的可燃气体、氧气及有毒气体检测报警和安全作业制度，由专项设计明确职业接触限值、报警设定、受限空间许可、机械防爆和应急疏散条件。任何井池进入作业不得用征求意见稿的5%或1%甲烷指标替代安全许可判断。[S03第6.1.6、6.3.6（3）条]</w:t>
      </w:r>
    </w:p>
    <w:bookmarkEnd w:id="64"/>
    <w:bookmarkStart w:id="65" w:name="X318a51d77ac4e264c323c942611895c445dbeaa"/>
    <w:p>
      <w:pPr>
        <w:pStyle w:val="Heading3"/>
      </w:pPr>
      <w:r>
        <w:t xml:space="preserve">5.7 开挖层厚、场底保护与稳定</w:t>
      </w:r>
    </w:p>
    <w:p>
      <w:pPr>
        <w:pStyle w:val="FirstParagraph"/>
      </w:pPr>
      <w:r>
        <w:t xml:space="preserve">开挖按从上到下、从高到低、分区分层作业，依据岩土调查和专项验算确定边坡、作业面、机械荷载和层厚。参照征求意见稿第6.3.5条，一般分层厚度不超过5米；本项目不预设整场一次挖到底，深度与地形不明确前不设计大面积深基坑。每次改变液位或开挖形态，复核相邻堆体、坝体和临时支护的稳定。[S03；S06三（五）]</w:t>
      </w:r>
    </w:p>
    <w:p>
      <w:pPr>
        <w:pStyle w:val="BodyText"/>
      </w:pPr>
      <w:r>
        <w:t xml:space="preserve">每日结束作业及时覆膜并完善临时截排水。剥离的未污染覆土与垃圾分开暂存；污染覆土不得冒充干净土。对有人工防渗衬层的区域，接近场底1米时加强监控、降低机械破坏风险，垃圾清除后再按方案处理衬层；对无人工衬层的区域，清查明显污染土，并根据调查、风险和修复目标治理。[S03第6.3.3—6.3.4、6.3.8条；S12]</w:t>
      </w:r>
    </w:p>
    <w:bookmarkEnd w:id="65"/>
    <w:bookmarkStart w:id="69" w:name="Xc0ffc767d076acf2912e2991713a5bd0f1ba4fc"/>
    <w:p>
      <w:pPr>
        <w:pStyle w:val="Heading3"/>
      </w:pPr>
      <w:r>
        <w:t xml:space="preserve">5.8 沥水、筛分与固体去向</w:t>
      </w:r>
    </w:p>
    <w:p>
      <w:pPr>
        <w:pStyle w:val="FirstParagraph"/>
      </w:pPr>
      <w:r>
        <w:t xml:space="preserve">当含水率大于40%时，参照稿件第6.4.3条先沥水后筛分；沥水全部收集处理。筛分设施设防渗地面、收集沟、防雨和集气，按来源单元批次处理和计量。产物设置明确分区、标识和库存上限，库存上限由可用设施、合法接收日量和经审批的贮存条件核定；末端拒收或库存达到控制值，减少或停止新增开挖，不依赖露天扩大堆场。[S03第6.3.1、6.4条]</w:t>
      </w:r>
    </w:p>
    <w:p>
      <w:pPr>
        <w:pStyle w:val="BodyText"/>
      </w:pPr>
      <w:r>
        <w:drawing>
          <wp:inline>
            <wp:extent cx="6108700" cy="2748915"/>
            <wp:effectExtent b="0" l="0" r="0" t="0"/>
            <wp:docPr descr="产物去向" title="" id="67" name="Picture"/>
            <a:graphic>
              <a:graphicData uri="http://schemas.openxmlformats.org/drawingml/2006/picture">
                <pic:pic>
                  <pic:nvPicPr>
                    <pic:cNvPr descr="../figures/06_disposal.png" id="68" name="Picture"/>
                    <pic:cNvPicPr>
                      <a:picLocks noChangeArrowheads="1" noChangeAspect="1"/>
                    </pic:cNvPicPr>
                  </pic:nvPicPr>
                  <pic:blipFill>
                    <a:blip r:embed="rId66"/>
                    <a:stretch>
                      <a:fillRect/>
                    </a:stretch>
                  </pic:blipFill>
                  <pic:spPr bwMode="auto">
                    <a:xfrm>
                      <a:off x="0" y="0"/>
                      <a:ext cx="6108700" cy="2748915"/>
                    </a:xfrm>
                    <a:prstGeom prst="rect">
                      <a:avLst/>
                    </a:prstGeom>
                    <a:noFill/>
                    <a:ln w="9525">
                      <a:noFill/>
                      <a:headEnd/>
                      <a:tailEnd/>
                    </a:ln>
                  </pic:spPr>
                </pic:pic>
              </a:graphicData>
            </a:graphic>
          </wp:inline>
        </w:drawing>
      </w:r>
    </w:p>
    <w:p>
      <w:pPr>
        <w:pStyle w:val="BodyText"/>
        <w:jc w:val="center"/>
      </w:pPr>
      <w:r>
        <w:rPr>
          <w:color w:val="5F7179"/>
          <w:sz w:val="18"/>
        </w:rPr>
        <w:t xml:space="preserve">图7　拟采用分类去向。GB 36600风险筛选、固废属性和实际使用条件分别核验。</w:t>
      </w:r>
    </w:p>
    <w:tbl>
      <w:tblPr>
        <w:tblStyle w:val="Table"/>
        <w:tblW w:type="dxa" w:w="9638"/>
        <w:jc w:val="left"/>
        <w:tblLayout w:type="fixed"/>
        <w:tblLook w:firstRow="1" w:lastRow="0" w:firstColumn="0" w:lastColumn="0" w:noHBand="0" w:noVBand="0" w:val="0020"/>
      </w:tblPr>
      <w:tblGrid>
        <w:gridCol w:w="2142"/>
        <w:gridCol w:w="3413"/>
        <w:gridCol w:w="4083"/>
      </w:tblGrid>
      <w:tr>
        <w:trPr>
          <w:tblHeader w:val="on"/>
          <w:cantSplit/>
          <w:tblHeader w:val="true"/>
        </w:trPr>
        <w:tc>
          <w:tcPr>
            <w:tcW w:type="dxa" w:w="2142"/>
            <w:shd w:fill="174775"/>
          </w:tcPr>
          <w:p>
            <w:pPr>
              <w:keepNext w:val="0"/>
              <w:pageBreakBefore w:val="0"/>
              <w:spacing w:after="60" w:before="60" w:line="283" w:lineRule="auto"/>
              <w:jc w:val="left"/>
            </w:pPr>
            <w:r>
              <w:rPr>
                <w:rFonts w:ascii="Arial" w:hAnsi="Arial" w:eastAsia="宋体"/>
                <w:b/>
                <w:color w:val="FFFFFF"/>
                <w:sz w:val="19"/>
              </w:rPr>
              <w:t xml:space="preserve">产物</w:t>
            </w:r>
          </w:p>
        </w:tc>
        <w:tc>
          <w:tcPr>
            <w:tcW w:type="dxa" w:w="3413"/>
            <w:shd w:fill="174775"/>
          </w:tcPr>
          <w:p>
            <w:pPr>
              <w:keepNext w:val="0"/>
              <w:pageBreakBefore w:val="0"/>
              <w:spacing w:after="60" w:before="60" w:line="283" w:lineRule="auto"/>
              <w:jc w:val="left"/>
            </w:pPr>
            <w:r>
              <w:rPr>
                <w:rFonts w:ascii="Arial" w:hAnsi="Arial" w:eastAsia="宋体"/>
                <w:b/>
                <w:color w:val="FFFFFF"/>
                <w:sz w:val="19"/>
              </w:rPr>
              <w:t xml:space="preserve">检测及核验</w:t>
            </w:r>
          </w:p>
        </w:tc>
        <w:tc>
          <w:tcPr>
            <w:tcW w:type="dxa" w:w="4083"/>
            <w:shd w:fill="174775"/>
          </w:tcPr>
          <w:p>
            <w:pPr>
              <w:keepNext w:val="0"/>
              <w:pageBreakBefore w:val="0"/>
              <w:spacing w:after="60" w:before="60" w:line="283" w:lineRule="auto"/>
              <w:jc w:val="left"/>
            </w:pPr>
            <w:r>
              <w:rPr>
                <w:rFonts w:ascii="Arial" w:hAnsi="Arial" w:eastAsia="宋体"/>
                <w:b/>
                <w:color w:val="FFFFFF"/>
                <w:sz w:val="19"/>
              </w:rPr>
              <w:t xml:space="preserve">去向与失败时处理</w:t>
            </w:r>
          </w:p>
        </w:tc>
      </w:tr>
      <w:tr>
        <w:trPr>
          <w:cantSplit/>
        </w:trPr>
        <w:tc>
          <w:tcPr>
            <w:tcW w:type="dxa" w:w="2142"/>
            <w:shd w:fill="FFFFFF"/>
          </w:tcPr>
          <w:p>
            <w:pPr>
              <w:keepNext w:val="0"/>
              <w:pageBreakBefore w:val="0"/>
              <w:spacing w:after="60" w:before="60" w:line="283" w:lineRule="auto"/>
              <w:jc w:val="left"/>
            </w:pPr>
            <w:r>
              <w:rPr>
                <w:rFonts w:ascii="Arial" w:hAnsi="Arial" w:eastAsia="宋体"/>
                <w:sz w:val="19"/>
              </w:rPr>
              <w:t xml:space="preserve">轻质可燃物</w:t>
            </w:r>
          </w:p>
        </w:tc>
        <w:tc>
          <w:tcPr>
            <w:tcW w:type="dxa" w:w="3413"/>
            <w:shd w:fill="FFFFFF"/>
          </w:tcPr>
          <w:p>
            <w:pPr>
              <w:keepNext w:val="0"/>
              <w:pageBreakBefore w:val="0"/>
              <w:spacing w:after="60" w:before="60" w:line="283" w:lineRule="auto"/>
              <w:jc w:val="left"/>
            </w:pPr>
            <w:r>
              <w:rPr>
                <w:rFonts w:ascii="Arial" w:hAnsi="Arial" w:eastAsia="宋体"/>
                <w:sz w:val="19"/>
              </w:rPr>
              <w:t xml:space="preserve">批次含水、热值及接收设施规定的氯等指标，确认许可和余量</w:t>
            </w:r>
          </w:p>
        </w:tc>
        <w:tc>
          <w:tcPr>
            <w:tcW w:type="dxa" w:w="4083"/>
            <w:shd w:fill="FFFFFF"/>
          </w:tcPr>
          <w:p>
            <w:pPr>
              <w:keepNext w:val="0"/>
              <w:pageBreakBefore w:val="0"/>
              <w:spacing w:after="60" w:before="60" w:line="283" w:lineRule="auto"/>
              <w:jc w:val="left"/>
            </w:pPr>
            <w:r>
              <w:rPr>
                <w:rFonts w:ascii="Arial" w:hAnsi="Arial" w:eastAsia="宋体"/>
                <w:sz w:val="19"/>
              </w:rPr>
              <w:t xml:space="preserve">接收厂满足要求后焚烧等合法处置；不满足条件时调整预处理或其他合规路径</w:t>
            </w:r>
          </w:p>
        </w:tc>
      </w:tr>
      <w:tr>
        <w:trPr>
          <w:cantSplit/>
        </w:trPr>
        <w:tc>
          <w:tcPr>
            <w:tcW w:type="dxa" w:w="2142"/>
            <w:shd w:fill="EAF2F9"/>
          </w:tcPr>
          <w:p>
            <w:pPr>
              <w:keepNext w:val="0"/>
              <w:pageBreakBefore w:val="0"/>
              <w:spacing w:after="60" w:before="60" w:line="283" w:lineRule="auto"/>
              <w:jc w:val="left"/>
            </w:pPr>
            <w:r>
              <w:rPr>
                <w:rFonts w:ascii="Arial" w:hAnsi="Arial" w:eastAsia="宋体"/>
                <w:sz w:val="19"/>
              </w:rPr>
              <w:t xml:space="preserve">金属</w:t>
            </w:r>
          </w:p>
        </w:tc>
        <w:tc>
          <w:tcPr>
            <w:tcW w:type="dxa" w:w="3413"/>
            <w:shd w:fill="EAF2F9"/>
          </w:tcPr>
          <w:p>
            <w:pPr>
              <w:keepNext w:val="0"/>
              <w:pageBreakBefore w:val="0"/>
              <w:spacing w:after="60" w:before="60" w:line="283" w:lineRule="auto"/>
              <w:jc w:val="left"/>
            </w:pPr>
            <w:r>
              <w:rPr>
                <w:rFonts w:ascii="Arial" w:hAnsi="Arial" w:eastAsia="宋体"/>
                <w:sz w:val="19"/>
              </w:rPr>
              <w:t xml:space="preserve">分离纯度、附着污染及渠道合规</w:t>
            </w:r>
          </w:p>
        </w:tc>
        <w:tc>
          <w:tcPr>
            <w:tcW w:type="dxa" w:w="4083"/>
            <w:shd w:fill="EAF2F9"/>
          </w:tcPr>
          <w:p>
            <w:pPr>
              <w:keepNext w:val="0"/>
              <w:pageBreakBefore w:val="0"/>
              <w:spacing w:after="60" w:before="60" w:line="283" w:lineRule="auto"/>
              <w:jc w:val="left"/>
            </w:pPr>
            <w:r>
              <w:rPr>
                <w:rFonts w:ascii="Arial" w:hAnsi="Arial" w:eastAsia="宋体"/>
                <w:sz w:val="19"/>
              </w:rPr>
              <w:t xml:space="preserve">按合规回收渠道利用，合同和计量留痕</w:t>
            </w:r>
          </w:p>
        </w:tc>
      </w:tr>
      <w:tr>
        <w:trPr>
          <w:cantSplit/>
        </w:trPr>
        <w:tc>
          <w:tcPr>
            <w:tcW w:type="dxa" w:w="2142"/>
            <w:shd w:fill="FFFFFF"/>
          </w:tcPr>
          <w:p>
            <w:pPr>
              <w:keepNext w:val="0"/>
              <w:pageBreakBefore w:val="0"/>
              <w:spacing w:after="60" w:before="60" w:line="283" w:lineRule="auto"/>
              <w:jc w:val="left"/>
            </w:pPr>
            <w:r>
              <w:rPr>
                <w:rFonts w:ascii="Arial" w:hAnsi="Arial" w:eastAsia="宋体"/>
                <w:sz w:val="19"/>
              </w:rPr>
              <w:t xml:space="preserve">无机惰性物</w:t>
            </w:r>
          </w:p>
        </w:tc>
        <w:tc>
          <w:tcPr>
            <w:tcW w:type="dxa" w:w="3413"/>
            <w:shd w:fill="FFFFFF"/>
          </w:tcPr>
          <w:p>
            <w:pPr>
              <w:keepNext w:val="0"/>
              <w:pageBreakBefore w:val="0"/>
              <w:spacing w:after="60" w:before="60" w:line="283" w:lineRule="auto"/>
              <w:jc w:val="left"/>
            </w:pPr>
            <w:r>
              <w:rPr>
                <w:rFonts w:ascii="Arial" w:hAnsi="Arial" w:eastAsia="宋体"/>
                <w:sz w:val="19"/>
              </w:rPr>
              <w:t xml:space="preserve">粒径、工程性能、污染特征、用途和属性</w:t>
            </w:r>
          </w:p>
        </w:tc>
        <w:tc>
          <w:tcPr>
            <w:tcW w:type="dxa" w:w="4083"/>
            <w:shd w:fill="FFFFFF"/>
          </w:tcPr>
          <w:p>
            <w:pPr>
              <w:keepNext w:val="0"/>
              <w:pageBreakBefore w:val="0"/>
              <w:spacing w:after="60" w:before="60" w:line="283" w:lineRule="auto"/>
              <w:jc w:val="left"/>
            </w:pPr>
            <w:r>
              <w:rPr>
                <w:rFonts w:ascii="Arial" w:hAnsi="Arial" w:eastAsia="宋体"/>
                <w:sz w:val="19"/>
              </w:rPr>
              <w:t xml:space="preserve">满足实际工程及管理条件方可利用；否则合法处置</w:t>
            </w:r>
          </w:p>
        </w:tc>
      </w:tr>
      <w:tr>
        <w:trPr>
          <w:cantSplit/>
        </w:trPr>
        <w:tc>
          <w:tcPr>
            <w:tcW w:type="dxa" w:w="2142"/>
            <w:shd w:fill="EAF2F9"/>
          </w:tcPr>
          <w:p>
            <w:pPr>
              <w:keepNext w:val="0"/>
              <w:pageBreakBefore w:val="0"/>
              <w:spacing w:after="60" w:before="60" w:line="283" w:lineRule="auto"/>
              <w:jc w:val="left"/>
            </w:pPr>
            <w:r>
              <w:rPr>
                <w:rFonts w:ascii="Arial" w:hAnsi="Arial" w:eastAsia="宋体"/>
                <w:sz w:val="19"/>
              </w:rPr>
              <w:t xml:space="preserve">筛下细料</w:t>
            </w:r>
          </w:p>
        </w:tc>
        <w:tc>
          <w:tcPr>
            <w:tcW w:type="dxa" w:w="3413"/>
            <w:shd w:fill="EAF2F9"/>
          </w:tcPr>
          <w:p>
            <w:pPr>
              <w:keepNext w:val="0"/>
              <w:pageBreakBefore w:val="0"/>
              <w:spacing w:after="60" w:before="60" w:line="283" w:lineRule="auto"/>
              <w:jc w:val="left"/>
            </w:pPr>
            <w:r>
              <w:rPr>
                <w:rFonts w:ascii="Arial" w:hAnsi="Arial" w:eastAsia="宋体"/>
                <w:sz w:val="19"/>
              </w:rPr>
              <w:t xml:space="preserve">按批次评估有机物、污染特征及拟利用性能；核查固废属性和用途标准</w:t>
            </w:r>
          </w:p>
        </w:tc>
        <w:tc>
          <w:tcPr>
            <w:tcW w:type="dxa" w:w="4083"/>
            <w:shd w:fill="EAF2F9"/>
          </w:tcPr>
          <w:p>
            <w:pPr>
              <w:keepNext w:val="0"/>
              <w:pageBreakBefore w:val="0"/>
              <w:spacing w:after="60" w:before="60" w:line="283" w:lineRule="auto"/>
              <w:jc w:val="left"/>
            </w:pPr>
            <w:r>
              <w:rPr>
                <w:rFonts w:ascii="Arial" w:hAnsi="Arial" w:eastAsia="宋体"/>
                <w:sz w:val="19"/>
              </w:rPr>
              <w:t xml:space="preserve">不得只凭GB 36600第二类筛选值外运回填；无合法利用出路时按核准路径处置</w:t>
            </w:r>
          </w:p>
        </w:tc>
      </w:tr>
      <w:tr>
        <w:trPr>
          <w:cantSplit/>
        </w:trPr>
        <w:tc>
          <w:tcPr>
            <w:tcW w:type="dxa" w:w="2142"/>
            <w:shd w:fill="FFFFFF"/>
          </w:tcPr>
          <w:p>
            <w:pPr>
              <w:keepNext w:val="0"/>
              <w:pageBreakBefore w:val="0"/>
              <w:spacing w:after="60" w:before="60" w:line="283" w:lineRule="auto"/>
              <w:jc w:val="left"/>
            </w:pPr>
            <w:r>
              <w:rPr>
                <w:rFonts w:ascii="Arial" w:hAnsi="Arial" w:eastAsia="宋体"/>
                <w:sz w:val="19"/>
              </w:rPr>
              <w:t xml:space="preserve">疑似飞灰、医疗残渣或其他异常废物</w:t>
            </w:r>
          </w:p>
        </w:tc>
        <w:tc>
          <w:tcPr>
            <w:tcW w:type="dxa" w:w="3413"/>
            <w:shd w:fill="FFFFFF"/>
          </w:tcPr>
          <w:p>
            <w:pPr>
              <w:keepNext w:val="0"/>
              <w:pageBreakBefore w:val="0"/>
              <w:spacing w:after="60" w:before="60" w:line="283" w:lineRule="auto"/>
              <w:jc w:val="left"/>
            </w:pPr>
            <w:r>
              <w:rPr>
                <w:rFonts w:ascii="Arial" w:hAnsi="Arial" w:eastAsia="宋体"/>
                <w:sz w:val="19"/>
              </w:rPr>
              <w:t xml:space="preserve">单独隔离，识别来源并依法鉴别；禁止再混合稀释</w:t>
            </w:r>
          </w:p>
        </w:tc>
        <w:tc>
          <w:tcPr>
            <w:tcW w:type="dxa" w:w="4083"/>
            <w:shd w:fill="FFFFFF"/>
          </w:tcPr>
          <w:p>
            <w:pPr>
              <w:keepNext w:val="0"/>
              <w:pageBreakBefore w:val="0"/>
              <w:spacing w:after="60" w:before="60" w:line="283" w:lineRule="auto"/>
              <w:jc w:val="left"/>
            </w:pPr>
            <w:r>
              <w:rPr>
                <w:rFonts w:ascii="Arial" w:hAnsi="Arial" w:eastAsia="宋体"/>
                <w:sz w:val="19"/>
              </w:rPr>
              <w:t xml:space="preserve">依据最终属性与适用要求选择有相应能力、许可的设施，履行转移监管</w:t>
            </w:r>
          </w:p>
        </w:tc>
      </w:tr>
      <w:tr>
        <w:trPr>
          <w:cantSplit/>
        </w:trPr>
        <w:tc>
          <w:tcPr>
            <w:tcW w:type="dxa" w:w="2142"/>
            <w:shd w:fill="EAF2F9"/>
          </w:tcPr>
          <w:p>
            <w:pPr>
              <w:keepNext w:val="0"/>
              <w:pageBreakBefore w:val="0"/>
              <w:spacing w:after="60" w:before="60" w:line="283" w:lineRule="auto"/>
              <w:jc w:val="left"/>
            </w:pPr>
            <w:r>
              <w:rPr>
                <w:rFonts w:ascii="Arial" w:hAnsi="Arial" w:eastAsia="宋体"/>
                <w:sz w:val="19"/>
              </w:rPr>
              <w:t xml:space="preserve">废膜、废管及处理残渣</w:t>
            </w:r>
          </w:p>
        </w:tc>
        <w:tc>
          <w:tcPr>
            <w:tcW w:type="dxa" w:w="3413"/>
            <w:shd w:fill="EAF2F9"/>
          </w:tcPr>
          <w:p>
            <w:pPr>
              <w:keepNext w:val="0"/>
              <w:pageBreakBefore w:val="0"/>
              <w:spacing w:after="60" w:before="60" w:line="283" w:lineRule="auto"/>
              <w:jc w:val="left"/>
            </w:pPr>
            <w:r>
              <w:rPr>
                <w:rFonts w:ascii="Arial" w:hAnsi="Arial" w:eastAsia="宋体"/>
                <w:sz w:val="19"/>
              </w:rPr>
              <w:t xml:space="preserve">来源记录、污染和属性判断</w:t>
            </w:r>
          </w:p>
        </w:tc>
        <w:tc>
          <w:tcPr>
            <w:tcW w:type="dxa" w:w="4083"/>
            <w:shd w:fill="EAF2F9"/>
          </w:tcPr>
          <w:p>
            <w:pPr>
              <w:keepNext w:val="0"/>
              <w:pageBreakBefore w:val="0"/>
              <w:spacing w:after="60" w:before="60" w:line="283" w:lineRule="auto"/>
              <w:jc w:val="left"/>
            </w:pPr>
            <w:r>
              <w:rPr>
                <w:rFonts w:ascii="Arial" w:hAnsi="Arial" w:eastAsia="宋体"/>
                <w:sz w:val="19"/>
              </w:rPr>
              <w:t xml:space="preserve">相应回收、利用或处置，不混入“清洁覆土”</w:t>
            </w:r>
          </w:p>
        </w:tc>
      </w:tr>
    </w:tbl>
    <w:p>
      <w:pPr>
        <w:pStyle w:val="BodyText"/>
      </w:pPr>
      <w:r>
        <w:t xml:space="preserve">依据：S01第511条；S03第6.3.10、6.5条；S09。项目合同预先规定拒收、退运和异常鉴别责任，任何未检验或未获实际去向的物料不得按产品出售。</w:t>
      </w:r>
    </w:p>
    <w:bookmarkEnd w:id="69"/>
    <w:bookmarkStart w:id="70" w:name="Xbe9b1e181ad9ce9bb66e4d5c8f9a36c3d777ccd"/>
    <w:p>
      <w:pPr>
        <w:pStyle w:val="Heading3"/>
      </w:pPr>
      <w:r>
        <w:t xml:space="preserve">5.9 土壤与地下水治理</w:t>
      </w:r>
    </w:p>
    <w:p>
      <w:pPr>
        <w:pStyle w:val="FirstParagraph"/>
      </w:pPr>
      <w:r>
        <w:t xml:space="preserve">地下水调查以水文地质关系和背景值为基础，区分历史污染、施工影响和本地背景。若发现污染或进一步扩散迹象，及时查找渗漏、地下水通道及高液位问题，可经论证采取抽提处理、堆体排水、防渗修补或垂直阻隔等措施，措施须与水量处置能力和地下水流场评估衔接。[S02第7.10条；S03第6.1.5条；S07]</w:t>
      </w:r>
    </w:p>
    <w:p>
      <w:pPr>
        <w:pStyle w:val="BodyText"/>
      </w:pPr>
      <w:r>
        <w:t xml:space="preserve">场底污染土按调查及风险评估确定治理范围、目标和修复技术，不把所有场底土直接外运，也不因垃圾已经移走即认定土壤无风险。修复后由规定的效果评估程序验证。地下水恢复可能晚于垃圾清运，项目保留后续监测、抽提或管控预算和责任，按评估结果调整维护期限。[S06；S12—S13]</w:t>
      </w:r>
    </w:p>
    <w:bookmarkEnd w:id="70"/>
    <w:bookmarkStart w:id="71" w:name="X28a0f45de4c4e359b82497656670349da3ead34"/>
    <w:p>
      <w:pPr>
        <w:pStyle w:val="Heading3"/>
      </w:pPr>
      <w:r>
        <w:t xml:space="preserve">5.10 噪声、运输及天气防护</w:t>
      </w:r>
    </w:p>
    <w:p>
      <w:pPr>
        <w:pStyle w:val="FirstParagraph"/>
      </w:pPr>
      <w:r>
        <w:t xml:space="preserve">建筑施工噪声按GB 12523—2025第4章执行，一般场界昼间70、夜间55分贝，夜间最大声级超限幅度不高于15分贝；测点无法在场界测量或需在敏感建筑室内测量时，按相应条款确定位置及修正评价，不机械套用普通场界限值。[S10第4.1—4.4条]</w:t>
      </w:r>
    </w:p>
    <w:p>
      <w:pPr>
        <w:pStyle w:val="BodyText"/>
      </w:pPr>
      <w:r>
        <w:t xml:space="preserve">场内运输与外运采用密闭、防遗撒车辆，出入口设底盘车轮冲洗和除臭，冲洗水进入污染水系统。路线核查居民点、学校、交通承载及敏感时段，减少集中排队和夜间扰民；异常投诉、道路遗撒与异味记录联动作业管理。[S03第6.3.6、6.5.4条；本项目运输管理安排]</w:t>
      </w:r>
    </w:p>
    <w:p>
      <w:pPr>
        <w:pStyle w:val="BodyText"/>
      </w:pPr>
      <w:r>
        <w:t xml:space="preserve">台风、暴雨前检查截洪、膜锚固、边坡、液位、备用电源及调蓄。天气达到专项方案停工条件时停止开挖和高风险设备作业，保留必要安全运维；雨后复核位移、积水、收集系统和气体再恢复作业。设计降雨与警戒值由专项设计采用实际气象和工程资料确定，不凭经验虚设。</w:t>
      </w:r>
    </w:p>
    <w:bookmarkEnd w:id="71"/>
    <w:bookmarkStart w:id="72" w:name="X13f312a100750e41573cf024c353d9f2ad180da"/>
    <w:p>
      <w:pPr>
        <w:pStyle w:val="Heading3"/>
      </w:pPr>
      <w:r>
        <w:t xml:space="preserve">5.11 分阶段监测</w:t>
      </w:r>
    </w:p>
    <w:p>
      <w:pPr>
        <w:pStyle w:val="FirstParagraph"/>
      </w:pPr>
      <w:r>
        <w:t xml:space="preserve">治理前取得连续历史资料与现状基线；施工期间同时监测排放、地下水、气体、位移和液位；完成单元及竣工后按效果评估和后期维护要求开展监测。监测记录与作业单元、开挖量、天气、设施工况对应，使异常变化能够溯源。[S02；S03第7—8章；S12]</w:t>
      </w:r>
    </w:p>
    <w:tbl>
      <w:tblPr>
        <w:tblStyle w:val="Table"/>
        <w:tblW w:type="dxa" w:w="9638"/>
        <w:jc w:val="left"/>
        <w:tblLayout w:type="fixed"/>
        <w:tblLook w:firstRow="1" w:lastRow="0" w:firstColumn="0" w:lastColumn="0" w:noHBand="0" w:noVBand="0" w:val="0020"/>
      </w:tblPr>
      <w:tblGrid>
        <w:gridCol w:w="1877"/>
        <w:gridCol w:w="4182"/>
        <w:gridCol w:w="3579"/>
      </w:tblGrid>
      <w:tr>
        <w:trPr>
          <w:tblHeader w:val="on"/>
          <w:cantSplit/>
          <w:tblHeader w:val="true"/>
        </w:trPr>
        <w:tc>
          <w:tcPr>
            <w:tcW w:type="dxa" w:w="1877"/>
            <w:shd w:fill="174775"/>
          </w:tcPr>
          <w:p>
            <w:pPr>
              <w:keepNext w:val="0"/>
              <w:pageBreakBefore w:val="0"/>
              <w:spacing w:after="60" w:before="60" w:line="283" w:lineRule="auto"/>
              <w:jc w:val="left"/>
            </w:pPr>
            <w:r>
              <w:rPr>
                <w:rFonts w:ascii="Arial" w:hAnsi="Arial" w:eastAsia="宋体"/>
                <w:b/>
                <w:color w:val="FFFFFF"/>
                <w:sz w:val="19"/>
              </w:rPr>
              <w:t xml:space="preserve">对象</w:t>
            </w:r>
          </w:p>
        </w:tc>
        <w:tc>
          <w:tcPr>
            <w:tcW w:type="dxa" w:w="4182"/>
            <w:shd w:fill="174775"/>
          </w:tcPr>
          <w:p>
            <w:pPr>
              <w:keepNext w:val="0"/>
              <w:pageBreakBefore w:val="0"/>
              <w:spacing w:after="60" w:before="60" w:line="283" w:lineRule="auto"/>
              <w:jc w:val="left"/>
            </w:pPr>
            <w:r>
              <w:rPr>
                <w:rFonts w:ascii="Arial" w:hAnsi="Arial" w:eastAsia="宋体"/>
                <w:b/>
                <w:color w:val="FFFFFF"/>
                <w:sz w:val="19"/>
              </w:rPr>
              <w:t xml:space="preserve">施工期拟采用安排</w:t>
            </w:r>
          </w:p>
        </w:tc>
        <w:tc>
          <w:tcPr>
            <w:tcW w:type="dxa" w:w="3579"/>
            <w:shd w:fill="174775"/>
          </w:tcPr>
          <w:p>
            <w:pPr>
              <w:keepNext w:val="0"/>
              <w:pageBreakBefore w:val="0"/>
              <w:spacing w:after="60" w:before="60" w:line="283" w:lineRule="auto"/>
              <w:jc w:val="left"/>
            </w:pPr>
            <w:r>
              <w:rPr>
                <w:rFonts w:ascii="Arial" w:hAnsi="Arial" w:eastAsia="宋体"/>
                <w:b/>
                <w:color w:val="FFFFFF"/>
                <w:sz w:val="19"/>
              </w:rPr>
              <w:t xml:space="preserve">依据及控制动作</w:t>
            </w:r>
          </w:p>
        </w:tc>
      </w:tr>
      <w:tr>
        <w:trPr>
          <w:cantSplit/>
        </w:trPr>
        <w:tc>
          <w:tcPr>
            <w:tcW w:type="dxa" w:w="1877"/>
            <w:shd w:fill="FFFFFF"/>
          </w:tcPr>
          <w:p>
            <w:pPr>
              <w:keepNext w:val="0"/>
              <w:pageBreakBefore w:val="0"/>
              <w:spacing w:after="60" w:before="60" w:line="283" w:lineRule="auto"/>
              <w:jc w:val="left"/>
            </w:pPr>
            <w:r>
              <w:rPr>
                <w:rFonts w:ascii="Arial" w:hAnsi="Arial" w:eastAsia="宋体"/>
                <w:sz w:val="19"/>
              </w:rPr>
              <w:t xml:space="preserve">地下水</w:t>
            </w:r>
          </w:p>
        </w:tc>
        <w:tc>
          <w:tcPr>
            <w:tcW w:type="dxa" w:w="4182"/>
            <w:shd w:fill="FFFFFF"/>
          </w:tcPr>
          <w:p>
            <w:pPr>
              <w:keepNext w:val="0"/>
              <w:pageBreakBefore w:val="0"/>
              <w:spacing w:after="60" w:before="60" w:line="283" w:lineRule="auto"/>
              <w:jc w:val="left"/>
            </w:pPr>
            <w:r>
              <w:rPr>
                <w:rFonts w:ascii="Arial" w:hAnsi="Arial" w:eastAsia="宋体"/>
                <w:sz w:val="19"/>
              </w:rPr>
              <w:t xml:space="preserve">利用合格既有井，必要时补井；按稿件至少每周1次，异常加密</w:t>
            </w:r>
          </w:p>
        </w:tc>
        <w:tc>
          <w:tcPr>
            <w:tcW w:type="dxa" w:w="3579"/>
            <w:shd w:fill="FFFFFF"/>
          </w:tcPr>
          <w:p>
            <w:pPr>
              <w:keepNext w:val="0"/>
              <w:pageBreakBefore w:val="0"/>
              <w:spacing w:after="60" w:before="60" w:line="283" w:lineRule="auto"/>
              <w:jc w:val="left"/>
            </w:pPr>
            <w:r>
              <w:rPr>
                <w:rFonts w:ascii="Arial" w:hAnsi="Arial" w:eastAsia="宋体"/>
                <w:sz w:val="19"/>
              </w:rPr>
              <w:t xml:space="preserve">S03第7.2条；指标遵守GB 16889；结合背景及流向判别，查因并阻止扩散</w:t>
            </w:r>
          </w:p>
        </w:tc>
      </w:tr>
      <w:tr>
        <w:trPr>
          <w:cantSplit/>
        </w:trPr>
        <w:tc>
          <w:tcPr>
            <w:tcW w:type="dxa" w:w="1877"/>
            <w:shd w:fill="EAF2F9"/>
          </w:tcPr>
          <w:p>
            <w:pPr>
              <w:keepNext w:val="0"/>
              <w:pageBreakBefore w:val="0"/>
              <w:spacing w:after="60" w:before="60" w:line="283" w:lineRule="auto"/>
              <w:jc w:val="left"/>
            </w:pPr>
            <w:r>
              <w:rPr>
                <w:rFonts w:ascii="Arial" w:hAnsi="Arial" w:eastAsia="宋体"/>
                <w:sz w:val="19"/>
              </w:rPr>
              <w:t xml:space="preserve">甲烷及安全气体</w:t>
            </w:r>
          </w:p>
        </w:tc>
        <w:tc>
          <w:tcPr>
            <w:tcW w:type="dxa" w:w="4182"/>
            <w:shd w:fill="EAF2F9"/>
          </w:tcPr>
          <w:p>
            <w:pPr>
              <w:keepNext w:val="0"/>
              <w:pageBreakBefore w:val="0"/>
              <w:spacing w:after="60" w:before="60" w:line="283" w:lineRule="auto"/>
              <w:jc w:val="left"/>
            </w:pPr>
            <w:r>
              <w:rPr>
                <w:rFonts w:ascii="Arial" w:hAnsi="Arial" w:eastAsia="宋体"/>
                <w:sz w:val="19"/>
              </w:rPr>
              <w:t xml:space="preserve">环境监测采用稿件1—3点、至少每日1次及超过1%加密；安全报警按专项方案更严格实施</w:t>
            </w:r>
          </w:p>
        </w:tc>
        <w:tc>
          <w:tcPr>
            <w:tcW w:type="dxa" w:w="3579"/>
            <w:shd w:fill="EAF2F9"/>
          </w:tcPr>
          <w:p>
            <w:pPr>
              <w:keepNext w:val="0"/>
              <w:pageBreakBefore w:val="0"/>
              <w:spacing w:after="60" w:before="60" w:line="283" w:lineRule="auto"/>
              <w:jc w:val="left"/>
            </w:pPr>
            <w:r>
              <w:rPr>
                <w:rFonts w:ascii="Arial" w:hAnsi="Arial" w:eastAsia="宋体"/>
                <w:sz w:val="19"/>
              </w:rPr>
              <w:t xml:space="preserve">S03第7.3及6.3.6（3）条；安全异常立即停工隔离</w:t>
            </w:r>
          </w:p>
        </w:tc>
      </w:tr>
      <w:tr>
        <w:trPr>
          <w:cantSplit/>
        </w:trPr>
        <w:tc>
          <w:tcPr>
            <w:tcW w:type="dxa" w:w="1877"/>
            <w:shd w:fill="FFFFFF"/>
          </w:tcPr>
          <w:p>
            <w:pPr>
              <w:keepNext w:val="0"/>
              <w:pageBreakBefore w:val="0"/>
              <w:spacing w:after="60" w:before="60" w:line="283" w:lineRule="auto"/>
              <w:jc w:val="left"/>
            </w:pPr>
            <w:r>
              <w:rPr>
                <w:rFonts w:ascii="Arial" w:hAnsi="Arial" w:eastAsia="宋体"/>
                <w:sz w:val="19"/>
              </w:rPr>
              <w:t xml:space="preserve">有组织恶臭及无组织排放</w:t>
            </w:r>
          </w:p>
        </w:tc>
        <w:tc>
          <w:tcPr>
            <w:tcW w:type="dxa" w:w="4182"/>
            <w:shd w:fill="FFFFFF"/>
          </w:tcPr>
          <w:p>
            <w:pPr>
              <w:keepNext w:val="0"/>
              <w:pageBreakBefore w:val="0"/>
              <w:spacing w:after="60" w:before="60" w:line="283" w:lineRule="auto"/>
              <w:jc w:val="left"/>
            </w:pPr>
            <w:r>
              <w:rPr>
                <w:rFonts w:ascii="Arial" w:hAnsi="Arial" w:eastAsia="宋体"/>
                <w:sz w:val="19"/>
              </w:rPr>
              <w:t xml:space="preserve">按稿件至少每月1次，敏感点或扰民情况增设在线监测，许可有更严规定的执行更严要求</w:t>
            </w:r>
          </w:p>
        </w:tc>
        <w:tc>
          <w:tcPr>
            <w:tcW w:type="dxa" w:w="3579"/>
            <w:shd w:fill="FFFFFF"/>
          </w:tcPr>
          <w:p>
            <w:pPr>
              <w:keepNext w:val="0"/>
              <w:pageBreakBefore w:val="0"/>
              <w:spacing w:after="60" w:before="60" w:line="283" w:lineRule="auto"/>
              <w:jc w:val="left"/>
            </w:pPr>
            <w:r>
              <w:rPr>
                <w:rFonts w:ascii="Arial" w:hAnsi="Arial" w:eastAsia="宋体"/>
                <w:sz w:val="19"/>
              </w:rPr>
              <w:t xml:space="preserve">S03第7.4条；异常暂停相关新增作业并复核除臭</w:t>
            </w:r>
          </w:p>
        </w:tc>
      </w:tr>
      <w:tr>
        <w:trPr>
          <w:cantSplit/>
        </w:trPr>
        <w:tc>
          <w:tcPr>
            <w:tcW w:type="dxa" w:w="1877"/>
            <w:shd w:fill="EAF2F9"/>
          </w:tcPr>
          <w:p>
            <w:pPr>
              <w:keepNext w:val="0"/>
              <w:pageBreakBefore w:val="0"/>
              <w:spacing w:after="60" w:before="60" w:line="283" w:lineRule="auto"/>
              <w:jc w:val="left"/>
            </w:pPr>
            <w:r>
              <w:rPr>
                <w:rFonts w:ascii="Arial" w:hAnsi="Arial" w:eastAsia="宋体"/>
                <w:sz w:val="19"/>
              </w:rPr>
              <w:t xml:space="preserve">处理水与浓缩液</w:t>
            </w:r>
          </w:p>
        </w:tc>
        <w:tc>
          <w:tcPr>
            <w:tcW w:type="dxa" w:w="4182"/>
            <w:shd w:fill="EAF2F9"/>
          </w:tcPr>
          <w:p>
            <w:pPr>
              <w:keepNext w:val="0"/>
              <w:pageBreakBefore w:val="0"/>
              <w:spacing w:after="60" w:before="60" w:line="283" w:lineRule="auto"/>
              <w:jc w:val="left"/>
            </w:pPr>
            <w:r>
              <w:rPr>
                <w:rFonts w:ascii="Arial" w:hAnsi="Arial" w:eastAsia="宋体"/>
                <w:sz w:val="19"/>
              </w:rPr>
              <w:t xml:space="preserve">保持既有在线及自行监测，按实际新增工况、许可和接收条件调整；分别计量</w:t>
            </w:r>
          </w:p>
        </w:tc>
        <w:tc>
          <w:tcPr>
            <w:tcW w:type="dxa" w:w="3579"/>
            <w:shd w:fill="EAF2F9"/>
          </w:tcPr>
          <w:p>
            <w:pPr>
              <w:keepNext w:val="0"/>
              <w:pageBreakBefore w:val="0"/>
              <w:spacing w:after="60" w:before="60" w:line="283" w:lineRule="auto"/>
              <w:jc w:val="left"/>
            </w:pPr>
            <w:r>
              <w:rPr>
                <w:rFonts w:ascii="Arial" w:hAnsi="Arial" w:eastAsia="宋体"/>
                <w:sz w:val="19"/>
              </w:rPr>
              <w:t xml:space="preserve">S02第9.2条；接收能力、产水指标与库存联动控制</w:t>
            </w:r>
          </w:p>
        </w:tc>
      </w:tr>
      <w:tr>
        <w:trPr>
          <w:cantSplit/>
        </w:trPr>
        <w:tc>
          <w:tcPr>
            <w:tcW w:type="dxa" w:w="1877"/>
            <w:shd w:fill="FFFFFF"/>
          </w:tcPr>
          <w:p>
            <w:pPr>
              <w:keepNext w:val="0"/>
              <w:pageBreakBefore w:val="0"/>
              <w:spacing w:after="60" w:before="60" w:line="283" w:lineRule="auto"/>
              <w:jc w:val="left"/>
            </w:pPr>
            <w:r>
              <w:rPr>
                <w:rFonts w:ascii="Arial" w:hAnsi="Arial" w:eastAsia="宋体"/>
                <w:sz w:val="19"/>
              </w:rPr>
              <w:t xml:space="preserve">位移及水位</w:t>
            </w:r>
          </w:p>
        </w:tc>
        <w:tc>
          <w:tcPr>
            <w:tcW w:type="dxa" w:w="4182"/>
            <w:shd w:fill="FFFFFF"/>
          </w:tcPr>
          <w:p>
            <w:pPr>
              <w:keepNext w:val="0"/>
              <w:pageBreakBefore w:val="0"/>
              <w:spacing w:after="60" w:before="60" w:line="283" w:lineRule="auto"/>
              <w:jc w:val="left"/>
            </w:pPr>
            <w:r>
              <w:rPr>
                <w:rFonts w:ascii="Arial" w:hAnsi="Arial" w:eastAsia="宋体"/>
                <w:sz w:val="19"/>
              </w:rPr>
              <w:t xml:space="preserve">维持原监测，开挖变化和暴雨工况加密；频次与警戒按专项设计</w:t>
            </w:r>
          </w:p>
        </w:tc>
        <w:tc>
          <w:tcPr>
            <w:tcW w:type="dxa" w:w="3579"/>
            <w:shd w:fill="FFFFFF"/>
          </w:tcPr>
          <w:p>
            <w:pPr>
              <w:keepNext w:val="0"/>
              <w:pageBreakBefore w:val="0"/>
              <w:spacing w:after="60" w:before="60" w:line="283" w:lineRule="auto"/>
              <w:jc w:val="left"/>
            </w:pPr>
            <w:r>
              <w:rPr>
                <w:rFonts w:ascii="Arial" w:hAnsi="Arial" w:eastAsia="宋体"/>
                <w:sz w:val="19"/>
              </w:rPr>
              <w:t xml:space="preserve">S02第7.8条、S03第6.3.2条；异常停止危险单元</w:t>
            </w:r>
          </w:p>
        </w:tc>
      </w:tr>
      <w:tr>
        <w:trPr>
          <w:cantSplit/>
        </w:trPr>
        <w:tc>
          <w:tcPr>
            <w:tcW w:type="dxa" w:w="1877"/>
            <w:shd w:fill="EAF2F9"/>
          </w:tcPr>
          <w:p>
            <w:pPr>
              <w:keepNext w:val="0"/>
              <w:pageBreakBefore w:val="0"/>
              <w:spacing w:after="60" w:before="60" w:line="283" w:lineRule="auto"/>
              <w:jc w:val="left"/>
            </w:pPr>
            <w:r>
              <w:rPr>
                <w:rFonts w:ascii="Arial" w:hAnsi="Arial" w:eastAsia="宋体"/>
                <w:sz w:val="19"/>
              </w:rPr>
              <w:t xml:space="preserve">噪声及运输</w:t>
            </w:r>
          </w:p>
        </w:tc>
        <w:tc>
          <w:tcPr>
            <w:tcW w:type="dxa" w:w="4182"/>
            <w:shd w:fill="EAF2F9"/>
          </w:tcPr>
          <w:p>
            <w:pPr>
              <w:keepNext w:val="0"/>
              <w:pageBreakBefore w:val="0"/>
              <w:spacing w:after="60" w:before="60" w:line="283" w:lineRule="auto"/>
              <w:jc w:val="left"/>
            </w:pPr>
            <w:r>
              <w:rPr>
                <w:rFonts w:ascii="Arial" w:hAnsi="Arial" w:eastAsia="宋体"/>
                <w:sz w:val="19"/>
              </w:rPr>
              <w:t xml:space="preserve">按GB 12523—2025规定测点和方法，重点关注敏感时段、投诉和工况变化</w:t>
            </w:r>
          </w:p>
        </w:tc>
        <w:tc>
          <w:tcPr>
            <w:tcW w:type="dxa" w:w="3579"/>
            <w:shd w:fill="EAF2F9"/>
          </w:tcPr>
          <w:p>
            <w:pPr>
              <w:keepNext w:val="0"/>
              <w:pageBreakBefore w:val="0"/>
              <w:spacing w:after="60" w:before="60" w:line="283" w:lineRule="auto"/>
              <w:jc w:val="left"/>
            </w:pPr>
            <w:r>
              <w:rPr>
                <w:rFonts w:ascii="Arial" w:hAnsi="Arial" w:eastAsia="宋体"/>
                <w:sz w:val="19"/>
              </w:rPr>
              <w:t xml:space="preserve">S10；采取隔声、维修、错峰和路线调整</w:t>
            </w:r>
          </w:p>
        </w:tc>
      </w:tr>
    </w:tbl>
    <w:p>
      <w:pPr>
        <w:pStyle w:val="BodyText"/>
      </w:pPr>
      <w:r>
        <w:t xml:space="preserve">上述稿件频次作为本项目拟采用技术参考，并不意味着该稿件已生效；环境监测不能替代职业健康、安全生产监测。项目按实际许可和主管部门要求确定最终方案。</w:t>
      </w:r>
    </w:p>
    <w:bookmarkEnd w:id="72"/>
    <w:bookmarkStart w:id="76" w:name="X88d6973334524d70956617618417493d0d293a8"/>
    <w:p>
      <w:pPr>
        <w:pStyle w:val="Heading3"/>
      </w:pPr>
      <w:r>
        <w:t xml:space="preserve">5.12 具体风险点和应对</w:t>
      </w:r>
    </w:p>
    <w:p>
      <w:pPr>
        <w:pStyle w:val="FirstParagraph"/>
      </w:pPr>
      <w:r>
        <w:drawing>
          <wp:inline>
            <wp:extent cx="6108700" cy="2748915"/>
            <wp:effectExtent b="0" l="0" r="0" t="0"/>
            <wp:docPr descr="异常处置" title="" id="74" name="Picture"/>
            <a:graphic>
              <a:graphicData uri="http://schemas.openxmlformats.org/drawingml/2006/picture">
                <pic:pic>
                  <pic:nvPicPr>
                    <pic:cNvPr descr="../figures/09_stop.png" id="75" name="Picture"/>
                    <pic:cNvPicPr>
                      <a:picLocks noChangeArrowheads="1" noChangeAspect="1"/>
                    </pic:cNvPicPr>
                  </pic:nvPicPr>
                  <pic:blipFill>
                    <a:blip r:embed="rId73"/>
                    <a:stretch>
                      <a:fillRect/>
                    </a:stretch>
                  </pic:blipFill>
                  <pic:spPr bwMode="auto">
                    <a:xfrm>
                      <a:off x="0" y="0"/>
                      <a:ext cx="6108700" cy="2748915"/>
                    </a:xfrm>
                    <a:prstGeom prst="rect">
                      <a:avLst/>
                    </a:prstGeom>
                    <a:noFill/>
                    <a:ln w="9525">
                      <a:noFill/>
                      <a:headEnd/>
                      <a:tailEnd/>
                    </a:ln>
                  </pic:spPr>
                </pic:pic>
              </a:graphicData>
            </a:graphic>
          </wp:inline>
        </w:drawing>
      </w:r>
    </w:p>
    <w:p>
      <w:pPr>
        <w:pStyle w:val="BodyText"/>
        <w:jc w:val="center"/>
      </w:pPr>
      <w:r>
        <w:rPr>
          <w:color w:val="5F7179"/>
          <w:sz w:val="18"/>
        </w:rPr>
        <w:t xml:space="preserve">图8　发现异常后的项目控制程序。恢复作业须满足纠偏、复核和记录要求，不能只凭进度需要恢复。</w:t>
      </w:r>
    </w:p>
    <w:tbl>
      <w:tblPr>
        <w:tblStyle w:val="Table"/>
        <w:tblW w:type="dxa" w:w="9638"/>
        <w:jc w:val="left"/>
        <w:tblLayout w:type="fixed"/>
        <w:tblLook w:firstRow="1" w:lastRow="0" w:firstColumn="0" w:lastColumn="0" w:noHBand="0" w:noVBand="0" w:val="0020"/>
      </w:tblPr>
      <w:tblGrid>
        <w:gridCol w:w="2288"/>
        <w:gridCol w:w="4038"/>
        <w:gridCol w:w="3312"/>
      </w:tblGrid>
      <w:tr>
        <w:trPr>
          <w:tblHeader w:val="on"/>
          <w:cantSplit/>
          <w:tblHeader w:val="true"/>
        </w:trPr>
        <w:tc>
          <w:tcPr>
            <w:tcW w:type="dxa" w:w="2288"/>
            <w:shd w:fill="174775"/>
          </w:tcPr>
          <w:p>
            <w:pPr>
              <w:keepNext w:val="0"/>
              <w:pageBreakBefore w:val="0"/>
              <w:spacing w:after="60" w:before="60" w:line="283" w:lineRule="auto"/>
              <w:jc w:val="left"/>
            </w:pPr>
            <w:r>
              <w:rPr>
                <w:rFonts w:ascii="Arial" w:hAnsi="Arial" w:eastAsia="宋体"/>
                <w:b/>
                <w:color w:val="FFFFFF"/>
                <w:sz w:val="19"/>
              </w:rPr>
              <w:t xml:space="preserve">风险点与触发迹象</w:t>
            </w:r>
          </w:p>
        </w:tc>
        <w:tc>
          <w:tcPr>
            <w:tcW w:type="dxa" w:w="4038"/>
            <w:shd w:fill="174775"/>
          </w:tcPr>
          <w:p>
            <w:pPr>
              <w:keepNext w:val="0"/>
              <w:pageBreakBefore w:val="0"/>
              <w:spacing w:after="60" w:before="60" w:line="283" w:lineRule="auto"/>
              <w:jc w:val="left"/>
            </w:pPr>
            <w:r>
              <w:rPr>
                <w:rFonts w:ascii="Arial" w:hAnsi="Arial" w:eastAsia="宋体"/>
                <w:b/>
                <w:color w:val="FFFFFF"/>
                <w:sz w:val="19"/>
              </w:rPr>
              <w:t xml:space="preserve">处置措施</w:t>
            </w:r>
          </w:p>
        </w:tc>
        <w:tc>
          <w:tcPr>
            <w:tcW w:type="dxa" w:w="3312"/>
            <w:shd w:fill="174775"/>
          </w:tcPr>
          <w:p>
            <w:pPr>
              <w:keepNext w:val="0"/>
              <w:pageBreakBefore w:val="0"/>
              <w:spacing w:after="60" w:before="60" w:line="283" w:lineRule="auto"/>
              <w:jc w:val="left"/>
            </w:pPr>
            <w:r>
              <w:rPr>
                <w:rFonts w:ascii="Arial" w:hAnsi="Arial" w:eastAsia="宋体"/>
                <w:b/>
                <w:color w:val="FFFFFF"/>
                <w:sz w:val="19"/>
              </w:rPr>
              <w:t xml:space="preserve">责任安排与复核成果</w:t>
            </w:r>
          </w:p>
        </w:tc>
      </w:tr>
      <w:tr>
        <w:trPr>
          <w:cantSplit/>
        </w:trPr>
        <w:tc>
          <w:tcPr>
            <w:tcW w:type="dxa" w:w="2288"/>
            <w:shd w:fill="FFFFFF"/>
          </w:tcPr>
          <w:p>
            <w:pPr>
              <w:keepNext w:val="0"/>
              <w:pageBreakBefore w:val="0"/>
              <w:spacing w:after="60" w:before="60" w:line="283" w:lineRule="auto"/>
              <w:jc w:val="left"/>
            </w:pPr>
            <w:r>
              <w:rPr>
                <w:rFonts w:ascii="Arial" w:hAnsi="Arial" w:eastAsia="宋体"/>
                <w:sz w:val="19"/>
              </w:rPr>
              <w:t xml:space="preserve">内部积液或外溢，液位升高、收集堵塞</w:t>
            </w:r>
          </w:p>
        </w:tc>
        <w:tc>
          <w:tcPr>
            <w:tcW w:type="dxa" w:w="4038"/>
            <w:shd w:fill="FFFFFF"/>
          </w:tcPr>
          <w:p>
            <w:pPr>
              <w:keepNext w:val="0"/>
              <w:pageBreakBefore w:val="0"/>
              <w:spacing w:after="60" w:before="60" w:line="283" w:lineRule="auto"/>
              <w:jc w:val="left"/>
            </w:pPr>
            <w:r>
              <w:rPr>
                <w:rFonts w:ascii="Arial" w:hAnsi="Arial" w:eastAsia="宋体"/>
                <w:sz w:val="19"/>
              </w:rPr>
              <w:t xml:space="preserve">停止新开挖和新增污染负荷；启用抽排、备用设施和合法应急接收，检修防渗导排</w:t>
            </w:r>
          </w:p>
        </w:tc>
        <w:tc>
          <w:tcPr>
            <w:tcW w:type="dxa" w:w="3312"/>
            <w:shd w:fill="FFFFFF"/>
          </w:tcPr>
          <w:p>
            <w:pPr>
              <w:keepNext w:val="0"/>
              <w:pageBreakBefore w:val="0"/>
              <w:spacing w:after="60" w:before="60" w:line="283" w:lineRule="auto"/>
              <w:jc w:val="left"/>
            </w:pPr>
            <w:r>
              <w:rPr>
                <w:rFonts w:ascii="Arial" w:hAnsi="Arial" w:eastAsia="宋体"/>
                <w:sz w:val="19"/>
              </w:rPr>
              <w:t xml:space="preserve">施工及运维单位处置，监理核查；形成液位、水量和去向记录</w:t>
            </w:r>
          </w:p>
        </w:tc>
      </w:tr>
      <w:tr>
        <w:trPr>
          <w:cantSplit/>
        </w:trPr>
        <w:tc>
          <w:tcPr>
            <w:tcW w:type="dxa" w:w="2288"/>
            <w:shd w:fill="EAF2F9"/>
          </w:tcPr>
          <w:p>
            <w:pPr>
              <w:keepNext w:val="0"/>
              <w:pageBreakBefore w:val="0"/>
              <w:spacing w:after="60" w:before="60" w:line="283" w:lineRule="auto"/>
              <w:jc w:val="left"/>
            </w:pPr>
            <w:r>
              <w:rPr>
                <w:rFonts w:ascii="Arial" w:hAnsi="Arial" w:eastAsia="宋体"/>
                <w:sz w:val="19"/>
              </w:rPr>
              <w:t xml:space="preserve">甲烷、有毒气体或低氧报警</w:t>
            </w:r>
          </w:p>
        </w:tc>
        <w:tc>
          <w:tcPr>
            <w:tcW w:type="dxa" w:w="4038"/>
            <w:shd w:fill="EAF2F9"/>
          </w:tcPr>
          <w:p>
            <w:pPr>
              <w:keepNext w:val="0"/>
              <w:pageBreakBefore w:val="0"/>
              <w:spacing w:after="60" w:before="60" w:line="283" w:lineRule="auto"/>
              <w:jc w:val="left"/>
            </w:pPr>
            <w:r>
              <w:rPr>
                <w:rFonts w:ascii="Arial" w:hAnsi="Arial" w:eastAsia="宋体"/>
                <w:sz w:val="19"/>
              </w:rPr>
              <w:t xml:space="preserve">停止危险区作业、疏散和隔离；核查通风抽气及气体来源，按专项安全条件复测</w:t>
            </w:r>
          </w:p>
        </w:tc>
        <w:tc>
          <w:tcPr>
            <w:tcW w:type="dxa" w:w="3312"/>
            <w:shd w:fill="EAF2F9"/>
          </w:tcPr>
          <w:p>
            <w:pPr>
              <w:keepNext w:val="0"/>
              <w:pageBreakBefore w:val="0"/>
              <w:spacing w:after="60" w:before="60" w:line="283" w:lineRule="auto"/>
              <w:jc w:val="left"/>
            </w:pPr>
            <w:r>
              <w:rPr>
                <w:rFonts w:ascii="Arial" w:hAnsi="Arial" w:eastAsia="宋体"/>
                <w:sz w:val="19"/>
              </w:rPr>
              <w:t xml:space="preserve">安全负责人组织，专业单位复核；保留报警、人员清点和复工记录</w:t>
            </w:r>
          </w:p>
        </w:tc>
      </w:tr>
      <w:tr>
        <w:trPr>
          <w:cantSplit/>
        </w:trPr>
        <w:tc>
          <w:tcPr>
            <w:tcW w:type="dxa" w:w="2288"/>
            <w:shd w:fill="FFFFFF"/>
          </w:tcPr>
          <w:p>
            <w:pPr>
              <w:keepNext w:val="0"/>
              <w:pageBreakBefore w:val="0"/>
              <w:spacing w:after="60" w:before="60" w:line="283" w:lineRule="auto"/>
              <w:jc w:val="left"/>
            </w:pPr>
            <w:r>
              <w:rPr>
                <w:rFonts w:ascii="Arial" w:hAnsi="Arial" w:eastAsia="宋体"/>
                <w:sz w:val="19"/>
              </w:rPr>
              <w:t xml:space="preserve">注气造成自热或火情</w:t>
            </w:r>
          </w:p>
        </w:tc>
        <w:tc>
          <w:tcPr>
            <w:tcW w:type="dxa" w:w="4038"/>
            <w:shd w:fill="FFFFFF"/>
          </w:tcPr>
          <w:p>
            <w:pPr>
              <w:keepNext w:val="0"/>
              <w:pageBreakBefore w:val="0"/>
              <w:spacing w:after="60" w:before="60" w:line="283" w:lineRule="auto"/>
              <w:jc w:val="left"/>
            </w:pPr>
            <w:r>
              <w:rPr>
                <w:rFonts w:ascii="Arial" w:hAnsi="Arial" w:eastAsia="宋体"/>
                <w:sz w:val="19"/>
              </w:rPr>
              <w:t xml:space="preserve">停止相关注气和物料作业，实施专项防火处置，防止消防污水外排</w:t>
            </w:r>
          </w:p>
        </w:tc>
        <w:tc>
          <w:tcPr>
            <w:tcW w:type="dxa" w:w="3312"/>
            <w:shd w:fill="FFFFFF"/>
          </w:tcPr>
          <w:p>
            <w:pPr>
              <w:keepNext w:val="0"/>
              <w:pageBreakBefore w:val="0"/>
              <w:spacing w:after="60" w:before="60" w:line="283" w:lineRule="auto"/>
              <w:jc w:val="left"/>
            </w:pPr>
            <w:r>
              <w:rPr>
                <w:rFonts w:ascii="Arial" w:hAnsi="Arial" w:eastAsia="宋体"/>
                <w:sz w:val="19"/>
              </w:rPr>
              <w:t xml:space="preserve">施工安全组及应急体系响应；气体温度和污水去向复核</w:t>
            </w:r>
          </w:p>
        </w:tc>
      </w:tr>
      <w:tr>
        <w:trPr>
          <w:cantSplit/>
        </w:trPr>
        <w:tc>
          <w:tcPr>
            <w:tcW w:type="dxa" w:w="2288"/>
            <w:shd w:fill="EAF2F9"/>
          </w:tcPr>
          <w:p>
            <w:pPr>
              <w:keepNext w:val="0"/>
              <w:pageBreakBefore w:val="0"/>
              <w:spacing w:after="60" w:before="60" w:line="283" w:lineRule="auto"/>
              <w:jc w:val="left"/>
            </w:pPr>
            <w:r>
              <w:rPr>
                <w:rFonts w:ascii="Arial" w:hAnsi="Arial" w:eastAsia="宋体"/>
                <w:sz w:val="19"/>
              </w:rPr>
              <w:t xml:space="preserve">边坡位移、局部坍塌或机械超载</w:t>
            </w:r>
          </w:p>
        </w:tc>
        <w:tc>
          <w:tcPr>
            <w:tcW w:type="dxa" w:w="4038"/>
            <w:shd w:fill="EAF2F9"/>
          </w:tcPr>
          <w:p>
            <w:pPr>
              <w:keepNext w:val="0"/>
              <w:pageBreakBefore w:val="0"/>
              <w:spacing w:after="60" w:before="60" w:line="283" w:lineRule="auto"/>
              <w:jc w:val="left"/>
            </w:pPr>
            <w:r>
              <w:rPr>
                <w:rFonts w:ascii="Arial" w:hAnsi="Arial" w:eastAsia="宋体"/>
                <w:sz w:val="19"/>
              </w:rPr>
              <w:t xml:space="preserve">撤离危险区，停止坡脚扰动；降液位、卸载、支护或坝体加固经专业论证</w:t>
            </w:r>
          </w:p>
        </w:tc>
        <w:tc>
          <w:tcPr>
            <w:tcW w:type="dxa" w:w="3312"/>
            <w:shd w:fill="EAF2F9"/>
          </w:tcPr>
          <w:p>
            <w:pPr>
              <w:keepNext w:val="0"/>
              <w:pageBreakBefore w:val="0"/>
              <w:spacing w:after="60" w:before="60" w:line="283" w:lineRule="auto"/>
              <w:jc w:val="left"/>
            </w:pPr>
            <w:r>
              <w:rPr>
                <w:rFonts w:ascii="Arial" w:hAnsi="Arial" w:eastAsia="宋体"/>
                <w:sz w:val="19"/>
              </w:rPr>
              <w:t xml:space="preserve">岩土技术负责人、监理；稳定复核与重新划定作业区</w:t>
            </w:r>
          </w:p>
        </w:tc>
      </w:tr>
      <w:tr>
        <w:trPr>
          <w:cantSplit/>
        </w:trPr>
        <w:tc>
          <w:tcPr>
            <w:tcW w:type="dxa" w:w="2288"/>
            <w:shd w:fill="FFFFFF"/>
          </w:tcPr>
          <w:p>
            <w:pPr>
              <w:keepNext w:val="0"/>
              <w:pageBreakBefore w:val="0"/>
              <w:spacing w:after="60" w:before="60" w:line="283" w:lineRule="auto"/>
              <w:jc w:val="left"/>
            </w:pPr>
            <w:r>
              <w:rPr>
                <w:rFonts w:ascii="Arial" w:hAnsi="Arial" w:eastAsia="宋体"/>
                <w:sz w:val="19"/>
              </w:rPr>
              <w:t xml:space="preserve">浓缩液渠道中断、储罐液位接近控制值</w:t>
            </w:r>
          </w:p>
        </w:tc>
        <w:tc>
          <w:tcPr>
            <w:tcW w:type="dxa" w:w="4038"/>
            <w:shd w:fill="FFFFFF"/>
          </w:tcPr>
          <w:p>
            <w:pPr>
              <w:keepNext w:val="0"/>
              <w:pageBreakBefore w:val="0"/>
              <w:spacing w:after="60" w:before="60" w:line="283" w:lineRule="auto"/>
              <w:jc w:val="left"/>
            </w:pPr>
            <w:r>
              <w:rPr>
                <w:rFonts w:ascii="Arial" w:hAnsi="Arial" w:eastAsia="宋体"/>
                <w:sz w:val="19"/>
              </w:rPr>
              <w:t xml:space="preserve">提前减载，不新增开挖排水；启用已核验备用渠道，核查罐体和转运能力</w:t>
            </w:r>
          </w:p>
        </w:tc>
        <w:tc>
          <w:tcPr>
            <w:tcW w:type="dxa" w:w="3312"/>
            <w:shd w:fill="FFFFFF"/>
          </w:tcPr>
          <w:p>
            <w:pPr>
              <w:keepNext w:val="0"/>
              <w:pageBreakBefore w:val="0"/>
              <w:spacing w:after="60" w:before="60" w:line="283" w:lineRule="auto"/>
              <w:jc w:val="left"/>
            </w:pPr>
            <w:r>
              <w:rPr>
                <w:rFonts w:ascii="Arial" w:hAnsi="Arial" w:eastAsia="宋体"/>
                <w:sz w:val="19"/>
              </w:rPr>
              <w:t xml:space="preserve">运维单位与业主协调；合法接收及库存回执</w:t>
            </w:r>
          </w:p>
        </w:tc>
      </w:tr>
      <w:tr>
        <w:trPr>
          <w:cantSplit/>
        </w:trPr>
        <w:tc>
          <w:tcPr>
            <w:tcW w:type="dxa" w:w="2288"/>
            <w:shd w:fill="EAF2F9"/>
          </w:tcPr>
          <w:p>
            <w:pPr>
              <w:keepNext w:val="0"/>
              <w:pageBreakBefore w:val="0"/>
              <w:spacing w:after="60" w:before="60" w:line="283" w:lineRule="auto"/>
              <w:jc w:val="left"/>
            </w:pPr>
            <w:r>
              <w:rPr>
                <w:rFonts w:ascii="Arial" w:hAnsi="Arial" w:eastAsia="宋体"/>
                <w:sz w:val="19"/>
              </w:rPr>
              <w:t xml:space="preserve">末端拒收、筛下物滞留</w:t>
            </w:r>
          </w:p>
        </w:tc>
        <w:tc>
          <w:tcPr>
            <w:tcW w:type="dxa" w:w="4038"/>
            <w:shd w:fill="EAF2F9"/>
          </w:tcPr>
          <w:p>
            <w:pPr>
              <w:keepNext w:val="0"/>
              <w:pageBreakBefore w:val="0"/>
              <w:spacing w:after="60" w:before="60" w:line="283" w:lineRule="auto"/>
              <w:jc w:val="left"/>
            </w:pPr>
            <w:r>
              <w:rPr>
                <w:rFonts w:ascii="Arial" w:hAnsi="Arial" w:eastAsia="宋体"/>
                <w:sz w:val="19"/>
              </w:rPr>
              <w:t xml:space="preserve">按未落实去向物料管理，停止新增开挖或对应筛分，重新试验及合同确认</w:t>
            </w:r>
          </w:p>
        </w:tc>
        <w:tc>
          <w:tcPr>
            <w:tcW w:type="dxa" w:w="3312"/>
            <w:shd w:fill="EAF2F9"/>
          </w:tcPr>
          <w:p>
            <w:pPr>
              <w:keepNext w:val="0"/>
              <w:pageBreakBefore w:val="0"/>
              <w:spacing w:after="60" w:before="60" w:line="283" w:lineRule="auto"/>
              <w:jc w:val="left"/>
            </w:pPr>
            <w:r>
              <w:rPr>
                <w:rFonts w:ascii="Arial" w:hAnsi="Arial" w:eastAsia="宋体"/>
                <w:sz w:val="19"/>
              </w:rPr>
              <w:t xml:space="preserve">项目处置负责人；真实接收能力和复核质量资料</w:t>
            </w:r>
          </w:p>
        </w:tc>
      </w:tr>
      <w:tr>
        <w:trPr>
          <w:cantSplit/>
        </w:trPr>
        <w:tc>
          <w:tcPr>
            <w:tcW w:type="dxa" w:w="2288"/>
            <w:shd w:fill="FFFFFF"/>
          </w:tcPr>
          <w:p>
            <w:pPr>
              <w:keepNext w:val="0"/>
              <w:pageBreakBefore w:val="0"/>
              <w:spacing w:after="60" w:before="60" w:line="283" w:lineRule="auto"/>
              <w:jc w:val="left"/>
            </w:pPr>
            <w:r>
              <w:rPr>
                <w:rFonts w:ascii="Arial" w:hAnsi="Arial" w:eastAsia="宋体"/>
                <w:sz w:val="19"/>
              </w:rPr>
              <w:t xml:space="preserve">飞灰、医疗残渣、油桶等异常物</w:t>
            </w:r>
          </w:p>
        </w:tc>
        <w:tc>
          <w:tcPr>
            <w:tcW w:type="dxa" w:w="4038"/>
            <w:shd w:fill="FFFFFF"/>
          </w:tcPr>
          <w:p>
            <w:pPr>
              <w:keepNext w:val="0"/>
              <w:pageBreakBefore w:val="0"/>
              <w:spacing w:after="60" w:before="60" w:line="283" w:lineRule="auto"/>
              <w:jc w:val="left"/>
            </w:pPr>
            <w:r>
              <w:rPr>
                <w:rFonts w:ascii="Arial" w:hAnsi="Arial" w:eastAsia="宋体"/>
                <w:sz w:val="19"/>
              </w:rPr>
              <w:t xml:space="preserve">隔离单独贮存，禁止混料和稀释；依法鉴别并转移至适配设施</w:t>
            </w:r>
          </w:p>
        </w:tc>
        <w:tc>
          <w:tcPr>
            <w:tcW w:type="dxa" w:w="3312"/>
            <w:shd w:fill="FFFFFF"/>
          </w:tcPr>
          <w:p>
            <w:pPr>
              <w:keepNext w:val="0"/>
              <w:pageBreakBefore w:val="0"/>
              <w:spacing w:after="60" w:before="60" w:line="283" w:lineRule="auto"/>
              <w:jc w:val="left"/>
            </w:pPr>
            <w:r>
              <w:rPr>
                <w:rFonts w:ascii="Arial" w:hAnsi="Arial" w:eastAsia="宋体"/>
                <w:sz w:val="19"/>
              </w:rPr>
              <w:t xml:space="preserve">施工、环保管理人员；鉴别报告、许可证和转移记录</w:t>
            </w:r>
          </w:p>
        </w:tc>
      </w:tr>
      <w:tr>
        <w:trPr>
          <w:cantSplit/>
        </w:trPr>
        <w:tc>
          <w:tcPr>
            <w:tcW w:type="dxa" w:w="2288"/>
            <w:shd w:fill="EAF2F9"/>
          </w:tcPr>
          <w:p>
            <w:pPr>
              <w:keepNext w:val="0"/>
              <w:pageBreakBefore w:val="0"/>
              <w:spacing w:after="60" w:before="60" w:line="283" w:lineRule="auto"/>
              <w:jc w:val="left"/>
            </w:pPr>
            <w:r>
              <w:rPr>
                <w:rFonts w:ascii="Arial" w:hAnsi="Arial" w:eastAsia="宋体"/>
                <w:sz w:val="19"/>
              </w:rPr>
              <w:t xml:space="preserve">地下水指标异常或污染加重</w:t>
            </w:r>
          </w:p>
        </w:tc>
        <w:tc>
          <w:tcPr>
            <w:tcW w:type="dxa" w:w="4038"/>
            <w:shd w:fill="EAF2F9"/>
          </w:tcPr>
          <w:p>
            <w:pPr>
              <w:keepNext w:val="0"/>
              <w:pageBreakBefore w:val="0"/>
              <w:spacing w:after="60" w:before="60" w:line="283" w:lineRule="auto"/>
              <w:jc w:val="left"/>
            </w:pPr>
            <w:r>
              <w:rPr>
                <w:rFonts w:ascii="Arial" w:hAnsi="Arial" w:eastAsia="宋体"/>
                <w:sz w:val="19"/>
              </w:rPr>
              <w:t xml:space="preserve">核查采样和背景，同时查漏；实施防渗修补、抽提或阻隔等论证措施</w:t>
            </w:r>
          </w:p>
        </w:tc>
        <w:tc>
          <w:tcPr>
            <w:tcW w:type="dxa" w:w="3312"/>
            <w:shd w:fill="EAF2F9"/>
          </w:tcPr>
          <w:p>
            <w:pPr>
              <w:keepNext w:val="0"/>
              <w:pageBreakBefore w:val="0"/>
              <w:spacing w:after="60" w:before="60" w:line="283" w:lineRule="auto"/>
              <w:jc w:val="left"/>
            </w:pPr>
            <w:r>
              <w:rPr>
                <w:rFonts w:ascii="Arial" w:hAnsi="Arial" w:eastAsia="宋体"/>
                <w:sz w:val="19"/>
              </w:rPr>
              <w:t xml:space="preserve">环保技术负责人及业主；趋势、流场和措施有效性核验</w:t>
            </w:r>
          </w:p>
        </w:tc>
      </w:tr>
      <w:tr>
        <w:trPr>
          <w:cantSplit/>
        </w:trPr>
        <w:tc>
          <w:tcPr>
            <w:tcW w:type="dxa" w:w="2288"/>
            <w:shd w:fill="FFFFFF"/>
          </w:tcPr>
          <w:p>
            <w:pPr>
              <w:keepNext w:val="0"/>
              <w:pageBreakBefore w:val="0"/>
              <w:spacing w:after="60" w:before="60" w:line="283" w:lineRule="auto"/>
              <w:jc w:val="left"/>
            </w:pPr>
            <w:r>
              <w:rPr>
                <w:rFonts w:ascii="Arial" w:hAnsi="Arial" w:eastAsia="宋体"/>
                <w:sz w:val="19"/>
              </w:rPr>
              <w:t xml:space="preserve">恶臭投诉或处理系统失效</w:t>
            </w:r>
          </w:p>
        </w:tc>
        <w:tc>
          <w:tcPr>
            <w:tcW w:type="dxa" w:w="4038"/>
            <w:shd w:fill="FFFFFF"/>
          </w:tcPr>
          <w:p>
            <w:pPr>
              <w:keepNext w:val="0"/>
              <w:pageBreakBefore w:val="0"/>
              <w:spacing w:after="60" w:before="60" w:line="283" w:lineRule="auto"/>
              <w:jc w:val="left"/>
            </w:pPr>
            <w:r>
              <w:rPr>
                <w:rFonts w:ascii="Arial" w:hAnsi="Arial" w:eastAsia="宋体"/>
                <w:sz w:val="19"/>
              </w:rPr>
              <w:t xml:space="preserve">缩小并覆盖作业面、停止新增物料，修复集气除臭；敏感点加密监测与反馈</w:t>
            </w:r>
          </w:p>
        </w:tc>
        <w:tc>
          <w:tcPr>
            <w:tcW w:type="dxa" w:w="3312"/>
            <w:shd w:fill="FFFFFF"/>
          </w:tcPr>
          <w:p>
            <w:pPr>
              <w:keepNext w:val="0"/>
              <w:pageBreakBefore w:val="0"/>
              <w:spacing w:after="60" w:before="60" w:line="283" w:lineRule="auto"/>
              <w:jc w:val="left"/>
            </w:pPr>
            <w:r>
              <w:rPr>
                <w:rFonts w:ascii="Arial" w:hAnsi="Arial" w:eastAsia="宋体"/>
                <w:sz w:val="19"/>
              </w:rPr>
              <w:t xml:space="preserve">施工及环保组；投诉闭合和复测结果</w:t>
            </w:r>
          </w:p>
        </w:tc>
      </w:tr>
      <w:tr>
        <w:trPr>
          <w:cantSplit/>
        </w:trPr>
        <w:tc>
          <w:tcPr>
            <w:tcW w:type="dxa" w:w="2288"/>
            <w:shd w:fill="EAF2F9"/>
          </w:tcPr>
          <w:p>
            <w:pPr>
              <w:keepNext w:val="0"/>
              <w:pageBreakBefore w:val="0"/>
              <w:spacing w:after="60" w:before="60" w:line="283" w:lineRule="auto"/>
              <w:jc w:val="left"/>
            </w:pPr>
            <w:r>
              <w:rPr>
                <w:rFonts w:ascii="Arial" w:hAnsi="Arial" w:eastAsia="宋体"/>
                <w:sz w:val="19"/>
              </w:rPr>
              <w:t xml:space="preserve">台风暴雨、停电或交通中断</w:t>
            </w:r>
          </w:p>
        </w:tc>
        <w:tc>
          <w:tcPr>
            <w:tcW w:type="dxa" w:w="4038"/>
            <w:shd w:fill="EAF2F9"/>
          </w:tcPr>
          <w:p>
            <w:pPr>
              <w:keepNext w:val="0"/>
              <w:pageBreakBefore w:val="0"/>
              <w:spacing w:after="60" w:before="60" w:line="283" w:lineRule="auto"/>
              <w:jc w:val="left"/>
            </w:pPr>
            <w:r>
              <w:rPr>
                <w:rFonts w:ascii="Arial" w:hAnsi="Arial" w:eastAsia="宋体"/>
                <w:sz w:val="19"/>
              </w:rPr>
              <w:t xml:space="preserve">按预案停工，保障覆膜排洪、抽排和备用供电，预留合法转运条件</w:t>
            </w:r>
          </w:p>
        </w:tc>
        <w:tc>
          <w:tcPr>
            <w:tcW w:type="dxa" w:w="3312"/>
            <w:shd w:fill="EAF2F9"/>
          </w:tcPr>
          <w:p>
            <w:pPr>
              <w:keepNext w:val="0"/>
              <w:pageBreakBefore w:val="0"/>
              <w:spacing w:after="60" w:before="60" w:line="283" w:lineRule="auto"/>
              <w:jc w:val="left"/>
            </w:pPr>
            <w:r>
              <w:rPr>
                <w:rFonts w:ascii="Arial" w:hAnsi="Arial" w:eastAsia="宋体"/>
                <w:sz w:val="19"/>
              </w:rPr>
              <w:t xml:space="preserve">业主应急协调、施工运维响应；雨后巡查和安全复核</w:t>
            </w:r>
          </w:p>
        </w:tc>
      </w:tr>
      <w:tr>
        <w:trPr>
          <w:cantSplit/>
        </w:trPr>
        <w:tc>
          <w:tcPr>
            <w:tcW w:type="dxa" w:w="2288"/>
            <w:shd w:fill="FFFFFF"/>
          </w:tcPr>
          <w:p>
            <w:pPr>
              <w:keepNext w:val="0"/>
              <w:pageBreakBefore w:val="0"/>
              <w:spacing w:after="60" w:before="60" w:line="283" w:lineRule="auto"/>
              <w:jc w:val="left"/>
            </w:pPr>
            <w:r>
              <w:rPr>
                <w:rFonts w:ascii="Arial" w:hAnsi="Arial" w:eastAsia="宋体"/>
                <w:sz w:val="19"/>
              </w:rPr>
              <w:t xml:space="preserve">工程量与价格明显偏离</w:t>
            </w:r>
          </w:p>
        </w:tc>
        <w:tc>
          <w:tcPr>
            <w:tcW w:type="dxa" w:w="4038"/>
            <w:shd w:fill="FFFFFF"/>
          </w:tcPr>
          <w:p>
            <w:pPr>
              <w:keepNext w:val="0"/>
              <w:pageBreakBefore w:val="0"/>
              <w:spacing w:after="60" w:before="60" w:line="283" w:lineRule="auto"/>
              <w:jc w:val="left"/>
            </w:pPr>
            <w:r>
              <w:rPr>
                <w:rFonts w:ascii="Arial" w:hAnsi="Arial" w:eastAsia="宋体"/>
                <w:sz w:val="19"/>
              </w:rPr>
              <w:t xml:space="preserve">核查测绘、称重、组分、合同边界和变更；保留原始记录，依程序调整</w:t>
            </w:r>
          </w:p>
        </w:tc>
        <w:tc>
          <w:tcPr>
            <w:tcW w:type="dxa" w:w="3312"/>
            <w:shd w:fill="FFFFFF"/>
          </w:tcPr>
          <w:p>
            <w:pPr>
              <w:keepNext w:val="0"/>
              <w:pageBreakBefore w:val="0"/>
              <w:spacing w:after="60" w:before="60" w:line="283" w:lineRule="auto"/>
              <w:jc w:val="left"/>
            </w:pPr>
            <w:r>
              <w:rPr>
                <w:rFonts w:ascii="Arial" w:hAnsi="Arial" w:eastAsia="宋体"/>
                <w:sz w:val="19"/>
              </w:rPr>
              <w:t xml:space="preserve">业主、监理、造价审核；避免无依据追加费用</w:t>
            </w:r>
          </w:p>
        </w:tc>
      </w:tr>
    </w:tbl>
    <w:p>
      <w:pPr>
        <w:pStyle w:val="BodyText"/>
      </w:pPr>
      <w:r>
        <w:t xml:space="preserve">本项目业主统筹突发环境事件和安全应急衔接，施工单位负责作业面处置，运维单位负责水气设施，监理核查控制条件。严重事件按法定职责及时报告并启动相应预案。[S03第8.2条；S02第7.10条]</w:t>
      </w:r>
    </w:p>
    <w:bookmarkEnd w:id="76"/>
    <w:bookmarkStart w:id="77" w:name="X72289a7950d2faf5ef0855a8065c8be8810173e"/>
    <w:p>
      <w:pPr>
        <w:pStyle w:val="Heading3"/>
      </w:pPr>
      <w:r>
        <w:t xml:space="preserve">5.13 单元实施、物料水量平衡及放行条件</w:t>
      </w:r>
    </w:p>
    <w:p>
      <w:pPr>
        <w:pStyle w:val="FirstParagraph"/>
      </w:pPr>
      <w:r>
        <w:t xml:space="preserve">每一单元建立同一计量边界：开挖输入质量＝分选产物质量＋沥出液体质量＋同边界库存增加量＋其他经核实的质量变化。覆土、设施残材和异常废物单列；沥水、干燥与检测采样等变化明确记录，不能把湿质量与干质量直接相比。量质不闭合时核对称重、含水和转移环节，不以无依据损耗率强行闭合。[S03第5.3、8.1条；乙方量质管理方案]</w:t>
      </w:r>
    </w:p>
    <w:p>
      <w:pPr>
        <w:pStyle w:val="BodyText"/>
      </w:pPr>
      <w:r>
        <w:t xml:space="preserve">水量按堆体抽排、区内降雨、沥水、冲洗、工艺加入水、处理产水、膜浓缩液、外运和池容变化独立核算。流量、液位与降雨对应，污染负荷按水质与流量共同计算，不用170÷180的名义量比替代实际水量水质承载。抽提地下水另列，防止污染水与背景地下水混算。[S03第4.3、6.1.1条；S02第9.2条]</w:t>
      </w:r>
    </w:p>
    <w:tbl>
      <w:tblPr>
        <w:tblStyle w:val="Table"/>
        <w:tblW w:type="dxa" w:w="9638"/>
        <w:jc w:val="left"/>
        <w:tblLayout w:type="fixed"/>
        <w:tblLook w:firstRow="1" w:lastRow="0" w:firstColumn="0" w:lastColumn="0" w:noHBand="0" w:noVBand="0" w:val="0020"/>
      </w:tblPr>
      <w:tblGrid>
        <w:gridCol w:w="2303"/>
        <w:gridCol w:w="3797"/>
        <w:gridCol w:w="3538"/>
      </w:tblGrid>
      <w:tr>
        <w:trPr>
          <w:tblHeader w:val="on"/>
          <w:cantSplit/>
          <w:tblHeader w:val="true"/>
        </w:trPr>
        <w:tc>
          <w:tcPr>
            <w:tcW w:type="dxa" w:w="2303"/>
            <w:shd w:fill="174775"/>
          </w:tcPr>
          <w:p>
            <w:pPr>
              <w:keepNext w:val="0"/>
              <w:pageBreakBefore w:val="0"/>
              <w:spacing w:after="60" w:before="60" w:line="283" w:lineRule="auto"/>
              <w:jc w:val="left"/>
            </w:pPr>
            <w:r>
              <w:rPr>
                <w:rFonts w:ascii="Arial" w:hAnsi="Arial" w:eastAsia="宋体"/>
                <w:b/>
                <w:color w:val="FFFFFF"/>
                <w:sz w:val="19"/>
              </w:rPr>
              <w:t xml:space="preserve">检查环节</w:t>
            </w:r>
          </w:p>
        </w:tc>
        <w:tc>
          <w:tcPr>
            <w:tcW w:type="dxa" w:w="3797"/>
            <w:shd w:fill="174775"/>
          </w:tcPr>
          <w:p>
            <w:pPr>
              <w:keepNext w:val="0"/>
              <w:pageBreakBefore w:val="0"/>
              <w:spacing w:after="60" w:before="60" w:line="283" w:lineRule="auto"/>
              <w:jc w:val="left"/>
            </w:pPr>
            <w:r>
              <w:rPr>
                <w:rFonts w:ascii="Arial" w:hAnsi="Arial" w:eastAsia="宋体"/>
                <w:b/>
                <w:color w:val="FFFFFF"/>
                <w:sz w:val="19"/>
              </w:rPr>
              <w:t xml:space="preserve">单元进入或继续作业条件</w:t>
            </w:r>
          </w:p>
        </w:tc>
        <w:tc>
          <w:tcPr>
            <w:tcW w:type="dxa" w:w="3538"/>
            <w:shd w:fill="174775"/>
          </w:tcPr>
          <w:p>
            <w:pPr>
              <w:keepNext w:val="0"/>
              <w:pageBreakBefore w:val="0"/>
              <w:spacing w:after="60" w:before="60" w:line="283" w:lineRule="auto"/>
              <w:jc w:val="left"/>
            </w:pPr>
            <w:r>
              <w:rPr>
                <w:rFonts w:ascii="Arial" w:hAnsi="Arial" w:eastAsia="宋体"/>
                <w:b/>
                <w:color w:val="FFFFFF"/>
                <w:sz w:val="19"/>
              </w:rPr>
              <w:t xml:space="preserve">未满足时的措施</w:t>
            </w:r>
          </w:p>
        </w:tc>
      </w:tr>
      <w:tr>
        <w:trPr>
          <w:cantSplit/>
        </w:trPr>
        <w:tc>
          <w:tcPr>
            <w:tcW w:type="dxa" w:w="2303"/>
            <w:shd w:fill="FFFFFF"/>
          </w:tcPr>
          <w:p>
            <w:pPr>
              <w:keepNext w:val="0"/>
              <w:pageBreakBefore w:val="0"/>
              <w:spacing w:after="60" w:before="60" w:line="283" w:lineRule="auto"/>
              <w:jc w:val="left"/>
            </w:pPr>
            <w:r>
              <w:rPr>
                <w:rFonts w:ascii="Arial" w:hAnsi="Arial" w:eastAsia="宋体"/>
                <w:sz w:val="19"/>
              </w:rPr>
              <w:t xml:space="preserve">程序和设计</w:t>
            </w:r>
          </w:p>
        </w:tc>
        <w:tc>
          <w:tcPr>
            <w:tcW w:type="dxa" w:w="3797"/>
            <w:shd w:fill="FFFFFF"/>
          </w:tcPr>
          <w:p>
            <w:pPr>
              <w:keepNext w:val="0"/>
              <w:pageBreakBefore w:val="0"/>
              <w:spacing w:after="60" w:before="60" w:line="283" w:lineRule="auto"/>
              <w:jc w:val="left"/>
            </w:pPr>
            <w:r>
              <w:rPr>
                <w:rFonts w:ascii="Arial" w:hAnsi="Arial" w:eastAsia="宋体"/>
                <w:sz w:val="19"/>
              </w:rPr>
              <w:t xml:space="preserve">必要手续、分区作业和安全环保方案具备</w:t>
            </w:r>
          </w:p>
        </w:tc>
        <w:tc>
          <w:tcPr>
            <w:tcW w:type="dxa" w:w="3538"/>
            <w:shd w:fill="FFFFFF"/>
          </w:tcPr>
          <w:p>
            <w:pPr>
              <w:keepNext w:val="0"/>
              <w:pageBreakBefore w:val="0"/>
              <w:spacing w:after="60" w:before="60" w:line="283" w:lineRule="auto"/>
              <w:jc w:val="left"/>
            </w:pPr>
            <w:r>
              <w:rPr>
                <w:rFonts w:ascii="Arial" w:hAnsi="Arial" w:eastAsia="宋体"/>
                <w:sz w:val="19"/>
              </w:rPr>
              <w:t xml:space="preserve">不以示范或清理名义先行违规开挖</w:t>
            </w:r>
          </w:p>
        </w:tc>
      </w:tr>
      <w:tr>
        <w:trPr>
          <w:cantSplit/>
        </w:trPr>
        <w:tc>
          <w:tcPr>
            <w:tcW w:type="dxa" w:w="2303"/>
            <w:shd w:fill="EAF2F9"/>
          </w:tcPr>
          <w:p>
            <w:pPr>
              <w:keepNext w:val="0"/>
              <w:pageBreakBefore w:val="0"/>
              <w:spacing w:after="60" w:before="60" w:line="283" w:lineRule="auto"/>
              <w:jc w:val="left"/>
            </w:pPr>
            <w:r>
              <w:rPr>
                <w:rFonts w:ascii="Arial" w:hAnsi="Arial" w:eastAsia="宋体"/>
                <w:sz w:val="19"/>
              </w:rPr>
              <w:t xml:space="preserve">气体和稳定</w:t>
            </w:r>
          </w:p>
        </w:tc>
        <w:tc>
          <w:tcPr>
            <w:tcW w:type="dxa" w:w="3797"/>
            <w:shd w:fill="EAF2F9"/>
          </w:tcPr>
          <w:p>
            <w:pPr>
              <w:keepNext w:val="0"/>
              <w:pageBreakBefore w:val="0"/>
              <w:spacing w:after="60" w:before="60" w:line="283" w:lineRule="auto"/>
              <w:jc w:val="left"/>
            </w:pPr>
            <w:r>
              <w:rPr>
                <w:rFonts w:ascii="Arial" w:hAnsi="Arial" w:eastAsia="宋体"/>
                <w:sz w:val="19"/>
              </w:rPr>
              <w:t xml:space="preserve">专项安全、液位及稳定条件满足；预处理按实际检测确认</w:t>
            </w:r>
          </w:p>
        </w:tc>
        <w:tc>
          <w:tcPr>
            <w:tcW w:type="dxa" w:w="3538"/>
            <w:shd w:fill="EAF2F9"/>
          </w:tcPr>
          <w:p>
            <w:pPr>
              <w:keepNext w:val="0"/>
              <w:pageBreakBefore w:val="0"/>
              <w:spacing w:after="60" w:before="60" w:line="283" w:lineRule="auto"/>
              <w:jc w:val="left"/>
            </w:pPr>
            <w:r>
              <w:rPr>
                <w:rFonts w:ascii="Arial" w:hAnsi="Arial" w:eastAsia="宋体"/>
                <w:sz w:val="19"/>
              </w:rPr>
              <w:t xml:space="preserve">停止危险区作业，抽排或专项纠偏并复核</w:t>
            </w:r>
          </w:p>
        </w:tc>
      </w:tr>
      <w:tr>
        <w:trPr>
          <w:cantSplit/>
        </w:trPr>
        <w:tc>
          <w:tcPr>
            <w:tcW w:type="dxa" w:w="2303"/>
            <w:shd w:fill="FFFFFF"/>
          </w:tcPr>
          <w:p>
            <w:pPr>
              <w:keepNext w:val="0"/>
              <w:pageBreakBefore w:val="0"/>
              <w:spacing w:after="60" w:before="60" w:line="283" w:lineRule="auto"/>
              <w:jc w:val="left"/>
            </w:pPr>
            <w:r>
              <w:rPr>
                <w:rFonts w:ascii="Arial" w:hAnsi="Arial" w:eastAsia="宋体"/>
                <w:sz w:val="19"/>
              </w:rPr>
              <w:t xml:space="preserve">水气控制</w:t>
            </w:r>
          </w:p>
        </w:tc>
        <w:tc>
          <w:tcPr>
            <w:tcW w:type="dxa" w:w="3797"/>
            <w:shd w:fill="FFFFFF"/>
          </w:tcPr>
          <w:p>
            <w:pPr>
              <w:keepNext w:val="0"/>
              <w:pageBreakBefore w:val="0"/>
              <w:spacing w:after="60" w:before="60" w:line="283" w:lineRule="auto"/>
              <w:jc w:val="left"/>
            </w:pPr>
            <w:r>
              <w:rPr>
                <w:rFonts w:ascii="Arial" w:hAnsi="Arial" w:eastAsia="宋体"/>
                <w:sz w:val="19"/>
              </w:rPr>
              <w:t xml:space="preserve">收集、调蓄、处理、备用和集气系统有效运行</w:t>
            </w:r>
          </w:p>
        </w:tc>
        <w:tc>
          <w:tcPr>
            <w:tcW w:type="dxa" w:w="3538"/>
            <w:shd w:fill="FFFFFF"/>
          </w:tcPr>
          <w:p>
            <w:pPr>
              <w:keepNext w:val="0"/>
              <w:pageBreakBefore w:val="0"/>
              <w:spacing w:after="60" w:before="60" w:line="283" w:lineRule="auto"/>
              <w:jc w:val="left"/>
            </w:pPr>
            <w:r>
              <w:rPr>
                <w:rFonts w:ascii="Arial" w:hAnsi="Arial" w:eastAsia="宋体"/>
                <w:sz w:val="19"/>
              </w:rPr>
              <w:t xml:space="preserve">停止新增物料或负荷，不允许无设施暴露开挖</w:t>
            </w:r>
          </w:p>
        </w:tc>
      </w:tr>
      <w:tr>
        <w:trPr>
          <w:cantSplit/>
        </w:trPr>
        <w:tc>
          <w:tcPr>
            <w:tcW w:type="dxa" w:w="2303"/>
            <w:shd w:fill="EAF2F9"/>
          </w:tcPr>
          <w:p>
            <w:pPr>
              <w:keepNext w:val="0"/>
              <w:pageBreakBefore w:val="0"/>
              <w:spacing w:after="60" w:before="60" w:line="283" w:lineRule="auto"/>
              <w:jc w:val="left"/>
            </w:pPr>
            <w:r>
              <w:rPr>
                <w:rFonts w:ascii="Arial" w:hAnsi="Arial" w:eastAsia="宋体"/>
                <w:sz w:val="19"/>
              </w:rPr>
              <w:t xml:space="preserve">暂存与最终去向</w:t>
            </w:r>
          </w:p>
        </w:tc>
        <w:tc>
          <w:tcPr>
            <w:tcW w:type="dxa" w:w="3797"/>
            <w:shd w:fill="EAF2F9"/>
          </w:tcPr>
          <w:p>
            <w:pPr>
              <w:keepNext w:val="0"/>
              <w:pageBreakBefore w:val="0"/>
              <w:spacing w:after="60" w:before="60" w:line="283" w:lineRule="auto"/>
              <w:jc w:val="left"/>
            </w:pPr>
            <w:r>
              <w:rPr>
                <w:rFonts w:ascii="Arial" w:hAnsi="Arial" w:eastAsia="宋体"/>
                <w:sz w:val="19"/>
              </w:rPr>
              <w:t xml:space="preserve">批次质量、接收日量、库存控制与合法运输落实</w:t>
            </w:r>
          </w:p>
        </w:tc>
        <w:tc>
          <w:tcPr>
            <w:tcW w:type="dxa" w:w="3538"/>
            <w:shd w:fill="EAF2F9"/>
          </w:tcPr>
          <w:p>
            <w:pPr>
              <w:keepNext w:val="0"/>
              <w:pageBreakBefore w:val="0"/>
              <w:spacing w:after="60" w:before="60" w:line="283" w:lineRule="auto"/>
              <w:jc w:val="left"/>
            </w:pPr>
            <w:r>
              <w:rPr>
                <w:rFonts w:ascii="Arial" w:hAnsi="Arial" w:eastAsia="宋体"/>
                <w:sz w:val="19"/>
              </w:rPr>
              <w:t xml:space="preserve">减载、覆盖、停止新开挖；不以扩露天堆场替代去向</w:t>
            </w:r>
          </w:p>
        </w:tc>
      </w:tr>
      <w:tr>
        <w:trPr>
          <w:cantSplit/>
        </w:trPr>
        <w:tc>
          <w:tcPr>
            <w:tcW w:type="dxa" w:w="2303"/>
            <w:shd w:fill="FFFFFF"/>
          </w:tcPr>
          <w:p>
            <w:pPr>
              <w:keepNext w:val="0"/>
              <w:pageBreakBefore w:val="0"/>
              <w:spacing w:after="60" w:before="60" w:line="283" w:lineRule="auto"/>
              <w:jc w:val="left"/>
            </w:pPr>
            <w:r>
              <w:rPr>
                <w:rFonts w:ascii="Arial" w:hAnsi="Arial" w:eastAsia="宋体"/>
                <w:sz w:val="19"/>
              </w:rPr>
              <w:t xml:space="preserve">场底与残留</w:t>
            </w:r>
          </w:p>
        </w:tc>
        <w:tc>
          <w:tcPr>
            <w:tcW w:type="dxa" w:w="3797"/>
            <w:shd w:fill="FFFFFF"/>
          </w:tcPr>
          <w:p>
            <w:pPr>
              <w:keepNext w:val="0"/>
              <w:pageBreakBefore w:val="0"/>
              <w:spacing w:after="60" w:before="60" w:line="283" w:lineRule="auto"/>
              <w:jc w:val="left"/>
            </w:pPr>
            <w:r>
              <w:rPr>
                <w:rFonts w:ascii="Arial" w:hAnsi="Arial" w:eastAsia="宋体"/>
                <w:sz w:val="19"/>
              </w:rPr>
              <w:t xml:space="preserve">达到调查要求，污染土及原衬层依方案处理</w:t>
            </w:r>
          </w:p>
        </w:tc>
        <w:tc>
          <w:tcPr>
            <w:tcW w:type="dxa" w:w="3538"/>
            <w:shd w:fill="FFFFFF"/>
          </w:tcPr>
          <w:p>
            <w:pPr>
              <w:keepNext w:val="0"/>
              <w:pageBreakBefore w:val="0"/>
              <w:spacing w:after="60" w:before="60" w:line="283" w:lineRule="auto"/>
              <w:jc w:val="left"/>
            </w:pPr>
            <w:r>
              <w:rPr>
                <w:rFonts w:ascii="Arial" w:hAnsi="Arial" w:eastAsia="宋体"/>
                <w:sz w:val="19"/>
              </w:rPr>
              <w:t xml:space="preserve">增加调查和修复，保留未完成区控制设施</w:t>
            </w:r>
          </w:p>
        </w:tc>
      </w:tr>
      <w:tr>
        <w:trPr>
          <w:cantSplit/>
        </w:trPr>
        <w:tc>
          <w:tcPr>
            <w:tcW w:type="dxa" w:w="2303"/>
            <w:shd w:fill="EAF2F9"/>
          </w:tcPr>
          <w:p>
            <w:pPr>
              <w:keepNext w:val="0"/>
              <w:pageBreakBefore w:val="0"/>
              <w:spacing w:after="60" w:before="60" w:line="283" w:lineRule="auto"/>
              <w:jc w:val="left"/>
            </w:pPr>
            <w:r>
              <w:rPr>
                <w:rFonts w:ascii="Arial" w:hAnsi="Arial" w:eastAsia="宋体"/>
                <w:sz w:val="19"/>
              </w:rPr>
              <w:t xml:space="preserve">评估与移交</w:t>
            </w:r>
          </w:p>
        </w:tc>
        <w:tc>
          <w:tcPr>
            <w:tcW w:type="dxa" w:w="3797"/>
            <w:shd w:fill="EAF2F9"/>
          </w:tcPr>
          <w:p>
            <w:pPr>
              <w:keepNext w:val="0"/>
              <w:pageBreakBefore w:val="0"/>
              <w:spacing w:after="60" w:before="60" w:line="283" w:lineRule="auto"/>
              <w:jc w:val="left"/>
            </w:pPr>
            <w:r>
              <w:rPr>
                <w:rFonts w:ascii="Arial" w:hAnsi="Arial" w:eastAsia="宋体"/>
                <w:sz w:val="19"/>
              </w:rPr>
              <w:t xml:space="preserve">清挖、去向、土壤地下水及必要后期管理资料完整</w:t>
            </w:r>
          </w:p>
        </w:tc>
        <w:tc>
          <w:tcPr>
            <w:tcW w:type="dxa" w:w="3538"/>
            <w:shd w:fill="EAF2F9"/>
          </w:tcPr>
          <w:p>
            <w:pPr>
              <w:keepNext w:val="0"/>
              <w:pageBreakBefore w:val="0"/>
              <w:spacing w:after="60" w:before="60" w:line="283" w:lineRule="auto"/>
              <w:jc w:val="left"/>
            </w:pPr>
            <w:r>
              <w:rPr>
                <w:rFonts w:ascii="Arial" w:hAnsi="Arial" w:eastAsia="宋体"/>
                <w:sz w:val="19"/>
              </w:rPr>
              <w:t xml:space="preserve">形成剩余任务清单和资金，不提前停止必要设施</w:t>
            </w:r>
          </w:p>
        </w:tc>
      </w:tr>
    </w:tbl>
    <w:p>
      <w:pPr>
        <w:pStyle w:val="BodyText"/>
      </w:pPr>
      <w:r>
        <w:t xml:space="preserve">库存控制值由可用贮存空间、物料特性、接收合同和适用管理条件核定，不能凭未核实的固定“储存天数”放大露天堆存。甲方、乙方、运维和监理按职责核查，异常有记录、措施、复测和恢复条件。</w:t>
      </w:r>
    </w:p>
    <w:bookmarkEnd w:id="77"/>
    <w:bookmarkStart w:id="78" w:name="X8244d2085faca26ea29c935017cd4944b28218b"/>
    <w:p>
      <w:pPr>
        <w:pStyle w:val="Heading3"/>
      </w:pPr>
      <w:r>
        <w:t xml:space="preserve">5.14 效果评估与治理后措施</w:t>
      </w:r>
    </w:p>
    <w:p>
      <w:pPr>
        <w:pStyle w:val="FirstParagraph"/>
      </w:pPr>
      <w:r>
        <w:t xml:space="preserve">施工完成按测绘边界及高程、分选和外运计量、所有产物去向、场底残留、土壤地下水效果及工程稳定分别核验。污染地块调查、修复及效果评估依HJ 25系列及适用程序执行；地下水恢复晚于清挖时保留管控、监测、处理设施和运行资金。建设项目适用环保手续与后续用地程序分别完成，垃圾已清运或地表已平整不能作为结束全部治理的依据。[S02第8.7—8.9条；S06；S12—S13]</w:t>
      </w:r>
    </w:p>
    <w:p>
      <w:pPr>
        <w:pStyle w:val="BodyText"/>
      </w:pPr>
      <w:r>
        <w:t xml:space="preserve">乙方提交剩余风险和用途限制、保留设施、监测点位、维护周期判定条件、运行经费边界和操作资料。甲方落实后期管理主体及资金后进行移交。除依法达到管理终止条件外，现有必要渗滤液和气体治理不中断。</w:t>
      </w:r>
    </w:p>
    <w:bookmarkEnd w:id="78"/>
    <w:bookmarkEnd w:id="79"/>
    <w:bookmarkStart w:id="95" w:name="X357fca957abd45001d52b25335247ffcd57b54d"/>
    <w:p>
      <w:pPr>
        <w:pStyle w:val="Heading2"/>
        <w:pageBreakBefore/>
      </w:pPr>
      <w:r>
        <w:t xml:space="preserve">6 投入产出核算、资金与综合效益</w:t>
      </w:r>
    </w:p>
    <w:bookmarkStart w:id="80" w:name="Xe599591de2a3ab4b54defa8e571fd2711cc4829"/>
    <w:p>
      <w:pPr>
        <w:pStyle w:val="Heading3"/>
      </w:pPr>
      <w:r>
        <w:t xml:space="preserve">6.1 核算边界与可确认的现有费用</w:t>
      </w:r>
    </w:p>
    <w:p>
      <w:pPr>
        <w:pStyle w:val="FirstParagraph"/>
      </w:pPr>
      <w:r>
        <w:t xml:space="preserve">项目投资包括前期调查及设计、临时水气和交通设施、开挖分选设备与施工、各类物料运输及合法利用处置、污染土壤地下水治理、监测效果评估、必要后期管理及按适用规定计列的其他费用。历史封场投入属于既有投入，不能作为新工程预算，也不能因已支付而取消持续维护。乙方对既有量价进行算术折算，对新工程按可审核的量价核定。[B01；乙方投资边界]</w:t>
      </w:r>
    </w:p>
    <w:tbl>
      <w:tblPr>
        <w:tblStyle w:val="Table"/>
        <w:tblW w:type="dxa" w:w="9638"/>
        <w:jc w:val="left"/>
        <w:tblLayout w:type="fixed"/>
        <w:tblLook w:firstRow="1" w:lastRow="0" w:firstColumn="0" w:lastColumn="0" w:noHBand="0" w:noVBand="0" w:val="0020"/>
      </w:tblPr>
      <w:tblGrid>
        <w:gridCol w:w="2188"/>
        <w:gridCol w:w="3106"/>
        <w:gridCol w:w="4344"/>
      </w:tblGrid>
      <w:tr>
        <w:trPr>
          <w:tblHeader w:val="on"/>
          <w:cantSplit/>
          <w:tblHeader w:val="true"/>
        </w:trPr>
        <w:tc>
          <w:tcPr>
            <w:tcW w:type="dxa" w:w="2188"/>
            <w:shd w:fill="174775"/>
          </w:tcPr>
          <w:p>
            <w:pPr>
              <w:keepNext w:val="0"/>
              <w:pageBreakBefore w:val="0"/>
              <w:spacing w:after="60" w:before="60" w:line="283" w:lineRule="auto"/>
              <w:jc w:val="left"/>
            </w:pPr>
            <w:r>
              <w:rPr>
                <w:rFonts w:ascii="Arial" w:hAnsi="Arial" w:eastAsia="宋体"/>
                <w:b/>
                <w:color w:val="FFFFFF"/>
                <w:sz w:val="19"/>
              </w:rPr>
              <w:t xml:space="preserve">核算项</w:t>
            </w:r>
          </w:p>
        </w:tc>
        <w:tc>
          <w:tcPr>
            <w:tcW w:type="dxa" w:w="3106"/>
            <w:shd w:fill="174775"/>
          </w:tcPr>
          <w:p>
            <w:pPr>
              <w:keepNext w:val="0"/>
              <w:pageBreakBefore w:val="0"/>
              <w:spacing w:after="60" w:before="60" w:line="283" w:lineRule="auto"/>
              <w:jc w:val="left"/>
            </w:pPr>
            <w:r>
              <w:rPr>
                <w:rFonts w:ascii="Arial" w:hAnsi="Arial" w:eastAsia="宋体"/>
                <w:b/>
                <w:color w:val="FFFFFF"/>
                <w:sz w:val="19"/>
              </w:rPr>
              <w:t xml:space="preserve">原始口径及计算</w:t>
            </w:r>
          </w:p>
        </w:tc>
        <w:tc>
          <w:tcPr>
            <w:tcW w:type="dxa" w:w="4344"/>
            <w:shd w:fill="174775"/>
          </w:tcPr>
          <w:p>
            <w:pPr>
              <w:keepNext w:val="0"/>
              <w:pageBreakBefore w:val="0"/>
              <w:spacing w:after="60" w:before="60" w:line="283" w:lineRule="auto"/>
              <w:jc w:val="left"/>
            </w:pPr>
            <w:r>
              <w:rPr>
                <w:rFonts w:ascii="Arial" w:hAnsi="Arial" w:eastAsia="宋体"/>
                <w:b/>
                <w:color w:val="FFFFFF"/>
                <w:sz w:val="19"/>
              </w:rPr>
              <w:t xml:space="preserve">结果与适用边界</w:t>
            </w:r>
          </w:p>
        </w:tc>
      </w:tr>
      <w:tr>
        <w:trPr>
          <w:cantSplit/>
        </w:trPr>
        <w:tc>
          <w:tcPr>
            <w:tcW w:type="dxa" w:w="2188"/>
            <w:shd w:fill="FFFFFF"/>
          </w:tcPr>
          <w:p>
            <w:pPr>
              <w:keepNext w:val="0"/>
              <w:pageBreakBefore w:val="0"/>
              <w:spacing w:after="60" w:before="60" w:line="283" w:lineRule="auto"/>
              <w:jc w:val="left"/>
            </w:pPr>
            <w:r>
              <w:rPr>
                <w:rFonts w:ascii="Arial" w:hAnsi="Arial" w:eastAsia="宋体"/>
                <w:sz w:val="19"/>
              </w:rPr>
              <w:t xml:space="preserve">现有年度处理量</w:t>
            </w:r>
          </w:p>
        </w:tc>
        <w:tc>
          <w:tcPr>
            <w:tcW w:type="dxa" w:w="3106"/>
            <w:shd w:fill="FFFFFF"/>
          </w:tcPr>
          <w:p>
            <w:pPr>
              <w:keepNext w:val="0"/>
              <w:pageBreakBefore w:val="0"/>
              <w:spacing w:after="60" w:before="60" w:line="283" w:lineRule="auto"/>
              <w:jc w:val="left"/>
            </w:pPr>
            <w:r>
              <w:rPr>
                <w:rFonts w:ascii="Arial" w:hAnsi="Arial" w:eastAsia="宋体"/>
                <w:sz w:val="19"/>
              </w:rPr>
              <w:t xml:space="preserve">170吨/日×365日</w:t>
            </w:r>
          </w:p>
        </w:tc>
        <w:tc>
          <w:tcPr>
            <w:tcW w:type="dxa" w:w="4344"/>
            <w:shd w:fill="FFFFFF"/>
          </w:tcPr>
          <w:p>
            <w:pPr>
              <w:keepNext w:val="0"/>
              <w:pageBreakBefore w:val="0"/>
              <w:spacing w:after="60" w:before="60" w:line="283" w:lineRule="auto"/>
              <w:jc w:val="left"/>
            </w:pPr>
            <w:r>
              <w:rPr>
                <w:rFonts w:ascii="Arial" w:hAnsi="Arial" w:eastAsia="宋体"/>
                <w:sz w:val="19"/>
              </w:rPr>
              <w:t xml:space="preserve">62050吨/年；资料平均量折算，非实测年度总量</w:t>
            </w:r>
          </w:p>
        </w:tc>
      </w:tr>
      <w:tr>
        <w:trPr>
          <w:cantSplit/>
        </w:trPr>
        <w:tc>
          <w:tcPr>
            <w:tcW w:type="dxa" w:w="2188"/>
            <w:shd w:fill="EAF2F9"/>
          </w:tcPr>
          <w:p>
            <w:pPr>
              <w:keepNext w:val="0"/>
              <w:pageBreakBefore w:val="0"/>
              <w:spacing w:after="60" w:before="60" w:line="283" w:lineRule="auto"/>
              <w:jc w:val="left"/>
            </w:pPr>
            <w:r>
              <w:rPr>
                <w:rFonts w:ascii="Arial" w:hAnsi="Arial" w:eastAsia="宋体"/>
                <w:sz w:val="19"/>
              </w:rPr>
              <w:t xml:space="preserve">现有年度处理服务费用</w:t>
            </w:r>
          </w:p>
        </w:tc>
        <w:tc>
          <w:tcPr>
            <w:tcW w:type="dxa" w:w="3106"/>
            <w:shd w:fill="EAF2F9"/>
          </w:tcPr>
          <w:p>
            <w:pPr>
              <w:keepNext w:val="0"/>
              <w:pageBreakBefore w:val="0"/>
              <w:spacing w:after="60" w:before="60" w:line="283" w:lineRule="auto"/>
              <w:jc w:val="left"/>
            </w:pPr>
            <w:r>
              <w:rPr>
                <w:rFonts w:ascii="Arial" w:hAnsi="Arial" w:eastAsia="宋体"/>
                <w:sz w:val="19"/>
              </w:rPr>
              <w:t xml:space="preserve">62050吨×115元/吨</w:t>
            </w:r>
          </w:p>
        </w:tc>
        <w:tc>
          <w:tcPr>
            <w:tcW w:type="dxa" w:w="4344"/>
            <w:shd w:fill="EAF2F9"/>
          </w:tcPr>
          <w:p>
            <w:pPr>
              <w:keepNext w:val="0"/>
              <w:pageBreakBefore w:val="0"/>
              <w:spacing w:after="60" w:before="60" w:line="283" w:lineRule="auto"/>
              <w:jc w:val="left"/>
            </w:pPr>
            <w:r>
              <w:rPr>
                <w:rFonts w:ascii="Arial" w:hAnsi="Arial" w:eastAsia="宋体"/>
                <w:sz w:val="19"/>
              </w:rPr>
              <w:t xml:space="preserve">7135750元＝713.575万元，约713.6万元/年；非决算及开挖单价</w:t>
            </w:r>
          </w:p>
        </w:tc>
      </w:tr>
      <w:tr>
        <w:trPr>
          <w:cantSplit/>
        </w:trPr>
        <w:tc>
          <w:tcPr>
            <w:tcW w:type="dxa" w:w="2188"/>
            <w:shd w:fill="FFFFFF"/>
          </w:tcPr>
          <w:p>
            <w:pPr>
              <w:keepNext w:val="0"/>
              <w:pageBreakBefore w:val="0"/>
              <w:spacing w:after="60" w:before="60" w:line="283" w:lineRule="auto"/>
              <w:jc w:val="left"/>
            </w:pPr>
            <w:r>
              <w:rPr>
                <w:rFonts w:ascii="Arial" w:hAnsi="Arial" w:eastAsia="宋体"/>
                <w:sz w:val="19"/>
              </w:rPr>
              <w:t xml:space="preserve">合同记载剩余时间</w:t>
            </w:r>
          </w:p>
        </w:tc>
        <w:tc>
          <w:tcPr>
            <w:tcW w:type="dxa" w:w="3106"/>
            <w:shd w:fill="FFFFFF"/>
          </w:tcPr>
          <w:p>
            <w:pPr>
              <w:keepNext w:val="0"/>
              <w:pageBreakBefore w:val="0"/>
              <w:spacing w:after="60" w:before="60" w:line="283" w:lineRule="auto"/>
              <w:jc w:val="left"/>
            </w:pPr>
            <w:r>
              <w:rPr>
                <w:rFonts w:ascii="Arial" w:hAnsi="Arial" w:eastAsia="宋体"/>
                <w:sz w:val="19"/>
              </w:rPr>
              <w:t xml:space="preserve">2026-10-11至2026-12-31的日期差</w:t>
            </w:r>
          </w:p>
        </w:tc>
        <w:tc>
          <w:tcPr>
            <w:tcW w:type="dxa" w:w="4344"/>
            <w:shd w:fill="FFFFFF"/>
          </w:tcPr>
          <w:p>
            <w:pPr>
              <w:keepNext w:val="0"/>
              <w:pageBreakBefore w:val="0"/>
              <w:spacing w:after="60" w:before="60" w:line="283" w:lineRule="auto"/>
              <w:jc w:val="left"/>
            </w:pPr>
            <w:r>
              <w:rPr>
                <w:rFonts w:ascii="Arial" w:hAnsi="Arial" w:eastAsia="宋体"/>
                <w:sz w:val="19"/>
              </w:rPr>
              <w:t xml:space="preserve">81天；报告日与到期日采用日期差，不等同剩余可结算天数</w:t>
            </w:r>
          </w:p>
        </w:tc>
      </w:tr>
      <w:tr>
        <w:trPr>
          <w:cantSplit/>
        </w:trPr>
        <w:tc>
          <w:tcPr>
            <w:tcW w:type="dxa" w:w="2188"/>
            <w:shd w:fill="EAF2F9"/>
          </w:tcPr>
          <w:p>
            <w:pPr>
              <w:keepNext w:val="0"/>
              <w:pageBreakBefore w:val="0"/>
              <w:spacing w:after="60" w:before="60" w:line="283" w:lineRule="auto"/>
              <w:jc w:val="left"/>
            </w:pPr>
            <w:r>
              <w:rPr>
                <w:rFonts w:ascii="Arial" w:hAnsi="Arial" w:eastAsia="宋体"/>
                <w:sz w:val="19"/>
              </w:rPr>
              <w:t xml:space="preserve">81天量价折算</w:t>
            </w:r>
          </w:p>
        </w:tc>
        <w:tc>
          <w:tcPr>
            <w:tcW w:type="dxa" w:w="3106"/>
            <w:shd w:fill="EAF2F9"/>
          </w:tcPr>
          <w:p>
            <w:pPr>
              <w:keepNext w:val="0"/>
              <w:pageBreakBefore w:val="0"/>
              <w:spacing w:after="60" w:before="60" w:line="283" w:lineRule="auto"/>
              <w:jc w:val="left"/>
            </w:pPr>
            <w:r>
              <w:rPr>
                <w:rFonts w:ascii="Arial" w:hAnsi="Arial" w:eastAsia="宋体"/>
                <w:sz w:val="19"/>
              </w:rPr>
              <w:t xml:space="preserve">170×81＝13770吨；13770×115</w:t>
            </w:r>
          </w:p>
        </w:tc>
        <w:tc>
          <w:tcPr>
            <w:tcW w:type="dxa" w:w="4344"/>
            <w:shd w:fill="EAF2F9"/>
          </w:tcPr>
          <w:p>
            <w:pPr>
              <w:keepNext w:val="0"/>
              <w:pageBreakBefore w:val="0"/>
              <w:spacing w:after="60" w:before="60" w:line="283" w:lineRule="auto"/>
              <w:jc w:val="left"/>
            </w:pPr>
            <w:r>
              <w:rPr>
                <w:rFonts w:ascii="Arial" w:hAnsi="Arial" w:eastAsia="宋体"/>
                <w:sz w:val="19"/>
              </w:rPr>
              <w:t xml:space="preserve">1583550元＝158.355万元，约158.4万元；实际按计量与合同结算</w:t>
            </w:r>
          </w:p>
        </w:tc>
      </w:tr>
      <w:tr>
        <w:trPr>
          <w:cantSplit/>
        </w:trPr>
        <w:tc>
          <w:tcPr>
            <w:tcW w:type="dxa" w:w="2188"/>
            <w:shd w:fill="FFFFFF"/>
          </w:tcPr>
          <w:p>
            <w:pPr>
              <w:keepNext w:val="0"/>
              <w:pageBreakBefore w:val="0"/>
              <w:spacing w:after="60" w:before="60" w:line="283" w:lineRule="auto"/>
              <w:jc w:val="left"/>
            </w:pPr>
            <w:r>
              <w:rPr>
                <w:rFonts w:ascii="Arial" w:hAnsi="Arial" w:eastAsia="宋体"/>
                <w:sz w:val="19"/>
              </w:rPr>
              <w:t xml:space="preserve">膜浓缩液年度量级</w:t>
            </w:r>
          </w:p>
        </w:tc>
        <w:tc>
          <w:tcPr>
            <w:tcW w:type="dxa" w:w="3106"/>
            <w:shd w:fill="FFFFFF"/>
          </w:tcPr>
          <w:p>
            <w:pPr>
              <w:keepNext w:val="0"/>
              <w:pageBreakBefore w:val="0"/>
              <w:spacing w:after="60" w:before="60" w:line="283" w:lineRule="auto"/>
              <w:jc w:val="left"/>
            </w:pPr>
            <w:r>
              <w:rPr>
                <w:rFonts w:ascii="Arial" w:hAnsi="Arial" w:eastAsia="宋体"/>
                <w:sz w:val="19"/>
              </w:rPr>
              <w:t xml:space="preserve">20吨/日×365日</w:t>
            </w:r>
          </w:p>
        </w:tc>
        <w:tc>
          <w:tcPr>
            <w:tcW w:type="dxa" w:w="4344"/>
            <w:shd w:fill="FFFFFF"/>
          </w:tcPr>
          <w:p>
            <w:pPr>
              <w:keepNext w:val="0"/>
              <w:pageBreakBefore w:val="0"/>
              <w:spacing w:after="60" w:before="60" w:line="283" w:lineRule="auto"/>
              <w:jc w:val="left"/>
            </w:pPr>
            <w:r>
              <w:rPr>
                <w:rFonts w:ascii="Arial" w:hAnsi="Arial" w:eastAsia="宋体"/>
                <w:sz w:val="19"/>
              </w:rPr>
              <w:t xml:space="preserve">7300吨/年；单列，不与原水进水量相加作为新增液体</w:t>
            </w:r>
          </w:p>
        </w:tc>
      </w:tr>
      <w:tr>
        <w:trPr>
          <w:cantSplit/>
        </w:trPr>
        <w:tc>
          <w:tcPr>
            <w:tcW w:type="dxa" w:w="2188"/>
            <w:shd w:fill="EAF2F9"/>
          </w:tcPr>
          <w:p>
            <w:pPr>
              <w:keepNext w:val="0"/>
              <w:pageBreakBefore w:val="0"/>
              <w:spacing w:after="60" w:before="60" w:line="283" w:lineRule="auto"/>
              <w:jc w:val="left"/>
            </w:pPr>
            <w:r>
              <w:rPr>
                <w:rFonts w:ascii="Arial" w:hAnsi="Arial" w:eastAsia="宋体"/>
                <w:sz w:val="19"/>
              </w:rPr>
              <w:t xml:space="preserve">历史封场费用</w:t>
            </w:r>
          </w:p>
        </w:tc>
        <w:tc>
          <w:tcPr>
            <w:tcW w:type="dxa" w:w="3106"/>
            <w:shd w:fill="EAF2F9"/>
          </w:tcPr>
          <w:p>
            <w:pPr>
              <w:keepNext w:val="0"/>
              <w:pageBreakBefore w:val="0"/>
              <w:spacing w:after="60" w:before="60" w:line="283" w:lineRule="auto"/>
              <w:jc w:val="left"/>
            </w:pPr>
            <w:r>
              <w:rPr>
                <w:rFonts w:ascii="Arial" w:hAnsi="Arial" w:eastAsia="宋体"/>
                <w:sz w:val="19"/>
              </w:rPr>
              <w:t xml:space="preserve">场地工作资料记载约1261万元，含前期</w:t>
            </w:r>
          </w:p>
        </w:tc>
        <w:tc>
          <w:tcPr>
            <w:tcW w:type="dxa" w:w="4344"/>
            <w:shd w:fill="EAF2F9"/>
          </w:tcPr>
          <w:p>
            <w:pPr>
              <w:keepNext w:val="0"/>
              <w:pageBreakBefore w:val="0"/>
              <w:spacing w:after="60" w:before="60" w:line="283" w:lineRule="auto"/>
              <w:jc w:val="left"/>
            </w:pPr>
            <w:r>
              <w:rPr>
                <w:rFonts w:ascii="Arial" w:hAnsi="Arial" w:eastAsia="宋体"/>
                <w:sz w:val="19"/>
              </w:rPr>
              <w:t xml:space="preserve">历史建设费用，不能作为开挖预算或今后节省额</w:t>
            </w:r>
          </w:p>
        </w:tc>
      </w:tr>
    </w:tbl>
    <w:p>
      <w:pPr>
        <w:pStyle w:val="BodyText"/>
      </w:pPr>
      <w:r>
        <w:t xml:space="preserve">来源：B01第1—3页；日期与算术为乙方计算。115元/吨包含哪些维护、浓缩液外运和监测服务，先核合同原件；未核实前不得把这些费用另行叠加造成重复计价。运行数据截至2026年4月，实施预算应更新实测量及下一周期价格。</w:t>
      </w:r>
    </w:p>
    <w:bookmarkEnd w:id="80"/>
    <w:bookmarkStart w:id="84" w:name="X806c2677598760a71d3f150baca18587fa3cff1"/>
    <w:p>
      <w:pPr>
        <w:pStyle w:val="Heading3"/>
      </w:pPr>
      <w:r>
        <w:t xml:space="preserve">6.2 主体工程预算工作包与计价要求</w:t>
      </w:r>
    </w:p>
    <w:tbl>
      <w:tblPr>
        <w:tblStyle w:val="Table"/>
        <w:tblW w:type="dxa" w:w="9638"/>
        <w:jc w:val="left"/>
        <w:tblLayout w:type="fixed"/>
        <w:tblLook w:firstRow="1" w:lastRow="0" w:firstColumn="0" w:lastColumn="0" w:noHBand="0" w:noVBand="0" w:val="0020"/>
      </w:tblPr>
      <w:tblGrid>
        <w:gridCol w:w="2107"/>
        <w:gridCol w:w="3694"/>
        <w:gridCol w:w="3837"/>
      </w:tblGrid>
      <w:tr>
        <w:trPr>
          <w:tblHeader w:val="on"/>
          <w:cantSplit/>
          <w:tblHeader w:val="true"/>
        </w:trPr>
        <w:tc>
          <w:tcPr>
            <w:tcW w:type="dxa" w:w="2107"/>
            <w:shd w:fill="174775"/>
          </w:tcPr>
          <w:p>
            <w:pPr>
              <w:keepNext w:val="0"/>
              <w:pageBreakBefore w:val="0"/>
              <w:spacing w:after="60" w:before="60" w:line="283" w:lineRule="auto"/>
              <w:jc w:val="left"/>
            </w:pPr>
            <w:r>
              <w:rPr>
                <w:rFonts w:ascii="Arial" w:hAnsi="Arial" w:eastAsia="宋体"/>
                <w:b/>
                <w:color w:val="FFFFFF"/>
                <w:sz w:val="19"/>
              </w:rPr>
              <w:t xml:space="preserve">工作包</w:t>
            </w:r>
          </w:p>
        </w:tc>
        <w:tc>
          <w:tcPr>
            <w:tcW w:type="dxa" w:w="3694"/>
            <w:shd w:fill="174775"/>
          </w:tcPr>
          <w:p>
            <w:pPr>
              <w:keepNext w:val="0"/>
              <w:pageBreakBefore w:val="0"/>
              <w:spacing w:after="60" w:before="60" w:line="283" w:lineRule="auto"/>
              <w:jc w:val="left"/>
            </w:pPr>
            <w:r>
              <w:rPr>
                <w:rFonts w:ascii="Arial" w:hAnsi="Arial" w:eastAsia="宋体"/>
                <w:b/>
                <w:color w:val="FFFFFF"/>
                <w:sz w:val="19"/>
              </w:rPr>
              <w:t xml:space="preserve">计量与费用构成</w:t>
            </w:r>
          </w:p>
        </w:tc>
        <w:tc>
          <w:tcPr>
            <w:tcW w:type="dxa" w:w="3837"/>
            <w:shd w:fill="174775"/>
          </w:tcPr>
          <w:p>
            <w:pPr>
              <w:keepNext w:val="0"/>
              <w:pageBreakBefore w:val="0"/>
              <w:spacing w:after="60" w:before="60" w:line="283" w:lineRule="auto"/>
              <w:jc w:val="left"/>
            </w:pPr>
            <w:r>
              <w:rPr>
                <w:rFonts w:ascii="Arial" w:hAnsi="Arial" w:eastAsia="宋体"/>
                <w:b/>
                <w:color w:val="FFFFFF"/>
                <w:sz w:val="19"/>
              </w:rPr>
              <w:t xml:space="preserve">核价和支付依据</w:t>
            </w:r>
          </w:p>
        </w:tc>
      </w:tr>
      <w:tr>
        <w:trPr>
          <w:cantSplit/>
        </w:trPr>
        <w:tc>
          <w:tcPr>
            <w:tcW w:type="dxa" w:w="2107"/>
            <w:shd w:fill="FFFFFF"/>
          </w:tcPr>
          <w:p>
            <w:pPr>
              <w:keepNext w:val="0"/>
              <w:pageBreakBefore w:val="0"/>
              <w:spacing w:after="60" w:before="60" w:line="283" w:lineRule="auto"/>
              <w:jc w:val="left"/>
            </w:pPr>
            <w:r>
              <w:rPr>
                <w:rFonts w:ascii="Arial" w:hAnsi="Arial" w:eastAsia="宋体"/>
                <w:sz w:val="19"/>
              </w:rPr>
              <w:t xml:space="preserve">A 调查、测绘与评估</w:t>
            </w:r>
          </w:p>
        </w:tc>
        <w:tc>
          <w:tcPr>
            <w:tcW w:type="dxa" w:w="3694"/>
            <w:shd w:fill="FFFFFF"/>
          </w:tcPr>
          <w:p>
            <w:pPr>
              <w:keepNext w:val="0"/>
              <w:pageBreakBefore w:val="0"/>
              <w:spacing w:after="60" w:before="60" w:line="283" w:lineRule="auto"/>
              <w:jc w:val="left"/>
            </w:pPr>
            <w:r>
              <w:rPr>
                <w:rFonts w:ascii="Arial" w:hAnsi="Arial" w:eastAsia="宋体"/>
                <w:sz w:val="19"/>
              </w:rPr>
              <w:t xml:space="preserve">测绘面积、钻孔米数、采样检测批次、岩土与环境专项</w:t>
            </w:r>
          </w:p>
        </w:tc>
        <w:tc>
          <w:tcPr>
            <w:tcW w:type="dxa" w:w="3837"/>
            <w:shd w:fill="FFFFFF"/>
          </w:tcPr>
          <w:p>
            <w:pPr>
              <w:keepNext w:val="0"/>
              <w:pageBreakBefore w:val="0"/>
              <w:spacing w:after="60" w:before="60" w:line="283" w:lineRule="auto"/>
              <w:jc w:val="left"/>
            </w:pPr>
            <w:r>
              <w:rPr>
                <w:rFonts w:ascii="Arial" w:hAnsi="Arial" w:eastAsia="宋体"/>
                <w:sz w:val="19"/>
              </w:rPr>
              <w:t xml:space="preserve">经批准调查方案、检测清单和成果范围；合格成果验收</w:t>
            </w:r>
          </w:p>
        </w:tc>
      </w:tr>
      <w:tr>
        <w:trPr>
          <w:cantSplit/>
        </w:trPr>
        <w:tc>
          <w:tcPr>
            <w:tcW w:type="dxa" w:w="2107"/>
            <w:shd w:fill="EAF2F9"/>
          </w:tcPr>
          <w:p>
            <w:pPr>
              <w:keepNext w:val="0"/>
              <w:pageBreakBefore w:val="0"/>
              <w:spacing w:after="60" w:before="60" w:line="283" w:lineRule="auto"/>
              <w:jc w:val="left"/>
            </w:pPr>
            <w:r>
              <w:rPr>
                <w:rFonts w:ascii="Arial" w:hAnsi="Arial" w:eastAsia="宋体"/>
                <w:sz w:val="19"/>
              </w:rPr>
              <w:t xml:space="preserve">B 设计、手续及专项</w:t>
            </w:r>
          </w:p>
        </w:tc>
        <w:tc>
          <w:tcPr>
            <w:tcW w:type="dxa" w:w="3694"/>
            <w:shd w:fill="EAF2F9"/>
          </w:tcPr>
          <w:p>
            <w:pPr>
              <w:keepNext w:val="0"/>
              <w:pageBreakBefore w:val="0"/>
              <w:spacing w:after="60" w:before="60" w:line="283" w:lineRule="auto"/>
              <w:jc w:val="left"/>
            </w:pPr>
            <w:r>
              <w:rPr>
                <w:rFonts w:ascii="Arial" w:hAnsi="Arial" w:eastAsia="宋体"/>
                <w:sz w:val="19"/>
              </w:rPr>
              <w:t xml:space="preserve">设计阶段、工程范围、安全环保与后续利用接口</w:t>
            </w:r>
          </w:p>
        </w:tc>
        <w:tc>
          <w:tcPr>
            <w:tcW w:type="dxa" w:w="3837"/>
            <w:shd w:fill="EAF2F9"/>
          </w:tcPr>
          <w:p>
            <w:pPr>
              <w:keepNext w:val="0"/>
              <w:pageBreakBefore w:val="0"/>
              <w:spacing w:after="60" w:before="60" w:line="283" w:lineRule="auto"/>
              <w:jc w:val="left"/>
            </w:pPr>
            <w:r>
              <w:rPr>
                <w:rFonts w:ascii="Arial" w:hAnsi="Arial" w:eastAsia="宋体"/>
                <w:sz w:val="19"/>
              </w:rPr>
              <w:t xml:space="preserve">实际委托范围及适用计费依据，防止重复委托</w:t>
            </w:r>
          </w:p>
        </w:tc>
      </w:tr>
      <w:tr>
        <w:trPr>
          <w:cantSplit/>
        </w:trPr>
        <w:tc>
          <w:tcPr>
            <w:tcW w:type="dxa" w:w="2107"/>
            <w:shd w:fill="FFFFFF"/>
          </w:tcPr>
          <w:p>
            <w:pPr>
              <w:keepNext w:val="0"/>
              <w:pageBreakBefore w:val="0"/>
              <w:spacing w:after="60" w:before="60" w:line="283" w:lineRule="auto"/>
              <w:jc w:val="left"/>
            </w:pPr>
            <w:r>
              <w:rPr>
                <w:rFonts w:ascii="Arial" w:hAnsi="Arial" w:eastAsia="宋体"/>
                <w:sz w:val="19"/>
              </w:rPr>
              <w:t xml:space="preserve">C 临建与环保设施</w:t>
            </w:r>
          </w:p>
        </w:tc>
        <w:tc>
          <w:tcPr>
            <w:tcW w:type="dxa" w:w="3694"/>
            <w:shd w:fill="FFFFFF"/>
          </w:tcPr>
          <w:p>
            <w:pPr>
              <w:keepNext w:val="0"/>
              <w:pageBreakBefore w:val="0"/>
              <w:spacing w:after="60" w:before="60" w:line="283" w:lineRule="auto"/>
              <w:jc w:val="left"/>
            </w:pPr>
            <w:r>
              <w:rPr>
                <w:rFonts w:ascii="Arial" w:hAnsi="Arial" w:eastAsia="宋体"/>
                <w:sz w:val="19"/>
              </w:rPr>
              <w:t xml:space="preserve">防渗暂存及分选场面积、截排长度、集气处理风量、调蓄及应急设施</w:t>
            </w:r>
          </w:p>
        </w:tc>
        <w:tc>
          <w:tcPr>
            <w:tcW w:type="dxa" w:w="3837"/>
            <w:shd w:fill="FFFFFF"/>
          </w:tcPr>
          <w:p>
            <w:pPr>
              <w:keepNext w:val="0"/>
              <w:pageBreakBefore w:val="0"/>
              <w:spacing w:after="60" w:before="60" w:line="283" w:lineRule="auto"/>
              <w:jc w:val="left"/>
            </w:pPr>
            <w:r>
              <w:rPr>
                <w:rFonts w:ascii="Arial" w:hAnsi="Arial" w:eastAsia="宋体"/>
                <w:sz w:val="19"/>
              </w:rPr>
              <w:t xml:space="preserve">设计工程量、设备报价与现场条件；设施试运行合格</w:t>
            </w:r>
          </w:p>
        </w:tc>
      </w:tr>
      <w:tr>
        <w:trPr>
          <w:cantSplit/>
        </w:trPr>
        <w:tc>
          <w:tcPr>
            <w:tcW w:type="dxa" w:w="2107"/>
            <w:shd w:fill="EAF2F9"/>
          </w:tcPr>
          <w:p>
            <w:pPr>
              <w:keepNext w:val="0"/>
              <w:pageBreakBefore w:val="0"/>
              <w:spacing w:after="60" w:before="60" w:line="283" w:lineRule="auto"/>
              <w:jc w:val="left"/>
            </w:pPr>
            <w:r>
              <w:rPr>
                <w:rFonts w:ascii="Arial" w:hAnsi="Arial" w:eastAsia="宋体"/>
                <w:sz w:val="19"/>
              </w:rPr>
              <w:t xml:space="preserve">D 堆体预处理</w:t>
            </w:r>
          </w:p>
        </w:tc>
        <w:tc>
          <w:tcPr>
            <w:tcW w:type="dxa" w:w="3694"/>
            <w:shd w:fill="EAF2F9"/>
          </w:tcPr>
          <w:p>
            <w:pPr>
              <w:keepNext w:val="0"/>
              <w:pageBreakBefore w:val="0"/>
              <w:spacing w:after="60" w:before="60" w:line="283" w:lineRule="auto"/>
              <w:jc w:val="left"/>
            </w:pPr>
            <w:r>
              <w:rPr>
                <w:rFonts w:ascii="Arial" w:hAnsi="Arial" w:eastAsia="宋体"/>
                <w:sz w:val="19"/>
              </w:rPr>
              <w:t xml:space="preserve">抽排水量、井/管工程量、气体系统及运行期</w:t>
            </w:r>
          </w:p>
        </w:tc>
        <w:tc>
          <w:tcPr>
            <w:tcW w:type="dxa" w:w="3837"/>
            <w:shd w:fill="EAF2F9"/>
          </w:tcPr>
          <w:p>
            <w:pPr>
              <w:keepNext w:val="0"/>
              <w:pageBreakBefore w:val="0"/>
              <w:spacing w:after="60" w:before="60" w:line="283" w:lineRule="auto"/>
              <w:jc w:val="left"/>
            </w:pPr>
            <w:r>
              <w:rPr>
                <w:rFonts w:ascii="Arial" w:hAnsi="Arial" w:eastAsia="宋体"/>
                <w:sz w:val="19"/>
              </w:rPr>
              <w:t xml:space="preserve">实测液位和气体、抽排设计；与现有设施共用费用分清</w:t>
            </w:r>
          </w:p>
        </w:tc>
      </w:tr>
      <w:tr>
        <w:trPr>
          <w:cantSplit/>
        </w:trPr>
        <w:tc>
          <w:tcPr>
            <w:tcW w:type="dxa" w:w="2107"/>
            <w:shd w:fill="FFFFFF"/>
          </w:tcPr>
          <w:p>
            <w:pPr>
              <w:keepNext w:val="0"/>
              <w:pageBreakBefore w:val="0"/>
              <w:spacing w:after="60" w:before="60" w:line="283" w:lineRule="auto"/>
              <w:jc w:val="left"/>
            </w:pPr>
            <w:r>
              <w:rPr>
                <w:rFonts w:ascii="Arial" w:hAnsi="Arial" w:eastAsia="宋体"/>
                <w:sz w:val="19"/>
              </w:rPr>
              <w:t xml:space="preserve">E 开挖与分选</w:t>
            </w:r>
          </w:p>
        </w:tc>
        <w:tc>
          <w:tcPr>
            <w:tcW w:type="dxa" w:w="3694"/>
            <w:shd w:fill="FFFFFF"/>
          </w:tcPr>
          <w:p>
            <w:pPr>
              <w:keepNext w:val="0"/>
              <w:pageBreakBefore w:val="0"/>
              <w:spacing w:after="60" w:before="60" w:line="283" w:lineRule="auto"/>
              <w:jc w:val="left"/>
            </w:pPr>
            <w:r>
              <w:rPr>
                <w:rFonts w:ascii="Arial" w:hAnsi="Arial" w:eastAsia="宋体"/>
                <w:sz w:val="19"/>
              </w:rPr>
              <w:t xml:space="preserve">开挖立方米、实测湿质量、筛分持续能力、设备台班/租期</w:t>
            </w:r>
          </w:p>
        </w:tc>
        <w:tc>
          <w:tcPr>
            <w:tcW w:type="dxa" w:w="3837"/>
            <w:shd w:fill="FFFFFF"/>
          </w:tcPr>
          <w:p>
            <w:pPr>
              <w:keepNext w:val="0"/>
              <w:pageBreakBefore w:val="0"/>
              <w:spacing w:after="60" w:before="60" w:line="283" w:lineRule="auto"/>
              <w:jc w:val="left"/>
            </w:pPr>
            <w:r>
              <w:rPr>
                <w:rFonts w:ascii="Arial" w:hAnsi="Arial" w:eastAsia="宋体"/>
                <w:sz w:val="19"/>
              </w:rPr>
              <w:t xml:space="preserve">统一测绘与示范结果；报价说明按m³或吨结算，不混用</w:t>
            </w:r>
          </w:p>
        </w:tc>
      </w:tr>
      <w:tr>
        <w:trPr>
          <w:cantSplit/>
        </w:trPr>
        <w:tc>
          <w:tcPr>
            <w:tcW w:type="dxa" w:w="2107"/>
            <w:shd w:fill="EAF2F9"/>
          </w:tcPr>
          <w:p>
            <w:pPr>
              <w:keepNext w:val="0"/>
              <w:pageBreakBefore w:val="0"/>
              <w:spacing w:after="60" w:before="60" w:line="283" w:lineRule="auto"/>
              <w:jc w:val="left"/>
            </w:pPr>
            <w:r>
              <w:rPr>
                <w:rFonts w:ascii="Arial" w:hAnsi="Arial" w:eastAsia="宋体"/>
                <w:sz w:val="19"/>
              </w:rPr>
              <w:t xml:space="preserve">F 可燃物处理</w:t>
            </w:r>
          </w:p>
        </w:tc>
        <w:tc>
          <w:tcPr>
            <w:tcW w:type="dxa" w:w="3694"/>
            <w:shd w:fill="EAF2F9"/>
          </w:tcPr>
          <w:p>
            <w:pPr>
              <w:keepNext w:val="0"/>
              <w:pageBreakBefore w:val="0"/>
              <w:spacing w:after="60" w:before="60" w:line="283" w:lineRule="auto"/>
              <w:jc w:val="left"/>
            </w:pPr>
            <w:r>
              <w:rPr>
                <w:rFonts w:ascii="Arial" w:hAnsi="Arial" w:eastAsia="宋体"/>
                <w:sz w:val="19"/>
              </w:rPr>
              <w:t xml:space="preserve">分类质量、运输里程、焚烧或其他合规接收价</w:t>
            </w:r>
          </w:p>
        </w:tc>
        <w:tc>
          <w:tcPr>
            <w:tcW w:type="dxa" w:w="3837"/>
            <w:shd w:fill="EAF2F9"/>
          </w:tcPr>
          <w:p>
            <w:pPr>
              <w:keepNext w:val="0"/>
              <w:pageBreakBefore w:val="0"/>
              <w:spacing w:after="60" w:before="60" w:line="283" w:lineRule="auto"/>
              <w:jc w:val="left"/>
            </w:pPr>
            <w:r>
              <w:rPr>
                <w:rFonts w:ascii="Arial" w:hAnsi="Arial" w:eastAsia="宋体"/>
                <w:sz w:val="19"/>
              </w:rPr>
              <w:t xml:space="preserve">实际批次质量、核准接收与日量、称重及回执</w:t>
            </w:r>
          </w:p>
        </w:tc>
      </w:tr>
      <w:tr>
        <w:trPr>
          <w:cantSplit/>
        </w:trPr>
        <w:tc>
          <w:tcPr>
            <w:tcW w:type="dxa" w:w="2107"/>
            <w:shd w:fill="FFFFFF"/>
          </w:tcPr>
          <w:p>
            <w:pPr>
              <w:keepNext w:val="0"/>
              <w:pageBreakBefore w:val="0"/>
              <w:spacing w:after="60" w:before="60" w:line="283" w:lineRule="auto"/>
              <w:jc w:val="left"/>
            </w:pPr>
            <w:r>
              <w:rPr>
                <w:rFonts w:ascii="Arial" w:hAnsi="Arial" w:eastAsia="宋体"/>
                <w:sz w:val="19"/>
              </w:rPr>
              <w:t xml:space="preserve">G 金属和惰性物</w:t>
            </w:r>
          </w:p>
        </w:tc>
        <w:tc>
          <w:tcPr>
            <w:tcW w:type="dxa" w:w="3694"/>
            <w:shd w:fill="FFFFFF"/>
          </w:tcPr>
          <w:p>
            <w:pPr>
              <w:keepNext w:val="0"/>
              <w:pageBreakBefore w:val="0"/>
              <w:spacing w:after="60" w:before="60" w:line="283" w:lineRule="auto"/>
              <w:jc w:val="left"/>
            </w:pPr>
            <w:r>
              <w:rPr>
                <w:rFonts w:ascii="Arial" w:hAnsi="Arial" w:eastAsia="宋体"/>
                <w:sz w:val="19"/>
              </w:rPr>
              <w:t xml:space="preserve">回收质量及收入，惰性物合法利用或处置量</w:t>
            </w:r>
          </w:p>
        </w:tc>
        <w:tc>
          <w:tcPr>
            <w:tcW w:type="dxa" w:w="3837"/>
            <w:shd w:fill="FFFFFF"/>
          </w:tcPr>
          <w:p>
            <w:pPr>
              <w:keepNext w:val="0"/>
              <w:pageBreakBefore w:val="0"/>
              <w:spacing w:after="60" w:before="60" w:line="283" w:lineRule="auto"/>
              <w:jc w:val="left"/>
            </w:pPr>
            <w:r>
              <w:rPr>
                <w:rFonts w:ascii="Arial" w:hAnsi="Arial" w:eastAsia="宋体"/>
                <w:sz w:val="19"/>
              </w:rPr>
              <w:t xml:space="preserve">产品/物料质量、属性和真实接收合同；收入与成本分别记账</w:t>
            </w:r>
          </w:p>
        </w:tc>
      </w:tr>
      <w:tr>
        <w:trPr>
          <w:cantSplit/>
        </w:trPr>
        <w:tc>
          <w:tcPr>
            <w:tcW w:type="dxa" w:w="2107"/>
            <w:shd w:fill="EAF2F9"/>
          </w:tcPr>
          <w:p>
            <w:pPr>
              <w:keepNext w:val="0"/>
              <w:pageBreakBefore w:val="0"/>
              <w:spacing w:after="60" w:before="60" w:line="283" w:lineRule="auto"/>
              <w:jc w:val="left"/>
            </w:pPr>
            <w:r>
              <w:rPr>
                <w:rFonts w:ascii="Arial" w:hAnsi="Arial" w:eastAsia="宋体"/>
                <w:sz w:val="19"/>
              </w:rPr>
              <w:t xml:space="preserve">H 筛下细料</w:t>
            </w:r>
          </w:p>
        </w:tc>
        <w:tc>
          <w:tcPr>
            <w:tcW w:type="dxa" w:w="3694"/>
            <w:shd w:fill="EAF2F9"/>
          </w:tcPr>
          <w:p>
            <w:pPr>
              <w:keepNext w:val="0"/>
              <w:pageBreakBefore w:val="0"/>
              <w:spacing w:after="60" w:before="60" w:line="283" w:lineRule="auto"/>
              <w:jc w:val="left"/>
            </w:pPr>
            <w:r>
              <w:rPr>
                <w:rFonts w:ascii="Arial" w:hAnsi="Arial" w:eastAsia="宋体"/>
                <w:sz w:val="19"/>
              </w:rPr>
              <w:t xml:space="preserve">细料湿/干口径、检测、处理、运输及利用或处置量</w:t>
            </w:r>
          </w:p>
        </w:tc>
        <w:tc>
          <w:tcPr>
            <w:tcW w:type="dxa" w:w="3837"/>
            <w:shd w:fill="EAF2F9"/>
          </w:tcPr>
          <w:p>
            <w:pPr>
              <w:keepNext w:val="0"/>
              <w:pageBreakBefore w:val="0"/>
              <w:spacing w:after="60" w:before="60" w:line="283" w:lineRule="auto"/>
              <w:jc w:val="left"/>
            </w:pPr>
            <w:r>
              <w:rPr>
                <w:rFonts w:ascii="Arial" w:hAnsi="Arial" w:eastAsia="宋体"/>
                <w:sz w:val="19"/>
              </w:rPr>
              <w:t xml:space="preserve">示范产率、质量、合法用途和市场；无出路时按处置核价</w:t>
            </w:r>
          </w:p>
        </w:tc>
      </w:tr>
      <w:tr>
        <w:trPr>
          <w:cantSplit/>
        </w:trPr>
        <w:tc>
          <w:tcPr>
            <w:tcW w:type="dxa" w:w="2107"/>
            <w:shd w:fill="FFFFFF"/>
          </w:tcPr>
          <w:p>
            <w:pPr>
              <w:keepNext w:val="0"/>
              <w:pageBreakBefore w:val="0"/>
              <w:spacing w:after="60" w:before="60" w:line="283" w:lineRule="auto"/>
              <w:jc w:val="left"/>
            </w:pPr>
            <w:r>
              <w:rPr>
                <w:rFonts w:ascii="Arial" w:hAnsi="Arial" w:eastAsia="宋体"/>
                <w:sz w:val="19"/>
              </w:rPr>
              <w:t xml:space="preserve">I 异常与危险废物</w:t>
            </w:r>
          </w:p>
        </w:tc>
        <w:tc>
          <w:tcPr>
            <w:tcW w:type="dxa" w:w="3694"/>
            <w:shd w:fill="FFFFFF"/>
          </w:tcPr>
          <w:p>
            <w:pPr>
              <w:keepNext w:val="0"/>
              <w:pageBreakBefore w:val="0"/>
              <w:spacing w:after="60" w:before="60" w:line="283" w:lineRule="auto"/>
              <w:jc w:val="left"/>
            </w:pPr>
            <w:r>
              <w:rPr>
                <w:rFonts w:ascii="Arial" w:hAnsi="Arial" w:eastAsia="宋体"/>
                <w:sz w:val="19"/>
              </w:rPr>
              <w:t xml:space="preserve">隔离贮存、鉴别批次、确定属性后处理运输量</w:t>
            </w:r>
          </w:p>
        </w:tc>
        <w:tc>
          <w:tcPr>
            <w:tcW w:type="dxa" w:w="3837"/>
            <w:shd w:fill="FFFFFF"/>
          </w:tcPr>
          <w:p>
            <w:pPr>
              <w:keepNext w:val="0"/>
              <w:pageBreakBefore w:val="0"/>
              <w:spacing w:after="60" w:before="60" w:line="283" w:lineRule="auto"/>
              <w:jc w:val="left"/>
            </w:pPr>
            <w:r>
              <w:rPr>
                <w:rFonts w:ascii="Arial" w:hAnsi="Arial" w:eastAsia="宋体"/>
                <w:sz w:val="19"/>
              </w:rPr>
              <w:t xml:space="preserve">依法鉴别、接收资质和实际计量，不预设全部为危废</w:t>
            </w:r>
          </w:p>
        </w:tc>
      </w:tr>
      <w:tr>
        <w:trPr>
          <w:cantSplit/>
        </w:trPr>
        <w:tc>
          <w:tcPr>
            <w:tcW w:type="dxa" w:w="2107"/>
            <w:shd w:fill="EAF2F9"/>
          </w:tcPr>
          <w:p>
            <w:pPr>
              <w:keepNext w:val="0"/>
              <w:pageBreakBefore w:val="0"/>
              <w:spacing w:after="60" w:before="60" w:line="283" w:lineRule="auto"/>
              <w:jc w:val="left"/>
            </w:pPr>
            <w:r>
              <w:rPr>
                <w:rFonts w:ascii="Arial" w:hAnsi="Arial" w:eastAsia="宋体"/>
                <w:sz w:val="19"/>
              </w:rPr>
              <w:t xml:space="preserve">J 原水和膜浓缩液</w:t>
            </w:r>
          </w:p>
        </w:tc>
        <w:tc>
          <w:tcPr>
            <w:tcW w:type="dxa" w:w="3694"/>
            <w:shd w:fill="EAF2F9"/>
          </w:tcPr>
          <w:p>
            <w:pPr>
              <w:keepNext w:val="0"/>
              <w:pageBreakBefore w:val="0"/>
              <w:spacing w:after="60" w:before="60" w:line="283" w:lineRule="auto"/>
              <w:jc w:val="left"/>
            </w:pPr>
            <w:r>
              <w:rPr>
                <w:rFonts w:ascii="Arial" w:hAnsi="Arial" w:eastAsia="宋体"/>
                <w:sz w:val="19"/>
              </w:rPr>
              <w:t xml:space="preserve">分系统吨或m³、原水污染负荷、浓缩液量和合法转移</w:t>
            </w:r>
          </w:p>
        </w:tc>
        <w:tc>
          <w:tcPr>
            <w:tcW w:type="dxa" w:w="3837"/>
            <w:shd w:fill="EAF2F9"/>
          </w:tcPr>
          <w:p>
            <w:pPr>
              <w:keepNext w:val="0"/>
              <w:pageBreakBefore w:val="0"/>
              <w:spacing w:after="60" w:before="60" w:line="283" w:lineRule="auto"/>
              <w:jc w:val="left"/>
            </w:pPr>
            <w:r>
              <w:rPr>
                <w:rFonts w:ascii="Arial" w:hAnsi="Arial" w:eastAsia="宋体"/>
                <w:sz w:val="19"/>
              </w:rPr>
              <w:t xml:space="preserve">试验、设施负荷、服务边界及接收报价；禁止重复计入进水和浓液</w:t>
            </w:r>
          </w:p>
        </w:tc>
      </w:tr>
      <w:tr>
        <w:trPr>
          <w:cantSplit/>
        </w:trPr>
        <w:tc>
          <w:tcPr>
            <w:tcW w:type="dxa" w:w="2107"/>
            <w:shd w:fill="FFFFFF"/>
          </w:tcPr>
          <w:p>
            <w:pPr>
              <w:keepNext w:val="0"/>
              <w:pageBreakBefore w:val="0"/>
              <w:spacing w:after="60" w:before="60" w:line="283" w:lineRule="auto"/>
              <w:jc w:val="left"/>
            </w:pPr>
            <w:r>
              <w:rPr>
                <w:rFonts w:ascii="Arial" w:hAnsi="Arial" w:eastAsia="宋体"/>
                <w:sz w:val="19"/>
              </w:rPr>
              <w:t xml:space="preserve">K 场底土壤地下水</w:t>
            </w:r>
          </w:p>
        </w:tc>
        <w:tc>
          <w:tcPr>
            <w:tcW w:type="dxa" w:w="3694"/>
            <w:shd w:fill="FFFFFF"/>
          </w:tcPr>
          <w:p>
            <w:pPr>
              <w:keepNext w:val="0"/>
              <w:pageBreakBefore w:val="0"/>
              <w:spacing w:after="60" w:before="60" w:line="283" w:lineRule="auto"/>
              <w:jc w:val="left"/>
            </w:pPr>
            <w:r>
              <w:rPr>
                <w:rFonts w:ascii="Arial" w:hAnsi="Arial" w:eastAsia="宋体"/>
                <w:sz w:val="19"/>
              </w:rPr>
              <w:t xml:space="preserve">污染土量、修复工艺、水量、管控设施及实际运行期</w:t>
            </w:r>
          </w:p>
        </w:tc>
        <w:tc>
          <w:tcPr>
            <w:tcW w:type="dxa" w:w="3837"/>
            <w:shd w:fill="FFFFFF"/>
          </w:tcPr>
          <w:p>
            <w:pPr>
              <w:keepNext w:val="0"/>
              <w:pageBreakBefore w:val="0"/>
              <w:spacing w:after="60" w:before="60" w:line="283" w:lineRule="auto"/>
              <w:jc w:val="left"/>
            </w:pPr>
            <w:r>
              <w:rPr>
                <w:rFonts w:ascii="Arial" w:hAnsi="Arial" w:eastAsia="宋体"/>
                <w:sz w:val="19"/>
              </w:rPr>
              <w:t xml:space="preserve">调查、风险评估、试验和修复设计；不得预设全场污染</w:t>
            </w:r>
          </w:p>
        </w:tc>
      </w:tr>
      <w:tr>
        <w:trPr>
          <w:cantSplit/>
        </w:trPr>
        <w:tc>
          <w:tcPr>
            <w:tcW w:type="dxa" w:w="2107"/>
            <w:shd w:fill="EAF2F9"/>
          </w:tcPr>
          <w:p>
            <w:pPr>
              <w:keepNext w:val="0"/>
              <w:pageBreakBefore w:val="0"/>
              <w:spacing w:after="60" w:before="60" w:line="283" w:lineRule="auto"/>
              <w:jc w:val="left"/>
            </w:pPr>
            <w:r>
              <w:rPr>
                <w:rFonts w:ascii="Arial" w:hAnsi="Arial" w:eastAsia="宋体"/>
                <w:sz w:val="19"/>
              </w:rPr>
              <w:t xml:space="preserve">L 监测、评估及后期</w:t>
            </w:r>
          </w:p>
        </w:tc>
        <w:tc>
          <w:tcPr>
            <w:tcW w:type="dxa" w:w="3694"/>
            <w:shd w:fill="EAF2F9"/>
          </w:tcPr>
          <w:p>
            <w:pPr>
              <w:keepNext w:val="0"/>
              <w:pageBreakBefore w:val="0"/>
              <w:spacing w:after="60" w:before="60" w:line="283" w:lineRule="auto"/>
              <w:jc w:val="left"/>
            </w:pPr>
            <w:r>
              <w:rPr>
                <w:rFonts w:ascii="Arial" w:hAnsi="Arial" w:eastAsia="宋体"/>
                <w:sz w:val="19"/>
              </w:rPr>
              <w:t xml:space="preserve">点位频次、检测项目、效果评估、保留设施运行期</w:t>
            </w:r>
          </w:p>
        </w:tc>
        <w:tc>
          <w:tcPr>
            <w:tcW w:type="dxa" w:w="3837"/>
            <w:shd w:fill="EAF2F9"/>
          </w:tcPr>
          <w:p>
            <w:pPr>
              <w:keepNext w:val="0"/>
              <w:pageBreakBefore w:val="0"/>
              <w:spacing w:after="60" w:before="60" w:line="283" w:lineRule="auto"/>
              <w:jc w:val="left"/>
            </w:pPr>
            <w:r>
              <w:rPr>
                <w:rFonts w:ascii="Arial" w:hAnsi="Arial" w:eastAsia="宋体"/>
                <w:sz w:val="19"/>
              </w:rPr>
              <w:t xml:space="preserve">适用标准及批准方案，维护终止条件和移交边界</w:t>
            </w:r>
          </w:p>
        </w:tc>
      </w:tr>
      <w:tr>
        <w:trPr>
          <w:cantSplit/>
        </w:trPr>
        <w:tc>
          <w:tcPr>
            <w:tcW w:type="dxa" w:w="2107"/>
            <w:shd w:fill="FFFFFF"/>
          </w:tcPr>
          <w:p>
            <w:pPr>
              <w:keepNext w:val="0"/>
              <w:pageBreakBefore w:val="0"/>
              <w:spacing w:after="60" w:before="60" w:line="283" w:lineRule="auto"/>
              <w:jc w:val="left"/>
            </w:pPr>
            <w:r>
              <w:rPr>
                <w:rFonts w:ascii="Arial" w:hAnsi="Arial" w:eastAsia="宋体"/>
                <w:sz w:val="19"/>
              </w:rPr>
              <w:t xml:space="preserve">M 其他及预备费用</w:t>
            </w:r>
          </w:p>
        </w:tc>
        <w:tc>
          <w:tcPr>
            <w:tcW w:type="dxa" w:w="3694"/>
            <w:shd w:fill="FFFFFF"/>
          </w:tcPr>
          <w:p>
            <w:pPr>
              <w:keepNext w:val="0"/>
              <w:pageBreakBefore w:val="0"/>
              <w:spacing w:after="60" w:before="60" w:line="283" w:lineRule="auto"/>
              <w:jc w:val="left"/>
            </w:pPr>
            <w:r>
              <w:rPr>
                <w:rFonts w:ascii="Arial" w:hAnsi="Arial" w:eastAsia="宋体"/>
                <w:sz w:val="19"/>
              </w:rPr>
              <w:t xml:space="preserve">依法适用的工程其他费、预备费及建设期费用</w:t>
            </w:r>
          </w:p>
        </w:tc>
        <w:tc>
          <w:tcPr>
            <w:tcW w:type="dxa" w:w="3837"/>
            <w:shd w:fill="FFFFFF"/>
          </w:tcPr>
          <w:p>
            <w:pPr>
              <w:keepNext w:val="0"/>
              <w:pageBreakBefore w:val="0"/>
              <w:spacing w:after="60" w:before="60" w:line="283" w:lineRule="auto"/>
              <w:jc w:val="left"/>
            </w:pPr>
            <w:r>
              <w:rPr>
                <w:rFonts w:ascii="Arial" w:hAnsi="Arial" w:eastAsia="宋体"/>
                <w:sz w:val="19"/>
              </w:rPr>
              <w:t xml:space="preserve">按批准项目类别、计价规定和资金安排核定，不任取比例</w:t>
            </w:r>
          </w:p>
        </w:tc>
      </w:tr>
    </w:tbl>
    <w:p>
      <w:pPr>
        <w:pStyle w:val="BodyText"/>
      </w:pPr>
      <w:r>
        <w:t xml:space="preserve">上述工作包是乙方工程计价边界，不是已获批准的概算。现有公开案例未取得可比的完整竣工成本、分项工程量及真实结算单价，不据其技术记录推算本场“每吨成本”。主体投资在体积、湿密度、产物比例、水量、距离、工期、最终去向和价格核实后编制。</w:t>
      </w:r>
    </w:p>
    <w:p>
      <w:pPr>
        <w:pStyle w:val="BodyText"/>
      </w:pPr>
      <w:r>
        <w:t xml:space="preserve">投资核算为I＝各计量工作包工程量×对应含税合同单价之和＋依法适用其他费用。回收收入另列，不冲减未确认成本；必要后期维护单独列现金流。筛分、开挖、设施、处置和运输若使用综合报价，明确已包含项后再汇总。调查和示范成果应能追溯每项工程量与价格依据。</w:t>
      </w:r>
    </w:p>
    <w:p>
      <w:pPr>
        <w:pStyle w:val="BodyText"/>
      </w:pPr>
      <w:r>
        <w:drawing>
          <wp:inline>
            <wp:extent cx="6108700" cy="2748915"/>
            <wp:effectExtent b="0" l="0" r="0" t="0"/>
            <wp:docPr descr="投资控制流程" title="" id="82" name="Picture"/>
            <a:graphic>
              <a:graphicData uri="http://schemas.openxmlformats.org/drawingml/2006/picture">
                <pic:pic>
                  <pic:nvPicPr>
                    <pic:cNvPr descr="../figures/08_budget.png" id="83" name="Picture"/>
                    <pic:cNvPicPr>
                      <a:picLocks noChangeArrowheads="1" noChangeAspect="1"/>
                    </pic:cNvPicPr>
                  </pic:nvPicPr>
                  <pic:blipFill>
                    <a:blip r:embed="rId81"/>
                    <a:stretch>
                      <a:fillRect/>
                    </a:stretch>
                  </pic:blipFill>
                  <pic:spPr bwMode="auto">
                    <a:xfrm>
                      <a:off x="0" y="0"/>
                      <a:ext cx="6108700" cy="2748915"/>
                    </a:xfrm>
                    <a:prstGeom prst="rect">
                      <a:avLst/>
                    </a:prstGeom>
                    <a:noFill/>
                    <a:ln w="9525">
                      <a:noFill/>
                      <a:headEnd/>
                      <a:tailEnd/>
                    </a:ln>
                  </pic:spPr>
                </pic:pic>
              </a:graphicData>
            </a:graphic>
          </wp:inline>
        </w:drawing>
      </w:r>
    </w:p>
    <w:p>
      <w:pPr>
        <w:pStyle w:val="BodyText"/>
        <w:jc w:val="center"/>
      </w:pPr>
      <w:r>
        <w:rPr>
          <w:color w:val="5F7179"/>
          <w:sz w:val="18"/>
        </w:rPr>
        <w:t xml:space="preserve">图9　投资从工程量、真实接收和报价核定，不从假设总量直接套算。</w:t>
      </w:r>
    </w:p>
    <w:bookmarkEnd w:id="84"/>
    <w:bookmarkStart w:id="85" w:name="X8122b0b2d95e6ea07e8ccefbc7e07851d7c0d30"/>
    <w:p>
      <w:pPr>
        <w:pStyle w:val="Heading3"/>
      </w:pPr>
      <w:r>
        <w:t xml:space="preserve">6.3 工程量与价格变化的可计算影响</w:t>
      </w:r>
    </w:p>
    <w:p>
      <w:pPr>
        <w:pStyle w:val="FirstParagraph"/>
      </w:pPr>
      <w:r>
        <w:t xml:space="preserve">垃圾体积存在170万、250万m³两种资料口径，尚不选其一作为概算量。对按开挖体积计价的同一工作项，若单价仅变化10元/m³，两个体积条件下费用变化分别为1700万元、2500万元。10元/m³是乙方设定的敏感度步长，不是实际报价，也不是综合处理单价；按吨计价的分选、运输及处置费用不能直接使用该公式。[B01—B02；乙方算术计算]</w:t>
      </w:r>
    </w:p>
    <w:tbl>
      <w:tblPr>
        <w:tblStyle w:val="Table"/>
        <w:tblW w:type="dxa" w:w="9638"/>
        <w:jc w:val="left"/>
        <w:tblLayout w:type="fixed"/>
        <w:tblLook w:firstRow="1" w:lastRow="0" w:firstColumn="0" w:lastColumn="0" w:noHBand="0" w:noVBand="0" w:val="0020"/>
      </w:tblPr>
      <w:tblGrid>
        <w:gridCol w:w="2263"/>
        <w:gridCol w:w="3289"/>
        <w:gridCol w:w="4086"/>
      </w:tblGrid>
      <w:tr>
        <w:trPr>
          <w:tblHeader w:val="on"/>
          <w:cantSplit/>
          <w:tblHeader w:val="true"/>
        </w:trPr>
        <w:tc>
          <w:tcPr>
            <w:tcW w:type="dxa" w:w="2263"/>
            <w:shd w:fill="174775"/>
          </w:tcPr>
          <w:p>
            <w:pPr>
              <w:keepNext w:val="0"/>
              <w:pageBreakBefore w:val="0"/>
              <w:spacing w:after="60" w:before="60" w:line="283" w:lineRule="auto"/>
              <w:jc w:val="left"/>
            </w:pPr>
            <w:r>
              <w:rPr>
                <w:rFonts w:ascii="Arial" w:hAnsi="Arial" w:eastAsia="宋体"/>
                <w:b/>
                <w:color w:val="FFFFFF"/>
                <w:sz w:val="19"/>
              </w:rPr>
              <w:t xml:space="preserve">变化因素</w:t>
            </w:r>
          </w:p>
        </w:tc>
        <w:tc>
          <w:tcPr>
            <w:tcW w:type="dxa" w:w="3289"/>
            <w:shd w:fill="174775"/>
          </w:tcPr>
          <w:p>
            <w:pPr>
              <w:keepNext w:val="0"/>
              <w:pageBreakBefore w:val="0"/>
              <w:spacing w:after="60" w:before="60" w:line="283" w:lineRule="auto"/>
              <w:jc w:val="left"/>
            </w:pPr>
            <w:r>
              <w:rPr>
                <w:rFonts w:ascii="Arial" w:hAnsi="Arial" w:eastAsia="宋体"/>
                <w:b/>
                <w:color w:val="FFFFFF"/>
                <w:sz w:val="19"/>
              </w:rPr>
              <w:t xml:space="preserve">计算关系</w:t>
            </w:r>
          </w:p>
        </w:tc>
        <w:tc>
          <w:tcPr>
            <w:tcW w:type="dxa" w:w="4086"/>
            <w:shd w:fill="174775"/>
          </w:tcPr>
          <w:p>
            <w:pPr>
              <w:keepNext w:val="0"/>
              <w:pageBreakBefore w:val="0"/>
              <w:spacing w:after="60" w:before="60" w:line="283" w:lineRule="auto"/>
              <w:jc w:val="left"/>
            </w:pPr>
            <w:r>
              <w:rPr>
                <w:rFonts w:ascii="Arial" w:hAnsi="Arial" w:eastAsia="宋体"/>
                <w:b/>
                <w:color w:val="FFFFFF"/>
                <w:sz w:val="19"/>
              </w:rPr>
              <w:t xml:space="preserve">应采取的投资控制措施</w:t>
            </w:r>
          </w:p>
        </w:tc>
      </w:tr>
      <w:tr>
        <w:trPr>
          <w:cantSplit/>
        </w:trPr>
        <w:tc>
          <w:tcPr>
            <w:tcW w:type="dxa" w:w="2263"/>
            <w:shd w:fill="FFFFFF"/>
          </w:tcPr>
          <w:p>
            <w:pPr>
              <w:keepNext w:val="0"/>
              <w:pageBreakBefore w:val="0"/>
              <w:spacing w:after="60" w:before="60" w:line="283" w:lineRule="auto"/>
              <w:jc w:val="left"/>
            </w:pPr>
            <w:r>
              <w:rPr>
                <w:rFonts w:ascii="Arial" w:hAnsi="Arial" w:eastAsia="宋体"/>
                <w:sz w:val="19"/>
              </w:rPr>
              <w:t xml:space="preserve">体积口径</w:t>
            </w:r>
          </w:p>
        </w:tc>
        <w:tc>
          <w:tcPr>
            <w:tcW w:type="dxa" w:w="3289"/>
            <w:shd w:fill="FFFFFF"/>
          </w:tcPr>
          <w:p>
            <w:pPr>
              <w:keepNext w:val="0"/>
              <w:pageBreakBefore w:val="0"/>
              <w:spacing w:after="60" w:before="60" w:line="283" w:lineRule="auto"/>
              <w:jc w:val="left"/>
            </w:pPr>
            <w:r>
              <w:rPr>
                <w:rFonts w:ascii="Arial" w:hAnsi="Arial" w:eastAsia="宋体"/>
                <w:sz w:val="19"/>
              </w:rPr>
              <w:t xml:space="preserve">体积误差×按体积计价单价</w:t>
            </w:r>
          </w:p>
        </w:tc>
        <w:tc>
          <w:tcPr>
            <w:tcW w:type="dxa" w:w="4086"/>
            <w:shd w:fill="FFFFFF"/>
          </w:tcPr>
          <w:p>
            <w:pPr>
              <w:keepNext w:val="0"/>
              <w:pageBreakBefore w:val="0"/>
              <w:spacing w:after="60" w:before="60" w:line="283" w:lineRule="auto"/>
              <w:jc w:val="left"/>
            </w:pPr>
            <w:r>
              <w:rPr>
                <w:rFonts w:ascii="Arial" w:hAnsi="Arial" w:eastAsia="宋体"/>
                <w:sz w:val="19"/>
              </w:rPr>
              <w:t xml:space="preserve">测绘地形、基底、边界及分区，核实原覆土等是否进入计价量</w:t>
            </w:r>
          </w:p>
        </w:tc>
      </w:tr>
      <w:tr>
        <w:trPr>
          <w:cantSplit/>
        </w:trPr>
        <w:tc>
          <w:tcPr>
            <w:tcW w:type="dxa" w:w="2263"/>
            <w:shd w:fill="EAF2F9"/>
          </w:tcPr>
          <w:p>
            <w:pPr>
              <w:keepNext w:val="0"/>
              <w:pageBreakBefore w:val="0"/>
              <w:spacing w:after="60" w:before="60" w:line="283" w:lineRule="auto"/>
              <w:jc w:val="left"/>
            </w:pPr>
            <w:r>
              <w:rPr>
                <w:rFonts w:ascii="Arial" w:hAnsi="Arial" w:eastAsia="宋体"/>
                <w:sz w:val="19"/>
              </w:rPr>
              <w:t xml:space="preserve">分选产率</w:t>
            </w:r>
          </w:p>
        </w:tc>
        <w:tc>
          <w:tcPr>
            <w:tcW w:type="dxa" w:w="3289"/>
            <w:shd w:fill="EAF2F9"/>
          </w:tcPr>
          <w:p>
            <w:pPr>
              <w:keepNext w:val="0"/>
              <w:pageBreakBefore w:val="0"/>
              <w:spacing w:after="60" w:before="60" w:line="283" w:lineRule="auto"/>
              <w:jc w:val="left"/>
            </w:pPr>
            <w:r>
              <w:rPr>
                <w:rFonts w:ascii="Arial" w:hAnsi="Arial" w:eastAsia="宋体"/>
                <w:sz w:val="19"/>
              </w:rPr>
              <w:t xml:space="preserve">开挖湿质量×产率变化×对应运输处置单价</w:t>
            </w:r>
          </w:p>
        </w:tc>
        <w:tc>
          <w:tcPr>
            <w:tcW w:type="dxa" w:w="4086"/>
            <w:shd w:fill="EAF2F9"/>
          </w:tcPr>
          <w:p>
            <w:pPr>
              <w:keepNext w:val="0"/>
              <w:pageBreakBefore w:val="0"/>
              <w:spacing w:after="60" w:before="60" w:line="283" w:lineRule="auto"/>
              <w:jc w:val="left"/>
            </w:pPr>
            <w:r>
              <w:rPr>
                <w:rFonts w:ascii="Arial" w:hAnsi="Arial" w:eastAsia="宋体"/>
                <w:sz w:val="19"/>
              </w:rPr>
              <w:t xml:space="preserve">代表性试验及试接收，统计含水；不预设细料全部免费利用</w:t>
            </w:r>
          </w:p>
        </w:tc>
      </w:tr>
      <w:tr>
        <w:trPr>
          <w:cantSplit/>
        </w:trPr>
        <w:tc>
          <w:tcPr>
            <w:tcW w:type="dxa" w:w="2263"/>
            <w:shd w:fill="FFFFFF"/>
          </w:tcPr>
          <w:p>
            <w:pPr>
              <w:keepNext w:val="0"/>
              <w:pageBreakBefore w:val="0"/>
              <w:spacing w:after="60" w:before="60" w:line="283" w:lineRule="auto"/>
              <w:jc w:val="left"/>
            </w:pPr>
            <w:r>
              <w:rPr>
                <w:rFonts w:ascii="Arial" w:hAnsi="Arial" w:eastAsia="宋体"/>
                <w:sz w:val="19"/>
              </w:rPr>
              <w:t xml:space="preserve">水量与水质</w:t>
            </w:r>
          </w:p>
        </w:tc>
        <w:tc>
          <w:tcPr>
            <w:tcW w:type="dxa" w:w="3289"/>
            <w:shd w:fill="FFFFFF"/>
          </w:tcPr>
          <w:p>
            <w:pPr>
              <w:keepNext w:val="0"/>
              <w:pageBreakBefore w:val="0"/>
              <w:spacing w:after="60" w:before="60" w:line="283" w:lineRule="auto"/>
              <w:jc w:val="left"/>
            </w:pPr>
            <w:r>
              <w:rPr>
                <w:rFonts w:ascii="Arial" w:hAnsi="Arial" w:eastAsia="宋体"/>
                <w:sz w:val="19"/>
              </w:rPr>
              <w:t xml:space="preserve">新增需处理量×实际边际处理成本，另核浓缩液</w:t>
            </w:r>
          </w:p>
        </w:tc>
        <w:tc>
          <w:tcPr>
            <w:tcW w:type="dxa" w:w="4086"/>
            <w:shd w:fill="FFFFFF"/>
          </w:tcPr>
          <w:p>
            <w:pPr>
              <w:keepNext w:val="0"/>
              <w:pageBreakBefore w:val="0"/>
              <w:spacing w:after="60" w:before="60" w:line="283" w:lineRule="auto"/>
              <w:jc w:val="left"/>
            </w:pPr>
            <w:r>
              <w:rPr>
                <w:rFonts w:ascii="Arial" w:hAnsi="Arial" w:eastAsia="宋体"/>
                <w:sz w:val="19"/>
              </w:rPr>
              <w:t xml:space="preserve">抽排与峰值平衡、水质试验、合同服务边界统一</w:t>
            </w:r>
          </w:p>
        </w:tc>
      </w:tr>
      <w:tr>
        <w:trPr>
          <w:cantSplit/>
        </w:trPr>
        <w:tc>
          <w:tcPr>
            <w:tcW w:type="dxa" w:w="2263"/>
            <w:shd w:fill="EAF2F9"/>
          </w:tcPr>
          <w:p>
            <w:pPr>
              <w:keepNext w:val="0"/>
              <w:pageBreakBefore w:val="0"/>
              <w:spacing w:after="60" w:before="60" w:line="283" w:lineRule="auto"/>
              <w:jc w:val="left"/>
            </w:pPr>
            <w:r>
              <w:rPr>
                <w:rFonts w:ascii="Arial" w:hAnsi="Arial" w:eastAsia="宋体"/>
                <w:sz w:val="19"/>
              </w:rPr>
              <w:t xml:space="preserve">接收及物流</w:t>
            </w:r>
          </w:p>
        </w:tc>
        <w:tc>
          <w:tcPr>
            <w:tcW w:type="dxa" w:w="3289"/>
            <w:shd w:fill="EAF2F9"/>
          </w:tcPr>
          <w:p>
            <w:pPr>
              <w:keepNext w:val="0"/>
              <w:pageBreakBefore w:val="0"/>
              <w:spacing w:after="60" w:before="60" w:line="283" w:lineRule="auto"/>
              <w:jc w:val="left"/>
            </w:pPr>
            <w:r>
              <w:rPr>
                <w:rFonts w:ascii="Arial" w:hAnsi="Arial" w:eastAsia="宋体"/>
                <w:sz w:val="19"/>
              </w:rPr>
              <w:t xml:space="preserve">日量、距离、拒收与库存变化影响车辆和设施工期</w:t>
            </w:r>
          </w:p>
        </w:tc>
        <w:tc>
          <w:tcPr>
            <w:tcW w:type="dxa" w:w="4086"/>
            <w:shd w:fill="EAF2F9"/>
          </w:tcPr>
          <w:p>
            <w:pPr>
              <w:keepNext w:val="0"/>
              <w:pageBreakBefore w:val="0"/>
              <w:spacing w:after="60" w:before="60" w:line="283" w:lineRule="auto"/>
              <w:jc w:val="left"/>
            </w:pPr>
            <w:r>
              <w:rPr>
                <w:rFonts w:ascii="Arial" w:hAnsi="Arial" w:eastAsia="宋体"/>
                <w:sz w:val="19"/>
              </w:rPr>
              <w:t xml:space="preserve">锁定全部产物合法去向与备用，对持续而非瞬时能力定规模</w:t>
            </w:r>
          </w:p>
        </w:tc>
      </w:tr>
      <w:tr>
        <w:trPr>
          <w:cantSplit/>
        </w:trPr>
        <w:tc>
          <w:tcPr>
            <w:tcW w:type="dxa" w:w="2263"/>
            <w:shd w:fill="FFFFFF"/>
          </w:tcPr>
          <w:p>
            <w:pPr>
              <w:keepNext w:val="0"/>
              <w:pageBreakBefore w:val="0"/>
              <w:spacing w:after="60" w:before="60" w:line="283" w:lineRule="auto"/>
              <w:jc w:val="left"/>
            </w:pPr>
            <w:r>
              <w:rPr>
                <w:rFonts w:ascii="Arial" w:hAnsi="Arial" w:eastAsia="宋体"/>
                <w:sz w:val="19"/>
              </w:rPr>
              <w:t xml:space="preserve">工程周期</w:t>
            </w:r>
          </w:p>
        </w:tc>
        <w:tc>
          <w:tcPr>
            <w:tcW w:type="dxa" w:w="3289"/>
            <w:shd w:fill="FFFFFF"/>
          </w:tcPr>
          <w:p>
            <w:pPr>
              <w:keepNext w:val="0"/>
              <w:pageBreakBefore w:val="0"/>
              <w:spacing w:after="60" w:before="60" w:line="283" w:lineRule="auto"/>
              <w:jc w:val="left"/>
            </w:pPr>
            <w:r>
              <w:rPr>
                <w:rFonts w:ascii="Arial" w:hAnsi="Arial" w:eastAsia="宋体"/>
                <w:sz w:val="19"/>
              </w:rPr>
              <w:t xml:space="preserve">实际运行期×设备、临建和监测期间费用</w:t>
            </w:r>
          </w:p>
        </w:tc>
        <w:tc>
          <w:tcPr>
            <w:tcW w:type="dxa" w:w="4086"/>
            <w:shd w:fill="FFFFFF"/>
          </w:tcPr>
          <w:p>
            <w:pPr>
              <w:keepNext w:val="0"/>
              <w:pageBreakBefore w:val="0"/>
              <w:spacing w:after="60" w:before="60" w:line="283" w:lineRule="auto"/>
              <w:jc w:val="left"/>
            </w:pPr>
            <w:r>
              <w:rPr>
                <w:rFonts w:ascii="Arial" w:hAnsi="Arial" w:eastAsia="宋体"/>
                <w:sz w:val="19"/>
              </w:rPr>
              <w:t xml:space="preserve">示范取得持续能力，分区验收，避免开挖快于合法处置</w:t>
            </w:r>
          </w:p>
        </w:tc>
      </w:tr>
    </w:tbl>
    <w:bookmarkEnd w:id="85"/>
    <w:bookmarkStart w:id="89" w:name="X8efa65da18d267aa3714dd8df7f6dd35d7a5eb4"/>
    <w:p>
      <w:pPr>
        <w:pStyle w:val="Heading3"/>
      </w:pPr>
      <w:r>
        <w:t xml:space="preserve">6.4 运维费用避免支出的边界测算</w:t>
      </w:r>
    </w:p>
    <w:p>
      <w:pPr>
        <w:pStyle w:val="FirstParagraph"/>
      </w:pPr>
      <w:r>
        <w:t xml:space="preserve">为检验财务回收的可能范围，乙方选取10年、20年为比较窗口，不代表法定期限、预测年限或保证清挖后即可停止处理。按713.575万元/年、量价不变、全额既有服务费用消失、无新增维护费用、无折现这一理想条件，理论最高避免支出为7135.75万元和14271.5万元。实际治理仍可能产生残余渗滤液、地下水抽提和监测费用，应逐年扣除；原水达到S02第8.7条终止条件前不能停运，因此真实可节省额通常低于该上限。</w:t>
      </w:r>
    </w:p>
    <w:tbl>
      <w:tblPr>
        <w:tblStyle w:val="Table"/>
        <w:tblW w:type="dxa" w:w="9638"/>
        <w:jc w:val="left"/>
        <w:tblLayout w:type="fixed"/>
        <w:tblLook w:firstRow="1" w:lastRow="0" w:firstColumn="0" w:lastColumn="0" w:noHBand="0" w:noVBand="0" w:val="0020"/>
      </w:tblPr>
      <w:tblGrid>
        <w:gridCol w:w="2183"/>
        <w:gridCol w:w="3747"/>
        <w:gridCol w:w="3708"/>
      </w:tblGrid>
      <w:tr>
        <w:trPr>
          <w:tblHeader w:val="on"/>
          <w:cantSplit/>
          <w:tblHeader w:val="true"/>
        </w:trPr>
        <w:tc>
          <w:tcPr>
            <w:tcW w:type="dxa" w:w="2183"/>
            <w:shd w:fill="174775"/>
          </w:tcPr>
          <w:p>
            <w:pPr>
              <w:keepNext w:val="0"/>
              <w:pageBreakBefore w:val="0"/>
              <w:spacing w:after="60" w:before="60" w:line="283" w:lineRule="auto"/>
              <w:jc w:val="left"/>
            </w:pPr>
            <w:r>
              <w:rPr>
                <w:rFonts w:ascii="Arial" w:hAnsi="Arial" w:eastAsia="宋体"/>
                <w:b/>
                <w:color w:val="FFFFFF"/>
                <w:sz w:val="19"/>
              </w:rPr>
              <w:t xml:space="preserve">比较窗口</w:t>
            </w:r>
          </w:p>
        </w:tc>
        <w:tc>
          <w:tcPr>
            <w:tcW w:type="dxa" w:w="3747"/>
            <w:shd w:fill="174775"/>
          </w:tcPr>
          <w:p>
            <w:pPr>
              <w:keepNext w:val="0"/>
              <w:pageBreakBefore w:val="0"/>
              <w:spacing w:after="60" w:before="60" w:line="283" w:lineRule="auto"/>
              <w:jc w:val="left"/>
            </w:pPr>
            <w:r>
              <w:rPr>
                <w:rFonts w:ascii="Arial" w:hAnsi="Arial" w:eastAsia="宋体"/>
                <w:b/>
                <w:color w:val="FFFFFF"/>
                <w:sz w:val="19"/>
              </w:rPr>
              <w:t xml:space="preserve">理论最高避免支出，未折现</w:t>
            </w:r>
          </w:p>
        </w:tc>
        <w:tc>
          <w:tcPr>
            <w:tcW w:type="dxa" w:w="3708"/>
            <w:shd w:fill="174775"/>
          </w:tcPr>
          <w:p>
            <w:pPr>
              <w:keepNext w:val="0"/>
              <w:pageBreakBefore w:val="0"/>
              <w:spacing w:after="60" w:before="60" w:line="283" w:lineRule="auto"/>
              <w:jc w:val="left"/>
            </w:pPr>
            <w:r>
              <w:rPr>
                <w:rFonts w:ascii="Arial" w:hAnsi="Arial" w:eastAsia="宋体"/>
                <w:b/>
                <w:color w:val="FFFFFF"/>
                <w:sz w:val="19"/>
              </w:rPr>
              <w:t xml:space="preserve">财务判断</w:t>
            </w:r>
          </w:p>
        </w:tc>
      </w:tr>
      <w:tr>
        <w:trPr>
          <w:cantSplit/>
        </w:trPr>
        <w:tc>
          <w:tcPr>
            <w:tcW w:type="dxa" w:w="2183"/>
            <w:shd w:fill="FFFFFF"/>
          </w:tcPr>
          <w:p>
            <w:pPr>
              <w:keepNext w:val="0"/>
              <w:pageBreakBefore w:val="0"/>
              <w:spacing w:after="60" w:before="60" w:line="283" w:lineRule="auto"/>
              <w:jc w:val="left"/>
            </w:pPr>
            <w:r>
              <w:rPr>
                <w:rFonts w:ascii="Arial" w:hAnsi="Arial" w:eastAsia="宋体"/>
                <w:sz w:val="19"/>
              </w:rPr>
              <w:t xml:space="preserve">10年</w:t>
            </w:r>
          </w:p>
        </w:tc>
        <w:tc>
          <w:tcPr>
            <w:tcW w:type="dxa" w:w="3747"/>
            <w:shd w:fill="FFFFFF"/>
          </w:tcPr>
          <w:p>
            <w:pPr>
              <w:keepNext w:val="0"/>
              <w:pageBreakBefore w:val="0"/>
              <w:spacing w:after="60" w:before="60" w:line="283" w:lineRule="auto"/>
              <w:jc w:val="left"/>
            </w:pPr>
            <w:r>
              <w:rPr>
                <w:rFonts w:ascii="Arial" w:hAnsi="Arial" w:eastAsia="宋体"/>
                <w:sz w:val="19"/>
              </w:rPr>
              <w:t xml:space="preserve">713.575×10＝7135.75万元，约7135.8万元</w:t>
            </w:r>
          </w:p>
        </w:tc>
        <w:tc>
          <w:tcPr>
            <w:tcW w:type="dxa" w:w="3708"/>
            <w:shd w:fill="FFFFFF"/>
          </w:tcPr>
          <w:p>
            <w:pPr>
              <w:keepNext w:val="0"/>
              <w:pageBreakBefore w:val="0"/>
              <w:spacing w:after="60" w:before="60" w:line="283" w:lineRule="auto"/>
              <w:jc w:val="left"/>
            </w:pPr>
            <w:r>
              <w:rPr>
                <w:rFonts w:ascii="Arial" w:hAnsi="Arial" w:eastAsia="宋体"/>
                <w:sz w:val="19"/>
              </w:rPr>
              <w:t xml:space="preserve">若主体净投入高于该数，即使理想全额避费，亦不能仅靠该费用在10年内回收</w:t>
            </w:r>
          </w:p>
        </w:tc>
      </w:tr>
      <w:tr>
        <w:trPr>
          <w:cantSplit/>
        </w:trPr>
        <w:tc>
          <w:tcPr>
            <w:tcW w:type="dxa" w:w="2183"/>
            <w:shd w:fill="EAF2F9"/>
          </w:tcPr>
          <w:p>
            <w:pPr>
              <w:keepNext w:val="0"/>
              <w:pageBreakBefore w:val="0"/>
              <w:spacing w:after="60" w:before="60" w:line="283" w:lineRule="auto"/>
              <w:jc w:val="left"/>
            </w:pPr>
            <w:r>
              <w:rPr>
                <w:rFonts w:ascii="Arial" w:hAnsi="Arial" w:eastAsia="宋体"/>
                <w:sz w:val="19"/>
              </w:rPr>
              <w:t xml:space="preserve">20年</w:t>
            </w:r>
          </w:p>
        </w:tc>
        <w:tc>
          <w:tcPr>
            <w:tcW w:type="dxa" w:w="3747"/>
            <w:shd w:fill="EAF2F9"/>
          </w:tcPr>
          <w:p>
            <w:pPr>
              <w:keepNext w:val="0"/>
              <w:pageBreakBefore w:val="0"/>
              <w:spacing w:after="60" w:before="60" w:line="283" w:lineRule="auto"/>
              <w:jc w:val="left"/>
            </w:pPr>
            <w:r>
              <w:rPr>
                <w:rFonts w:ascii="Arial" w:hAnsi="Arial" w:eastAsia="宋体"/>
                <w:sz w:val="19"/>
              </w:rPr>
              <w:t xml:space="preserve">713.575×20＝14271.5万元</w:t>
            </w:r>
          </w:p>
        </w:tc>
        <w:tc>
          <w:tcPr>
            <w:tcW w:type="dxa" w:w="3708"/>
            <w:shd w:fill="EAF2F9"/>
          </w:tcPr>
          <w:p>
            <w:pPr>
              <w:keepNext w:val="0"/>
              <w:pageBreakBefore w:val="0"/>
              <w:spacing w:after="60" w:before="60" w:line="283" w:lineRule="auto"/>
              <w:jc w:val="left"/>
            </w:pPr>
            <w:r>
              <w:rPr>
                <w:rFonts w:ascii="Arial" w:hAnsi="Arial" w:eastAsia="宋体"/>
                <w:sz w:val="19"/>
              </w:rPr>
              <w:t xml:space="preserve">同理，超过该数不能仅靠理想避费在20年内回收</w:t>
            </w:r>
          </w:p>
        </w:tc>
      </w:tr>
    </w:tbl>
    <w:p>
      <w:pPr>
        <w:pStyle w:val="BodyText"/>
      </w:pPr>
      <w:r>
        <w:drawing>
          <wp:inline>
            <wp:extent cx="6108700" cy="2748915"/>
            <wp:effectExtent b="0" l="0" r="0" t="0"/>
            <wp:docPr descr="费用避免支出边界" title="" id="87" name="Picture"/>
            <a:graphic>
              <a:graphicData uri="http://schemas.openxmlformats.org/drawingml/2006/picture">
                <pic:pic>
                  <pic:nvPicPr>
                    <pic:cNvPr descr="../figures/12_financial.png" id="88" name="Picture"/>
                    <pic:cNvPicPr>
                      <a:picLocks noChangeArrowheads="1" noChangeAspect="1"/>
                    </pic:cNvPicPr>
                  </pic:nvPicPr>
                  <pic:blipFill>
                    <a:blip r:embed="rId86"/>
                    <a:stretch>
                      <a:fillRect/>
                    </a:stretch>
                  </pic:blipFill>
                  <pic:spPr bwMode="auto">
                    <a:xfrm>
                      <a:off x="0" y="0"/>
                      <a:ext cx="6108700" cy="2748915"/>
                    </a:xfrm>
                    <a:prstGeom prst="rect">
                      <a:avLst/>
                    </a:prstGeom>
                    <a:noFill/>
                    <a:ln w="9525">
                      <a:noFill/>
                      <a:headEnd/>
                      <a:tailEnd/>
                    </a:ln>
                  </pic:spPr>
                </pic:pic>
              </a:graphicData>
            </a:graphic>
          </wp:inline>
        </w:drawing>
      </w:r>
    </w:p>
    <w:p>
      <w:pPr>
        <w:pStyle w:val="BodyText"/>
        <w:jc w:val="center"/>
      </w:pPr>
      <w:r>
        <w:rPr>
          <w:color w:val="5F7179"/>
          <w:sz w:val="18"/>
        </w:rPr>
        <w:t xml:space="preserve">图10　仅针对现有处理服务费用的理想上限测算，不是项目收益预测或投资估算。</w:t>
      </w:r>
    </w:p>
    <w:p>
      <w:pPr>
        <w:pStyle w:val="BodyText"/>
      </w:pPr>
      <w:r>
        <w:t xml:space="preserve">实际年度费用避免额＝不治理路线对应维护支出－治理后仍需维护支出；发生时间、数量、价格、处理范围和维护终止需专项预测。财务净现金流再计入投资、运行、真实回收收入和实际取得资金，并按审定评价参数测算。因主体投资和治理后费用未定，本报告不报告净现值、内部收益率及确定回收期。</w:t>
      </w:r>
    </w:p>
    <w:bookmarkEnd w:id="89"/>
    <w:bookmarkStart w:id="90" w:name="X8b5140975249f3900febce262f05212a46a6ea7"/>
    <w:p>
      <w:pPr>
        <w:pStyle w:val="Heading3"/>
      </w:pPr>
      <w:r>
        <w:t xml:space="preserve">6.5 收入、资金与公共支出安排</w:t>
      </w:r>
    </w:p>
    <w:p>
      <w:pPr>
        <w:pStyle w:val="FirstParagraph"/>
      </w:pPr>
      <w:r>
        <w:t xml:space="preserve">合规金属或其他物料回收以可用质量、真实销售合同和含税价确认；未取得质量和购买承诺的细料及可燃物，不作为已确认收入。土地面积不等于净开发面积，产业租金、土地溢价和碳收益尚缺规划、权属、项目和交易条件，本次不列入已确认财务收入。材料回收尚未计入，反映证据缺口，不是认定物料没有市场价值。[S01第511条；S09；S06]</w:t>
      </w:r>
    </w:p>
    <w:p>
      <w:pPr>
        <w:pStyle w:val="BodyText"/>
      </w:pPr>
      <w:r>
        <w:t xml:space="preserve">乙方建议将污染治理作为独立工程范围和独立成本账，依法核查污染责任与费用承担，政府承担公共治理部分时由甲方落实合规资金路径。前期调查、示范与设计先形成可采购的成果清单和报价；规模工程另按批准范围、概算及合法末端实施。国家政策列有符合条件的财政金融支持方式，但本场尚未取得资金入库、补助或融资批复，不能据政策自动计入资金来源。[S04（二十三）（二十五）]</w:t>
      </w:r>
    </w:p>
    <w:p>
      <w:pPr>
        <w:pStyle w:val="BodyText"/>
      </w:pPr>
      <w:r>
        <w:t xml:space="preserve">优先落实现有运行衔接和前期实证工作经费；确定年度现金支出、分区合同界面、资金支付与环保计量验收条件。治理费用和产业开发投资分别核算，产业前景不能替代主体治理资金到位。</w:t>
      </w:r>
    </w:p>
    <w:bookmarkEnd w:id="90"/>
    <w:bookmarkStart w:id="94" w:name="X6d63c60d8849a1f1e4dc7b008fea7c785f3e3a6"/>
    <w:p>
      <w:pPr>
        <w:pStyle w:val="Heading3"/>
      </w:pPr>
      <w:r>
        <w:t xml:space="preserve">6.6 环境、社会、经济及公共治理效益</w:t>
      </w:r>
    </w:p>
    <w:p>
      <w:pPr>
        <w:pStyle w:val="FirstParagraph"/>
      </w:pPr>
      <w:r>
        <w:drawing>
          <wp:inline>
            <wp:extent cx="6108700" cy="2748915"/>
            <wp:effectExtent b="0" l="0" r="0" t="0"/>
            <wp:docPr descr="效益核验" title="" id="92" name="Picture"/>
            <a:graphic>
              <a:graphicData uri="http://schemas.openxmlformats.org/drawingml/2006/picture">
                <pic:pic>
                  <pic:nvPicPr>
                    <pic:cNvPr descr="../figures/10_benefits.png" id="93" name="Picture"/>
                    <pic:cNvPicPr>
                      <a:picLocks noChangeArrowheads="1" noChangeAspect="1"/>
                    </pic:cNvPicPr>
                  </pic:nvPicPr>
                  <pic:blipFill>
                    <a:blip r:embed="rId91"/>
                    <a:stretch>
                      <a:fillRect/>
                    </a:stretch>
                  </pic:blipFill>
                  <pic:spPr bwMode="auto">
                    <a:xfrm>
                      <a:off x="0" y="0"/>
                      <a:ext cx="6108700" cy="2748915"/>
                    </a:xfrm>
                    <a:prstGeom prst="rect">
                      <a:avLst/>
                    </a:prstGeom>
                    <a:noFill/>
                    <a:ln w="9525">
                      <a:noFill/>
                      <a:headEnd/>
                      <a:tailEnd/>
                    </a:ln>
                  </pic:spPr>
                </pic:pic>
              </a:graphicData>
            </a:graphic>
          </wp:inline>
        </w:drawing>
      </w:r>
    </w:p>
    <w:p>
      <w:pPr>
        <w:pStyle w:val="BodyText"/>
        <w:jc w:val="center"/>
      </w:pPr>
      <w:r>
        <w:rPr>
          <w:color w:val="5F7179"/>
          <w:sz w:val="18"/>
        </w:rPr>
        <w:t xml:space="preserve">图11　效益机制与结果核验。所有结果以基线、施工记录和效果评估确认。</w:t>
      </w:r>
    </w:p>
    <w:p>
      <w:pPr>
        <w:pStyle w:val="BodyText"/>
      </w:pPr>
      <w:r>
        <w:t xml:space="preserve">综合治理通过污染水收集处理、衬层修补或源区开挖减少持续排放和渗漏风险，采取防扩散措施改善地下水风险控制；分区密闭施工降低暴露造成的臭气与飞散。达到何种污染削减量、地下水恢复程度及维护负荷变化，须以治理前后同口径监测和实际处置量确认。拟核验指标包括合法处置垃圾质量、未处理污染水外逸事件、地下水趋势、处理产水符合许可情况、异常整改结果。[S02—S03；S05]</w:t>
      </w:r>
    </w:p>
    <w:p>
      <w:pPr>
        <w:pStyle w:val="BodyText"/>
      </w:pPr>
      <w:r>
        <w:t xml:space="preserve">以明确作业边界、密闭转运、噪声和臭气控制、投诉反馈降低邻近社区施工影响；将工人气体、边坡和车辆风险纳入安全专项。公共设施后期维护、治理过程和结果依法公开，使周边居民能够了解项目影响和异常处置。没有健康调查数据时，不量化疾病减少或健康收益。[S01第513条；S03；S10]</w:t>
      </w:r>
    </w:p>
    <w:p>
      <w:pPr>
        <w:pStyle w:val="BodyText"/>
      </w:pPr>
      <w:r>
        <w:t xml:space="preserve">通过源区治理与维护路线比较，优化财政长期支出；统一工程量和真实去向降低重复设计、盲目扩容和拒收退运成本。合规材料回收收入以真实交易确认，后续土地利用价值以权属、规划、污染与工程安全条件满足后的实际安排确认，不能作为本阶段既得收益。工程招标和合同结算围绕质量、环境与计量成果设支付条件，降低治理投入失效风险。</w:t>
      </w:r>
    </w:p>
    <w:p>
      <w:pPr>
        <w:pStyle w:val="BodyText"/>
      </w:pPr>
      <w:r>
        <w:t xml:space="preserve">“一场一策”把业主、施工、运维、接收、监理与监管责任对应到具体台账和成果，落实国家填埋场隐患治理部署与公共环境设施持续运行责任。治理资金、开挖量、去向和监测可追溯，支持财政审计、依法监管和社会监督。政治与治理效益体现为依法履责、风险问题实际解决和公共服务可靠，不能用无依据的荣誉、排名或政绩数字代替。[S01；S04—S05]</w:t>
      </w:r>
    </w:p>
    <w:tbl>
      <w:tblPr>
        <w:tblStyle w:val="Table"/>
        <w:tblW w:type="dxa" w:w="9638"/>
        <w:jc w:val="left"/>
        <w:tblLayout w:type="fixed"/>
        <w:tblLook w:firstRow="1" w:lastRow="0" w:firstColumn="0" w:lastColumn="0" w:noHBand="0" w:noVBand="0" w:val="0020"/>
      </w:tblPr>
      <w:tblGrid>
        <w:gridCol w:w="2581"/>
        <w:gridCol w:w="3752"/>
        <w:gridCol w:w="3305"/>
      </w:tblGrid>
      <w:tr>
        <w:trPr>
          <w:tblHeader w:val="on"/>
          <w:cantSplit/>
          <w:tblHeader w:val="true"/>
        </w:trPr>
        <w:tc>
          <w:tcPr>
            <w:tcW w:type="dxa" w:w="2581"/>
            <w:shd w:fill="174775"/>
          </w:tcPr>
          <w:p>
            <w:pPr>
              <w:keepNext w:val="0"/>
              <w:pageBreakBefore w:val="0"/>
              <w:spacing w:after="60" w:before="60" w:line="283" w:lineRule="auto"/>
              <w:jc w:val="left"/>
            </w:pPr>
            <w:r>
              <w:rPr>
                <w:rFonts w:ascii="Arial" w:hAnsi="Arial" w:eastAsia="宋体"/>
                <w:b/>
                <w:color w:val="FFFFFF"/>
                <w:sz w:val="19"/>
              </w:rPr>
              <w:t xml:space="preserve">效益维度</w:t>
            </w:r>
          </w:p>
        </w:tc>
        <w:tc>
          <w:tcPr>
            <w:tcW w:type="dxa" w:w="3752"/>
            <w:shd w:fill="174775"/>
          </w:tcPr>
          <w:p>
            <w:pPr>
              <w:keepNext w:val="0"/>
              <w:pageBreakBefore w:val="0"/>
              <w:spacing w:after="60" w:before="60" w:line="283" w:lineRule="auto"/>
              <w:jc w:val="left"/>
            </w:pPr>
            <w:r>
              <w:rPr>
                <w:rFonts w:ascii="Arial" w:hAnsi="Arial" w:eastAsia="宋体"/>
                <w:b/>
                <w:color w:val="FFFFFF"/>
                <w:sz w:val="19"/>
              </w:rPr>
              <w:t xml:space="preserve">项目核验指标</w:t>
            </w:r>
          </w:p>
        </w:tc>
        <w:tc>
          <w:tcPr>
            <w:tcW w:type="dxa" w:w="3305"/>
            <w:shd w:fill="174775"/>
          </w:tcPr>
          <w:p>
            <w:pPr>
              <w:keepNext w:val="0"/>
              <w:pageBreakBefore w:val="0"/>
              <w:spacing w:after="60" w:before="60" w:line="283" w:lineRule="auto"/>
              <w:jc w:val="left"/>
            </w:pPr>
            <w:r>
              <w:rPr>
                <w:rFonts w:ascii="Arial" w:hAnsi="Arial" w:eastAsia="宋体"/>
                <w:b/>
                <w:color w:val="FFFFFF"/>
                <w:sz w:val="19"/>
              </w:rPr>
              <w:t xml:space="preserve">证据来源</w:t>
            </w:r>
          </w:p>
        </w:tc>
      </w:tr>
      <w:tr>
        <w:trPr>
          <w:cantSplit/>
        </w:trPr>
        <w:tc>
          <w:tcPr>
            <w:tcW w:type="dxa" w:w="2581"/>
            <w:shd w:fill="FFFFFF"/>
          </w:tcPr>
          <w:p>
            <w:pPr>
              <w:keepNext w:val="0"/>
              <w:pageBreakBefore w:val="0"/>
              <w:spacing w:after="60" w:before="60" w:line="283" w:lineRule="auto"/>
              <w:jc w:val="left"/>
            </w:pPr>
            <w:r>
              <w:rPr>
                <w:rFonts w:ascii="Arial" w:hAnsi="Arial" w:eastAsia="宋体"/>
                <w:sz w:val="19"/>
              </w:rPr>
              <w:t xml:space="preserve">污染源削减</w:t>
            </w:r>
          </w:p>
        </w:tc>
        <w:tc>
          <w:tcPr>
            <w:tcW w:type="dxa" w:w="3752"/>
            <w:shd w:fill="FFFFFF"/>
          </w:tcPr>
          <w:p>
            <w:pPr>
              <w:keepNext w:val="0"/>
              <w:pageBreakBefore w:val="0"/>
              <w:spacing w:after="60" w:before="60" w:line="283" w:lineRule="auto"/>
              <w:jc w:val="left"/>
            </w:pPr>
            <w:r>
              <w:rPr>
                <w:rFonts w:ascii="Arial" w:hAnsi="Arial" w:eastAsia="宋体"/>
                <w:sz w:val="19"/>
              </w:rPr>
              <w:t xml:space="preserve">分区清除质量、合规去向及场底残留</w:t>
            </w:r>
          </w:p>
        </w:tc>
        <w:tc>
          <w:tcPr>
            <w:tcW w:type="dxa" w:w="3305"/>
            <w:shd w:fill="FFFFFF"/>
          </w:tcPr>
          <w:p>
            <w:pPr>
              <w:keepNext w:val="0"/>
              <w:pageBreakBefore w:val="0"/>
              <w:spacing w:after="60" w:before="60" w:line="283" w:lineRule="auto"/>
              <w:jc w:val="left"/>
            </w:pPr>
            <w:r>
              <w:rPr>
                <w:rFonts w:ascii="Arial" w:hAnsi="Arial" w:eastAsia="宋体"/>
                <w:sz w:val="19"/>
              </w:rPr>
              <w:t xml:space="preserve">测绘、称重、接收回执、效果评估</w:t>
            </w:r>
          </w:p>
        </w:tc>
      </w:tr>
      <w:tr>
        <w:trPr>
          <w:cantSplit/>
        </w:trPr>
        <w:tc>
          <w:tcPr>
            <w:tcW w:type="dxa" w:w="2581"/>
            <w:shd w:fill="EAF2F9"/>
          </w:tcPr>
          <w:p>
            <w:pPr>
              <w:keepNext w:val="0"/>
              <w:pageBreakBefore w:val="0"/>
              <w:spacing w:after="60" w:before="60" w:line="283" w:lineRule="auto"/>
              <w:jc w:val="left"/>
            </w:pPr>
            <w:r>
              <w:rPr>
                <w:rFonts w:ascii="Arial" w:hAnsi="Arial" w:eastAsia="宋体"/>
                <w:sz w:val="19"/>
              </w:rPr>
              <w:t xml:space="preserve">环境风险控制</w:t>
            </w:r>
          </w:p>
        </w:tc>
        <w:tc>
          <w:tcPr>
            <w:tcW w:type="dxa" w:w="3752"/>
            <w:shd w:fill="EAF2F9"/>
          </w:tcPr>
          <w:p>
            <w:pPr>
              <w:keepNext w:val="0"/>
              <w:pageBreakBefore w:val="0"/>
              <w:spacing w:after="60" w:before="60" w:line="283" w:lineRule="auto"/>
              <w:jc w:val="left"/>
            </w:pPr>
            <w:r>
              <w:rPr>
                <w:rFonts w:ascii="Arial" w:hAnsi="Arial" w:eastAsia="宋体"/>
                <w:sz w:val="19"/>
              </w:rPr>
              <w:t xml:space="preserve">地下水趋势、水气处理符合情况、异常闭合</w:t>
            </w:r>
          </w:p>
        </w:tc>
        <w:tc>
          <w:tcPr>
            <w:tcW w:type="dxa" w:w="3305"/>
            <w:shd w:fill="EAF2F9"/>
          </w:tcPr>
          <w:p>
            <w:pPr>
              <w:keepNext w:val="0"/>
              <w:pageBreakBefore w:val="0"/>
              <w:spacing w:after="60" w:before="60" w:line="283" w:lineRule="auto"/>
              <w:jc w:val="left"/>
            </w:pPr>
            <w:r>
              <w:rPr>
                <w:rFonts w:ascii="Arial" w:hAnsi="Arial" w:eastAsia="宋体"/>
                <w:sz w:val="19"/>
              </w:rPr>
              <w:t xml:space="preserve">监测、设施工况、修复及纠偏记录</w:t>
            </w:r>
          </w:p>
        </w:tc>
      </w:tr>
      <w:tr>
        <w:trPr>
          <w:cantSplit/>
        </w:trPr>
        <w:tc>
          <w:tcPr>
            <w:tcW w:type="dxa" w:w="2581"/>
            <w:shd w:fill="FFFFFF"/>
          </w:tcPr>
          <w:p>
            <w:pPr>
              <w:keepNext w:val="0"/>
              <w:pageBreakBefore w:val="0"/>
              <w:spacing w:after="60" w:before="60" w:line="283" w:lineRule="auto"/>
              <w:jc w:val="left"/>
            </w:pPr>
            <w:r>
              <w:rPr>
                <w:rFonts w:ascii="Arial" w:hAnsi="Arial" w:eastAsia="宋体"/>
                <w:sz w:val="19"/>
              </w:rPr>
              <w:t xml:space="preserve">群众与人员保障</w:t>
            </w:r>
          </w:p>
        </w:tc>
        <w:tc>
          <w:tcPr>
            <w:tcW w:type="dxa" w:w="3752"/>
            <w:shd w:fill="FFFFFF"/>
          </w:tcPr>
          <w:p>
            <w:pPr>
              <w:keepNext w:val="0"/>
              <w:pageBreakBefore w:val="0"/>
              <w:spacing w:after="60" w:before="60" w:line="283" w:lineRule="auto"/>
              <w:jc w:val="left"/>
            </w:pPr>
            <w:r>
              <w:rPr>
                <w:rFonts w:ascii="Arial" w:hAnsi="Arial" w:eastAsia="宋体"/>
                <w:sz w:val="19"/>
              </w:rPr>
              <w:t xml:space="preserve">投诉反馈、运输遗撒整改、安全报警及处置</w:t>
            </w:r>
          </w:p>
        </w:tc>
        <w:tc>
          <w:tcPr>
            <w:tcW w:type="dxa" w:w="3305"/>
            <w:shd w:fill="FFFFFF"/>
          </w:tcPr>
          <w:p>
            <w:pPr>
              <w:keepNext w:val="0"/>
              <w:pageBreakBefore w:val="0"/>
              <w:spacing w:after="60" w:before="60" w:line="283" w:lineRule="auto"/>
              <w:jc w:val="left"/>
            </w:pPr>
            <w:r>
              <w:rPr>
                <w:rFonts w:ascii="Arial" w:hAnsi="Arial" w:eastAsia="宋体"/>
                <w:sz w:val="19"/>
              </w:rPr>
              <w:t xml:space="preserve">投诉台账、巡查、安全和应急记录</w:t>
            </w:r>
          </w:p>
        </w:tc>
      </w:tr>
      <w:tr>
        <w:trPr>
          <w:cantSplit/>
        </w:trPr>
        <w:tc>
          <w:tcPr>
            <w:tcW w:type="dxa" w:w="2581"/>
            <w:shd w:fill="EAF2F9"/>
          </w:tcPr>
          <w:p>
            <w:pPr>
              <w:keepNext w:val="0"/>
              <w:pageBreakBefore w:val="0"/>
              <w:spacing w:after="60" w:before="60" w:line="283" w:lineRule="auto"/>
              <w:jc w:val="left"/>
            </w:pPr>
            <w:r>
              <w:rPr>
                <w:rFonts w:ascii="Arial" w:hAnsi="Arial" w:eastAsia="宋体"/>
                <w:sz w:val="19"/>
              </w:rPr>
              <w:t xml:space="preserve">财政与工程效率</w:t>
            </w:r>
          </w:p>
        </w:tc>
        <w:tc>
          <w:tcPr>
            <w:tcW w:type="dxa" w:w="3752"/>
            <w:shd w:fill="EAF2F9"/>
          </w:tcPr>
          <w:p>
            <w:pPr>
              <w:keepNext w:val="0"/>
              <w:pageBreakBefore w:val="0"/>
              <w:spacing w:after="60" w:before="60" w:line="283" w:lineRule="auto"/>
              <w:jc w:val="left"/>
            </w:pPr>
            <w:r>
              <w:rPr>
                <w:rFonts w:ascii="Arial" w:hAnsi="Arial" w:eastAsia="宋体"/>
                <w:sz w:val="19"/>
              </w:rPr>
              <w:t xml:space="preserve">批准预算执行、实物量结算、变更及后期费用</w:t>
            </w:r>
          </w:p>
        </w:tc>
        <w:tc>
          <w:tcPr>
            <w:tcW w:type="dxa" w:w="3305"/>
            <w:shd w:fill="EAF2F9"/>
          </w:tcPr>
          <w:p>
            <w:pPr>
              <w:keepNext w:val="0"/>
              <w:pageBreakBefore w:val="0"/>
              <w:spacing w:after="60" w:before="60" w:line="283" w:lineRule="auto"/>
              <w:jc w:val="left"/>
            </w:pPr>
            <w:r>
              <w:rPr>
                <w:rFonts w:ascii="Arial" w:hAnsi="Arial" w:eastAsia="宋体"/>
                <w:sz w:val="19"/>
              </w:rPr>
              <w:t xml:space="preserve">合同、造价审核、支付和运维台账</w:t>
            </w:r>
          </w:p>
        </w:tc>
      </w:tr>
      <w:tr>
        <w:trPr>
          <w:cantSplit/>
        </w:trPr>
        <w:tc>
          <w:tcPr>
            <w:tcW w:type="dxa" w:w="2581"/>
            <w:shd w:fill="FFFFFF"/>
          </w:tcPr>
          <w:p>
            <w:pPr>
              <w:keepNext w:val="0"/>
              <w:pageBreakBefore w:val="0"/>
              <w:spacing w:after="60" w:before="60" w:line="283" w:lineRule="auto"/>
              <w:jc w:val="left"/>
            </w:pPr>
            <w:r>
              <w:rPr>
                <w:rFonts w:ascii="Arial" w:hAnsi="Arial" w:eastAsia="宋体"/>
                <w:sz w:val="19"/>
              </w:rPr>
              <w:t xml:space="preserve">后续利用条件</w:t>
            </w:r>
          </w:p>
        </w:tc>
        <w:tc>
          <w:tcPr>
            <w:tcW w:type="dxa" w:w="3752"/>
            <w:shd w:fill="FFFFFF"/>
          </w:tcPr>
          <w:p>
            <w:pPr>
              <w:keepNext w:val="0"/>
              <w:pageBreakBefore w:val="0"/>
              <w:spacing w:after="60" w:before="60" w:line="283" w:lineRule="auto"/>
              <w:jc w:val="left"/>
            </w:pPr>
            <w:r>
              <w:rPr>
                <w:rFonts w:ascii="Arial" w:hAnsi="Arial" w:eastAsia="宋体"/>
                <w:sz w:val="19"/>
              </w:rPr>
              <w:t xml:space="preserve">调查评估合规、用途及安全限制明确</w:t>
            </w:r>
          </w:p>
        </w:tc>
        <w:tc>
          <w:tcPr>
            <w:tcW w:type="dxa" w:w="3305"/>
            <w:shd w:fill="FFFFFF"/>
          </w:tcPr>
          <w:p>
            <w:pPr>
              <w:keepNext w:val="0"/>
              <w:pageBreakBefore w:val="0"/>
              <w:spacing w:after="60" w:before="60" w:line="283" w:lineRule="auto"/>
              <w:jc w:val="left"/>
            </w:pPr>
            <w:r>
              <w:rPr>
                <w:rFonts w:ascii="Arial" w:hAnsi="Arial" w:eastAsia="宋体"/>
                <w:sz w:val="19"/>
              </w:rPr>
              <w:t xml:space="preserve">评审及管理文件、规划和工程成果</w:t>
            </w:r>
          </w:p>
        </w:tc>
      </w:tr>
    </w:tbl>
    <w:p/>
    <w:tbl>
      <w:tblPr>
        <w:tblStyle w:val="Table"/>
        <w:tblW w:type="dxa" w:w="9638"/>
        <w:jc w:val="left"/>
        <w:tblLayout w:type="fixed"/>
        <w:tblLook w:firstRow="1" w:lastRow="0" w:firstColumn="0" w:lastColumn="0" w:noHBand="0" w:noVBand="0" w:val="0020"/>
      </w:tblPr>
      <w:tblGrid>
        <w:gridCol w:w="2170"/>
        <w:gridCol w:w="3430"/>
        <w:gridCol w:w="4038"/>
      </w:tblGrid>
      <w:tr>
        <w:trPr>
          <w:tblHeader w:val="on"/>
          <w:cantSplit/>
          <w:tblHeader w:val="true"/>
        </w:trPr>
        <w:tc>
          <w:tcPr>
            <w:tcW w:type="dxa" w:w="2170"/>
            <w:shd w:fill="174775"/>
          </w:tcPr>
          <w:p>
            <w:pPr>
              <w:keepNext w:val="0"/>
              <w:pageBreakBefore w:val="0"/>
              <w:spacing w:after="60" w:before="60" w:line="283" w:lineRule="auto"/>
              <w:jc w:val="left"/>
            </w:pPr>
            <w:r>
              <w:rPr>
                <w:rFonts w:ascii="Arial" w:hAnsi="Arial" w:eastAsia="宋体"/>
                <w:b/>
                <w:color w:val="FFFFFF"/>
                <w:sz w:val="19"/>
              </w:rPr>
              <w:t xml:space="preserve">效益类别</w:t>
            </w:r>
          </w:p>
        </w:tc>
        <w:tc>
          <w:tcPr>
            <w:tcW w:type="dxa" w:w="3430"/>
            <w:shd w:fill="174775"/>
          </w:tcPr>
          <w:p>
            <w:pPr>
              <w:keepNext w:val="0"/>
              <w:pageBreakBefore w:val="0"/>
              <w:spacing w:after="60" w:before="60" w:line="283" w:lineRule="auto"/>
              <w:jc w:val="left"/>
            </w:pPr>
            <w:r>
              <w:rPr>
                <w:rFonts w:ascii="Arial" w:hAnsi="Arial" w:eastAsia="宋体"/>
                <w:b/>
                <w:color w:val="FFFFFF"/>
                <w:sz w:val="19"/>
              </w:rPr>
              <w:t xml:space="preserve">可核验成果</w:t>
            </w:r>
          </w:p>
        </w:tc>
        <w:tc>
          <w:tcPr>
            <w:tcW w:type="dxa" w:w="4038"/>
            <w:shd w:fill="174775"/>
          </w:tcPr>
          <w:p>
            <w:pPr>
              <w:keepNext w:val="0"/>
              <w:pageBreakBefore w:val="0"/>
              <w:spacing w:after="60" w:before="60" w:line="283" w:lineRule="auto"/>
              <w:jc w:val="left"/>
            </w:pPr>
            <w:r>
              <w:rPr>
                <w:rFonts w:ascii="Arial" w:hAnsi="Arial" w:eastAsia="宋体"/>
                <w:b/>
                <w:color w:val="FFFFFF"/>
                <w:sz w:val="19"/>
              </w:rPr>
              <w:t xml:space="preserve">核验依据和边界</w:t>
            </w:r>
          </w:p>
        </w:tc>
      </w:tr>
      <w:tr>
        <w:trPr>
          <w:cantSplit/>
        </w:trPr>
        <w:tc>
          <w:tcPr>
            <w:tcW w:type="dxa" w:w="2170"/>
            <w:shd w:fill="FFFFFF"/>
          </w:tcPr>
          <w:p>
            <w:pPr>
              <w:keepNext w:val="0"/>
              <w:pageBreakBefore w:val="0"/>
              <w:spacing w:after="60" w:before="60" w:line="283" w:lineRule="auto"/>
              <w:jc w:val="left"/>
            </w:pPr>
            <w:r>
              <w:rPr>
                <w:rFonts w:ascii="Arial" w:hAnsi="Arial" w:eastAsia="宋体"/>
                <w:sz w:val="19"/>
              </w:rPr>
              <w:t xml:space="preserve">环境</w:t>
            </w:r>
          </w:p>
        </w:tc>
        <w:tc>
          <w:tcPr>
            <w:tcW w:type="dxa" w:w="3430"/>
            <w:shd w:fill="FFFFFF"/>
          </w:tcPr>
          <w:p>
            <w:pPr>
              <w:keepNext w:val="0"/>
              <w:pageBreakBefore w:val="0"/>
              <w:spacing w:after="60" w:before="60" w:line="283" w:lineRule="auto"/>
              <w:jc w:val="left"/>
            </w:pPr>
            <w:r>
              <w:rPr>
                <w:rFonts w:ascii="Arial" w:hAnsi="Arial" w:eastAsia="宋体"/>
                <w:sz w:val="19"/>
              </w:rPr>
              <w:t xml:space="preserve">合法移除垃圾质量、液体不外逸、地下水趋势及臭气控制</w:t>
            </w:r>
          </w:p>
        </w:tc>
        <w:tc>
          <w:tcPr>
            <w:tcW w:type="dxa" w:w="4038"/>
            <w:shd w:fill="FFFFFF"/>
          </w:tcPr>
          <w:p>
            <w:pPr>
              <w:keepNext w:val="0"/>
              <w:pageBreakBefore w:val="0"/>
              <w:spacing w:after="60" w:before="60" w:line="283" w:lineRule="auto"/>
              <w:jc w:val="left"/>
            </w:pPr>
            <w:r>
              <w:rPr>
                <w:rFonts w:ascii="Arial" w:hAnsi="Arial" w:eastAsia="宋体"/>
                <w:sz w:val="19"/>
              </w:rPr>
              <w:t xml:space="preserve">同口径基线和监测、称重去向；不预设污染削减或减排百分比</w:t>
            </w:r>
          </w:p>
        </w:tc>
      </w:tr>
      <w:tr>
        <w:trPr>
          <w:cantSplit/>
        </w:trPr>
        <w:tc>
          <w:tcPr>
            <w:tcW w:type="dxa" w:w="2170"/>
            <w:shd w:fill="EAF2F9"/>
          </w:tcPr>
          <w:p>
            <w:pPr>
              <w:keepNext w:val="0"/>
              <w:pageBreakBefore w:val="0"/>
              <w:spacing w:after="60" w:before="60" w:line="283" w:lineRule="auto"/>
              <w:jc w:val="left"/>
            </w:pPr>
            <w:r>
              <w:rPr>
                <w:rFonts w:ascii="Arial" w:hAnsi="Arial" w:eastAsia="宋体"/>
                <w:sz w:val="19"/>
              </w:rPr>
              <w:t xml:space="preserve">社会</w:t>
            </w:r>
          </w:p>
        </w:tc>
        <w:tc>
          <w:tcPr>
            <w:tcW w:type="dxa" w:w="3430"/>
            <w:shd w:fill="EAF2F9"/>
          </w:tcPr>
          <w:p>
            <w:pPr>
              <w:keepNext w:val="0"/>
              <w:pageBreakBefore w:val="0"/>
              <w:spacing w:after="60" w:before="60" w:line="283" w:lineRule="auto"/>
              <w:jc w:val="left"/>
            </w:pPr>
            <w:r>
              <w:rPr>
                <w:rFonts w:ascii="Arial" w:hAnsi="Arial" w:eastAsia="宋体"/>
                <w:sz w:val="19"/>
              </w:rPr>
              <w:t xml:space="preserve">作业安全、社区投诉处置、运输及施工影响受控</w:t>
            </w:r>
          </w:p>
        </w:tc>
        <w:tc>
          <w:tcPr>
            <w:tcW w:type="dxa" w:w="4038"/>
            <w:shd w:fill="EAF2F9"/>
          </w:tcPr>
          <w:p>
            <w:pPr>
              <w:keepNext w:val="0"/>
              <w:pageBreakBefore w:val="0"/>
              <w:spacing w:after="60" w:before="60" w:line="283" w:lineRule="auto"/>
              <w:jc w:val="left"/>
            </w:pPr>
            <w:r>
              <w:rPr>
                <w:rFonts w:ascii="Arial" w:hAnsi="Arial" w:eastAsia="宋体"/>
                <w:sz w:val="19"/>
              </w:rPr>
              <w:t xml:space="preserve">事件和整改台账、厂界及敏感点监测；不虚构健康改善数量</w:t>
            </w:r>
          </w:p>
        </w:tc>
      </w:tr>
      <w:tr>
        <w:trPr>
          <w:cantSplit/>
        </w:trPr>
        <w:tc>
          <w:tcPr>
            <w:tcW w:type="dxa" w:w="2170"/>
            <w:shd w:fill="FFFFFF"/>
          </w:tcPr>
          <w:p>
            <w:pPr>
              <w:keepNext w:val="0"/>
              <w:pageBreakBefore w:val="0"/>
              <w:spacing w:after="60" w:before="60" w:line="283" w:lineRule="auto"/>
              <w:jc w:val="left"/>
            </w:pPr>
            <w:r>
              <w:rPr>
                <w:rFonts w:ascii="Arial" w:hAnsi="Arial" w:eastAsia="宋体"/>
                <w:sz w:val="19"/>
              </w:rPr>
              <w:t xml:space="preserve">经济</w:t>
            </w:r>
          </w:p>
        </w:tc>
        <w:tc>
          <w:tcPr>
            <w:tcW w:type="dxa" w:w="3430"/>
            <w:shd w:fill="FFFFFF"/>
          </w:tcPr>
          <w:p>
            <w:pPr>
              <w:keepNext w:val="0"/>
              <w:pageBreakBefore w:val="0"/>
              <w:spacing w:after="60" w:before="60" w:line="283" w:lineRule="auto"/>
              <w:jc w:val="left"/>
            </w:pPr>
            <w:r>
              <w:rPr>
                <w:rFonts w:ascii="Arial" w:hAnsi="Arial" w:eastAsia="宋体"/>
                <w:sz w:val="19"/>
              </w:rPr>
              <w:t xml:space="preserve">实际全周期费用、合规材料销售、重复转运减少</w:t>
            </w:r>
          </w:p>
        </w:tc>
        <w:tc>
          <w:tcPr>
            <w:tcW w:type="dxa" w:w="4038"/>
            <w:shd w:fill="FFFFFF"/>
          </w:tcPr>
          <w:p>
            <w:pPr>
              <w:keepNext w:val="0"/>
              <w:pageBreakBefore w:val="0"/>
              <w:spacing w:after="60" w:before="60" w:line="283" w:lineRule="auto"/>
              <w:jc w:val="left"/>
            </w:pPr>
            <w:r>
              <w:rPr>
                <w:rFonts w:ascii="Arial" w:hAnsi="Arial" w:eastAsia="宋体"/>
                <w:sz w:val="19"/>
              </w:rPr>
              <w:t xml:space="preserve">审定合同、计量、结算和对比现金流；非土地或产业预期收入</w:t>
            </w:r>
          </w:p>
        </w:tc>
      </w:tr>
      <w:tr>
        <w:trPr>
          <w:cantSplit/>
        </w:trPr>
        <w:tc>
          <w:tcPr>
            <w:tcW w:type="dxa" w:w="2170"/>
            <w:shd w:fill="EAF2F9"/>
          </w:tcPr>
          <w:p>
            <w:pPr>
              <w:keepNext w:val="0"/>
              <w:pageBreakBefore w:val="0"/>
              <w:spacing w:after="60" w:before="60" w:line="283" w:lineRule="auto"/>
              <w:jc w:val="left"/>
            </w:pPr>
            <w:r>
              <w:rPr>
                <w:rFonts w:ascii="Arial" w:hAnsi="Arial" w:eastAsia="宋体"/>
                <w:sz w:val="19"/>
              </w:rPr>
              <w:t xml:space="preserve">公共治理</w:t>
            </w:r>
          </w:p>
        </w:tc>
        <w:tc>
          <w:tcPr>
            <w:tcW w:type="dxa" w:w="3430"/>
            <w:shd w:fill="EAF2F9"/>
          </w:tcPr>
          <w:p>
            <w:pPr>
              <w:keepNext w:val="0"/>
              <w:pageBreakBefore w:val="0"/>
              <w:spacing w:after="60" w:before="60" w:line="283" w:lineRule="auto"/>
              <w:jc w:val="left"/>
            </w:pPr>
            <w:r>
              <w:rPr>
                <w:rFonts w:ascii="Arial" w:hAnsi="Arial" w:eastAsia="宋体"/>
                <w:sz w:val="19"/>
              </w:rPr>
              <w:t xml:space="preserve">责任明确、隐患闭环、资金追溯及结果公开</w:t>
            </w:r>
          </w:p>
        </w:tc>
        <w:tc>
          <w:tcPr>
            <w:tcW w:type="dxa" w:w="4038"/>
            <w:shd w:fill="EAF2F9"/>
          </w:tcPr>
          <w:p>
            <w:pPr>
              <w:keepNext w:val="0"/>
              <w:pageBreakBefore w:val="0"/>
              <w:spacing w:after="60" w:before="60" w:line="283" w:lineRule="auto"/>
              <w:jc w:val="left"/>
            </w:pPr>
            <w:r>
              <w:rPr>
                <w:rFonts w:ascii="Arial" w:hAnsi="Arial" w:eastAsia="宋体"/>
                <w:sz w:val="19"/>
              </w:rPr>
              <w:t xml:space="preserve">审批、资金、监测、异常和移交记录；以依法治理成效体现政策落实</w:t>
            </w:r>
          </w:p>
        </w:tc>
      </w:tr>
    </w:tbl>
    <w:p>
      <w:pPr>
        <w:pStyle w:val="BodyText"/>
      </w:pPr>
      <w:r>
        <w:t xml:space="preserve">本项目的公共治理与政策落实效益体现在责任和资金清晰、环境风险受控、监管和公众监督可追溯，不将政治效益写成不可验证的宏观承诺。各类成果在施工及效果评估后确认。</w:t>
      </w:r>
    </w:p>
    <w:bookmarkEnd w:id="94"/>
    <w:bookmarkEnd w:id="95"/>
    <w:bookmarkStart w:id="104" w:name="X4357eb906f647d975e94a0113f7deca4c9acb9e"/>
    <w:p>
      <w:pPr>
        <w:pStyle w:val="Heading2"/>
        <w:pageBreakBefore/>
      </w:pPr>
      <w:r>
        <w:t xml:space="preserve">7 顶层设计、实施周期与近期建议</w:t>
      </w:r>
    </w:p>
    <w:bookmarkStart w:id="96" w:name="Xf746228b78a6998466bdd1fdf266d7b061a61a5"/>
    <w:p>
      <w:pPr>
        <w:pStyle w:val="Heading3"/>
      </w:pPr>
      <w:r>
        <w:t xml:space="preserve">7.1 项目顶层设计与组织接口</w:t>
      </w:r>
    </w:p>
    <w:p>
      <w:pPr>
        <w:pStyle w:val="FirstParagraph"/>
      </w:pPr>
      <w:r>
        <w:t xml:space="preserve">乙方建议甲方明确一个项目业主统筹，建立城管、生态环境、自然资源、住建及排水等部门按职责协调机制。项目工程范围分为连续运维与风险应急、存量垃圾开挖及最终去向、场底和地下水治理、效果评估和后期管理四部分，调查和量价数据统一，施工、运维与接收界面分清。后续产业或用地另依法规划，在治理效果、稳定与用途限制查清后衔接，不预设批准开发规模。[S02；S06；S04]</w:t>
      </w:r>
    </w:p>
    <w:p>
      <w:pPr>
        <w:pStyle w:val="BodyText"/>
      </w:pPr>
      <w:r>
        <w:t xml:space="preserve">乙方按照实际委托范围提交调查、比选、可研、设计接口与示范成果，实施中按批准方案控制水气、作业、运输及计量；未签署的工程合同不在本报告虚设。专业设计、施工、检测、监理和效果评估单位按资格及规定承担相应职责，检测与效果评估保持独立。甲方负责委托采购、行政协调、资金与项目程序，接收单位按资质和合同处理，运维单位保持现有服务不中断。</w:t>
      </w:r>
    </w:p>
    <w:bookmarkEnd w:id="96"/>
    <w:bookmarkStart w:id="100" w:name="X67c580aea89dcb3e6b8d7d58bba5d46fe96b19a"/>
    <w:p>
      <w:pPr>
        <w:pStyle w:val="Heading3"/>
      </w:pPr>
      <w:r>
        <w:t xml:space="preserve">7.2 前期阶段安排与具体成果</w:t>
      </w:r>
    </w:p>
    <w:p>
      <w:pPr>
        <w:pStyle w:val="FirstParagraph"/>
      </w:pPr>
      <w:r>
        <w:t xml:space="preserve">下列时间为以报告日为起点的乙方建议组织计划，不构成审批承诺或竣工工期；遇调查季节、地质、水质试验及法定程序需要时顺延相应工作，持续运维和异常风险处置不中断。基线、季节变化和地下水长周期调查不能用30天阶段诊断替代。</w:t>
      </w:r>
    </w:p>
    <w:p>
      <w:pPr>
        <w:pStyle w:val="BodyText"/>
      </w:pPr>
      <w:r>
        <w:drawing>
          <wp:inline>
            <wp:extent cx="6108700" cy="2748915"/>
            <wp:effectExtent b="0" l="0" r="0" t="0"/>
            <wp:docPr descr="阶段计划" title="" id="98" name="Picture"/>
            <a:graphic>
              <a:graphicData uri="http://schemas.openxmlformats.org/drawingml/2006/picture">
                <pic:pic>
                  <pic:nvPicPr>
                    <pic:cNvPr descr="../figures/07_schedule.png" id="99" name="Picture"/>
                    <pic:cNvPicPr>
                      <a:picLocks noChangeArrowheads="1" noChangeAspect="1"/>
                    </pic:cNvPicPr>
                  </pic:nvPicPr>
                  <pic:blipFill>
                    <a:blip r:embed="rId97"/>
                    <a:stretch>
                      <a:fillRect/>
                    </a:stretch>
                  </pic:blipFill>
                  <pic:spPr bwMode="auto">
                    <a:xfrm>
                      <a:off x="0" y="0"/>
                      <a:ext cx="6108700" cy="2748915"/>
                    </a:xfrm>
                    <a:prstGeom prst="rect">
                      <a:avLst/>
                    </a:prstGeom>
                    <a:noFill/>
                    <a:ln w="9525">
                      <a:noFill/>
                      <a:headEnd/>
                      <a:tailEnd/>
                    </a:ln>
                  </pic:spPr>
                </pic:pic>
              </a:graphicData>
            </a:graphic>
          </wp:inline>
        </w:drawing>
      </w:r>
    </w:p>
    <w:p>
      <w:pPr>
        <w:pStyle w:val="BodyText"/>
        <w:jc w:val="center"/>
      </w:pPr>
      <w:r>
        <w:rPr>
          <w:color w:val="5F7179"/>
          <w:sz w:val="18"/>
        </w:rPr>
        <w:t xml:space="preserve">图12　前期建议计划与规模施工进入条件。</w:t>
      </w:r>
    </w:p>
    <w:tbl>
      <w:tblPr>
        <w:tblStyle w:val="Table"/>
        <w:tblW w:type="dxa" w:w="9638"/>
        <w:jc w:val="left"/>
        <w:tblLayout w:type="fixed"/>
        <w:tblLook w:firstRow="1" w:lastRow="0" w:firstColumn="0" w:lastColumn="0" w:noHBand="0" w:noVBand="0" w:val="0020"/>
      </w:tblPr>
      <w:tblGrid>
        <w:gridCol w:w="1823"/>
        <w:gridCol w:w="3987"/>
        <w:gridCol w:w="3827"/>
      </w:tblGrid>
      <w:tr>
        <w:trPr>
          <w:tblHeader w:val="on"/>
          <w:cantSplit/>
          <w:tblHeader w:val="true"/>
        </w:trPr>
        <w:tc>
          <w:tcPr>
            <w:tcW w:type="dxa" w:w="1823"/>
            <w:shd w:fill="174775"/>
          </w:tcPr>
          <w:p>
            <w:pPr>
              <w:keepNext w:val="0"/>
              <w:pageBreakBefore w:val="0"/>
              <w:spacing w:after="60" w:before="60" w:line="283" w:lineRule="auto"/>
              <w:jc w:val="left"/>
            </w:pPr>
            <w:r>
              <w:rPr>
                <w:rFonts w:ascii="Arial" w:hAnsi="Arial" w:eastAsia="宋体"/>
                <w:b/>
                <w:color w:val="FFFFFF"/>
                <w:sz w:val="19"/>
              </w:rPr>
              <w:t xml:space="preserve">阶段</w:t>
            </w:r>
          </w:p>
        </w:tc>
        <w:tc>
          <w:tcPr>
            <w:tcW w:type="dxa" w:w="3987"/>
            <w:shd w:fill="174775"/>
          </w:tcPr>
          <w:p>
            <w:pPr>
              <w:keepNext w:val="0"/>
              <w:pageBreakBefore w:val="0"/>
              <w:spacing w:after="60" w:before="60" w:line="283" w:lineRule="auto"/>
              <w:jc w:val="left"/>
            </w:pPr>
            <w:r>
              <w:rPr>
                <w:rFonts w:ascii="Arial" w:hAnsi="Arial" w:eastAsia="宋体"/>
                <w:b/>
                <w:color w:val="FFFFFF"/>
                <w:sz w:val="19"/>
              </w:rPr>
              <w:t xml:space="preserve">建议日期与优先任务</w:t>
            </w:r>
          </w:p>
        </w:tc>
        <w:tc>
          <w:tcPr>
            <w:tcW w:type="dxa" w:w="3827"/>
            <w:shd w:fill="174775"/>
          </w:tcPr>
          <w:p>
            <w:pPr>
              <w:keepNext w:val="0"/>
              <w:pageBreakBefore w:val="0"/>
              <w:spacing w:after="60" w:before="60" w:line="283" w:lineRule="auto"/>
              <w:jc w:val="left"/>
            </w:pPr>
            <w:r>
              <w:rPr>
                <w:rFonts w:ascii="Arial" w:hAnsi="Arial" w:eastAsia="宋体"/>
                <w:b/>
                <w:color w:val="FFFFFF"/>
                <w:sz w:val="19"/>
              </w:rPr>
              <w:t xml:space="preserve">成果及进入条件</w:t>
            </w:r>
          </w:p>
        </w:tc>
      </w:tr>
      <w:tr>
        <w:trPr>
          <w:cantSplit/>
        </w:trPr>
        <w:tc>
          <w:tcPr>
            <w:tcW w:type="dxa" w:w="1823"/>
            <w:shd w:fill="FFFFFF"/>
          </w:tcPr>
          <w:p>
            <w:pPr>
              <w:keepNext w:val="0"/>
              <w:pageBreakBefore w:val="0"/>
              <w:spacing w:after="60" w:before="60" w:line="283" w:lineRule="auto"/>
              <w:jc w:val="left"/>
            </w:pPr>
            <w:r>
              <w:rPr>
                <w:rFonts w:ascii="Arial" w:hAnsi="Arial" w:eastAsia="宋体"/>
                <w:sz w:val="19"/>
              </w:rPr>
              <w:t xml:space="preserve">0—30天</w:t>
            </w:r>
          </w:p>
        </w:tc>
        <w:tc>
          <w:tcPr>
            <w:tcW w:type="dxa" w:w="3987"/>
            <w:shd w:fill="FFFFFF"/>
          </w:tcPr>
          <w:p>
            <w:pPr>
              <w:keepNext w:val="0"/>
              <w:pageBreakBefore w:val="0"/>
              <w:spacing w:after="60" w:before="60" w:line="283" w:lineRule="auto"/>
              <w:jc w:val="left"/>
            </w:pPr>
            <w:r>
              <w:rPr>
                <w:rFonts w:ascii="Arial" w:hAnsi="Arial" w:eastAsia="宋体"/>
                <w:sz w:val="19"/>
              </w:rPr>
              <w:t xml:space="preserve">2026-10-11至11-10：衔接运行与接收服务，排查气液稳定，调档和启动测绘、采样</w:t>
            </w:r>
          </w:p>
        </w:tc>
        <w:tc>
          <w:tcPr>
            <w:tcW w:type="dxa" w:w="3827"/>
            <w:shd w:fill="FFFFFF"/>
          </w:tcPr>
          <w:p>
            <w:pPr>
              <w:keepNext w:val="0"/>
              <w:pageBreakBefore w:val="0"/>
              <w:spacing w:after="60" w:before="60" w:line="283" w:lineRule="auto"/>
              <w:jc w:val="left"/>
            </w:pPr>
            <w:r>
              <w:rPr>
                <w:rFonts w:ascii="Arial" w:hAnsi="Arial" w:eastAsia="宋体"/>
                <w:sz w:val="19"/>
              </w:rPr>
              <w:t xml:space="preserve">运行衔接方案；现状设施和合同清单；阶段性污染/风险诊断及需立即整改事项</w:t>
            </w:r>
          </w:p>
        </w:tc>
      </w:tr>
      <w:tr>
        <w:trPr>
          <w:cantSplit/>
        </w:trPr>
        <w:tc>
          <w:tcPr>
            <w:tcW w:type="dxa" w:w="1823"/>
            <w:shd w:fill="EAF2F9"/>
          </w:tcPr>
          <w:p>
            <w:pPr>
              <w:keepNext w:val="0"/>
              <w:pageBreakBefore w:val="0"/>
              <w:spacing w:after="60" w:before="60" w:line="283" w:lineRule="auto"/>
              <w:jc w:val="left"/>
            </w:pPr>
            <w:r>
              <w:rPr>
                <w:rFonts w:ascii="Arial" w:hAnsi="Arial" w:eastAsia="宋体"/>
                <w:sz w:val="19"/>
              </w:rPr>
              <w:t xml:space="preserve">30—90天</w:t>
            </w:r>
          </w:p>
        </w:tc>
        <w:tc>
          <w:tcPr>
            <w:tcW w:type="dxa" w:w="3987"/>
            <w:shd w:fill="EAF2F9"/>
          </w:tcPr>
          <w:p>
            <w:pPr>
              <w:keepNext w:val="0"/>
              <w:pageBreakBefore w:val="0"/>
              <w:spacing w:after="60" w:before="60" w:line="283" w:lineRule="auto"/>
              <w:jc w:val="left"/>
            </w:pPr>
            <w:r>
              <w:rPr>
                <w:rFonts w:ascii="Arial" w:hAnsi="Arial" w:eastAsia="宋体"/>
                <w:sz w:val="19"/>
              </w:rPr>
              <w:t xml:space="preserve">2026-11-10至2027-01-09：深化环境岩土调查、统一存量、代表性组分及水质试验、末端询价试接收</w:t>
            </w:r>
          </w:p>
        </w:tc>
        <w:tc>
          <w:tcPr>
            <w:tcW w:type="dxa" w:w="3827"/>
            <w:shd w:fill="EAF2F9"/>
          </w:tcPr>
          <w:p>
            <w:pPr>
              <w:keepNext w:val="0"/>
              <w:pageBreakBefore w:val="0"/>
              <w:spacing w:after="60" w:before="60" w:line="283" w:lineRule="auto"/>
              <w:jc w:val="left"/>
            </w:pPr>
            <w:r>
              <w:rPr>
                <w:rFonts w:ascii="Arial" w:hAnsi="Arial" w:eastAsia="宋体"/>
                <w:sz w:val="19"/>
              </w:rPr>
              <w:t xml:space="preserve">风险和稳定阶段成果；工程量口径；去向、持续能力和价格资料；调查未闭合继续补充</w:t>
            </w:r>
          </w:p>
        </w:tc>
      </w:tr>
      <w:tr>
        <w:trPr>
          <w:cantSplit/>
        </w:trPr>
        <w:tc>
          <w:tcPr>
            <w:tcW w:type="dxa" w:w="1823"/>
            <w:shd w:fill="FFFFFF"/>
          </w:tcPr>
          <w:p>
            <w:pPr>
              <w:keepNext w:val="0"/>
              <w:pageBreakBefore w:val="0"/>
              <w:spacing w:after="60" w:before="60" w:line="283" w:lineRule="auto"/>
              <w:jc w:val="left"/>
            </w:pPr>
            <w:r>
              <w:rPr>
                <w:rFonts w:ascii="Arial" w:hAnsi="Arial" w:eastAsia="宋体"/>
                <w:sz w:val="19"/>
              </w:rPr>
              <w:t xml:space="preserve">90—180天</w:t>
            </w:r>
          </w:p>
        </w:tc>
        <w:tc>
          <w:tcPr>
            <w:tcW w:type="dxa" w:w="3987"/>
            <w:shd w:fill="FFFFFF"/>
          </w:tcPr>
          <w:p>
            <w:pPr>
              <w:keepNext w:val="0"/>
              <w:pageBreakBefore w:val="0"/>
              <w:spacing w:after="60" w:before="60" w:line="283" w:lineRule="auto"/>
              <w:jc w:val="left"/>
            </w:pPr>
            <w:r>
              <w:rPr>
                <w:rFonts w:ascii="Arial" w:hAnsi="Arial" w:eastAsia="宋体"/>
                <w:sz w:val="19"/>
              </w:rPr>
              <w:t xml:space="preserve">2027-01-09至04-09：具备程序后开展示范，编制设计与概算、落实资金和接收</w:t>
            </w:r>
          </w:p>
        </w:tc>
        <w:tc>
          <w:tcPr>
            <w:tcW w:type="dxa" w:w="3827"/>
            <w:shd w:fill="FFFFFF"/>
          </w:tcPr>
          <w:p>
            <w:pPr>
              <w:keepNext w:val="0"/>
              <w:pageBreakBefore w:val="0"/>
              <w:spacing w:after="60" w:before="60" w:line="283" w:lineRule="auto"/>
              <w:jc w:val="left"/>
            </w:pPr>
            <w:r>
              <w:rPr>
                <w:rFonts w:ascii="Arial" w:hAnsi="Arial" w:eastAsia="宋体"/>
                <w:sz w:val="19"/>
              </w:rPr>
              <w:t xml:space="preserve">示范量质水气及真实成本成果；环保安全、设施、资金与审批条件具备</w:t>
            </w:r>
          </w:p>
        </w:tc>
      </w:tr>
      <w:tr>
        <w:trPr>
          <w:cantSplit/>
        </w:trPr>
        <w:tc>
          <w:tcPr>
            <w:tcW w:type="dxa" w:w="1823"/>
            <w:shd w:fill="EAF2F9"/>
          </w:tcPr>
          <w:p>
            <w:pPr>
              <w:keepNext w:val="0"/>
              <w:pageBreakBefore w:val="0"/>
              <w:spacing w:after="60" w:before="60" w:line="283" w:lineRule="auto"/>
              <w:jc w:val="left"/>
            </w:pPr>
            <w:r>
              <w:rPr>
                <w:rFonts w:ascii="Arial" w:hAnsi="Arial" w:eastAsia="宋体"/>
                <w:sz w:val="19"/>
              </w:rPr>
              <w:t xml:space="preserve">规模工程</w:t>
            </w:r>
          </w:p>
        </w:tc>
        <w:tc>
          <w:tcPr>
            <w:tcW w:type="dxa" w:w="3987"/>
            <w:shd w:fill="EAF2F9"/>
          </w:tcPr>
          <w:p>
            <w:pPr>
              <w:keepNext w:val="0"/>
              <w:pageBreakBefore w:val="0"/>
              <w:spacing w:after="60" w:before="60" w:line="283" w:lineRule="auto"/>
              <w:jc w:val="left"/>
            </w:pPr>
            <w:r>
              <w:rPr>
                <w:rFonts w:ascii="Arial" w:hAnsi="Arial" w:eastAsia="宋体"/>
                <w:sz w:val="19"/>
              </w:rPr>
              <w:t xml:space="preserve">依法批准后，按实测量与持续能力核定</w:t>
            </w:r>
          </w:p>
        </w:tc>
        <w:tc>
          <w:tcPr>
            <w:tcW w:type="dxa" w:w="3827"/>
            <w:shd w:fill="EAF2F9"/>
          </w:tcPr>
          <w:p>
            <w:pPr>
              <w:keepNext w:val="0"/>
              <w:pageBreakBefore w:val="0"/>
              <w:spacing w:after="60" w:before="60" w:line="283" w:lineRule="auto"/>
              <w:jc w:val="left"/>
            </w:pPr>
            <w:r>
              <w:rPr>
                <w:rFonts w:ascii="Arial" w:hAnsi="Arial" w:eastAsia="宋体"/>
                <w:sz w:val="19"/>
              </w:rPr>
              <w:t xml:space="preserve">先建可用控制设施，再分区开挖与场底修复；按单元计量、验收和支付</w:t>
            </w:r>
          </w:p>
        </w:tc>
      </w:tr>
      <w:tr>
        <w:trPr>
          <w:cantSplit/>
        </w:trPr>
        <w:tc>
          <w:tcPr>
            <w:tcW w:type="dxa" w:w="1823"/>
            <w:shd w:fill="FFFFFF"/>
          </w:tcPr>
          <w:p>
            <w:pPr>
              <w:keepNext w:val="0"/>
              <w:pageBreakBefore w:val="0"/>
              <w:spacing w:after="60" w:before="60" w:line="283" w:lineRule="auto"/>
              <w:jc w:val="left"/>
            </w:pPr>
            <w:r>
              <w:rPr>
                <w:rFonts w:ascii="Arial" w:hAnsi="Arial" w:eastAsia="宋体"/>
                <w:sz w:val="19"/>
              </w:rPr>
              <w:t xml:space="preserve">后期管理</w:t>
            </w:r>
          </w:p>
        </w:tc>
        <w:tc>
          <w:tcPr>
            <w:tcW w:type="dxa" w:w="3987"/>
            <w:shd w:fill="FFFFFF"/>
          </w:tcPr>
          <w:p>
            <w:pPr>
              <w:keepNext w:val="0"/>
              <w:pageBreakBefore w:val="0"/>
              <w:spacing w:after="60" w:before="60" w:line="283" w:lineRule="auto"/>
              <w:jc w:val="left"/>
            </w:pPr>
            <w:r>
              <w:rPr>
                <w:rFonts w:ascii="Arial" w:hAnsi="Arial" w:eastAsia="宋体"/>
                <w:sz w:val="19"/>
              </w:rPr>
              <w:t xml:space="preserve">按效果评估及维护终止条件安排</w:t>
            </w:r>
          </w:p>
        </w:tc>
        <w:tc>
          <w:tcPr>
            <w:tcW w:type="dxa" w:w="3827"/>
            <w:shd w:fill="FFFFFF"/>
          </w:tcPr>
          <w:p>
            <w:pPr>
              <w:keepNext w:val="0"/>
              <w:pageBreakBefore w:val="0"/>
              <w:spacing w:after="60" w:before="60" w:line="283" w:lineRule="auto"/>
              <w:jc w:val="left"/>
            </w:pPr>
            <w:r>
              <w:rPr>
                <w:rFonts w:ascii="Arial" w:hAnsi="Arial" w:eastAsia="宋体"/>
                <w:sz w:val="19"/>
              </w:rPr>
              <w:t xml:space="preserve">残余风险、保留设施、监测、运行资金和用途限制明确后移交</w:t>
            </w:r>
          </w:p>
        </w:tc>
      </w:tr>
    </w:tbl>
    <w:p>
      <w:pPr>
        <w:pStyle w:val="BodyText"/>
      </w:pPr>
      <w:r>
        <w:t xml:space="preserve">现有合同记载2026年12月31日到期，衔接工作应在该日前完成，不能等到90天阶段结束。任一阶段的时间届满不是开挖放行条件。[B01；S02第8.7条]</w:t>
      </w:r>
    </w:p>
    <w:bookmarkEnd w:id="100"/>
    <w:bookmarkStart w:id="101" w:name="X975ce667193b59b3661231d5ce81bfb53df1a4a"/>
    <w:p>
      <w:pPr>
        <w:pStyle w:val="Heading3"/>
      </w:pPr>
      <w:r>
        <w:t xml:space="preserve">7.3 规模施工周期的测算</w:t>
      </w:r>
    </w:p>
    <w:p>
      <w:pPr>
        <w:pStyle w:val="FirstParagraph"/>
      </w:pPr>
      <w:r>
        <w:t xml:space="preserve">实测质量M＝分区测绘体积V×相应湿密度ρ；产物i的示范产率为fᵢ，合法接收承诺可持续日量为Rᵢ，则垃圾处理日能力不得高于Rᵢ/fᵢ，亦不得高于开挖、分选、水气及稳定控制允许能力。可持续Q取各瓶颈能力最小值，有效作业天数D至少为M/Q。按吨与m³分别统一量纲；水气约束需先折算为可承受垃圾日处理量，不把吨/日与m³/日直接比较。[S03第6.3.1条；乙方工程计算框架]</w:t>
      </w:r>
    </w:p>
    <w:p>
      <w:pPr>
        <w:pStyle w:val="BodyText"/>
      </w:pPr>
      <w:r>
        <w:t xml:space="preserve">日历工期在有效作业天数基础上加入依法允许作业日、暴雨和停机、批次检测与接收停限、场底修复、效果评估及必要缓冲。土壤地下水治理可能晚于垃圾移除完成，另设后期节点。阿苏卫3000吨/日为设施设计配置，不是本场能力，不能据此直接推定本工程年限。[C02]</w:t>
      </w:r>
    </w:p>
    <w:bookmarkEnd w:id="101"/>
    <w:bookmarkStart w:id="102" w:name="Xb47e08880037eb3da043d5e8ac7119a2d1e3cae"/>
    <w:p>
      <w:pPr>
        <w:pStyle w:val="Heading3"/>
      </w:pPr>
      <w:r>
        <w:t xml:space="preserve">7.4 当前最急迫的准备工作与责任分工</w:t>
      </w:r>
    </w:p>
    <w:tbl>
      <w:tblPr>
        <w:tblStyle w:val="Table"/>
        <w:tblW w:type="dxa" w:w="9638"/>
        <w:jc w:val="left"/>
        <w:tblLayout w:type="fixed"/>
        <w:tblLook w:firstRow="1" w:lastRow="0" w:firstColumn="0" w:lastColumn="0" w:noHBand="0" w:noVBand="0" w:val="0020"/>
      </w:tblPr>
      <w:tblGrid>
        <w:gridCol w:w="2022"/>
        <w:gridCol w:w="3221"/>
        <w:gridCol w:w="4395"/>
      </w:tblGrid>
      <w:tr>
        <w:trPr>
          <w:tblHeader w:val="on"/>
          <w:cantSplit/>
          <w:tblHeader w:val="true"/>
        </w:trPr>
        <w:tc>
          <w:tcPr>
            <w:tcW w:type="dxa" w:w="2022"/>
            <w:shd w:fill="174775"/>
          </w:tcPr>
          <w:p>
            <w:pPr>
              <w:keepNext w:val="0"/>
              <w:pageBreakBefore w:val="0"/>
              <w:spacing w:after="60" w:before="60" w:line="283" w:lineRule="auto"/>
              <w:jc w:val="left"/>
            </w:pPr>
            <w:r>
              <w:rPr>
                <w:rFonts w:ascii="Arial" w:hAnsi="Arial" w:eastAsia="宋体"/>
                <w:b/>
                <w:color w:val="FFFFFF"/>
                <w:sz w:val="19"/>
              </w:rPr>
              <w:t xml:space="preserve">当前工作</w:t>
            </w:r>
          </w:p>
        </w:tc>
        <w:tc>
          <w:tcPr>
            <w:tcW w:type="dxa" w:w="3221"/>
            <w:shd w:fill="174775"/>
          </w:tcPr>
          <w:p>
            <w:pPr>
              <w:keepNext w:val="0"/>
              <w:pageBreakBefore w:val="0"/>
              <w:spacing w:after="60" w:before="60" w:line="283" w:lineRule="auto"/>
              <w:jc w:val="left"/>
            </w:pPr>
            <w:r>
              <w:rPr>
                <w:rFonts w:ascii="Arial" w:hAnsi="Arial" w:eastAsia="宋体"/>
                <w:b/>
                <w:color w:val="FFFFFF"/>
                <w:sz w:val="19"/>
              </w:rPr>
              <w:t xml:space="preserve">甲方统筹事项</w:t>
            </w:r>
          </w:p>
        </w:tc>
        <w:tc>
          <w:tcPr>
            <w:tcW w:type="dxa" w:w="4395"/>
            <w:shd w:fill="174775"/>
          </w:tcPr>
          <w:p>
            <w:pPr>
              <w:keepNext w:val="0"/>
              <w:pageBreakBefore w:val="0"/>
              <w:spacing w:after="60" w:before="60" w:line="283" w:lineRule="auto"/>
              <w:jc w:val="left"/>
            </w:pPr>
            <w:r>
              <w:rPr>
                <w:rFonts w:ascii="Arial" w:hAnsi="Arial" w:eastAsia="宋体"/>
                <w:b/>
                <w:color w:val="FFFFFF"/>
                <w:sz w:val="19"/>
              </w:rPr>
              <w:t xml:space="preserve">乙方或专业单位形成的具体成果</w:t>
            </w:r>
          </w:p>
        </w:tc>
      </w:tr>
      <w:tr>
        <w:trPr>
          <w:cantSplit/>
        </w:trPr>
        <w:tc>
          <w:tcPr>
            <w:tcW w:type="dxa" w:w="2022"/>
            <w:shd w:fill="FFFFFF"/>
          </w:tcPr>
          <w:p>
            <w:pPr>
              <w:keepNext w:val="0"/>
              <w:pageBreakBefore w:val="0"/>
              <w:spacing w:after="60" w:before="60" w:line="283" w:lineRule="auto"/>
              <w:jc w:val="left"/>
            </w:pPr>
            <w:r>
              <w:rPr>
                <w:rFonts w:ascii="Arial" w:hAnsi="Arial" w:eastAsia="宋体"/>
                <w:sz w:val="19"/>
              </w:rPr>
              <w:t xml:space="preserve">运维合同及接收连续</w:t>
            </w:r>
          </w:p>
        </w:tc>
        <w:tc>
          <w:tcPr>
            <w:tcW w:type="dxa" w:w="3221"/>
            <w:shd w:fill="FFFFFF"/>
          </w:tcPr>
          <w:p>
            <w:pPr>
              <w:keepNext w:val="0"/>
              <w:pageBreakBefore w:val="0"/>
              <w:spacing w:after="60" w:before="60" w:line="283" w:lineRule="auto"/>
              <w:jc w:val="left"/>
            </w:pPr>
            <w:r>
              <w:rPr>
                <w:rFonts w:ascii="Arial" w:hAnsi="Arial" w:eastAsia="宋体"/>
                <w:sz w:val="19"/>
              </w:rPr>
              <w:t xml:space="preserve">核原件、服务边界、衔接采购、备用接收和交接责任</w:t>
            </w:r>
          </w:p>
        </w:tc>
        <w:tc>
          <w:tcPr>
            <w:tcW w:type="dxa" w:w="4395"/>
            <w:shd w:fill="FFFFFF"/>
          </w:tcPr>
          <w:p>
            <w:pPr>
              <w:keepNext w:val="0"/>
              <w:pageBreakBefore w:val="0"/>
              <w:spacing w:after="60" w:before="60" w:line="283" w:lineRule="auto"/>
              <w:jc w:val="left"/>
            </w:pPr>
            <w:r>
              <w:rPr>
                <w:rFonts w:ascii="Arial" w:hAnsi="Arial" w:eastAsia="宋体"/>
                <w:sz w:val="19"/>
              </w:rPr>
              <w:t xml:space="preserve">日处理与库存、设备工况、停限应急及服务清单；到期前衔接</w:t>
            </w:r>
          </w:p>
        </w:tc>
      </w:tr>
      <w:tr>
        <w:trPr>
          <w:cantSplit/>
        </w:trPr>
        <w:tc>
          <w:tcPr>
            <w:tcW w:type="dxa" w:w="2022"/>
            <w:shd w:fill="EAF2F9"/>
          </w:tcPr>
          <w:p>
            <w:pPr>
              <w:keepNext w:val="0"/>
              <w:pageBreakBefore w:val="0"/>
              <w:spacing w:after="60" w:before="60" w:line="283" w:lineRule="auto"/>
              <w:jc w:val="left"/>
            </w:pPr>
            <w:r>
              <w:rPr>
                <w:rFonts w:ascii="Arial" w:hAnsi="Arial" w:eastAsia="宋体"/>
                <w:sz w:val="19"/>
              </w:rPr>
              <w:t xml:space="preserve">污染现状与环境风险调查</w:t>
            </w:r>
          </w:p>
        </w:tc>
        <w:tc>
          <w:tcPr>
            <w:tcW w:type="dxa" w:w="3221"/>
            <w:shd w:fill="EAF2F9"/>
          </w:tcPr>
          <w:p>
            <w:pPr>
              <w:keepNext w:val="0"/>
              <w:pageBreakBefore w:val="0"/>
              <w:spacing w:after="60" w:before="60" w:line="283" w:lineRule="auto"/>
              <w:jc w:val="left"/>
            </w:pPr>
            <w:r>
              <w:rPr>
                <w:rFonts w:ascii="Arial" w:hAnsi="Arial" w:eastAsia="宋体"/>
                <w:sz w:val="19"/>
              </w:rPr>
              <w:t xml:space="preserve">委托调查、开放档案和现场、协调上下游调查</w:t>
            </w:r>
          </w:p>
        </w:tc>
        <w:tc>
          <w:tcPr>
            <w:tcW w:type="dxa" w:w="4395"/>
            <w:shd w:fill="EAF2F9"/>
          </w:tcPr>
          <w:p>
            <w:pPr>
              <w:keepNext w:val="0"/>
              <w:pageBreakBefore w:val="0"/>
              <w:spacing w:after="60" w:before="60" w:line="283" w:lineRule="auto"/>
              <w:jc w:val="left"/>
            </w:pPr>
            <w:r>
              <w:rPr>
                <w:rFonts w:ascii="Arial" w:hAnsi="Arial" w:eastAsia="宋体"/>
                <w:sz w:val="19"/>
              </w:rPr>
              <w:t xml:space="preserve">渗滤液/浓缩液、土壤地下水和气体基线；源—途径—受体、异常与紧急措施</w:t>
            </w:r>
          </w:p>
        </w:tc>
      </w:tr>
      <w:tr>
        <w:trPr>
          <w:cantSplit/>
        </w:trPr>
        <w:tc>
          <w:tcPr>
            <w:tcW w:type="dxa" w:w="2022"/>
            <w:shd w:fill="FFFFFF"/>
          </w:tcPr>
          <w:p>
            <w:pPr>
              <w:keepNext w:val="0"/>
              <w:pageBreakBefore w:val="0"/>
              <w:spacing w:after="60" w:before="60" w:line="283" w:lineRule="auto"/>
              <w:jc w:val="left"/>
            </w:pPr>
            <w:r>
              <w:rPr>
                <w:rFonts w:ascii="Arial" w:hAnsi="Arial" w:eastAsia="宋体"/>
                <w:sz w:val="19"/>
              </w:rPr>
              <w:t xml:space="preserve">液位、衬层与岩土稳定</w:t>
            </w:r>
          </w:p>
        </w:tc>
        <w:tc>
          <w:tcPr>
            <w:tcW w:type="dxa" w:w="3221"/>
            <w:shd w:fill="FFFFFF"/>
          </w:tcPr>
          <w:p>
            <w:pPr>
              <w:keepNext w:val="0"/>
              <w:pageBreakBefore w:val="0"/>
              <w:spacing w:after="60" w:before="60" w:line="283" w:lineRule="auto"/>
              <w:jc w:val="left"/>
            </w:pPr>
            <w:r>
              <w:rPr>
                <w:rFonts w:ascii="Arial" w:hAnsi="Arial" w:eastAsia="宋体"/>
                <w:sz w:val="19"/>
              </w:rPr>
              <w:t xml:space="preserve">调取竣工图、最近衬层检测和稳定资料，保障钻探安全</w:t>
            </w:r>
          </w:p>
        </w:tc>
        <w:tc>
          <w:tcPr>
            <w:tcW w:type="dxa" w:w="4395"/>
            <w:shd w:fill="FFFFFF"/>
          </w:tcPr>
          <w:p>
            <w:pPr>
              <w:keepNext w:val="0"/>
              <w:pageBreakBefore w:val="0"/>
              <w:spacing w:after="60" w:before="60" w:line="283" w:lineRule="auto"/>
              <w:jc w:val="left"/>
            </w:pPr>
            <w:r>
              <w:rPr>
                <w:rFonts w:ascii="Arial" w:hAnsi="Arial" w:eastAsia="宋体"/>
                <w:sz w:val="19"/>
              </w:rPr>
              <w:t xml:space="preserve">液位分布、流场、衬层缺陷、开挖工况和稳定控制条件；按需滚动完善</w:t>
            </w:r>
          </w:p>
        </w:tc>
      </w:tr>
      <w:tr>
        <w:trPr>
          <w:cantSplit/>
        </w:trPr>
        <w:tc>
          <w:tcPr>
            <w:tcW w:type="dxa" w:w="2022"/>
            <w:shd w:fill="EAF2F9"/>
          </w:tcPr>
          <w:p>
            <w:pPr>
              <w:keepNext w:val="0"/>
              <w:pageBreakBefore w:val="0"/>
              <w:spacing w:after="60" w:before="60" w:line="283" w:lineRule="auto"/>
              <w:jc w:val="left"/>
            </w:pPr>
            <w:r>
              <w:rPr>
                <w:rFonts w:ascii="Arial" w:hAnsi="Arial" w:eastAsia="宋体"/>
                <w:sz w:val="19"/>
              </w:rPr>
              <w:t xml:space="preserve">统一垃圾存量与组分</w:t>
            </w:r>
          </w:p>
        </w:tc>
        <w:tc>
          <w:tcPr>
            <w:tcW w:type="dxa" w:w="3221"/>
            <w:shd w:fill="EAF2F9"/>
          </w:tcPr>
          <w:p>
            <w:pPr>
              <w:keepNext w:val="0"/>
              <w:pageBreakBefore w:val="0"/>
              <w:spacing w:after="60" w:before="60" w:line="283" w:lineRule="auto"/>
              <w:jc w:val="left"/>
            </w:pPr>
            <w:r>
              <w:rPr>
                <w:rFonts w:ascii="Arial" w:hAnsi="Arial" w:eastAsia="宋体"/>
                <w:sz w:val="19"/>
              </w:rPr>
              <w:t xml:space="preserve">确定边界和测绘委托，批准代表性调查计划</w:t>
            </w:r>
          </w:p>
        </w:tc>
        <w:tc>
          <w:tcPr>
            <w:tcW w:type="dxa" w:w="4395"/>
            <w:shd w:fill="EAF2F9"/>
          </w:tcPr>
          <w:p>
            <w:pPr>
              <w:keepNext w:val="0"/>
              <w:pageBreakBefore w:val="0"/>
              <w:spacing w:after="60" w:before="60" w:line="283" w:lineRule="auto"/>
              <w:jc w:val="left"/>
            </w:pPr>
            <w:r>
              <w:rPr>
                <w:rFonts w:ascii="Arial" w:hAnsi="Arial" w:eastAsia="宋体"/>
                <w:sz w:val="19"/>
              </w:rPr>
              <w:t xml:space="preserve">现状与基底模型、分区体积、实测密度/组分和误差，形成投资工期统一输入</w:t>
            </w:r>
          </w:p>
        </w:tc>
      </w:tr>
      <w:tr>
        <w:trPr>
          <w:cantSplit/>
        </w:trPr>
        <w:tc>
          <w:tcPr>
            <w:tcW w:type="dxa" w:w="2022"/>
            <w:shd w:fill="FFFFFF"/>
          </w:tcPr>
          <w:p>
            <w:pPr>
              <w:keepNext w:val="0"/>
              <w:pageBreakBefore w:val="0"/>
              <w:spacing w:after="60" w:before="60" w:line="283" w:lineRule="auto"/>
              <w:jc w:val="left"/>
            </w:pPr>
            <w:r>
              <w:rPr>
                <w:rFonts w:ascii="Arial" w:hAnsi="Arial" w:eastAsia="宋体"/>
                <w:sz w:val="19"/>
              </w:rPr>
              <w:t xml:space="preserve">所有最终去向</w:t>
            </w:r>
          </w:p>
        </w:tc>
        <w:tc>
          <w:tcPr>
            <w:tcW w:type="dxa" w:w="3221"/>
            <w:shd w:fill="FFFFFF"/>
          </w:tcPr>
          <w:p>
            <w:pPr>
              <w:keepNext w:val="0"/>
              <w:pageBreakBefore w:val="0"/>
              <w:spacing w:after="60" w:before="60" w:line="283" w:lineRule="auto"/>
              <w:jc w:val="left"/>
            </w:pPr>
            <w:r>
              <w:rPr>
                <w:rFonts w:ascii="Arial" w:hAnsi="Arial" w:eastAsia="宋体"/>
                <w:sz w:val="19"/>
              </w:rPr>
              <w:t xml:space="preserve">协调核准接收单位、备用渠道和审批范围</w:t>
            </w:r>
          </w:p>
        </w:tc>
        <w:tc>
          <w:tcPr>
            <w:tcW w:type="dxa" w:w="4395"/>
            <w:shd w:fill="FFFFFF"/>
          </w:tcPr>
          <w:p>
            <w:pPr>
              <w:keepNext w:val="0"/>
              <w:pageBreakBefore w:val="0"/>
              <w:spacing w:after="60" w:before="60" w:line="283" w:lineRule="auto"/>
              <w:jc w:val="left"/>
            </w:pPr>
            <w:r>
              <w:rPr>
                <w:rFonts w:ascii="Arial" w:hAnsi="Arial" w:eastAsia="宋体"/>
                <w:sz w:val="19"/>
              </w:rPr>
              <w:t xml:space="preserve">批次质量与试接收、持续日量、运输距离和含税报价；细料与浓液独立落实</w:t>
            </w:r>
          </w:p>
        </w:tc>
      </w:tr>
      <w:tr>
        <w:trPr>
          <w:cantSplit/>
        </w:trPr>
        <w:tc>
          <w:tcPr>
            <w:tcW w:type="dxa" w:w="2022"/>
            <w:shd w:fill="EAF2F9"/>
          </w:tcPr>
          <w:p>
            <w:pPr>
              <w:keepNext w:val="0"/>
              <w:pageBreakBefore w:val="0"/>
              <w:spacing w:after="60" w:before="60" w:line="283" w:lineRule="auto"/>
              <w:jc w:val="left"/>
            </w:pPr>
            <w:r>
              <w:rPr>
                <w:rFonts w:ascii="Arial" w:hAnsi="Arial" w:eastAsia="宋体"/>
                <w:sz w:val="19"/>
              </w:rPr>
              <w:t xml:space="preserve">前期方案及资金</w:t>
            </w:r>
          </w:p>
        </w:tc>
        <w:tc>
          <w:tcPr>
            <w:tcW w:type="dxa" w:w="3221"/>
            <w:shd w:fill="EAF2F9"/>
          </w:tcPr>
          <w:p>
            <w:pPr>
              <w:keepNext w:val="0"/>
              <w:pageBreakBefore w:val="0"/>
              <w:spacing w:after="60" w:before="60" w:line="283" w:lineRule="auto"/>
              <w:jc w:val="left"/>
            </w:pPr>
            <w:r>
              <w:rPr>
                <w:rFonts w:ascii="Arial" w:hAnsi="Arial" w:eastAsia="宋体"/>
                <w:sz w:val="19"/>
              </w:rPr>
              <w:t xml:space="preserve">明确业主、采购及资金路径，组织部门咨询</w:t>
            </w:r>
          </w:p>
        </w:tc>
        <w:tc>
          <w:tcPr>
            <w:tcW w:type="dxa" w:w="4395"/>
            <w:shd w:fill="EAF2F9"/>
          </w:tcPr>
          <w:p>
            <w:pPr>
              <w:keepNext w:val="0"/>
              <w:pageBreakBefore w:val="0"/>
              <w:spacing w:after="60" w:before="60" w:line="283" w:lineRule="auto"/>
              <w:jc w:val="left"/>
            </w:pPr>
            <w:r>
              <w:rPr>
                <w:rFonts w:ascii="Arial" w:hAnsi="Arial" w:eastAsia="宋体"/>
                <w:sz w:val="19"/>
              </w:rPr>
              <w:t xml:space="preserve">调查及示范具体清单、手续矩阵、初步比选和费用边界；主体概算待实证后核定</w:t>
            </w:r>
          </w:p>
        </w:tc>
      </w:tr>
    </w:tbl>
    <w:p>
      <w:pPr>
        <w:pStyle w:val="BodyText"/>
      </w:pPr>
      <w:r>
        <w:t xml:space="preserve">污染调查优先识别场地外敏感受体和地下水上下游趋势；出现已证实渗漏、外溢、气体或稳定异常时优先控制，不能把完成全套可研作为处置前置条件。没有异常证据时按调查计划补齐信息，不预设本场发生同类案例的违法污染。[S02第7.10条；S05；S07]</w:t>
      </w:r>
    </w:p>
    <w:bookmarkEnd w:id="102"/>
    <w:bookmarkStart w:id="103" w:name="X8f9024949610a84fa9d0bcc84242c832c6af83b"/>
    <w:p>
      <w:pPr>
        <w:pStyle w:val="Heading3"/>
      </w:pPr>
      <w:r>
        <w:t xml:space="preserve">7.5 乙方提交意见</w:t>
      </w:r>
    </w:p>
    <w:p>
      <w:pPr>
        <w:pStyle w:val="FirstParagraph"/>
      </w:pPr>
      <w:r>
        <w:t xml:space="preserve">建议甲方先明确项目业主和治理目标，立即保障下一周期运行及合法接收，委托污染现状、环境风险与稳定调查；同步统一存量和分类去向。以调查结果推进分区开挖可研、示范和设计，分阶段落实资金与工程手续，逐单元实施并核验去向、污染控制及场底治理成果。当前宜决策启动前期实证工作和运行衔接，主体全量范围、总投资和最终竣工日期在调查报价及方案审批后核定。</w:t>
      </w:r>
    </w:p>
    <w:bookmarkEnd w:id="103"/>
    <w:bookmarkEnd w:id="104"/>
    <w:bookmarkStart w:id="143" w:name="附录a-文件案例与场地来源索引"/>
    <w:p>
      <w:pPr>
        <w:pStyle w:val="Heading2"/>
        <w:pageBreakBefore/>
      </w:pPr>
      <w:r>
        <w:t xml:space="preserve">附录A 文件、案例与场地来源索引</w:t>
      </w:r>
    </w:p>
    <w:p>
      <w:pPr>
        <w:pStyle w:val="FirstParagraph"/>
      </w:pPr>
      <w:r>
        <w:t xml:space="preserve">本报告采用20项来源，其中18项为官方文件、标准或案例记录，2项为用户提供的场地基本资料。官方公开原文于2026年10月10—11日检索及核验。文内数值、技术参数、案例状态及判断对应编号和定位；未公开的费用、工程量与成效不推定。</w:t>
      </w:r>
    </w:p>
    <w:bookmarkStart w:id="105" w:name="b01-旧飞鹅垃圾填埋场场地整治情况"/>
    <w:p>
      <w:pPr>
        <w:pStyle w:val="Heading3"/>
      </w:pPr>
      <w:r>
        <w:t xml:space="preserve">[B01] 《旧飞鹅垃圾填埋场场地整治情况》</w:t>
      </w:r>
    </w:p>
    <w:p>
      <w:pPr>
        <w:pStyle w:val="FirstParagraph"/>
      </w:pPr>
      <w:r>
        <w:t xml:space="preserve">发布/提供主体：用户提供场地工作资料；时间：数据截至2026-04-30。</w:t>
      </w:r>
    </w:p>
    <w:p>
      <w:pPr>
        <w:pStyle w:val="BodyText"/>
      </w:pPr>
      <w:r>
        <w:t xml:space="preserve">定位与适用内容：附件第1—6页；历史封场、处理站规模、运维负荷与合同期限。</w:t>
      </w:r>
    </w:p>
    <w:p>
      <w:pPr>
        <w:pStyle w:val="BodyText"/>
      </w:pPr>
      <w:r>
        <w:t xml:space="preserve">状态及边界：场地基础资料，原始合同、批复和监测报告待核对。</w:t>
      </w:r>
    </w:p>
    <w:bookmarkEnd w:id="105"/>
    <w:bookmarkStart w:id="106" w:name="b02-大岭山旧飞鹅垃圾填埋场背景资料"/>
    <w:p>
      <w:pPr>
        <w:pStyle w:val="Heading3"/>
      </w:pPr>
      <w:r>
        <w:t xml:space="preserve">[B02] 《大岭山旧飞鹅垃圾填埋场背景资料》</w:t>
      </w:r>
    </w:p>
    <w:p>
      <w:pPr>
        <w:pStyle w:val="FirstParagraph"/>
      </w:pPr>
      <w:r>
        <w:t xml:space="preserve">发布/提供主体：用户提供场地背景资料；时间：附件未明确统一数据基准日。</w:t>
      </w:r>
    </w:p>
    <w:p>
      <w:pPr>
        <w:pStyle w:val="BodyText"/>
      </w:pPr>
      <w:r>
        <w:t xml:space="preserve">定位与适用内容：存量垃圾170万m³，与B01的250万m³口径存在差异。</w:t>
      </w:r>
    </w:p>
    <w:p>
      <w:pPr>
        <w:pStyle w:val="BodyText"/>
      </w:pPr>
      <w:r>
        <w:t xml:space="preserve">状态及边界：仅用于识别场地基础数据差异。</w:t>
      </w:r>
    </w:p>
    <w:bookmarkEnd w:id="106"/>
    <w:bookmarkStart w:id="108" w:name="s01-中华人民共和国生态环境法典"/>
    <w:p>
      <w:pPr>
        <w:pStyle w:val="Heading3"/>
      </w:pPr>
      <w:r>
        <w:t xml:space="preserve">[S01] 中华人民共和国生态环境法典</w:t>
      </w:r>
    </w:p>
    <w:p>
      <w:pPr>
        <w:pStyle w:val="FirstParagraph"/>
      </w:pPr>
      <w:r>
        <w:t xml:space="preserve">发布/提供主体：全国人民代表大会；时间：2026-03-12通过；2026-08-15施行。</w:t>
      </w:r>
    </w:p>
    <w:p>
      <w:pPr>
        <w:pStyle w:val="BodyText"/>
      </w:pPr>
      <w:r>
        <w:t xml:space="preserve">定位与适用内容：第511—513条、第1242条；环境影响评价、土壤污染风险管控和修复相关章节。</w:t>
      </w:r>
    </w:p>
    <w:p>
      <w:pPr>
        <w:pStyle w:val="BodyText"/>
      </w:pPr>
      <w:r>
        <w:t xml:space="preserve">状态及边界：现行法律。</w:t>
      </w:r>
    </w:p>
    <w:p>
      <w:pPr>
        <w:pStyle w:val="BodyText"/>
      </w:pPr>
      <w:r>
        <w:t xml:space="preserve">官方原文：</w:t>
      </w:r>
      <w:hyperlink r:id="rId107">
        <w:r>
          <w:rPr>
            <w:rStyle w:val="Hyperlink"/>
          </w:rPr>
          <w:t xml:space="preserve">点击查看</w:t>
        </w:r>
      </w:hyperlink>
      <w:r>
        <w:t xml:space="preserve">。</w:t>
      </w:r>
    </w:p>
    <w:bookmarkEnd w:id="108"/>
    <w:bookmarkStart w:id="110" w:name="s02-生活垃圾填埋场污染控制标准gb-168892024"/>
    <w:p>
      <w:pPr>
        <w:pStyle w:val="Heading3"/>
      </w:pPr>
      <w:r>
        <w:t xml:space="preserve">[S02] 生活垃圾填埋场污染控制标准（GB 16889—2024）</w:t>
      </w:r>
    </w:p>
    <w:p>
      <w:pPr>
        <w:pStyle w:val="FirstParagraph"/>
      </w:pPr>
      <w:r>
        <w:t xml:space="preserve">发布/提供主体：生态环境部、国家市场监督管理总局；时间：2024-09-01实施。</w:t>
      </w:r>
    </w:p>
    <w:p>
      <w:pPr>
        <w:pStyle w:val="BodyText"/>
      </w:pPr>
      <w:r>
        <w:t xml:space="preserve">定位与适用内容：7.8—7.10、8.7—8.9、9.2。</w:t>
      </w:r>
    </w:p>
    <w:p>
      <w:pPr>
        <w:pStyle w:val="BodyText"/>
      </w:pPr>
      <w:r>
        <w:t xml:space="preserve">状态及边界：现行强制性国家标准。</w:t>
      </w:r>
    </w:p>
    <w:p>
      <w:pPr>
        <w:pStyle w:val="BodyText"/>
      </w:pPr>
      <w:r>
        <w:t xml:space="preserve">官方原文：</w:t>
      </w:r>
      <w:hyperlink r:id="rId109">
        <w:r>
          <w:rPr>
            <w:rStyle w:val="Hyperlink"/>
          </w:rPr>
          <w:t xml:space="preserve">点击查看</w:t>
        </w:r>
      </w:hyperlink>
      <w:r>
        <w:t xml:space="preserve">。</w:t>
      </w:r>
    </w:p>
    <w:bookmarkEnd w:id="110"/>
    <w:bookmarkStart w:id="112" w:name="s03-生活垃圾填埋场开挖治理污染防治技术指南征求意见稿及编制说明"/>
    <w:p>
      <w:pPr>
        <w:pStyle w:val="Heading3"/>
      </w:pPr>
      <w:r>
        <w:t xml:space="preserve">[S03] 生活垃圾填埋场开挖治理污染防治技术指南（征求意见稿）及编制说明</w:t>
      </w:r>
    </w:p>
    <w:p>
      <w:pPr>
        <w:pStyle w:val="FirstParagraph"/>
      </w:pPr>
      <w:r>
        <w:t xml:space="preserve">发布/提供主体：生态环境部；时间：2025-12-26公开征求意见。</w:t>
      </w:r>
    </w:p>
    <w:p>
      <w:pPr>
        <w:pStyle w:val="BodyText"/>
      </w:pPr>
      <w:r>
        <w:t xml:space="preserve">定位与适用内容：4—8章；6.2.1、6.2.6、6.3.1、6.3.5、6.4.3、7.2—7.4。</w:t>
      </w:r>
    </w:p>
    <w:p>
      <w:pPr>
        <w:pStyle w:val="BodyText"/>
      </w:pPr>
      <w:r>
        <w:t xml:space="preserve">状态及边界：检索取得版本为征求意见稿，作为技术参考。</w:t>
      </w:r>
    </w:p>
    <w:p>
      <w:pPr>
        <w:pStyle w:val="BodyText"/>
      </w:pPr>
      <w:r>
        <w:t xml:space="preserve">官方原文：</w:t>
      </w:r>
      <w:hyperlink r:id="rId111">
        <w:r>
          <w:rPr>
            <w:rStyle w:val="Hyperlink"/>
          </w:rPr>
          <w:t xml:space="preserve">点击查看</w:t>
        </w:r>
      </w:hyperlink>
      <w:r>
        <w:t xml:space="preserve">。</w:t>
      </w:r>
    </w:p>
    <w:bookmarkEnd w:id="112"/>
    <w:bookmarkStart w:id="114" w:name="s04-国务院关于印发固体废物综合治理行动计划的通知国发202514号"/>
    <w:p>
      <w:pPr>
        <w:pStyle w:val="Heading3"/>
      </w:pPr>
      <w:r>
        <w:t xml:space="preserve">[S04] 国务院关于印发《固体废物综合治理行动计划》的通知（国发〔2025〕14号）</w:t>
      </w:r>
    </w:p>
    <w:p>
      <w:pPr>
        <w:pStyle w:val="FirstParagraph"/>
      </w:pPr>
      <w:r>
        <w:t xml:space="preserve">发布/提供主体：国务院；时间：2025-12-27印发。</w:t>
      </w:r>
    </w:p>
    <w:p>
      <w:pPr>
        <w:pStyle w:val="BodyText"/>
      </w:pPr>
      <w:r>
        <w:t xml:space="preserve">定位与适用内容：（十三）、（二十三）、（二十五）；一场一策与停用填埋场封场治理。</w:t>
      </w:r>
    </w:p>
    <w:p>
      <w:pPr>
        <w:pStyle w:val="BodyText"/>
      </w:pPr>
      <w:r>
        <w:t xml:space="preserve">状态及边界：国家政策文件；2027年节点不等于全量开挖要求。</w:t>
      </w:r>
    </w:p>
    <w:p>
      <w:pPr>
        <w:pStyle w:val="BodyText"/>
      </w:pPr>
      <w:r>
        <w:t xml:space="preserve">官方原文：</w:t>
      </w:r>
      <w:hyperlink r:id="rId113">
        <w:r>
          <w:rPr>
            <w:rStyle w:val="Hyperlink"/>
          </w:rPr>
          <w:t xml:space="preserve">点击查看</w:t>
        </w:r>
      </w:hyperlink>
      <w:r>
        <w:t xml:space="preserve">。</w:t>
      </w:r>
    </w:p>
    <w:bookmarkEnd w:id="114"/>
    <w:bookmarkStart w:id="116" w:name="s05-固体废物污染防治十五五规划"/>
    <w:p>
      <w:pPr>
        <w:pStyle w:val="Heading3"/>
      </w:pPr>
      <w:r>
        <w:t xml:space="preserve">[S05] 固体废物污染防治“十五五”规划</w:t>
      </w:r>
    </w:p>
    <w:p>
      <w:pPr>
        <w:pStyle w:val="FirstParagraph"/>
      </w:pPr>
      <w:r>
        <w:t xml:space="preserve">发布/提供主体：生态环境部等六部门；时间：2026-07-08印发。</w:t>
      </w:r>
    </w:p>
    <w:p>
      <w:pPr>
        <w:pStyle w:val="BodyText"/>
      </w:pPr>
      <w:r>
        <w:t xml:space="preserve">定位与适用内容：二（四）；生活垃圾填埋场隐患台账、高风险综合治理、积存渗滤液与渗漏治理。</w:t>
      </w:r>
    </w:p>
    <w:p>
      <w:pPr>
        <w:pStyle w:val="BodyText"/>
      </w:pPr>
      <w:r>
        <w:t xml:space="preserve">状态及边界：国家专项规划。</w:t>
      </w:r>
    </w:p>
    <w:p>
      <w:pPr>
        <w:pStyle w:val="BodyText"/>
      </w:pPr>
      <w:r>
        <w:t xml:space="preserve">官方原文：</w:t>
      </w:r>
      <w:hyperlink r:id="rId115">
        <w:r>
          <w:rPr>
            <w:rStyle w:val="Hyperlink"/>
          </w:rPr>
          <w:t xml:space="preserve">点击查看</w:t>
        </w:r>
      </w:hyperlink>
      <w:r>
        <w:t xml:space="preserve">。</w:t>
      </w:r>
    </w:p>
    <w:bookmarkEnd w:id="116"/>
    <w:bookmarkStart w:id="118" w:name="s06-关于做好污染地块环境修复与开发建设衔接的指导意见"/>
    <w:p>
      <w:pPr>
        <w:pStyle w:val="Heading3"/>
      </w:pPr>
      <w:r>
        <w:t xml:space="preserve">[S06] 关于做好污染地块环境修复与开发建设衔接的指导意见</w:t>
      </w:r>
    </w:p>
    <w:p>
      <w:pPr>
        <w:pStyle w:val="FirstParagraph"/>
      </w:pPr>
      <w:r>
        <w:t xml:space="preserve">发布/提供主体：生态环境部、自然资源部、住房城乡建设部；时间：2026-01-16印发。</w:t>
      </w:r>
    </w:p>
    <w:p>
      <w:pPr>
        <w:pStyle w:val="BodyText"/>
      </w:pPr>
      <w:r>
        <w:t xml:space="preserve">定位与适用内容：二（一）（二）、三（四）（五）、四（六）（七）。</w:t>
      </w:r>
    </w:p>
    <w:p>
      <w:pPr>
        <w:pStyle w:val="BodyText"/>
      </w:pPr>
      <w:r>
        <w:t xml:space="preserve">状态及边界：环境修复与开发建设程序衔接指导文件。</w:t>
      </w:r>
    </w:p>
    <w:p>
      <w:pPr>
        <w:pStyle w:val="BodyText"/>
      </w:pPr>
      <w:r>
        <w:t xml:space="preserve">官方原文：</w:t>
      </w:r>
      <w:hyperlink r:id="rId117">
        <w:r>
          <w:rPr>
            <w:rStyle w:val="Hyperlink"/>
          </w:rPr>
          <w:t xml:space="preserve">点击查看</w:t>
        </w:r>
      </w:hyperlink>
      <w:r>
        <w:t xml:space="preserve">。</w:t>
      </w:r>
    </w:p>
    <w:bookmarkEnd w:id="118"/>
    <w:bookmarkStart w:id="120" w:name="s07-地下水管理条例2026年修订"/>
    <w:p>
      <w:pPr>
        <w:pStyle w:val="Heading3"/>
      </w:pPr>
      <w:r>
        <w:t xml:space="preserve">[S07] 地下水管理条例（2026年修订）</w:t>
      </w:r>
    </w:p>
    <w:p>
      <w:pPr>
        <w:pStyle w:val="FirstParagraph"/>
      </w:pPr>
      <w:r>
        <w:t xml:space="preserve">发布/提供主体：国务院；时间：2026-08-08修订；2026-10-09官网发布。</w:t>
      </w:r>
    </w:p>
    <w:p>
      <w:pPr>
        <w:pStyle w:val="BodyText"/>
      </w:pPr>
      <w:r>
        <w:t xml:space="preserve">定位与适用内容：第40、41、45条；防渗漏、监测井与风险评估。</w:t>
      </w:r>
    </w:p>
    <w:p>
      <w:pPr>
        <w:pStyle w:val="BodyText"/>
      </w:pPr>
      <w:r>
        <w:t xml:space="preserve">状态及边界：现行行政法规。</w:t>
      </w:r>
    </w:p>
    <w:p>
      <w:pPr>
        <w:pStyle w:val="BodyText"/>
      </w:pPr>
      <w:r>
        <w:t xml:space="preserve">官方原文：</w:t>
      </w:r>
      <w:hyperlink r:id="rId119">
        <w:r>
          <w:rPr>
            <w:rStyle w:val="Hyperlink"/>
          </w:rPr>
          <w:t xml:space="preserve">点击查看</w:t>
        </w:r>
      </w:hyperlink>
      <w:r>
        <w:t xml:space="preserve">。</w:t>
      </w:r>
    </w:p>
    <w:bookmarkEnd w:id="120"/>
    <w:bookmarkStart w:id="122" w:name="s08-城镇排水与污水处理条例2026年修订"/>
    <w:p>
      <w:pPr>
        <w:pStyle w:val="Heading3"/>
      </w:pPr>
      <w:r>
        <w:t xml:space="preserve">[S08] 城镇排水与污水处理条例（2026年修订）</w:t>
      </w:r>
    </w:p>
    <w:p>
      <w:pPr>
        <w:pStyle w:val="FirstParagraph"/>
      </w:pPr>
      <w:r>
        <w:t xml:space="preserve">发布/提供主体：国务院；时间：2026-08-08修订；2026-10-09官网发布。</w:t>
      </w:r>
    </w:p>
    <w:p>
      <w:pPr>
        <w:pStyle w:val="BodyText"/>
      </w:pPr>
      <w:r>
        <w:t xml:space="preserve">定位与适用内容：排水许可、排水水质及接管监管相关条款。</w:t>
      </w:r>
    </w:p>
    <w:p>
      <w:pPr>
        <w:pStyle w:val="BodyText"/>
      </w:pPr>
      <w:r>
        <w:t xml:space="preserve">状态及边界：现行行政法规。</w:t>
      </w:r>
    </w:p>
    <w:p>
      <w:pPr>
        <w:pStyle w:val="BodyText"/>
      </w:pPr>
      <w:r>
        <w:t xml:space="preserve">官方原文：</w:t>
      </w:r>
      <w:hyperlink r:id="rId121">
        <w:r>
          <w:rPr>
            <w:rStyle w:val="Hyperlink"/>
          </w:rPr>
          <w:t xml:space="preserve">点击查看</w:t>
        </w:r>
      </w:hyperlink>
      <w:r>
        <w:t xml:space="preserve">。</w:t>
      </w:r>
    </w:p>
    <w:bookmarkEnd w:id="122"/>
    <w:bookmarkStart w:id="124" w:name="s09-固体废物鉴别标准-通则gb-343302025"/>
    <w:p>
      <w:pPr>
        <w:pStyle w:val="Heading3"/>
      </w:pPr>
      <w:r>
        <w:t xml:space="preserve">[S09] 固体废物鉴别标准 通则（GB 34330—2025）</w:t>
      </w:r>
    </w:p>
    <w:p>
      <w:pPr>
        <w:pStyle w:val="FirstParagraph"/>
      </w:pPr>
      <w:r>
        <w:t xml:space="preserve">发布/提供主体：生态环境部、国家市场监督管理总局；时间：2026-03-01实施。</w:t>
      </w:r>
    </w:p>
    <w:p>
      <w:pPr>
        <w:pStyle w:val="BodyText"/>
      </w:pPr>
      <w:r>
        <w:t xml:space="preserve">定位与适用内容：第6、7章、8.1、8.4；附录A.3 b）2）；膜浓缩液及利用产物鉴别。</w:t>
      </w:r>
    </w:p>
    <w:p>
      <w:pPr>
        <w:pStyle w:val="BodyText"/>
      </w:pPr>
      <w:r>
        <w:t xml:space="preserve">状态及边界：现行强制性国家标准；替代2017版。</w:t>
      </w:r>
    </w:p>
    <w:p>
      <w:pPr>
        <w:pStyle w:val="BodyText"/>
      </w:pPr>
      <w:r>
        <w:t xml:space="preserve">官方原文：</w:t>
      </w:r>
      <w:hyperlink r:id="rId123">
        <w:r>
          <w:rPr>
            <w:rStyle w:val="Hyperlink"/>
          </w:rPr>
          <w:t xml:space="preserve">点击查看</w:t>
        </w:r>
      </w:hyperlink>
      <w:r>
        <w:t xml:space="preserve">。</w:t>
      </w:r>
    </w:p>
    <w:bookmarkEnd w:id="124"/>
    <w:bookmarkStart w:id="126" w:name="s10-建筑施工噪声排放标准gb-125232025"/>
    <w:p>
      <w:pPr>
        <w:pStyle w:val="Heading3"/>
      </w:pPr>
      <w:r>
        <w:t xml:space="preserve">[S10] 建筑施工噪声排放标准（GB 12523—2025）</w:t>
      </w:r>
    </w:p>
    <w:p>
      <w:pPr>
        <w:pStyle w:val="FirstParagraph"/>
      </w:pPr>
      <w:r>
        <w:t xml:space="preserve">发布/提供主体：生态环境部、国家市场监督管理总局；时间：2026-01-01实施。</w:t>
      </w:r>
    </w:p>
    <w:p>
      <w:pPr>
        <w:pStyle w:val="BodyText"/>
      </w:pPr>
      <w:r>
        <w:t xml:space="preserve">定位与适用内容：4.1—4.4、表1；昼70、夜55 dB(A)，特殊测点评价按条款。</w:t>
      </w:r>
    </w:p>
    <w:p>
      <w:pPr>
        <w:pStyle w:val="BodyText"/>
      </w:pPr>
      <w:r>
        <w:t xml:space="preserve">状态及边界：现行强制性国家标准；替代2011版。</w:t>
      </w:r>
    </w:p>
    <w:p>
      <w:pPr>
        <w:pStyle w:val="BodyText"/>
      </w:pPr>
      <w:r>
        <w:t xml:space="preserve">官方原文：</w:t>
      </w:r>
      <w:hyperlink r:id="rId125">
        <w:r>
          <w:rPr>
            <w:rStyle w:val="Hyperlink"/>
          </w:rPr>
          <w:t xml:space="preserve">点击查看</w:t>
        </w:r>
      </w:hyperlink>
      <w:r>
        <w:t xml:space="preserve">。</w:t>
      </w:r>
    </w:p>
    <w:bookmarkEnd w:id="126"/>
    <w:bookmarkStart w:id="128" w:name="s11-土壤环境质量-建设用地土壤污染风险管控标准试行gb-366002018"/>
    <w:p>
      <w:pPr>
        <w:pStyle w:val="Heading3"/>
      </w:pPr>
      <w:r>
        <w:t xml:space="preserve">[S11] 土壤环境质量 建设用地土壤污染风险管控标准（试行）（GB 36600—2018）</w:t>
      </w:r>
    </w:p>
    <w:p>
      <w:pPr>
        <w:pStyle w:val="FirstParagraph"/>
      </w:pPr>
      <w:r>
        <w:t xml:space="preserve">发布/提供主体：生态环境部、国家市场监督管理总局；时间：2018-08-01实施。</w:t>
      </w:r>
    </w:p>
    <w:p>
      <w:pPr>
        <w:pStyle w:val="BodyText"/>
      </w:pPr>
      <w:r>
        <w:t xml:space="preserve">定位与适用内容：建设用地土壤风险筛选与管制；不等同固废产品合规判定。</w:t>
      </w:r>
    </w:p>
    <w:p>
      <w:pPr>
        <w:pStyle w:val="BodyText"/>
      </w:pPr>
      <w:r>
        <w:t xml:space="preserve">状态及边界：建设用地土壤风险管控国家标准。</w:t>
      </w:r>
    </w:p>
    <w:p>
      <w:pPr>
        <w:pStyle w:val="BodyText"/>
      </w:pPr>
      <w:r>
        <w:t xml:space="preserve">官方原文：</w:t>
      </w:r>
      <w:hyperlink r:id="rId127">
        <w:r>
          <w:rPr>
            <w:rStyle w:val="Hyperlink"/>
          </w:rPr>
          <w:t xml:space="preserve">点击查看</w:t>
        </w:r>
      </w:hyperlink>
      <w:r>
        <w:t xml:space="preserve">。</w:t>
      </w:r>
    </w:p>
    <w:bookmarkEnd w:id="128"/>
    <w:bookmarkStart w:id="130" w:name="s12-关于发布建设用地土壤污染状况调查技术导则等5项国家环境保护标准的公告"/>
    <w:p>
      <w:pPr>
        <w:pStyle w:val="Heading3"/>
      </w:pPr>
      <w:r>
        <w:t xml:space="preserve">[S12] 关于发布《建设用地土壤污染状况调查技术导则》等5项国家环境保护标准的公告</w:t>
      </w:r>
    </w:p>
    <w:p>
      <w:pPr>
        <w:pStyle w:val="FirstParagraph"/>
      </w:pPr>
      <w:r>
        <w:t xml:space="preserve">发布/提供主体：生态环境部；时间：2019-12-05发布实施。</w:t>
      </w:r>
    </w:p>
    <w:p>
      <w:pPr>
        <w:pStyle w:val="BodyText"/>
      </w:pPr>
      <w:r>
        <w:t xml:space="preserve">定位与适用内容：HJ 25.1—2019、HJ 25.2—2019、HJ 25.3—2019、HJ 25.4—2019；公告另含HJ 682—2019。</w:t>
      </w:r>
    </w:p>
    <w:p>
      <w:pPr>
        <w:pStyle w:val="BodyText"/>
      </w:pPr>
      <w:r>
        <w:t xml:space="preserve">状态及边界：调查、风险评估、修复及监测技术标准。</w:t>
      </w:r>
    </w:p>
    <w:p>
      <w:pPr>
        <w:pStyle w:val="BodyText"/>
      </w:pPr>
      <w:r>
        <w:t xml:space="preserve">官方原文：</w:t>
      </w:r>
      <w:hyperlink r:id="rId129">
        <w:r>
          <w:rPr>
            <w:rStyle w:val="Hyperlink"/>
          </w:rPr>
          <w:t xml:space="preserve">点击查看</w:t>
        </w:r>
      </w:hyperlink>
      <w:r>
        <w:t xml:space="preserve">。</w:t>
      </w:r>
    </w:p>
    <w:bookmarkEnd w:id="130"/>
    <w:bookmarkStart w:id="132" w:name="s13-污染地块风险管控与土壤修复效果评估技术导则hj-2552018"/>
    <w:p>
      <w:pPr>
        <w:pStyle w:val="Heading3"/>
      </w:pPr>
      <w:r>
        <w:t xml:space="preserve">[S13] 污染地块风险管控与土壤修复效果评估技术导则（HJ 25.5—2018）</w:t>
      </w:r>
    </w:p>
    <w:p>
      <w:pPr>
        <w:pStyle w:val="FirstParagraph"/>
      </w:pPr>
      <w:r>
        <w:t xml:space="preserve">发布/提供主体：生态环境部；时间：2018-12-29实施。</w:t>
      </w:r>
    </w:p>
    <w:p>
      <w:pPr>
        <w:pStyle w:val="BodyText"/>
      </w:pPr>
      <w:r>
        <w:t xml:space="preserve">定位与适用内容：适用范围；污染地块风险管控与修复效果评估。</w:t>
      </w:r>
    </w:p>
    <w:p>
      <w:pPr>
        <w:pStyle w:val="BodyText"/>
      </w:pPr>
      <w:r>
        <w:t xml:space="preserve">状态及边界：技术标准。</w:t>
      </w:r>
    </w:p>
    <w:p>
      <w:pPr>
        <w:pStyle w:val="BodyText"/>
      </w:pPr>
      <w:r>
        <w:t xml:space="preserve">官方原文：</w:t>
      </w:r>
      <w:hyperlink r:id="rId131">
        <w:r>
          <w:rPr>
            <w:rStyle w:val="Hyperlink"/>
          </w:rPr>
          <w:t xml:space="preserve">点击查看</w:t>
        </w:r>
      </w:hyperlink>
      <w:r>
        <w:t xml:space="preserve">。</w:t>
      </w:r>
    </w:p>
    <w:bookmarkEnd w:id="132"/>
    <w:bookmarkStart w:id="134" w:name="c01-深圳市下坪环境园调研组赴海南江西已封场简易填埋场调研学习"/>
    <w:p>
      <w:pPr>
        <w:pStyle w:val="Heading3"/>
      </w:pPr>
      <w:r>
        <w:t xml:space="preserve">[C01] 深圳市下坪环境园调研组赴海南、江西已封场简易填埋场调研学习</w:t>
      </w:r>
    </w:p>
    <w:p>
      <w:pPr>
        <w:pStyle w:val="FirstParagraph"/>
      </w:pPr>
      <w:r>
        <w:t xml:space="preserve">发布/提供主体：深圳市城市管理和综合执法局；时间：2023-05-24发布。</w:t>
      </w:r>
    </w:p>
    <w:p>
      <w:pPr>
        <w:pStyle w:val="BodyText"/>
      </w:pPr>
      <w:r>
        <w:t xml:space="preserve">定位与适用内容：三亚、海口颜春岭、江西吉安泰和；实地考察开挖作业现场、筛分处置流程和工期管理。</w:t>
      </w:r>
    </w:p>
    <w:p>
      <w:pPr>
        <w:pStyle w:val="BodyText"/>
      </w:pPr>
      <w:r>
        <w:t xml:space="preserve">状态及边界：官方现场调研记录；未公布投资、工程量、完成率或收益。</w:t>
      </w:r>
    </w:p>
    <w:p>
      <w:pPr>
        <w:pStyle w:val="BodyText"/>
      </w:pPr>
      <w:r>
        <w:t xml:space="preserve">官方原文：</w:t>
      </w:r>
      <w:hyperlink r:id="rId133">
        <w:r>
          <w:rPr>
            <w:rStyle w:val="Hyperlink"/>
          </w:rPr>
          <w:t xml:space="preserve">点击查看</w:t>
        </w:r>
      </w:hyperlink>
      <w:r>
        <w:t xml:space="preserve">。</w:t>
      </w:r>
    </w:p>
    <w:bookmarkEnd w:id="134"/>
    <w:bookmarkStart w:id="136" w:name="c02-北京华源惠众环保科技有限公司环保设施向公众开放资料"/>
    <w:p>
      <w:pPr>
        <w:pStyle w:val="Heading3"/>
      </w:pPr>
      <w:r>
        <w:t xml:space="preserve">[C02] 北京华源惠众环保科技有限公司（环保设施向公众开放资料）</w:t>
      </w:r>
    </w:p>
    <w:p>
      <w:pPr>
        <w:pStyle w:val="FirstParagraph"/>
      </w:pPr>
      <w:r>
        <w:t xml:space="preserve">发布/提供主体：生态环境部公开平台；时间：2021-03-09发布。</w:t>
      </w:r>
    </w:p>
    <w:p>
      <w:pPr>
        <w:pStyle w:val="BodyText"/>
      </w:pPr>
      <w:r>
        <w:t xml:space="preserve">定位与适用内容：阿苏卫园区陈腐垃圾筛分3000 t/d、焚烧3000 t/d、渗滤液850 t/d。</w:t>
      </w:r>
    </w:p>
    <w:p>
      <w:pPr>
        <w:pStyle w:val="BodyText"/>
      </w:pPr>
      <w:r>
        <w:t xml:space="preserve">状态及边界：设施设计配置；不代表实际处理量或完成量。</w:t>
      </w:r>
    </w:p>
    <w:p>
      <w:pPr>
        <w:pStyle w:val="BodyText"/>
      </w:pPr>
      <w:r>
        <w:t xml:space="preserve">官方原文：</w:t>
      </w:r>
      <w:hyperlink r:id="rId135">
        <w:r>
          <w:rPr>
            <w:rStyle w:val="Hyperlink"/>
          </w:rPr>
          <w:t xml:space="preserve">点击查看</w:t>
        </w:r>
      </w:hyperlink>
      <w:r>
        <w:t xml:space="preserve">。</w:t>
      </w:r>
    </w:p>
    <w:bookmarkEnd w:id="136"/>
    <w:bookmarkStart w:id="138" w:name="X7d6d070828af127821396aee839ef9470418280"/>
    <w:p>
      <w:pPr>
        <w:pStyle w:val="Heading3"/>
      </w:pPr>
      <w:r>
        <w:t xml:space="preserve">[C03] 广东省住房和城乡建设厅科技创新计划项目《垃圾填埋场渗滤液膜浓液处理技术研究》顺利通过验收</w:t>
      </w:r>
    </w:p>
    <w:p>
      <w:pPr>
        <w:pStyle w:val="FirstParagraph"/>
      </w:pPr>
      <w:r>
        <w:t xml:space="preserve">发布/提供主体：深圳市城市管理和综合执法局；时间：2026-03-19发布。</w:t>
      </w:r>
    </w:p>
    <w:p>
      <w:pPr>
        <w:pStyle w:val="BodyText"/>
      </w:pPr>
      <w:r>
        <w:t xml:space="preserve">定位与适用内容：2026-03-12科研验收；高效物化沉淀+强化生化处理+PS高级氧化组合中试。</w:t>
      </w:r>
    </w:p>
    <w:p>
      <w:pPr>
        <w:pStyle w:val="BodyText"/>
      </w:pPr>
      <w:r>
        <w:t xml:space="preserve">状态及边界：科研中试通过验收；不是全规模工程绩效或报价。</w:t>
      </w:r>
    </w:p>
    <w:p>
      <w:pPr>
        <w:pStyle w:val="BodyText"/>
      </w:pPr>
      <w:r>
        <w:t xml:space="preserve">官方原文：</w:t>
      </w:r>
      <w:hyperlink r:id="rId137">
        <w:r>
          <w:rPr>
            <w:rStyle w:val="Hyperlink"/>
          </w:rPr>
          <w:t xml:space="preserve">点击查看</w:t>
        </w:r>
      </w:hyperlink>
      <w:r>
        <w:t xml:space="preserve">。</w:t>
      </w:r>
    </w:p>
    <w:bookmarkEnd w:id="138"/>
    <w:bookmarkStart w:id="140" w:name="c04-开展鸭湖填埋场地下水监测检查及地方规范宣贯的工作信息"/>
    <w:p>
      <w:pPr>
        <w:pStyle w:val="Heading3"/>
      </w:pPr>
      <w:r>
        <w:t xml:space="preserve">[C04] 开展鸭湖填埋场地下水监测检查及地方规范宣贯的工作信息</w:t>
      </w:r>
    </w:p>
    <w:p>
      <w:pPr>
        <w:pStyle w:val="FirstParagraph"/>
      </w:pPr>
      <w:r>
        <w:t xml:space="preserve">发布/提供主体：深圳市城市管理和综合执法局；时间：2024-07-29发布。</w:t>
      </w:r>
    </w:p>
    <w:p>
      <w:pPr>
        <w:pStyle w:val="BodyText"/>
      </w:pPr>
      <w:r>
        <w:t xml:space="preserve">定位与适用内容：深圳《已封场生活垃圾填埋场维护规范》《生活垃圾填埋场搬迁技术规范》2024-07-01生效。</w:t>
      </w:r>
    </w:p>
    <w:p>
      <w:pPr>
        <w:pStyle w:val="BodyText"/>
      </w:pPr>
      <w:r>
        <w:t xml:space="preserve">状态及边界：用于说明地方监管实践；未引用未取得全文的具体参数。</w:t>
      </w:r>
    </w:p>
    <w:p>
      <w:pPr>
        <w:pStyle w:val="BodyText"/>
      </w:pPr>
      <w:r>
        <w:t xml:space="preserve">官方原文：</w:t>
      </w:r>
      <w:hyperlink r:id="rId139">
        <w:r>
          <w:rPr>
            <w:rStyle w:val="Hyperlink"/>
          </w:rPr>
          <w:t xml:space="preserve">点击查看</w:t>
        </w:r>
      </w:hyperlink>
      <w:r>
        <w:t xml:space="preserve">。</w:t>
      </w:r>
    </w:p>
    <w:bookmarkEnd w:id="140"/>
    <w:bookmarkStart w:id="142" w:name="c05-辽宁省营口市生活垃圾污染问题整改不力-浮于表面"/>
    <w:p>
      <w:pPr>
        <w:pStyle w:val="Heading3"/>
      </w:pPr>
      <w:r>
        <w:t xml:space="preserve">[C05] 辽宁省营口市生活垃圾污染问题整改不力 浮于表面</w:t>
      </w:r>
    </w:p>
    <w:p>
      <w:pPr>
        <w:pStyle w:val="FirstParagraph"/>
      </w:pPr>
      <w:r>
        <w:t xml:space="preserve">发布/提供主体：生态环境部中央生态环境保护督察公开信息；时间：2019-05-15发布。</w:t>
      </w:r>
    </w:p>
    <w:p>
      <w:pPr>
        <w:pStyle w:val="BodyText"/>
      </w:pPr>
      <w:r>
        <w:t xml:space="preserve">定位与适用内容：存在问题：最终处置出口不足、筛分发酵设施不能正常运行、垃圾多处周转。</w:t>
      </w:r>
    </w:p>
    <w:p>
      <w:pPr>
        <w:pStyle w:val="BodyText"/>
      </w:pPr>
      <w:r>
        <w:t xml:space="preserve">状态及边界：监管反面案例；不属于成功竣工或成本标杆，避免异地迁移代替最终治理。</w:t>
      </w:r>
    </w:p>
    <w:p>
      <w:pPr>
        <w:pStyle w:val="BodyText"/>
      </w:pPr>
      <w:r>
        <w:t xml:space="preserve">官方原文：</w:t>
      </w:r>
      <w:hyperlink r:id="rId141">
        <w:r>
          <w:rPr>
            <w:rStyle w:val="Hyperlink"/>
          </w:rPr>
          <w:t xml:space="preserve">点击查看</w:t>
        </w:r>
      </w:hyperlink>
      <w:r>
        <w:t xml:space="preserve">。</w:t>
      </w:r>
    </w:p>
    <w:p>
      <w:pPr>
        <w:pStyle w:val="BodyText"/>
      </w:pPr>
      <w:r>
        <w:t xml:space="preserve">本次按现有官方文件重新开展论证，其他用户提供的治理技术、融资、项目现状分析材料和模板未作为新增法规、案例量价或收益的证据。山东试行导则可作为工程比对资料，但本报告未将用户附件等同官方现行全文核验；深圳玉龙附件中的总投资、工程量和工期未取得匹配的官方完整出处，未作为本场预算标杆。以上范围不影响采用已核验的国家污染控制和调查修复依据。</w:t>
      </w:r>
    </w:p>
    <w:bookmarkEnd w:id="142"/>
    <w:bookmarkEnd w:id="143"/>
    <w:bookmarkStart w:id="145" w:name="附录b-实施计量及核算台账"/>
    <w:p>
      <w:pPr>
        <w:pStyle w:val="Heading2"/>
        <w:pageBreakBefore w:val="0"/>
      </w:pPr>
      <w:r>
        <w:t xml:space="preserve">附录B 实施计量及核算台账</w:t>
      </w:r>
    </w:p>
    <w:tbl>
      <w:tblPr>
        <w:tblStyle w:val="Table"/>
        <w:tblW w:type="dxa" w:w="9638"/>
        <w:jc w:val="left"/>
        <w:tblLayout w:type="fixed"/>
        <w:tblLook w:firstRow="1" w:lastRow="0" w:firstColumn="0" w:lastColumn="0" w:noHBand="0" w:noVBand="0" w:val="0020"/>
      </w:tblPr>
      <w:tblGrid>
        <w:gridCol w:w="2247"/>
        <w:gridCol w:w="4058"/>
        <w:gridCol w:w="3333"/>
      </w:tblGrid>
      <w:tr>
        <w:trPr>
          <w:tblHeader w:val="on"/>
          <w:cantSplit/>
          <w:tblHeader w:val="true"/>
        </w:trPr>
        <w:tc>
          <w:tcPr>
            <w:tcW w:type="dxa" w:w="2247"/>
            <w:shd w:fill="174775"/>
          </w:tcPr>
          <w:p>
            <w:pPr>
              <w:keepNext w:val="0"/>
              <w:pageBreakBefore w:val="0"/>
              <w:spacing w:after="60" w:before="60" w:line="283" w:lineRule="auto"/>
              <w:jc w:val="left"/>
            </w:pPr>
            <w:r>
              <w:rPr>
                <w:rFonts w:ascii="Arial" w:hAnsi="Arial" w:eastAsia="宋体"/>
                <w:b/>
                <w:color w:val="FFFFFF"/>
                <w:sz w:val="19"/>
              </w:rPr>
              <w:t xml:space="preserve">台账</w:t>
            </w:r>
          </w:p>
        </w:tc>
        <w:tc>
          <w:tcPr>
            <w:tcW w:type="dxa" w:w="4058"/>
            <w:shd w:fill="174775"/>
          </w:tcPr>
          <w:p>
            <w:pPr>
              <w:keepNext w:val="0"/>
              <w:pageBreakBefore w:val="0"/>
              <w:spacing w:after="60" w:before="60" w:line="283" w:lineRule="auto"/>
              <w:jc w:val="left"/>
            </w:pPr>
            <w:r>
              <w:rPr>
                <w:rFonts w:ascii="Arial" w:hAnsi="Arial" w:eastAsia="宋体"/>
                <w:b/>
                <w:color w:val="FFFFFF"/>
                <w:sz w:val="19"/>
              </w:rPr>
              <w:t xml:space="preserve">必须关联的字段</w:t>
            </w:r>
          </w:p>
        </w:tc>
        <w:tc>
          <w:tcPr>
            <w:tcW w:type="dxa" w:w="3333"/>
            <w:shd w:fill="174775"/>
          </w:tcPr>
          <w:p>
            <w:pPr>
              <w:keepNext w:val="0"/>
              <w:pageBreakBefore w:val="0"/>
              <w:spacing w:after="60" w:before="60" w:line="283" w:lineRule="auto"/>
              <w:jc w:val="left"/>
            </w:pPr>
            <w:r>
              <w:rPr>
                <w:rFonts w:ascii="Arial" w:hAnsi="Arial" w:eastAsia="宋体"/>
                <w:b/>
                <w:color w:val="FFFFFF"/>
                <w:sz w:val="19"/>
              </w:rPr>
              <w:t xml:space="preserve">核验关系</w:t>
            </w:r>
          </w:p>
        </w:tc>
      </w:tr>
      <w:tr>
        <w:trPr>
          <w:cantSplit/>
        </w:trPr>
        <w:tc>
          <w:tcPr>
            <w:tcW w:type="dxa" w:w="2247"/>
            <w:shd w:fill="FFFFFF"/>
          </w:tcPr>
          <w:p>
            <w:pPr>
              <w:keepNext w:val="0"/>
              <w:pageBreakBefore w:val="0"/>
              <w:spacing w:after="60" w:before="60" w:line="283" w:lineRule="auto"/>
              <w:jc w:val="left"/>
            </w:pPr>
            <w:r>
              <w:rPr>
                <w:rFonts w:ascii="Arial" w:hAnsi="Arial" w:eastAsia="宋体"/>
                <w:sz w:val="19"/>
              </w:rPr>
              <w:t xml:space="preserve">开挖与筛分</w:t>
            </w:r>
          </w:p>
        </w:tc>
        <w:tc>
          <w:tcPr>
            <w:tcW w:type="dxa" w:w="4058"/>
            <w:shd w:fill="FFFFFF"/>
          </w:tcPr>
          <w:p>
            <w:pPr>
              <w:keepNext w:val="0"/>
              <w:pageBreakBefore w:val="0"/>
              <w:spacing w:after="60" w:before="60" w:line="283" w:lineRule="auto"/>
              <w:jc w:val="left"/>
            </w:pPr>
            <w:r>
              <w:rPr>
                <w:rFonts w:ascii="Arial" w:hAnsi="Arial" w:eastAsia="宋体"/>
                <w:sz w:val="19"/>
              </w:rPr>
              <w:t xml:space="preserve">日期、单元、深度、体积、称重、含水、批次、筛分参数</w:t>
            </w:r>
          </w:p>
        </w:tc>
        <w:tc>
          <w:tcPr>
            <w:tcW w:type="dxa" w:w="3333"/>
            <w:shd w:fill="FFFFFF"/>
          </w:tcPr>
          <w:p>
            <w:pPr>
              <w:keepNext w:val="0"/>
              <w:pageBreakBefore w:val="0"/>
              <w:spacing w:after="60" w:before="60" w:line="283" w:lineRule="auto"/>
              <w:jc w:val="left"/>
            </w:pPr>
            <w:r>
              <w:rPr>
                <w:rFonts w:ascii="Arial" w:hAnsi="Arial" w:eastAsia="宋体"/>
                <w:sz w:val="19"/>
              </w:rPr>
              <w:t xml:space="preserve">输入质量与各产物、沥水和库存按同口径核对</w:t>
            </w:r>
          </w:p>
        </w:tc>
      </w:tr>
      <w:tr>
        <w:trPr>
          <w:cantSplit/>
        </w:trPr>
        <w:tc>
          <w:tcPr>
            <w:tcW w:type="dxa" w:w="2247"/>
            <w:shd w:fill="EAF2F9"/>
          </w:tcPr>
          <w:p>
            <w:pPr>
              <w:keepNext w:val="0"/>
              <w:pageBreakBefore w:val="0"/>
              <w:spacing w:after="60" w:before="60" w:line="283" w:lineRule="auto"/>
              <w:jc w:val="left"/>
            </w:pPr>
            <w:r>
              <w:rPr>
                <w:rFonts w:ascii="Arial" w:hAnsi="Arial" w:eastAsia="宋体"/>
                <w:sz w:val="19"/>
              </w:rPr>
              <w:t xml:space="preserve">产物运输</w:t>
            </w:r>
          </w:p>
        </w:tc>
        <w:tc>
          <w:tcPr>
            <w:tcW w:type="dxa" w:w="4058"/>
            <w:shd w:fill="EAF2F9"/>
          </w:tcPr>
          <w:p>
            <w:pPr>
              <w:keepNext w:val="0"/>
              <w:pageBreakBefore w:val="0"/>
              <w:spacing w:after="60" w:before="60" w:line="283" w:lineRule="auto"/>
              <w:jc w:val="left"/>
            </w:pPr>
            <w:r>
              <w:rPr>
                <w:rFonts w:ascii="Arial" w:hAnsi="Arial" w:eastAsia="宋体"/>
                <w:sz w:val="19"/>
              </w:rPr>
              <w:t xml:space="preserve">物料类别、批次检测、车牌、出场重量、接收单位及回执</w:t>
            </w:r>
          </w:p>
        </w:tc>
        <w:tc>
          <w:tcPr>
            <w:tcW w:type="dxa" w:w="3333"/>
            <w:shd w:fill="EAF2F9"/>
          </w:tcPr>
          <w:p>
            <w:pPr>
              <w:keepNext w:val="0"/>
              <w:pageBreakBefore w:val="0"/>
              <w:spacing w:after="60" w:before="60" w:line="283" w:lineRule="auto"/>
              <w:jc w:val="left"/>
            </w:pPr>
            <w:r>
              <w:rPr>
                <w:rFonts w:ascii="Arial" w:hAnsi="Arial" w:eastAsia="宋体"/>
                <w:sz w:val="19"/>
              </w:rPr>
              <w:t xml:space="preserve">出场与接收量、合法用途及拒收记录闭合</w:t>
            </w:r>
          </w:p>
        </w:tc>
      </w:tr>
      <w:tr>
        <w:trPr>
          <w:cantSplit/>
        </w:trPr>
        <w:tc>
          <w:tcPr>
            <w:tcW w:type="dxa" w:w="2247"/>
            <w:shd w:fill="FFFFFF"/>
          </w:tcPr>
          <w:p>
            <w:pPr>
              <w:keepNext w:val="0"/>
              <w:pageBreakBefore w:val="0"/>
              <w:spacing w:after="60" w:before="60" w:line="283" w:lineRule="auto"/>
              <w:jc w:val="left"/>
            </w:pPr>
            <w:r>
              <w:rPr>
                <w:rFonts w:ascii="Arial" w:hAnsi="Arial" w:eastAsia="宋体"/>
                <w:sz w:val="19"/>
              </w:rPr>
              <w:t xml:space="preserve">渗滤液及膜浓缩液</w:t>
            </w:r>
          </w:p>
        </w:tc>
        <w:tc>
          <w:tcPr>
            <w:tcW w:type="dxa" w:w="4058"/>
            <w:shd w:fill="FFFFFF"/>
          </w:tcPr>
          <w:p>
            <w:pPr>
              <w:keepNext w:val="0"/>
              <w:pageBreakBefore w:val="0"/>
              <w:spacing w:after="60" w:before="60" w:line="283" w:lineRule="auto"/>
              <w:jc w:val="left"/>
            </w:pPr>
            <w:r>
              <w:rPr>
                <w:rFonts w:ascii="Arial" w:hAnsi="Arial" w:eastAsia="宋体"/>
                <w:sz w:val="19"/>
              </w:rPr>
              <w:t xml:space="preserve">液位、抽排量、原水和产水质量、浓缩液量、设施工况、转运回执</w:t>
            </w:r>
          </w:p>
        </w:tc>
        <w:tc>
          <w:tcPr>
            <w:tcW w:type="dxa" w:w="3333"/>
            <w:shd w:fill="FFFFFF"/>
          </w:tcPr>
          <w:p>
            <w:pPr>
              <w:keepNext w:val="0"/>
              <w:pageBreakBefore w:val="0"/>
              <w:spacing w:after="60" w:before="60" w:line="283" w:lineRule="auto"/>
              <w:jc w:val="left"/>
            </w:pPr>
            <w:r>
              <w:rPr>
                <w:rFonts w:ascii="Arial" w:hAnsi="Arial" w:eastAsia="宋体"/>
                <w:sz w:val="19"/>
              </w:rPr>
              <w:t xml:space="preserve">独立统计产水与浓缩液，核查存量变化及合同余量</w:t>
            </w:r>
          </w:p>
        </w:tc>
      </w:tr>
      <w:tr>
        <w:trPr>
          <w:cantSplit/>
        </w:trPr>
        <w:tc>
          <w:tcPr>
            <w:tcW w:type="dxa" w:w="2247"/>
            <w:shd w:fill="EAF2F9"/>
          </w:tcPr>
          <w:p>
            <w:pPr>
              <w:keepNext w:val="0"/>
              <w:pageBreakBefore w:val="0"/>
              <w:spacing w:after="60" w:before="60" w:line="283" w:lineRule="auto"/>
              <w:jc w:val="left"/>
            </w:pPr>
            <w:r>
              <w:rPr>
                <w:rFonts w:ascii="Arial" w:hAnsi="Arial" w:eastAsia="宋体"/>
                <w:sz w:val="19"/>
              </w:rPr>
              <w:t xml:space="preserve">环境与安全</w:t>
            </w:r>
          </w:p>
        </w:tc>
        <w:tc>
          <w:tcPr>
            <w:tcW w:type="dxa" w:w="4058"/>
            <w:shd w:fill="EAF2F9"/>
          </w:tcPr>
          <w:p>
            <w:pPr>
              <w:keepNext w:val="0"/>
              <w:pageBreakBefore w:val="0"/>
              <w:spacing w:after="60" w:before="60" w:line="283" w:lineRule="auto"/>
              <w:jc w:val="left"/>
            </w:pPr>
            <w:r>
              <w:rPr>
                <w:rFonts w:ascii="Arial" w:hAnsi="Arial" w:eastAsia="宋体"/>
                <w:sz w:val="19"/>
              </w:rPr>
              <w:t xml:space="preserve">采样点、指标、时间、天气、作业量、报警与整改</w:t>
            </w:r>
          </w:p>
        </w:tc>
        <w:tc>
          <w:tcPr>
            <w:tcW w:type="dxa" w:w="3333"/>
            <w:shd w:fill="EAF2F9"/>
          </w:tcPr>
          <w:p>
            <w:pPr>
              <w:keepNext w:val="0"/>
              <w:pageBreakBefore w:val="0"/>
              <w:spacing w:after="60" w:before="60" w:line="283" w:lineRule="auto"/>
              <w:jc w:val="left"/>
            </w:pPr>
            <w:r>
              <w:rPr>
                <w:rFonts w:ascii="Arial" w:hAnsi="Arial" w:eastAsia="宋体"/>
                <w:sz w:val="19"/>
              </w:rPr>
              <w:t xml:space="preserve">异常与单元工况对应，复测后形成纠偏闭合</w:t>
            </w:r>
          </w:p>
        </w:tc>
      </w:tr>
      <w:tr>
        <w:trPr>
          <w:cantSplit/>
        </w:trPr>
        <w:tc>
          <w:tcPr>
            <w:tcW w:type="dxa" w:w="2247"/>
            <w:shd w:fill="FFFFFF"/>
          </w:tcPr>
          <w:p>
            <w:pPr>
              <w:keepNext w:val="0"/>
              <w:pageBreakBefore w:val="0"/>
              <w:spacing w:after="60" w:before="60" w:line="283" w:lineRule="auto"/>
              <w:jc w:val="left"/>
            </w:pPr>
            <w:r>
              <w:rPr>
                <w:rFonts w:ascii="Arial" w:hAnsi="Arial" w:eastAsia="宋体"/>
                <w:sz w:val="19"/>
              </w:rPr>
              <w:t xml:space="preserve">投资与支付</w:t>
            </w:r>
          </w:p>
        </w:tc>
        <w:tc>
          <w:tcPr>
            <w:tcW w:type="dxa" w:w="4058"/>
            <w:shd w:fill="FFFFFF"/>
          </w:tcPr>
          <w:p>
            <w:pPr>
              <w:keepNext w:val="0"/>
              <w:pageBreakBefore w:val="0"/>
              <w:spacing w:after="60" w:before="60" w:line="283" w:lineRule="auto"/>
              <w:jc w:val="left"/>
            </w:pPr>
            <w:r>
              <w:rPr>
                <w:rFonts w:ascii="Arial" w:hAnsi="Arial" w:eastAsia="宋体"/>
                <w:sz w:val="19"/>
              </w:rPr>
              <w:t xml:space="preserve">工作包、清单单价、实际量、服务边界、变更、审核及支付</w:t>
            </w:r>
          </w:p>
        </w:tc>
        <w:tc>
          <w:tcPr>
            <w:tcW w:type="dxa" w:w="3333"/>
            <w:shd w:fill="FFFFFF"/>
          </w:tcPr>
          <w:p>
            <w:pPr>
              <w:keepNext w:val="0"/>
              <w:pageBreakBefore w:val="0"/>
              <w:spacing w:after="60" w:before="60" w:line="283" w:lineRule="auto"/>
              <w:jc w:val="left"/>
            </w:pPr>
            <w:r>
              <w:rPr>
                <w:rFonts w:ascii="Arial" w:hAnsi="Arial" w:eastAsia="宋体"/>
                <w:sz w:val="19"/>
              </w:rPr>
              <w:t xml:space="preserve">实物成果、环保合规及金额三者对应</w:t>
            </w:r>
          </w:p>
        </w:tc>
      </w:tr>
    </w:tbl>
    <w:p>
      <w:pPr>
        <w:pStyle w:val="BodyText"/>
      </w:pPr>
      <w:r>
        <w:t xml:space="preserve">按征求意见稿第8.1条建立完整作业和污染控制记录，并依现行档案与项目合同要求保存。表内字段为本项目管理安排，不等同另行增加的国家标准条款。</w:t>
      </w:r>
    </w:p>
    <w:bookmarkStart w:id="144" w:name="预算及收益假设登记"/>
    <w:p>
      <w:pPr>
        <w:pStyle w:val="Heading3"/>
      </w:pPr>
      <w:r>
        <w:t xml:space="preserve">预算及收益假设登记</w:t>
      </w:r>
    </w:p>
    <w:tbl>
      <w:tblPr>
        <w:tblStyle w:val="Table"/>
        <w:tblW w:type="dxa" w:w="9638"/>
        <w:jc w:val="left"/>
        <w:tblLayout w:type="fixed"/>
        <w:tblLook w:firstRow="1" w:lastRow="0" w:firstColumn="0" w:lastColumn="0" w:noHBand="0" w:noVBand="0" w:val="0020"/>
      </w:tblPr>
      <w:tblGrid>
        <w:gridCol w:w="2887"/>
        <w:gridCol w:w="2913"/>
        <w:gridCol w:w="3837"/>
      </w:tblGrid>
      <w:tr>
        <w:trPr>
          <w:tblHeader w:val="on"/>
          <w:cantSplit/>
          <w:tblHeader w:val="true"/>
        </w:trPr>
        <w:tc>
          <w:tcPr>
            <w:tcW w:type="dxa" w:w="2887"/>
            <w:shd w:fill="174775"/>
          </w:tcPr>
          <w:p>
            <w:pPr>
              <w:keepNext w:val="0"/>
              <w:pageBreakBefore w:val="0"/>
              <w:spacing w:after="60" w:before="60" w:line="283" w:lineRule="auto"/>
              <w:jc w:val="left"/>
            </w:pPr>
            <w:r>
              <w:rPr>
                <w:rFonts w:ascii="Arial" w:hAnsi="Arial" w:eastAsia="宋体"/>
                <w:b/>
                <w:color w:val="FFFFFF"/>
                <w:sz w:val="19"/>
              </w:rPr>
              <w:t xml:space="preserve">字段</w:t>
            </w:r>
          </w:p>
        </w:tc>
        <w:tc>
          <w:tcPr>
            <w:tcW w:type="dxa" w:w="2913"/>
            <w:shd w:fill="174775"/>
          </w:tcPr>
          <w:p>
            <w:pPr>
              <w:keepNext w:val="0"/>
              <w:pageBreakBefore w:val="0"/>
              <w:spacing w:after="60" w:before="60" w:line="283" w:lineRule="auto"/>
              <w:jc w:val="left"/>
            </w:pPr>
            <w:r>
              <w:rPr>
                <w:rFonts w:ascii="Arial" w:hAnsi="Arial" w:eastAsia="宋体"/>
                <w:b/>
                <w:color w:val="FFFFFF"/>
                <w:sz w:val="19"/>
              </w:rPr>
              <w:t xml:space="preserve">本次状态</w:t>
            </w:r>
          </w:p>
        </w:tc>
        <w:tc>
          <w:tcPr>
            <w:tcW w:type="dxa" w:w="3837"/>
            <w:shd w:fill="174775"/>
          </w:tcPr>
          <w:p>
            <w:pPr>
              <w:keepNext w:val="0"/>
              <w:pageBreakBefore w:val="0"/>
              <w:spacing w:after="60" w:before="60" w:line="283" w:lineRule="auto"/>
              <w:jc w:val="left"/>
            </w:pPr>
            <w:r>
              <w:rPr>
                <w:rFonts w:ascii="Arial" w:hAnsi="Arial" w:eastAsia="宋体"/>
                <w:b/>
                <w:color w:val="FFFFFF"/>
                <w:sz w:val="19"/>
              </w:rPr>
              <w:t xml:space="preserve">核实或审批后用途</w:t>
            </w:r>
          </w:p>
        </w:tc>
      </w:tr>
      <w:tr>
        <w:trPr>
          <w:cantSplit/>
        </w:trPr>
        <w:tc>
          <w:tcPr>
            <w:tcW w:type="dxa" w:w="2887"/>
            <w:shd w:fill="FFFFFF"/>
          </w:tcPr>
          <w:p>
            <w:pPr>
              <w:keepNext w:val="0"/>
              <w:pageBreakBefore w:val="0"/>
              <w:spacing w:after="60" w:before="60" w:line="283" w:lineRule="auto"/>
              <w:jc w:val="left"/>
            </w:pPr>
            <w:r>
              <w:rPr>
                <w:rFonts w:ascii="Arial" w:hAnsi="Arial" w:eastAsia="宋体"/>
                <w:sz w:val="19"/>
              </w:rPr>
              <w:t xml:space="preserve">垃圾体积、湿密度及分类产率</w:t>
            </w:r>
          </w:p>
        </w:tc>
        <w:tc>
          <w:tcPr>
            <w:tcW w:type="dxa" w:w="2913"/>
            <w:shd w:fill="FFFFFF"/>
          </w:tcPr>
          <w:p>
            <w:pPr>
              <w:keepNext w:val="0"/>
              <w:pageBreakBefore w:val="0"/>
              <w:spacing w:after="60" w:before="60" w:line="283" w:lineRule="auto"/>
              <w:jc w:val="left"/>
            </w:pPr>
            <w:r>
              <w:rPr>
                <w:rFonts w:ascii="Arial" w:hAnsi="Arial" w:eastAsia="宋体"/>
                <w:sz w:val="19"/>
              </w:rPr>
              <w:t xml:space="preserve">体积资料有差异，其余待测</w:t>
            </w:r>
          </w:p>
        </w:tc>
        <w:tc>
          <w:tcPr>
            <w:tcW w:type="dxa" w:w="3837"/>
            <w:shd w:fill="FFFFFF"/>
          </w:tcPr>
          <w:p>
            <w:pPr>
              <w:keepNext w:val="0"/>
              <w:pageBreakBefore w:val="0"/>
              <w:spacing w:after="60" w:before="60" w:line="283" w:lineRule="auto"/>
              <w:jc w:val="left"/>
            </w:pPr>
            <w:r>
              <w:rPr>
                <w:rFonts w:ascii="Arial" w:hAnsi="Arial" w:eastAsia="宋体"/>
                <w:sz w:val="19"/>
              </w:rPr>
              <w:t xml:space="preserve">确定施工、运输、处置的真实工程量</w:t>
            </w:r>
          </w:p>
        </w:tc>
      </w:tr>
      <w:tr>
        <w:trPr>
          <w:cantSplit/>
        </w:trPr>
        <w:tc>
          <w:tcPr>
            <w:tcW w:type="dxa" w:w="2887"/>
            <w:shd w:fill="EAF2F9"/>
          </w:tcPr>
          <w:p>
            <w:pPr>
              <w:keepNext w:val="0"/>
              <w:pageBreakBefore w:val="0"/>
              <w:spacing w:after="60" w:before="60" w:line="283" w:lineRule="auto"/>
              <w:jc w:val="left"/>
            </w:pPr>
            <w:r>
              <w:rPr>
                <w:rFonts w:ascii="Arial" w:hAnsi="Arial" w:eastAsia="宋体"/>
                <w:sz w:val="19"/>
              </w:rPr>
              <w:t xml:space="preserve">170吨/日、115元/吨</w:t>
            </w:r>
          </w:p>
        </w:tc>
        <w:tc>
          <w:tcPr>
            <w:tcW w:type="dxa" w:w="2913"/>
            <w:shd w:fill="EAF2F9"/>
          </w:tcPr>
          <w:p>
            <w:pPr>
              <w:keepNext w:val="0"/>
              <w:pageBreakBefore w:val="0"/>
              <w:spacing w:after="60" w:before="60" w:line="283" w:lineRule="auto"/>
              <w:jc w:val="left"/>
            </w:pPr>
            <w:r>
              <w:rPr>
                <w:rFonts w:ascii="Arial" w:hAnsi="Arial" w:eastAsia="宋体"/>
                <w:sz w:val="19"/>
              </w:rPr>
              <w:t xml:space="preserve">B01资料值，尚需原合同和新周期计量</w:t>
            </w:r>
          </w:p>
        </w:tc>
        <w:tc>
          <w:tcPr>
            <w:tcW w:type="dxa" w:w="3837"/>
            <w:shd w:fill="EAF2F9"/>
          </w:tcPr>
          <w:p>
            <w:pPr>
              <w:keepNext w:val="0"/>
              <w:pageBreakBefore w:val="0"/>
              <w:spacing w:after="60" w:before="60" w:line="283" w:lineRule="auto"/>
              <w:jc w:val="left"/>
            </w:pPr>
            <w:r>
              <w:rPr>
                <w:rFonts w:ascii="Arial" w:hAnsi="Arial" w:eastAsia="宋体"/>
                <w:sz w:val="19"/>
              </w:rPr>
              <w:t xml:space="preserve">仅作现有服务费折算；不得替代开挖报价</w:t>
            </w:r>
          </w:p>
        </w:tc>
      </w:tr>
      <w:tr>
        <w:trPr>
          <w:cantSplit/>
        </w:trPr>
        <w:tc>
          <w:tcPr>
            <w:tcW w:type="dxa" w:w="2887"/>
            <w:shd w:fill="FFFFFF"/>
          </w:tcPr>
          <w:p>
            <w:pPr>
              <w:keepNext w:val="0"/>
              <w:pageBreakBefore w:val="0"/>
              <w:spacing w:after="60" w:before="60" w:line="283" w:lineRule="auto"/>
              <w:jc w:val="left"/>
            </w:pPr>
            <w:r>
              <w:rPr>
                <w:rFonts w:ascii="Arial" w:hAnsi="Arial" w:eastAsia="宋体"/>
                <w:sz w:val="19"/>
              </w:rPr>
              <w:t xml:space="preserve">10年、20年和10元/m³</w:t>
            </w:r>
          </w:p>
        </w:tc>
        <w:tc>
          <w:tcPr>
            <w:tcW w:type="dxa" w:w="2913"/>
            <w:shd w:fill="FFFFFF"/>
          </w:tcPr>
          <w:p>
            <w:pPr>
              <w:keepNext w:val="0"/>
              <w:pageBreakBefore w:val="0"/>
              <w:spacing w:after="60" w:before="60" w:line="283" w:lineRule="auto"/>
              <w:jc w:val="left"/>
            </w:pPr>
            <w:r>
              <w:rPr>
                <w:rFonts w:ascii="Arial" w:hAnsi="Arial" w:eastAsia="宋体"/>
                <w:sz w:val="19"/>
              </w:rPr>
              <w:t xml:space="preserve">乙方设置的比较窗口与敏感度步长</w:t>
            </w:r>
          </w:p>
        </w:tc>
        <w:tc>
          <w:tcPr>
            <w:tcW w:type="dxa" w:w="3837"/>
            <w:shd w:fill="FFFFFF"/>
          </w:tcPr>
          <w:p>
            <w:pPr>
              <w:keepNext w:val="0"/>
              <w:pageBreakBefore w:val="0"/>
              <w:spacing w:after="60" w:before="60" w:line="283" w:lineRule="auto"/>
              <w:jc w:val="left"/>
            </w:pPr>
            <w:r>
              <w:rPr>
                <w:rFonts w:ascii="Arial" w:hAnsi="Arial" w:eastAsia="宋体"/>
                <w:sz w:val="19"/>
              </w:rPr>
              <w:t xml:space="preserve">计算理论边界，非实际预测和市场价格</w:t>
            </w:r>
          </w:p>
        </w:tc>
      </w:tr>
      <w:tr>
        <w:trPr>
          <w:cantSplit/>
        </w:trPr>
        <w:tc>
          <w:tcPr>
            <w:tcW w:type="dxa" w:w="2887"/>
            <w:shd w:fill="EAF2F9"/>
          </w:tcPr>
          <w:p>
            <w:pPr>
              <w:keepNext w:val="0"/>
              <w:pageBreakBefore w:val="0"/>
              <w:spacing w:after="60" w:before="60" w:line="283" w:lineRule="auto"/>
              <w:jc w:val="left"/>
            </w:pPr>
            <w:r>
              <w:rPr>
                <w:rFonts w:ascii="Arial" w:hAnsi="Arial" w:eastAsia="宋体"/>
                <w:sz w:val="19"/>
              </w:rPr>
              <w:t xml:space="preserve">开挖后维护终止</w:t>
            </w:r>
          </w:p>
        </w:tc>
        <w:tc>
          <w:tcPr>
            <w:tcW w:type="dxa" w:w="2913"/>
            <w:shd w:fill="EAF2F9"/>
          </w:tcPr>
          <w:p>
            <w:pPr>
              <w:keepNext w:val="0"/>
              <w:pageBreakBefore w:val="0"/>
              <w:spacing w:after="60" w:before="60" w:line="283" w:lineRule="auto"/>
              <w:jc w:val="left"/>
            </w:pPr>
            <w:r>
              <w:rPr>
                <w:rFonts w:ascii="Arial" w:hAnsi="Arial" w:eastAsia="宋体"/>
                <w:sz w:val="19"/>
              </w:rPr>
              <w:t xml:space="preserve">未证实</w:t>
            </w:r>
          </w:p>
        </w:tc>
        <w:tc>
          <w:tcPr>
            <w:tcW w:type="dxa" w:w="3837"/>
            <w:shd w:fill="EAF2F9"/>
          </w:tcPr>
          <w:p>
            <w:pPr>
              <w:keepNext w:val="0"/>
              <w:pageBreakBefore w:val="0"/>
              <w:spacing w:after="60" w:before="60" w:line="283" w:lineRule="auto"/>
              <w:jc w:val="left"/>
            </w:pPr>
            <w:r>
              <w:rPr>
                <w:rFonts w:ascii="Arial" w:hAnsi="Arial" w:eastAsia="宋体"/>
                <w:sz w:val="19"/>
              </w:rPr>
              <w:t xml:space="preserve">按S02条件判断，不预设立刻停止费用</w:t>
            </w:r>
          </w:p>
        </w:tc>
      </w:tr>
      <w:tr>
        <w:trPr>
          <w:cantSplit/>
        </w:trPr>
        <w:tc>
          <w:tcPr>
            <w:tcW w:type="dxa" w:w="2887"/>
            <w:shd w:fill="FFFFFF"/>
          </w:tcPr>
          <w:p>
            <w:pPr>
              <w:keepNext w:val="0"/>
              <w:pageBreakBefore w:val="0"/>
              <w:spacing w:after="60" w:before="60" w:line="283" w:lineRule="auto"/>
              <w:jc w:val="left"/>
            </w:pPr>
            <w:r>
              <w:rPr>
                <w:rFonts w:ascii="Arial" w:hAnsi="Arial" w:eastAsia="宋体"/>
                <w:sz w:val="19"/>
              </w:rPr>
              <w:t xml:space="preserve">材料、土地、产业和碳收入</w:t>
            </w:r>
          </w:p>
        </w:tc>
        <w:tc>
          <w:tcPr>
            <w:tcW w:type="dxa" w:w="2913"/>
            <w:shd w:fill="FFFFFF"/>
          </w:tcPr>
          <w:p>
            <w:pPr>
              <w:keepNext w:val="0"/>
              <w:pageBreakBefore w:val="0"/>
              <w:spacing w:after="60" w:before="60" w:line="283" w:lineRule="auto"/>
              <w:jc w:val="left"/>
            </w:pPr>
            <w:r>
              <w:rPr>
                <w:rFonts w:ascii="Arial" w:hAnsi="Arial" w:eastAsia="宋体"/>
                <w:sz w:val="19"/>
              </w:rPr>
              <w:t xml:space="preserve">没有可核验的质量、批准和交易现金流</w:t>
            </w:r>
          </w:p>
        </w:tc>
        <w:tc>
          <w:tcPr>
            <w:tcW w:type="dxa" w:w="3837"/>
            <w:shd w:fill="FFFFFF"/>
          </w:tcPr>
          <w:p>
            <w:pPr>
              <w:keepNext w:val="0"/>
              <w:pageBreakBefore w:val="0"/>
              <w:spacing w:after="60" w:before="60" w:line="283" w:lineRule="auto"/>
              <w:jc w:val="left"/>
            </w:pPr>
            <w:r>
              <w:rPr>
                <w:rFonts w:ascii="Arial" w:hAnsi="Arial" w:eastAsia="宋体"/>
                <w:sz w:val="19"/>
              </w:rPr>
              <w:t xml:space="preserve">本次不列已确认收入；实际取得后单列</w:t>
            </w:r>
          </w:p>
        </w:tc>
      </w:tr>
      <w:tr>
        <w:trPr>
          <w:cantSplit/>
        </w:trPr>
        <w:tc>
          <w:tcPr>
            <w:tcW w:type="dxa" w:w="2887"/>
            <w:shd w:fill="EAF2F9"/>
          </w:tcPr>
          <w:p>
            <w:pPr>
              <w:keepNext w:val="0"/>
              <w:pageBreakBefore w:val="0"/>
              <w:spacing w:after="60" w:before="60" w:line="283" w:lineRule="auto"/>
              <w:jc w:val="left"/>
            </w:pPr>
            <w:r>
              <w:rPr>
                <w:rFonts w:ascii="Arial" w:hAnsi="Arial" w:eastAsia="宋体"/>
                <w:sz w:val="19"/>
              </w:rPr>
              <w:t xml:space="preserve">主体总投资与竣工日期</w:t>
            </w:r>
          </w:p>
        </w:tc>
        <w:tc>
          <w:tcPr>
            <w:tcW w:type="dxa" w:w="2913"/>
            <w:shd w:fill="EAF2F9"/>
          </w:tcPr>
          <w:p>
            <w:pPr>
              <w:keepNext w:val="0"/>
              <w:pageBreakBefore w:val="0"/>
              <w:spacing w:after="60" w:before="60" w:line="283" w:lineRule="auto"/>
              <w:jc w:val="left"/>
            </w:pPr>
            <w:r>
              <w:rPr>
                <w:rFonts w:ascii="Arial" w:hAnsi="Arial" w:eastAsia="宋体"/>
                <w:sz w:val="19"/>
              </w:rPr>
              <w:t xml:space="preserve">未核定</w:t>
            </w:r>
          </w:p>
        </w:tc>
        <w:tc>
          <w:tcPr>
            <w:tcW w:type="dxa" w:w="3837"/>
            <w:shd w:fill="EAF2F9"/>
          </w:tcPr>
          <w:p>
            <w:pPr>
              <w:keepNext w:val="0"/>
              <w:pageBreakBefore w:val="0"/>
              <w:spacing w:after="60" w:before="60" w:line="283" w:lineRule="auto"/>
              <w:jc w:val="left"/>
            </w:pPr>
            <w:r>
              <w:rPr>
                <w:rFonts w:ascii="Arial" w:hAnsi="Arial" w:eastAsia="宋体"/>
                <w:sz w:val="19"/>
              </w:rPr>
              <w:t xml:space="preserve">统一调查、示范、报价及审批后确定</w:t>
            </w:r>
          </w:p>
        </w:tc>
      </w:tr>
    </w:tbl>
    <w:p>
      <w:pPr>
        <w:pStyle w:val="BodyText"/>
      </w:pPr>
      <w:r>
        <w:t xml:space="preserve">附件核算表同时记录已知计算、工作包未定量价和全部来源。任一必要成本缺少工程量或价格时，总投资显示“待核定”，不会把空白单价按零元汇总。</w:t>
      </w:r>
    </w:p>
    <w:bookmarkEnd w:id="144"/>
    <w:bookmarkEnd w:id="145"/>
    <w:bookmarkEnd w:id="146"/>
    <w:sectPr w:rsidR="00FC693F" w:rsidRPr="0006063C" w:rsidSect="00034616">
      <w:headerReference r:id="rId9" w:type="default"/>
      <w:footerReference r:id="rId10" w:type="default"/>
      <w:pgSz w:h="16838" w:w="11906"/>
      <w:pgMar w:bottom="1191" w:footer="510" w:gutter="0" w:header="510" w:left="1134" w:right="1134" w:top="119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2026年10月11日　｜　第 </w:t>
    </w:r>
    <w:r>
      <w:rPr>
        <w:sz w:val="16"/>
      </w:rPr>
      <w:fldChar w:fldCharType="begin"/>
      <w:instrText xml:space="preserve"> PAGE </w:instrText>
      <w:fldChar w:fldCharType="end"/>
    </w:r>
    <w:r>
      <w:rPr>
        <w:sz w:val="16"/>
      </w:rPr>
      <w:t xml:space="preserve"> / </w:t>
    </w:r>
    <w:r>
      <w:rPr>
        <w:sz w:val="16"/>
      </w:rPr>
      <w:fldChar w:fldCharType="begin"/>
      <w:instrText xml:space="preserve"> NUMPAGES </w:instrText>
      <w:fldChar w:fldCharType="end"/>
    </w:r>
    <w:r>
      <w:rPr>
        <w:sz w:val="16"/>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7179"/>
        <w:sz w:val="16"/>
      </w:rPr>
      <w:t>旧飞鹅生活垃圾填埋场综合治理｜乙方可研与实施方案</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98" w:lineRule="auto"/>
    </w:pPr>
    <w:rPr>
      <w:rFonts w:ascii="Times New Roman" w:eastAsia="Noto Serif CJK SC"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80" w:before="240"/>
      <w:outlineLvl w:val="0"/>
    </w:pPr>
    <w:rPr>
      <w:rFonts w:ascii="Arial" w:asciiTheme="majorHAnsi" w:cstheme="majorBidi" w:eastAsia="Noto Sans CJK SC" w:eastAsiaTheme="majorEastAsia" w:hAnsi="Arial" w:hAnsiTheme="majorHAnsi"/>
      <w:b/>
      <w:bCs/>
      <w:color w:val="174775"/>
      <w:sz w:val="42"/>
      <w:szCs w:val="28"/>
    </w:rPr>
  </w:style>
  <w:style w:styleId="Heading2" w:type="paragraph">
    <w:name w:val="heading 2"/>
    <w:basedOn w:val="Normal"/>
    <w:next w:val="Normal"/>
    <w:link w:val="Heading2Char"/>
    <w:uiPriority w:val="9"/>
    <w:unhideWhenUsed/>
    <w:qFormat/>
    <w:rsid w:val="00FC693F"/>
    <w:pPr>
      <w:keepNext/>
      <w:keepLines/>
      <w:spacing w:after="180" w:before="240"/>
      <w:outlineLvl w:val="1"/>
    </w:pPr>
    <w:rPr>
      <w:rFonts w:ascii="Arial" w:asciiTheme="majorHAnsi" w:cstheme="majorBidi" w:eastAsia="Noto Sans CJK SC" w:eastAsiaTheme="majorEastAsia" w:hAnsi="Arial" w:hAnsiTheme="majorHAnsi"/>
      <w:b/>
      <w:bCs/>
      <w:color w:val="174775"/>
      <w:sz w:val="36"/>
      <w:szCs w:val="26"/>
    </w:rPr>
  </w:style>
  <w:style w:styleId="Heading3" w:type="paragraph">
    <w:name w:val="heading 3"/>
    <w:basedOn w:val="Normal"/>
    <w:next w:val="Normal"/>
    <w:link w:val="Heading3Char"/>
    <w:uiPriority w:val="9"/>
    <w:unhideWhenUsed/>
    <w:qFormat/>
    <w:rsid w:val="00FC693F"/>
    <w:pPr>
      <w:keepNext/>
      <w:keepLines/>
      <w:spacing w:after="180" w:before="240"/>
      <w:outlineLvl w:val="2"/>
    </w:pPr>
    <w:rPr>
      <w:rFonts w:ascii="Arial" w:asciiTheme="majorHAnsi" w:cstheme="majorBidi" w:eastAsia="Noto Sans CJK SC" w:eastAsiaTheme="majorEastAsia" w:hAnsi="Arial" w:hAnsiTheme="majorHAnsi"/>
      <w:b/>
      <w:bCs/>
      <w:color w:val="174775"/>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80" w:before="240" w:line="240" w:lineRule="auto"/>
      <w:contextualSpacing/>
    </w:pPr>
    <w:rPr>
      <w:rFonts w:ascii="Arial" w:asciiTheme="majorHAnsi" w:cstheme="majorBidi" w:eastAsia="Noto Sans CJK SC" w:eastAsiaTheme="majorEastAsia" w:hAnsi="Arial" w:hAnsiTheme="majorHAnsi"/>
      <w:color w:val="174775"/>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80" w:before="240"/>
    </w:pPr>
    <w:rPr>
      <w:rFonts w:ascii="Arial" w:asciiTheme="majorHAnsi" w:cstheme="majorBidi" w:eastAsia="Noto Sans CJK SC" w:eastAsiaTheme="majorEastAsia" w:hAnsi="Arial" w:hAnsiTheme="majorHAnsi"/>
      <w:i/>
      <w:iCs/>
      <w:color w:val="174775"/>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80" w:line="298" w:lineRule="auto"/>
    </w:pPr>
    <w:rPr>
      <w:rFonts w:ascii="Times New Roman" w:eastAsia="Noto Serif CJK SC" w:hAnsi="Times New Roman"/>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80" w:line="298" w:lineRule="auto"/>
    </w:pPr>
    <w:rPr>
      <w:rFonts w:ascii="Times New Roman" w:eastAsia="Noto Serif CJK SC" w:hAnsi="Times New Roman"/>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4" Type="http://schemas.openxmlformats.org/officeDocument/2006/relationships/image" Target="media/rId24.png"/><Relationship Id="rId31" Type="http://schemas.openxmlformats.org/officeDocument/2006/relationships/image" Target="media/rId31.png"/><Relationship Id="rId45" Type="http://schemas.openxmlformats.org/officeDocument/2006/relationships/image" Target="media/rId45.png"/><Relationship Id="rId20" Type="http://schemas.openxmlformats.org/officeDocument/2006/relationships/image" Target="media/rId20.png"/><Relationship Id="rId60" Type="http://schemas.openxmlformats.org/officeDocument/2006/relationships/image" Target="media/rId60.png"/><Relationship Id="rId66" Type="http://schemas.openxmlformats.org/officeDocument/2006/relationships/image" Target="media/rId66.png"/><Relationship Id="rId97" Type="http://schemas.openxmlformats.org/officeDocument/2006/relationships/image" Target="media/rId97.png"/><Relationship Id="rId81" Type="http://schemas.openxmlformats.org/officeDocument/2006/relationships/image" Target="media/rId81.png"/><Relationship Id="rId73" Type="http://schemas.openxmlformats.org/officeDocument/2006/relationships/image" Target="media/rId73.png"/><Relationship Id="rId91" Type="http://schemas.openxmlformats.org/officeDocument/2006/relationships/image" Target="media/rId91.png"/><Relationship Id="rId38" Type="http://schemas.openxmlformats.org/officeDocument/2006/relationships/image" Target="media/rId38.png"/><Relationship Id="rId86" Type="http://schemas.openxmlformats.org/officeDocument/2006/relationships/image" Target="media/rId86.png"/><Relationship Id="rId133" Type="http://schemas.openxmlformats.org/officeDocument/2006/relationships/hyperlink" Target="https://cgj.sz.gov.cn/zwgk/gzdt/content/post_10610768.html" TargetMode="External"/><Relationship Id="rId139" Type="http://schemas.openxmlformats.org/officeDocument/2006/relationships/hyperlink" Target="https://cgj.sz.gov.cn/zwgk/gzdt/content/post_11472014.html" TargetMode="External"/><Relationship Id="rId137" Type="http://schemas.openxmlformats.org/officeDocument/2006/relationships/hyperlink" Target="https://cgj.sz.gov.cn/zwgk/gzdt/content/post_12691232.html" TargetMode="External"/><Relationship Id="rId135" Type="http://schemas.openxmlformats.org/officeDocument/2006/relationships/hyperlink" Target="https://www.mee.gov.cn/home/ztbd/rdzl/sskf/kfss/bjs/dsipbj/202103/t20210309_823930.shtml" TargetMode="External"/><Relationship Id="rId129" Type="http://schemas.openxmlformats.org/officeDocument/2006/relationships/hyperlink" Target="https://www.mee.gov.cn/xxgk2018/xxgk/xxgk01/201912/t20191209_748356.html" TargetMode="External"/><Relationship Id="rId117" Type="http://schemas.openxmlformats.org/officeDocument/2006/relationships/hyperlink" Target="https://www.mee.gov.cn/xxgk2018/xxgk/xxgk03/202601/t20260121_1142344.html" TargetMode="External"/><Relationship Id="rId115" Type="http://schemas.openxmlformats.org/officeDocument/2006/relationships/hyperlink" Target="https://www.mee.gov.cn/xxgk2018/xxgk/xxgk03/202607/t20260714_1161736.html" TargetMode="External"/><Relationship Id="rId111" Type="http://schemas.openxmlformats.org/officeDocument/2006/relationships/hyperlink" Target="https://www.mee.gov.cn/xxgk2018/xxgk/xxgk06/202512/t20251226_1139029.html" TargetMode="External"/><Relationship Id="rId141" Type="http://schemas.openxmlformats.org/officeDocument/2006/relationships/hyperlink" Target="https://www.mee.gov.cn/xxgk2018/xxgk/xxgk15/201905/t20190515_703047.html" TargetMode="External"/><Relationship Id="rId109" Type="http://schemas.openxmlformats.org/officeDocument/2006/relationships/hyperlink" Target="https://www.mee.gov.cn/ywgz/fgbz/bz/bzwb/gthw/gtfwwrkzbz/202408/t20240809_1083681.shtml" TargetMode="External"/><Relationship Id="rId123" Type="http://schemas.openxmlformats.org/officeDocument/2006/relationships/hyperlink" Target="https://www.mee.gov.cn/ywgz/fgbz/bz/bzwb/gthw/gtfwwrkzbz/202512/t20251212_1137618.shtml" TargetMode="External"/><Relationship Id="rId127" Type="http://schemas.openxmlformats.org/officeDocument/2006/relationships/hyperlink" Target="https://www.mee.gov.cn/ywgz/fgbz/bz/bzwb/trhj/201807/t20180703_446027.shtml" TargetMode="External"/><Relationship Id="rId131" Type="http://schemas.openxmlformats.org/officeDocument/2006/relationships/hyperlink" Target="https://www.mee.gov.cn/ywgz/fgbz/bz/bzwb/trhj/201901/t20190107_688646.shtml" TargetMode="External"/><Relationship Id="rId125" Type="http://schemas.openxmlformats.org/officeDocument/2006/relationships/hyperlink" Target="https://www.mee.gov.cn/ywgz/fgbz/bz/bzwb/wlhj/hjzspfbz/202512/t20251211_1137517.shtml" TargetMode="External"/><Relationship Id="rId107" Type="http://schemas.openxmlformats.org/officeDocument/2006/relationships/hyperlink" Target="https://www.mee.gov.cn/ywgz/fgbz/fl/202603/t20260313_1146496.shtml" TargetMode="External"/><Relationship Id="rId113" Type="http://schemas.openxmlformats.org/officeDocument/2006/relationships/hyperlink" Target="https://www.mee.gov.cn/zcwj/gwywj/202601/t20260105_1139840.shtml" TargetMode="External"/><Relationship Id="rId119" Type="http://schemas.openxmlformats.org/officeDocument/2006/relationships/hyperlink" Target="https://www.mee.gov.cn/zcwj/gwywj/202610/t20261009_1175922.shtml" TargetMode="External"/><Relationship Id="rId121" Type="http://schemas.openxmlformats.org/officeDocument/2006/relationships/hyperlink" Target="https://www.mee.gov.cn/zcwj/gwywj/202610/t20261009_1175944.shtml" TargetMode="External"/></Relationships>
</file>

<file path=word/_rels/footnotes.xml.rels><?xml version='1.0' encoding='UTF-8' standalone='yes'?>
<Relationships xmlns="http://schemas.openxmlformats.org/package/2006/relationships"><Relationship Id="rId133" Type="http://schemas.openxmlformats.org/officeDocument/2006/relationships/hyperlink" Target="https://cgj.sz.gov.cn/zwgk/gzdt/content/post_10610768.html" TargetMode="External"/><Relationship Id="rId139" Type="http://schemas.openxmlformats.org/officeDocument/2006/relationships/hyperlink" Target="https://cgj.sz.gov.cn/zwgk/gzdt/content/post_11472014.html" TargetMode="External"/><Relationship Id="rId137" Type="http://schemas.openxmlformats.org/officeDocument/2006/relationships/hyperlink" Target="https://cgj.sz.gov.cn/zwgk/gzdt/content/post_12691232.html" TargetMode="External"/><Relationship Id="rId135" Type="http://schemas.openxmlformats.org/officeDocument/2006/relationships/hyperlink" Target="https://www.mee.gov.cn/home/ztbd/rdzl/sskf/kfss/bjs/dsipbj/202103/t20210309_823930.shtml" TargetMode="External"/><Relationship Id="rId129" Type="http://schemas.openxmlformats.org/officeDocument/2006/relationships/hyperlink" Target="https://www.mee.gov.cn/xxgk2018/xxgk/xxgk01/201912/t20191209_748356.html" TargetMode="External"/><Relationship Id="rId117" Type="http://schemas.openxmlformats.org/officeDocument/2006/relationships/hyperlink" Target="https://www.mee.gov.cn/xxgk2018/xxgk/xxgk03/202601/t20260121_1142344.html" TargetMode="External"/><Relationship Id="rId115" Type="http://schemas.openxmlformats.org/officeDocument/2006/relationships/hyperlink" Target="https://www.mee.gov.cn/xxgk2018/xxgk/xxgk03/202607/t20260714_1161736.html" TargetMode="External"/><Relationship Id="rId111" Type="http://schemas.openxmlformats.org/officeDocument/2006/relationships/hyperlink" Target="https://www.mee.gov.cn/xxgk2018/xxgk/xxgk06/202512/t20251226_1139029.html" TargetMode="External"/><Relationship Id="rId141" Type="http://schemas.openxmlformats.org/officeDocument/2006/relationships/hyperlink" Target="https://www.mee.gov.cn/xxgk2018/xxgk/xxgk15/201905/t20190515_703047.html" TargetMode="External"/><Relationship Id="rId109" Type="http://schemas.openxmlformats.org/officeDocument/2006/relationships/hyperlink" Target="https://www.mee.gov.cn/ywgz/fgbz/bz/bzwb/gthw/gtfwwrkzbz/202408/t20240809_1083681.shtml" TargetMode="External"/><Relationship Id="rId123" Type="http://schemas.openxmlformats.org/officeDocument/2006/relationships/hyperlink" Target="https://www.mee.gov.cn/ywgz/fgbz/bz/bzwb/gthw/gtfwwrkzbz/202512/t20251212_1137618.shtml" TargetMode="External"/><Relationship Id="rId127" Type="http://schemas.openxmlformats.org/officeDocument/2006/relationships/hyperlink" Target="https://www.mee.gov.cn/ywgz/fgbz/bz/bzwb/trhj/201807/t20180703_446027.shtml" TargetMode="External"/><Relationship Id="rId131" Type="http://schemas.openxmlformats.org/officeDocument/2006/relationships/hyperlink" Target="https://www.mee.gov.cn/ywgz/fgbz/bz/bzwb/trhj/201901/t20190107_688646.shtml" TargetMode="External"/><Relationship Id="rId125" Type="http://schemas.openxmlformats.org/officeDocument/2006/relationships/hyperlink" Target="https://www.mee.gov.cn/ywgz/fgbz/bz/bzwb/wlhj/hjzspfbz/202512/t20251211_1137517.shtml" TargetMode="External"/><Relationship Id="rId107" Type="http://schemas.openxmlformats.org/officeDocument/2006/relationships/hyperlink" Target="https://www.mee.gov.cn/ywgz/fgbz/fl/202603/t20260313_1146496.shtml" TargetMode="External"/><Relationship Id="rId113" Type="http://schemas.openxmlformats.org/officeDocument/2006/relationships/hyperlink" Target="https://www.mee.gov.cn/zcwj/gwywj/202601/t20260105_1139840.shtml" TargetMode="External"/><Relationship Id="rId119" Type="http://schemas.openxmlformats.org/officeDocument/2006/relationships/hyperlink" Target="https://www.mee.gov.cn/zcwj/gwywj/202610/t20261009_1175922.shtml" TargetMode="External"/><Relationship Id="rId121" Type="http://schemas.openxmlformats.org/officeDocument/2006/relationships/hyperlink" Target="https://www.mee.gov.cn/zcwj/gwywj/202610/t20261009_1175944.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大岭山镇旧飞鹅生活垃圾填埋场综合治理可行性研究报告与实施方案</dc:title>
  <dc:creator>乙方技术研究报告</dc:creator>
  <cp:keywords/>
  <dcterms:created xsi:type="dcterms:W3CDTF">2026-10-11T15:28:39Z</dcterms:created>
  <dcterms:modified xsi:type="dcterms:W3CDTF">2026-10-11T15:28:39Z</dcterms:modified>
  <dc:subject>2026年现行官方文件、全国实际开挖案例与项目治理措施</dc:subject>
  <dc:description>附件仅用于场地基本情况；数据与结论对应官方来源；投资工期依工程调查核定。</dc:description>
</cp:coreProperties>
</file>

<file path=docProps/custom.xml><?xml version="1.0" encoding="utf-8"?>
<Properties xmlns="http://schemas.openxmlformats.org/officeDocument/2006/custom-properties" xmlns:vt="http://schemas.openxmlformats.org/officeDocument/2006/docPropsVTypes"/>
</file>