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FE41" w14:textId="1B89428D" w:rsidR="00412F13" w:rsidRPr="00F9148E" w:rsidRDefault="00EC2651" w:rsidP="00EC2651">
      <w:pPr>
        <w:pStyle w:val="2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5"/>
      <w:commentRangeStart w:id="4"/>
      <w:r w:rsidRPr="00F9148E">
        <w:rPr>
          <w:rFonts w:ascii="Times New Roman" w:hAnsi="Times New Roman" w:cs="Times New Roman"/>
        </w:rPr>
        <w:t>2</w:t>
      </w:r>
      <w:r w:rsidR="00F9148E" w:rsidRPr="00F9148E">
        <w:rPr>
          <w:rFonts w:ascii="Times New Roman" w:hAnsi="Times New Roman" w:cs="Times New Roman"/>
        </w:rPr>
        <w:t xml:space="preserve"> </w:t>
      </w:r>
      <w:r w:rsidRPr="00F9148E">
        <w:rPr>
          <w:rFonts w:ascii="Times New Roman" w:hAnsi="Times New Roman" w:cs="Times New Roman"/>
        </w:rPr>
        <w:t>Result</w:t>
      </w:r>
      <w:commentRangeEnd w:id="4"/>
      <w:r w:rsidR="004A556A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636F62F2" w14:textId="23698EAA" w:rsidR="00EC2651" w:rsidRDefault="00EC2651" w:rsidP="00F9148E">
      <w:pPr>
        <w:pStyle w:val="3"/>
        <w:rPr>
          <w:rFonts w:ascii="Times New Roman" w:hAnsi="Times New Roman" w:cs="Times New Roman"/>
          <w:sz w:val="28"/>
          <w:szCs w:val="28"/>
        </w:rPr>
      </w:pPr>
      <w:r w:rsidRPr="00F9148E">
        <w:rPr>
          <w:rFonts w:ascii="Times New Roman" w:hAnsi="Times New Roman" w:cs="Times New Roman"/>
          <w:sz w:val="28"/>
          <w:szCs w:val="28"/>
        </w:rPr>
        <w:t>2.1 Curative Effects</w:t>
      </w:r>
    </w:p>
    <w:p w14:paraId="2392C57C" w14:textId="783457BE" w:rsidR="006E2329" w:rsidRDefault="00D639AC" w:rsidP="008277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investigate</w:t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 the curative effects of shorten</w:t>
      </w:r>
      <w:r w:rsidR="003B4F59">
        <w:rPr>
          <w:rFonts w:ascii="Times New Roman" w:hAnsi="Times New Roman" w:cs="Times New Roman" w:hint="eastAsia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9380F">
        <w:rPr>
          <w:rFonts w:ascii="Times New Roman" w:hAnsi="Times New Roman" w:cs="Times New Roman"/>
          <w:sz w:val="24"/>
          <w:szCs w:val="24"/>
        </w:rPr>
        <w:t>urative time</w:t>
      </w:r>
      <w:r>
        <w:rPr>
          <w:rFonts w:ascii="Times New Roman" w:hAnsi="Times New Roman" w:cs="Times New Roman"/>
          <w:sz w:val="24"/>
          <w:szCs w:val="24"/>
        </w:rPr>
        <w:t xml:space="preserve">, we perform the patients’ </w:t>
      </w:r>
      <w:r w:rsidRPr="0091359D">
        <w:rPr>
          <w:rFonts w:ascii="Times New Roman" w:hAnsi="Times New Roman" w:cs="Times New Roman"/>
          <w:sz w:val="24"/>
          <w:szCs w:val="24"/>
        </w:rPr>
        <w:t>hematology</w:t>
      </w:r>
      <w:r>
        <w:rPr>
          <w:rFonts w:ascii="Times New Roman" w:hAnsi="Times New Roman" w:cs="Times New Roman"/>
          <w:sz w:val="24"/>
          <w:szCs w:val="24"/>
        </w:rPr>
        <w:t>, and the condition of ALT and ADT</w:t>
      </w:r>
      <w:commentRangeEnd w:id="5"/>
      <w:r w:rsidR="00CA2AAE">
        <w:rPr>
          <w:rStyle w:val="a8"/>
        </w:rPr>
        <w:commentReference w:id="5"/>
      </w:r>
      <w:r w:rsidR="003B4F59">
        <w:rPr>
          <w:rFonts w:ascii="Times New Roman" w:hAnsi="Times New Roman" w:cs="Times New Roman"/>
          <w:sz w:val="24"/>
          <w:szCs w:val="24"/>
        </w:rPr>
        <w:t xml:space="preserve"> </w:t>
      </w:r>
      <w:r w:rsidR="003B4F59">
        <w:rPr>
          <w:rFonts w:ascii="Times New Roman" w:hAnsi="Times New Roman" w:cs="Times New Roman" w:hint="eastAsia"/>
          <w:sz w:val="24"/>
          <w:szCs w:val="24"/>
        </w:rPr>
        <w:t>for</w:t>
      </w:r>
      <w:r w:rsidR="003B4F59">
        <w:rPr>
          <w:rFonts w:ascii="Times New Roman" w:hAnsi="Times New Roman" w:cs="Times New Roman"/>
          <w:sz w:val="24"/>
          <w:szCs w:val="24"/>
        </w:rPr>
        <w:t xml:space="preserve"> 50 </w:t>
      </w:r>
      <w:r w:rsidR="003B4F59">
        <w:rPr>
          <w:rFonts w:ascii="Times New Roman" w:hAnsi="Times New Roman" w:cs="Times New Roman" w:hint="eastAsia"/>
          <w:sz w:val="24"/>
          <w:szCs w:val="24"/>
        </w:rPr>
        <w:t>cases</w:t>
      </w:r>
      <w:r w:rsidR="00F1192F">
        <w:rPr>
          <w:rFonts w:ascii="Times New Roman" w:hAnsi="Times New Roman" w:cs="Times New Roman"/>
          <w:sz w:val="24"/>
          <w:szCs w:val="24"/>
        </w:rPr>
        <w:t xml:space="preserve">. </w:t>
      </w:r>
      <w:r w:rsidR="006E2329" w:rsidRPr="00493ABF">
        <w:rPr>
          <w:rFonts w:ascii="Times New Roman" w:hAnsi="Times New Roman" w:cs="Times New Roman"/>
          <w:sz w:val="24"/>
          <w:szCs w:val="24"/>
        </w:rPr>
        <w:t xml:space="preserve">Before the 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treatment, 3 cases </w:t>
      </w:r>
      <w:r w:rsidR="00987F0F" w:rsidRPr="00493ABF">
        <w:rPr>
          <w:rFonts w:ascii="Times New Roman" w:hAnsi="Times New Roman" w:cs="Times New Roman"/>
          <w:sz w:val="24"/>
          <w:szCs w:val="24"/>
        </w:rPr>
        <w:t>are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 in abating fever period, and other 47</w:t>
      </w:r>
      <w:r w:rsidR="00117B82" w:rsidRPr="00493ABF">
        <w:rPr>
          <w:rFonts w:ascii="Times New Roman" w:hAnsi="Times New Roman" w:cs="Times New Roman"/>
          <w:sz w:val="24"/>
          <w:szCs w:val="24"/>
        </w:rPr>
        <w:t xml:space="preserve"> </w:t>
      </w:r>
      <w:r w:rsidR="00F76BAF" w:rsidRPr="00493ABF">
        <w:rPr>
          <w:rFonts w:ascii="Times New Roman" w:hAnsi="Times New Roman" w:cs="Times New Roman"/>
          <w:sz w:val="24"/>
          <w:szCs w:val="24"/>
        </w:rPr>
        <w:t>cases is in fever period</w:t>
      </w:r>
      <w:r w:rsidR="00117B82" w:rsidRPr="00493ABF">
        <w:rPr>
          <w:rFonts w:ascii="Times New Roman" w:hAnsi="Times New Roman" w:cs="Times New Roman"/>
          <w:sz w:val="24"/>
          <w:szCs w:val="24"/>
        </w:rPr>
        <w:t xml:space="preserve">. </w:t>
      </w:r>
      <w:r w:rsidR="0028006A" w:rsidRPr="00493ABF">
        <w:rPr>
          <w:rFonts w:ascii="Times New Roman" w:hAnsi="Times New Roman" w:cs="Times New Roman"/>
          <w:sz w:val="24"/>
          <w:szCs w:val="24"/>
        </w:rPr>
        <w:t xml:space="preserve">As Figure 2.1 show, </w:t>
      </w:r>
      <w:r w:rsidR="00F20DC9" w:rsidRPr="00493ABF">
        <w:rPr>
          <w:rFonts w:ascii="Times New Roman" w:hAnsi="Times New Roman" w:cs="Times New Roman"/>
          <w:sz w:val="24"/>
          <w:szCs w:val="24"/>
        </w:rPr>
        <w:t>there are the patients</w:t>
      </w:r>
      <w:r w:rsidR="009F54BD" w:rsidRPr="00493ABF">
        <w:rPr>
          <w:rFonts w:ascii="Times New Roman" w:hAnsi="Times New Roman" w:cs="Times New Roman"/>
          <w:sz w:val="24"/>
          <w:szCs w:val="24"/>
        </w:rPr>
        <w:t>’ temperature</w:t>
      </w:r>
      <w:r w:rsidR="00F20DC9" w:rsidRPr="00493ABF">
        <w:rPr>
          <w:rFonts w:ascii="Times New Roman" w:hAnsi="Times New Roman" w:cs="Times New Roman"/>
          <w:sz w:val="24"/>
          <w:szCs w:val="24"/>
        </w:rPr>
        <w:t xml:space="preserve"> before the treatment</w:t>
      </w:r>
      <w:r w:rsidR="00201347" w:rsidRPr="00493ABF">
        <w:rPr>
          <w:rFonts w:ascii="Times New Roman" w:hAnsi="Times New Roman" w:cs="Times New Roman"/>
          <w:sz w:val="24"/>
          <w:szCs w:val="24"/>
        </w:rPr>
        <w:t>.</w:t>
      </w:r>
    </w:p>
    <w:p w14:paraId="79B05A81" w14:textId="30C58A7D" w:rsidR="00412F13" w:rsidRDefault="00932DB4" w:rsidP="00932DB4">
      <w:pPr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04C36" wp14:editId="351CE68D">
            <wp:extent cx="3321100" cy="187917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88" cy="18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9A07" w14:textId="55C799B2" w:rsidR="00932DB4" w:rsidRPr="00493ABF" w:rsidRDefault="00932DB4" w:rsidP="00932DB4">
      <w:pPr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2.1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treatment</w:t>
      </w:r>
    </w:p>
    <w:p w14:paraId="03396C18" w14:textId="77777777" w:rsidR="0057147F" w:rsidRPr="00E9771C" w:rsidRDefault="0057147F" w:rsidP="00B75679">
      <w:pPr>
        <w:rPr>
          <w:rFonts w:ascii="Times New Roman" w:hAnsi="Times New Roman" w:cs="Times New Roman"/>
          <w:sz w:val="24"/>
          <w:szCs w:val="24"/>
        </w:rPr>
      </w:pPr>
    </w:p>
    <w:p w14:paraId="78F9E1EB" w14:textId="68D156C8" w:rsidR="00C46F85" w:rsidRPr="00E9771C" w:rsidRDefault="00C46F85" w:rsidP="00C46F8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71C">
        <w:rPr>
          <w:rFonts w:ascii="Times New Roman" w:hAnsi="Times New Roman" w:cs="Times New Roman"/>
          <w:sz w:val="24"/>
          <w:szCs w:val="24"/>
        </w:rPr>
        <w:t xml:space="preserve">Table 2.1  </w:t>
      </w:r>
      <w:commentRangeStart w:id="6"/>
      <w:r w:rsidRPr="00E9771C">
        <w:rPr>
          <w:rFonts w:ascii="Times New Roman" w:hAnsi="Times New Roman" w:cs="Times New Roman"/>
          <w:sz w:val="24"/>
          <w:szCs w:val="24"/>
        </w:rPr>
        <w:t>The condition of patients</w:t>
      </w:r>
      <w:commentRangeEnd w:id="6"/>
      <w:r w:rsidR="00E90860" w:rsidRPr="00E9771C">
        <w:rPr>
          <w:rStyle w:val="a8"/>
          <w:rFonts w:ascii="Times New Roman" w:hAnsi="Times New Roman" w:cs="Times New Roman"/>
          <w:sz w:val="24"/>
          <w:szCs w:val="24"/>
        </w:rPr>
        <w:commentReference w:id="6"/>
      </w:r>
      <w:r w:rsidR="00BD20DC">
        <w:rPr>
          <w:rFonts w:ascii="Times New Roman" w:hAnsi="Times New Roman" w:cs="Times New Roman"/>
          <w:sz w:val="24"/>
          <w:szCs w:val="24"/>
        </w:rPr>
        <w:t xml:space="preserve"> before and after treatment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9148E" w:rsidRPr="00E9771C" w14:paraId="2E7F0CA9" w14:textId="77777777" w:rsidTr="00F9148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409A0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21537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cases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4D3DF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Tf(h)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0D345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Tp(h)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6064A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C010C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12417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27493" w14:textId="77777777" w:rsidR="00F9148E" w:rsidRPr="00E9771C" w:rsidRDefault="00F9148E" w:rsidP="00F9148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9771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d28</w:t>
            </w:r>
          </w:p>
        </w:tc>
      </w:tr>
      <w:tr w:rsidR="00F9148E" w:rsidRPr="00F9148E" w14:paraId="24BEFA56" w14:textId="77777777" w:rsidTr="00F9148E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158064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63BA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5DC9E2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17.2±9.9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16D1D8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52±20.2</w:t>
            </w:r>
          </w:p>
        </w:tc>
        <w:tc>
          <w:tcPr>
            <w:tcW w:w="4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3749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 recrudescence.</w:t>
            </w:r>
          </w:p>
        </w:tc>
      </w:tr>
      <w:tr w:rsidR="00F9148E" w:rsidRPr="00F9148E" w14:paraId="16B6413F" w14:textId="77777777" w:rsidTr="00F9148E">
        <w:trPr>
          <w:trHeight w:val="312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9670CF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9E8D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39498A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C6DD18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CB0C4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148E" w:rsidRPr="00F9148E" w14:paraId="60FC9EC7" w14:textId="77777777" w:rsidTr="00F9148E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1D30B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A3FF0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3A616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79A46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621B5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 recrudescence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7F205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missing</w:t>
            </w:r>
          </w:p>
        </w:tc>
      </w:tr>
      <w:tr w:rsidR="00F9148E" w:rsidRPr="00F9148E" w14:paraId="21141B91" w14:textId="77777777" w:rsidTr="00F9148E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6426E3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4B033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587749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4EE6E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BD3AB" w14:textId="472B9451" w:rsidR="00F9148E" w:rsidRPr="00F9148E" w:rsidRDefault="00533CB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F9148E"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nknow</w:t>
            </w:r>
          </w:p>
        </w:tc>
      </w:tr>
    </w:tbl>
    <w:p w14:paraId="10CE66DE" w14:textId="594CF9D6" w:rsidR="00CC1F08" w:rsidRDefault="00CC1F08" w:rsidP="00F9148E"/>
    <w:p w14:paraId="7F0C4382" w14:textId="66B9BB13" w:rsidR="000D37CA" w:rsidRPr="00493ABF" w:rsidRDefault="00CC1F08" w:rsidP="00F9148E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 w:rsidR="008F51CD">
        <w:t xml:space="preserve">   </w:t>
      </w:r>
      <w:commentRangeStart w:id="7"/>
      <w:r w:rsidR="008F51CD" w:rsidRPr="00493ABF">
        <w:rPr>
          <w:rFonts w:ascii="Times New Roman" w:hAnsi="Times New Roman" w:cs="Times New Roman"/>
          <w:sz w:val="24"/>
          <w:szCs w:val="24"/>
        </w:rPr>
        <w:t>Table 2.1 shows</w:t>
      </w:r>
      <w:commentRangeEnd w:id="7"/>
      <w:r w:rsidR="00084393">
        <w:rPr>
          <w:rStyle w:val="a8"/>
        </w:rPr>
        <w:commentReference w:id="7"/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 the condition from d7 to d28, 46 cases can be recorded from start to end, 3 cases are missing since d21, and the </w:t>
      </w:r>
      <w:r w:rsidR="00E44ED3">
        <w:rPr>
          <w:rFonts w:ascii="Times New Roman" w:hAnsi="Times New Roman" w:cs="Times New Roman" w:hint="eastAsia"/>
          <w:sz w:val="24"/>
          <w:szCs w:val="24"/>
        </w:rPr>
        <w:t>remaining</w:t>
      </w:r>
      <w:r w:rsidR="00E44ED3">
        <w:rPr>
          <w:rFonts w:ascii="Times New Roman" w:hAnsi="Times New Roman" w:cs="Times New Roman"/>
          <w:sz w:val="24"/>
          <w:szCs w:val="24"/>
        </w:rPr>
        <w:t xml:space="preserve"> </w:t>
      </w:r>
      <w:r w:rsidR="00125F30">
        <w:rPr>
          <w:rFonts w:ascii="Times New Roman" w:hAnsi="Times New Roman" w:cs="Times New Roman" w:hint="eastAsia"/>
          <w:sz w:val="24"/>
          <w:szCs w:val="24"/>
        </w:rPr>
        <w:t>one</w:t>
      </w:r>
      <w:r w:rsidR="00125F30">
        <w:rPr>
          <w:rFonts w:ascii="Times New Roman" w:hAnsi="Times New Roman" w:cs="Times New Roman"/>
          <w:sz w:val="24"/>
          <w:szCs w:val="24"/>
        </w:rPr>
        <w:t xml:space="preserve"> 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case </w:t>
      </w:r>
      <w:r w:rsidR="00B43D82" w:rsidRPr="00493ABF">
        <w:rPr>
          <w:rFonts w:ascii="Times New Roman" w:hAnsi="Times New Roman" w:cs="Times New Roman"/>
          <w:sz w:val="24"/>
          <w:szCs w:val="24"/>
        </w:rPr>
        <w:t>is unknow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. </w:t>
      </w:r>
      <w:r w:rsidR="00125F30">
        <w:rPr>
          <w:rFonts w:ascii="Times New Roman" w:hAnsi="Times New Roman" w:cs="Times New Roman" w:hint="eastAsia"/>
          <w:sz w:val="24"/>
          <w:szCs w:val="24"/>
        </w:rPr>
        <w:t>A</w:t>
      </w:r>
      <w:r w:rsidR="00125F30">
        <w:rPr>
          <w:rFonts w:ascii="Times New Roman" w:hAnsi="Times New Roman" w:cs="Times New Roman"/>
          <w:sz w:val="24"/>
          <w:szCs w:val="24"/>
        </w:rPr>
        <w:t xml:space="preserve">ccording to the Table 2.1, All of the patients with the whole 28 days record have no recrudescence.  </w:t>
      </w:r>
      <w:r w:rsidR="008F51CD" w:rsidRPr="00493ABF">
        <w:rPr>
          <w:rFonts w:ascii="Times New Roman" w:hAnsi="Times New Roman" w:cs="Times New Roman"/>
          <w:sz w:val="24"/>
          <w:szCs w:val="24"/>
        </w:rPr>
        <w:t>Tf</w:t>
      </w:r>
      <w:r w:rsidR="0091359D">
        <w:rPr>
          <w:rFonts w:ascii="Times New Roman" w:hAnsi="Times New Roman" w:cs="Times New Roman"/>
          <w:sz w:val="24"/>
          <w:szCs w:val="24"/>
        </w:rPr>
        <w:t xml:space="preserve"> </w:t>
      </w:r>
      <w:r w:rsidR="008F51CD" w:rsidRPr="00493ABF">
        <w:rPr>
          <w:rFonts w:ascii="Times New Roman" w:hAnsi="Times New Roman" w:cs="Times New Roman"/>
          <w:sz w:val="24"/>
          <w:szCs w:val="24"/>
        </w:rPr>
        <w:t>stands for Average fever clearance time, and Tp stands for Average parasite clearance time</w:t>
      </w:r>
      <w:r w:rsidR="009E49FE" w:rsidRPr="00493ABF">
        <w:rPr>
          <w:rFonts w:ascii="Times New Roman" w:hAnsi="Times New Roman" w:cs="Times New Roman"/>
          <w:sz w:val="24"/>
          <w:szCs w:val="24"/>
        </w:rPr>
        <w:t>.</w:t>
      </w:r>
    </w:p>
    <w:p w14:paraId="08141E61" w14:textId="2AFE1C5C" w:rsidR="00536B0C" w:rsidRDefault="000D37CA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93ABF">
        <w:rPr>
          <w:rFonts w:ascii="Times New Roman" w:hAnsi="Times New Roman" w:cs="Times New Roman"/>
          <w:sz w:val="24"/>
          <w:szCs w:val="24"/>
        </w:rPr>
        <w:t xml:space="preserve">There are 7 cases with gametophyte before curation, and after curation, there is only one case with gametophyte at d3. 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The gametophyte of </w:t>
      </w:r>
      <w:r w:rsidRPr="00493ABF">
        <w:rPr>
          <w:rFonts w:ascii="Times New Roman" w:hAnsi="Times New Roman" w:cs="Times New Roman"/>
          <w:sz w:val="24"/>
          <w:szCs w:val="24"/>
        </w:rPr>
        <w:t>5 cases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 gradually disappeared within d3~d6 after curation, and the </w:t>
      </w:r>
      <w:r w:rsidR="004454C2" w:rsidRPr="00493ABF">
        <w:rPr>
          <w:rFonts w:ascii="Times New Roman" w:hAnsi="Times New Roman" w:cs="Times New Roman"/>
          <w:sz w:val="24"/>
          <w:szCs w:val="24"/>
        </w:rPr>
        <w:t>remaining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 2 disappeared after d21.</w:t>
      </w:r>
      <w:r w:rsidR="006C6468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OLE_LINK4"/>
      <w:r w:rsidR="006C6468">
        <w:rPr>
          <w:rFonts w:ascii="Times New Roman" w:hAnsi="Times New Roman" w:cs="Times New Roman"/>
          <w:sz w:val="24"/>
          <w:szCs w:val="24"/>
        </w:rPr>
        <w:t>The details is in Table 2.2 and Table 2.3.</w:t>
      </w:r>
      <w:bookmarkEnd w:id="8"/>
    </w:p>
    <w:p w14:paraId="14A14225" w14:textId="09734DAD" w:rsidR="007D52C2" w:rsidRDefault="007D52C2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7779D39" w14:textId="4175A518" w:rsidR="007D52C2" w:rsidRPr="00493ABF" w:rsidRDefault="007D52C2" w:rsidP="007D52C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able2.2 The situation of </w:t>
      </w:r>
      <w:r w:rsidRPr="007D52C2">
        <w:rPr>
          <w:rFonts w:ascii="Times New Roman" w:hAnsi="Times New Roman" w:cs="Times New Roman"/>
          <w:sz w:val="24"/>
          <w:szCs w:val="24"/>
        </w:rPr>
        <w:t>hematology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1900"/>
        <w:gridCol w:w="1080"/>
        <w:gridCol w:w="2040"/>
        <w:gridCol w:w="2420"/>
      </w:tblGrid>
      <w:tr w:rsidR="00CD4BE7" w:rsidRPr="00CD4BE7" w14:paraId="70DB972D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06AA2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7B0C7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599A9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Nwbc/(X 10^9·L-¹)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4BA4B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Nrbc/（x 10^12·L-¹）</w:t>
            </w:r>
          </w:p>
        </w:tc>
      </w:tr>
      <w:tr w:rsidR="00CD4BE7" w:rsidRPr="00CD4BE7" w14:paraId="17AB8003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8193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before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B15B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B870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6.3±2.5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8C5D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4.6±0.6</w:t>
            </w:r>
          </w:p>
        </w:tc>
      </w:tr>
      <w:tr w:rsidR="00CD4BE7" w:rsidRPr="00CD4BE7" w14:paraId="0F1E972D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ABDB8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after 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1263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731EF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6.1±2.0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39317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4.6±0.5</w:t>
            </w:r>
          </w:p>
        </w:tc>
      </w:tr>
    </w:tbl>
    <w:p w14:paraId="189F24F2" w14:textId="7D57E5BD" w:rsidR="00040BDF" w:rsidRPr="005C2249" w:rsidRDefault="00120C12" w:rsidP="005C224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5C2249">
        <w:rPr>
          <w:rFonts w:ascii="Times New Roman" w:hAnsi="Times New Roman" w:cs="Times New Roman"/>
          <w:sz w:val="24"/>
          <w:szCs w:val="24"/>
        </w:rPr>
        <w:lastRenderedPageBreak/>
        <w:t>Table2.3 The situation of blood biochemical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180"/>
        <w:gridCol w:w="1080"/>
        <w:gridCol w:w="1220"/>
        <w:gridCol w:w="1320"/>
        <w:gridCol w:w="1620"/>
        <w:gridCol w:w="1720"/>
        <w:gridCol w:w="1600"/>
      </w:tblGrid>
      <w:tr w:rsidR="005C2249" w:rsidRPr="005C2249" w14:paraId="74E14AAE" w14:textId="77777777" w:rsidTr="005C2249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880C0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016E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B4488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Jalt/(U·L-¹)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0DA4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Jast/(U·L-¹)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39C4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Ctb/(μmol·L-¹)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F16F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Cdb/(μmol·L-¹)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06722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Ccr/(μmol·L-¹)</w:t>
            </w:r>
          </w:p>
        </w:tc>
      </w:tr>
      <w:tr w:rsidR="005C2249" w:rsidRPr="005C2249" w14:paraId="57C6069D" w14:textId="77777777" w:rsidTr="005C2249">
        <w:trPr>
          <w:trHeight w:val="6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AF26C" w14:textId="11EDEE41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before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BA6E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D359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15.4±8.8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CF7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24.2±3.2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71FB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10.9±5.0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5FAF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3.2±2.3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8A93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115.9±29.8</w:t>
            </w:r>
          </w:p>
        </w:tc>
      </w:tr>
      <w:tr w:rsidR="005C2249" w:rsidRPr="005C2249" w14:paraId="25D25AB1" w14:textId="77777777" w:rsidTr="005C2249">
        <w:trPr>
          <w:trHeight w:val="6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88D60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after </w:t>
            </w: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47BA1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7D4EF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13.7±8.3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0C1FE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18.9±7.7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F2011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5.8±1.7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DEA24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1.9±1.0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C493B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106.6±29.9</w:t>
            </w:r>
          </w:p>
        </w:tc>
      </w:tr>
    </w:tbl>
    <w:p w14:paraId="7BF791BF" w14:textId="77777777" w:rsidR="00120C12" w:rsidRDefault="00120C12" w:rsidP="00120C12">
      <w:pPr>
        <w:ind w:firstLine="420"/>
        <w:jc w:val="center"/>
      </w:pPr>
    </w:p>
    <w:p w14:paraId="6BD99861" w14:textId="15B7B7C7" w:rsidR="003C68FC" w:rsidRDefault="003C68FC" w:rsidP="003C68FC"/>
    <w:p w14:paraId="44120E8E" w14:textId="464A82BB" w:rsidR="003C68FC" w:rsidRPr="003C68FC" w:rsidRDefault="003C68FC" w:rsidP="003C68FC">
      <w:pPr>
        <w:pStyle w:val="3"/>
        <w:rPr>
          <w:rFonts w:ascii="Times New Roman" w:hAnsi="Times New Roman" w:cs="Times New Roman"/>
          <w:sz w:val="28"/>
          <w:szCs w:val="28"/>
        </w:rPr>
      </w:pPr>
      <w:r w:rsidRPr="003C68FC">
        <w:rPr>
          <w:rFonts w:ascii="Times New Roman" w:hAnsi="Times New Roman" w:cs="Times New Roman"/>
          <w:sz w:val="28"/>
          <w:szCs w:val="28"/>
        </w:rPr>
        <w:t>2.2 Side Effects</w:t>
      </w:r>
    </w:p>
    <w:p w14:paraId="0EC68632" w14:textId="77777777" w:rsidR="00040BDF" w:rsidRDefault="00536B0C" w:rsidP="00536B0C">
      <w:pPr>
        <w:ind w:firstLine="420"/>
      </w:pPr>
      <w:r>
        <w:rPr>
          <w:noProof/>
        </w:rPr>
        <w:drawing>
          <wp:inline distT="0" distB="0" distL="0" distR="0" wp14:anchorId="478CA2FA" wp14:editId="795520F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D4B5FB6-0A28-4DFD-9593-DA28FB7EA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196081" w14:textId="2B05DDEF" w:rsidR="00CC1F08" w:rsidRPr="004454C2" w:rsidRDefault="003C68FC" w:rsidP="00FE0F2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>Figure 2.</w:t>
      </w:r>
      <w:r w:rsidR="007D52C2">
        <w:rPr>
          <w:rFonts w:ascii="Times New Roman" w:hAnsi="Times New Roman" w:cs="Times New Roman"/>
          <w:sz w:val="24"/>
          <w:szCs w:val="24"/>
        </w:rPr>
        <w:t>2</w:t>
      </w:r>
      <w:r w:rsidRPr="004454C2">
        <w:rPr>
          <w:rFonts w:ascii="Times New Roman" w:hAnsi="Times New Roman" w:cs="Times New Roman"/>
          <w:sz w:val="24"/>
          <w:szCs w:val="24"/>
        </w:rPr>
        <w:t xml:space="preserve"> The side effects of the patients</w:t>
      </w:r>
    </w:p>
    <w:p w14:paraId="068B86AC" w14:textId="31BA20D8" w:rsidR="003C68FC" w:rsidRPr="004454C2" w:rsidRDefault="003C68FC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C8AC653" w14:textId="61D68A49" w:rsidR="003C68FC" w:rsidRPr="004454C2" w:rsidRDefault="003C68FC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 xml:space="preserve">  As the Figure 2.</w:t>
      </w:r>
      <w:r w:rsidR="007D52C2">
        <w:rPr>
          <w:rFonts w:ascii="Times New Roman" w:hAnsi="Times New Roman" w:cs="Times New Roman"/>
          <w:sz w:val="24"/>
          <w:szCs w:val="24"/>
        </w:rPr>
        <w:t>2</w:t>
      </w:r>
      <w:r w:rsidRPr="004454C2">
        <w:rPr>
          <w:rFonts w:ascii="Times New Roman" w:hAnsi="Times New Roman" w:cs="Times New Roman"/>
          <w:sz w:val="24"/>
          <w:szCs w:val="24"/>
        </w:rPr>
        <w:t xml:space="preserve"> shows, there are no side effects performed locally or generally in most of patients,</w:t>
      </w:r>
      <w:r w:rsidR="00686165" w:rsidRPr="004454C2">
        <w:rPr>
          <w:rFonts w:ascii="Times New Roman" w:hAnsi="Times New Roman" w:cs="Times New Roman"/>
          <w:sz w:val="24"/>
          <w:szCs w:val="24"/>
        </w:rPr>
        <w:t xml:space="preserve"> 3 cases have headache, 1 has </w:t>
      </w:r>
      <w:r w:rsidR="004273F2" w:rsidRPr="004454C2">
        <w:rPr>
          <w:rFonts w:ascii="Times New Roman" w:hAnsi="Times New Roman" w:cs="Times New Roman"/>
          <w:sz w:val="24"/>
          <w:szCs w:val="24"/>
        </w:rPr>
        <w:t>anorexia, and another one has pru</w:t>
      </w:r>
      <w:r w:rsidR="00531F62" w:rsidRPr="004454C2">
        <w:rPr>
          <w:rFonts w:ascii="Times New Roman" w:hAnsi="Times New Roman" w:cs="Times New Roman"/>
          <w:sz w:val="24"/>
          <w:szCs w:val="24"/>
        </w:rPr>
        <w:t>ritus.</w:t>
      </w:r>
      <w:r w:rsidR="001D6B7E" w:rsidRPr="004454C2">
        <w:rPr>
          <w:rFonts w:ascii="Times New Roman" w:hAnsi="Times New Roman" w:cs="Times New Roman"/>
          <w:sz w:val="24"/>
          <w:szCs w:val="24"/>
        </w:rPr>
        <w:t xml:space="preserve"> It only lasts 1~2day, and we can not eliminate condition</w:t>
      </w:r>
      <w:r w:rsidR="002918F3" w:rsidRPr="004454C2">
        <w:rPr>
          <w:rFonts w:ascii="Times New Roman" w:hAnsi="Times New Roman" w:cs="Times New Roman"/>
          <w:sz w:val="24"/>
          <w:szCs w:val="24"/>
        </w:rPr>
        <w:t xml:space="preserve"> that they are caused by malaria.</w:t>
      </w:r>
      <w:r w:rsidR="001D6B7E" w:rsidRPr="004454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69829" w14:textId="211ADF0A" w:rsidR="007D782F" w:rsidRPr="004454C2" w:rsidRDefault="0015449E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B1BD9" w14:textId="70ECB781" w:rsidR="00C46F85" w:rsidRPr="004454C2" w:rsidRDefault="00C46F85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>Table 2.</w:t>
      </w:r>
      <w:r w:rsidR="00E15C8F">
        <w:rPr>
          <w:rFonts w:ascii="Times New Roman" w:hAnsi="Times New Roman" w:cs="Times New Roman"/>
          <w:sz w:val="24"/>
          <w:szCs w:val="24"/>
        </w:rPr>
        <w:t>4</w:t>
      </w:r>
      <w:r w:rsidRPr="004454C2">
        <w:rPr>
          <w:rFonts w:ascii="Times New Roman" w:hAnsi="Times New Roman" w:cs="Times New Roman"/>
          <w:sz w:val="24"/>
          <w:szCs w:val="24"/>
        </w:rPr>
        <w:t xml:space="preserve"> </w:t>
      </w:r>
      <w:r w:rsidR="00310911" w:rsidRPr="004454C2">
        <w:rPr>
          <w:rFonts w:ascii="Times New Roman" w:hAnsi="Times New Roman" w:cs="Times New Roman"/>
          <w:sz w:val="24"/>
          <w:szCs w:val="24"/>
        </w:rPr>
        <w:t xml:space="preserve"> The condition about </w:t>
      </w:r>
      <w:r w:rsidRPr="004454C2">
        <w:rPr>
          <w:rFonts w:ascii="Times New Roman" w:hAnsi="Times New Roman" w:cs="Times New Roman"/>
          <w:sz w:val="24"/>
          <w:szCs w:val="24"/>
        </w:rPr>
        <w:t>abnormality of ALT,AST and total bilirubin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2277"/>
        <w:gridCol w:w="1080"/>
        <w:gridCol w:w="1101"/>
        <w:gridCol w:w="1142"/>
        <w:gridCol w:w="1080"/>
      </w:tblGrid>
      <w:tr w:rsidR="00A50929" w:rsidRPr="00A50929" w14:paraId="2B9BF26B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593E1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6D4C3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D1542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Nalt/case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50CE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Nast/case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9C1C8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Ntb/case</w:t>
            </w:r>
          </w:p>
        </w:tc>
      </w:tr>
      <w:tr w:rsidR="00A50929" w:rsidRPr="00A50929" w14:paraId="01C8E1AD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C7C4" w14:textId="6F36A04A" w:rsidR="00A50929" w:rsidRPr="00A50929" w:rsidRDefault="007D4555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Before the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7C53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58FD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1(42 U/L)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BDC6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1(48 U/L)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22EE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50929" w:rsidRPr="00A50929" w14:paraId="7E3A42F6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65BD4" w14:textId="0FE57B09" w:rsidR="00A50929" w:rsidRPr="00A50929" w:rsidRDefault="007D4555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After the 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D8D6A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6EB3B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0(27 U/L)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B1A77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0(20 U/L)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30D84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5DDB3D7C" w14:textId="3ED2A4D9" w:rsidR="00554971" w:rsidRDefault="00554971" w:rsidP="00554971">
      <w:pPr>
        <w:rPr>
          <w:b/>
        </w:rPr>
      </w:pPr>
    </w:p>
    <w:p w14:paraId="320AFAC4" w14:textId="66C48F7E" w:rsidR="00554971" w:rsidRDefault="00EF7A41" w:rsidP="00554971">
      <w:pPr>
        <w:rPr>
          <w:rFonts w:ascii="Times New Roman" w:hAnsi="Times New Roman" w:cs="Times New Roman"/>
          <w:sz w:val="24"/>
          <w:szCs w:val="24"/>
        </w:rPr>
      </w:pPr>
      <w:r w:rsidRPr="00B1595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15954">
        <w:rPr>
          <w:rFonts w:ascii="Times New Roman" w:hAnsi="Times New Roman" w:cs="Times New Roman"/>
          <w:sz w:val="24"/>
          <w:szCs w:val="24"/>
        </w:rPr>
        <w:t>It is known that the normal value about ALT is 8 ~ 40 U·L-¹,about AST is 8~40U·L-¹ and about the total bilirubin is 1.7~17.1μmol·L-¹</w:t>
      </w:r>
      <w:bookmarkEnd w:id="0"/>
      <w:bookmarkEnd w:id="1"/>
      <w:bookmarkEnd w:id="2"/>
    </w:p>
    <w:p w14:paraId="1DC1BC07" w14:textId="2C57178F" w:rsidR="006E70DF" w:rsidRDefault="006E70DF" w:rsidP="00554971">
      <w:pPr>
        <w:rPr>
          <w:rFonts w:ascii="Times New Roman" w:hAnsi="Times New Roman" w:cs="Times New Roman"/>
          <w:sz w:val="24"/>
          <w:szCs w:val="24"/>
        </w:rPr>
      </w:pPr>
    </w:p>
    <w:p w14:paraId="72430A15" w14:textId="59D1E2B9" w:rsidR="006E70DF" w:rsidRPr="00B15954" w:rsidRDefault="006E70DF" w:rsidP="006E70DF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6E70DF">
        <w:rPr>
          <w:rFonts w:ascii="Times New Roman" w:hAnsi="Times New Roman" w:cs="Times New Roman"/>
          <w:sz w:val="24"/>
          <w:szCs w:val="24"/>
        </w:rPr>
        <w:t>Basing on all the measurement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0DF">
        <w:rPr>
          <w:rFonts w:ascii="Times New Roman" w:hAnsi="Times New Roman" w:cs="Times New Roman"/>
          <w:sz w:val="24"/>
          <w:szCs w:val="24"/>
        </w:rPr>
        <w:t>we could prove that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6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</w:rPr>
        <w:t>Artecom for 2-day malaria treatment is effective and with little side effects.</w:t>
      </w:r>
    </w:p>
    <w:p w14:paraId="242F9993" w14:textId="24258DC0" w:rsidR="006E70DF" w:rsidRPr="00B15954" w:rsidRDefault="006E70DF" w:rsidP="006E70DF">
      <w:pPr>
        <w:rPr>
          <w:rFonts w:ascii="Times New Roman" w:hAnsi="Times New Roman" w:cs="Times New Roman" w:hint="eastAsia"/>
          <w:sz w:val="24"/>
          <w:szCs w:val="24"/>
        </w:rPr>
      </w:pPr>
      <w:bookmarkStart w:id="9" w:name="_GoBack"/>
      <w:bookmarkEnd w:id="3"/>
      <w:bookmarkEnd w:id="9"/>
    </w:p>
    <w:sectPr w:rsidR="006E70DF" w:rsidRPr="00B15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王 立敏" w:date="2018-04-19T20:56:00Z" w:initials="王">
    <w:p w14:paraId="133FE91F" w14:textId="7CA7CFE9" w:rsidR="0055783B" w:rsidRDefault="0055783B">
      <w:pPr>
        <w:pStyle w:val="a9"/>
      </w:pPr>
      <w:r>
        <w:rPr>
          <w:rStyle w:val="a8"/>
        </w:rPr>
        <w:annotationRef/>
      </w:r>
      <w:r>
        <w:t>M</w:t>
      </w:r>
      <w:r>
        <w:rPr>
          <w:rFonts w:hint="eastAsia"/>
        </w:rPr>
        <w:t>otivation</w:t>
      </w:r>
    </w:p>
    <w:p w14:paraId="4CE0208B" w14:textId="7DC51C11" w:rsidR="0055783B" w:rsidRDefault="0055783B">
      <w:pPr>
        <w:pStyle w:val="a9"/>
      </w:pPr>
      <w:r>
        <w:t>To investigate…..</w:t>
      </w:r>
    </w:p>
    <w:p w14:paraId="0142D3F0" w14:textId="0DED442D" w:rsidR="0055783B" w:rsidRDefault="0055783B">
      <w:pPr>
        <w:pStyle w:val="a9"/>
      </w:pPr>
      <w:r>
        <w:t>L</w:t>
      </w:r>
      <w:r>
        <w:rPr>
          <w:rFonts w:hint="eastAsia"/>
        </w:rPr>
        <w:t>ocation</w:t>
      </w:r>
    </w:p>
    <w:p w14:paraId="625D1BDB" w14:textId="0DD2B66F" w:rsidR="0055783B" w:rsidRDefault="0055783B">
      <w:pPr>
        <w:pStyle w:val="a9"/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shown</w:t>
      </w:r>
      <w:r>
        <w:t xml:space="preserve"> </w:t>
      </w:r>
      <w:r>
        <w:rPr>
          <w:rFonts w:hint="eastAsia"/>
        </w:rPr>
        <w:t>in</w:t>
      </w:r>
      <w:r>
        <w:t>……</w:t>
      </w:r>
    </w:p>
    <w:p w14:paraId="67AD7658" w14:textId="3241E8DE" w:rsidR="0055783B" w:rsidRDefault="0055783B">
      <w:pPr>
        <w:pStyle w:val="a9"/>
      </w:pPr>
      <w:r>
        <w:t>Conclusion</w:t>
      </w:r>
    </w:p>
    <w:p w14:paraId="1903B809" w14:textId="41F386A3" w:rsidR="0055783B" w:rsidRDefault="0055783B">
      <w:pPr>
        <w:pStyle w:val="a9"/>
      </w:pPr>
    </w:p>
    <w:p w14:paraId="3680F7FA" w14:textId="0CB606B8" w:rsidR="0055783B" w:rsidRDefault="0055783B">
      <w:pPr>
        <w:pStyle w:val="a9"/>
      </w:pPr>
    </w:p>
    <w:p w14:paraId="3E2C6C9A" w14:textId="7AB71823" w:rsidR="0055783B" w:rsidRDefault="0055783B">
      <w:pPr>
        <w:pStyle w:val="a9"/>
      </w:pPr>
      <w:r>
        <w:t>We describe our action, use past tense</w:t>
      </w:r>
    </w:p>
    <w:p w14:paraId="5D25DD71" w14:textId="7DA282D6" w:rsidR="0055783B" w:rsidRDefault="0055783B">
      <w:pPr>
        <w:pStyle w:val="a9"/>
      </w:pPr>
      <w:r>
        <w:t xml:space="preserve">Conclude and we are sure, use present tense </w:t>
      </w:r>
    </w:p>
    <w:p w14:paraId="5E824C9E" w14:textId="47C2336C" w:rsidR="0055783B" w:rsidRDefault="0055783B">
      <w:pPr>
        <w:pStyle w:val="a9"/>
      </w:pPr>
    </w:p>
    <w:p w14:paraId="003B90E7" w14:textId="382B050A" w:rsidR="0055783B" w:rsidRDefault="0055783B">
      <w:pPr>
        <w:pStyle w:val="a9"/>
      </w:pPr>
      <w:r>
        <w:t>According to ,means ……says,</w:t>
      </w:r>
      <w:r>
        <w:rPr>
          <w:rFonts w:hint="eastAsia"/>
        </w:rPr>
        <w:t>翻译过来看一下是不是合适</w:t>
      </w:r>
    </w:p>
    <w:p w14:paraId="656D3556" w14:textId="29A402E1" w:rsidR="0055783B" w:rsidRDefault="0055783B">
      <w:pPr>
        <w:pStyle w:val="a9"/>
      </w:pPr>
    </w:p>
    <w:p w14:paraId="140F3507" w14:textId="04AADDFF" w:rsidR="0055783B" w:rsidRDefault="0055783B">
      <w:pPr>
        <w:pStyle w:val="a9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means</w:t>
      </w:r>
      <w:r>
        <w:t xml:space="preserve">  </w:t>
      </w:r>
      <w:r>
        <w:rPr>
          <w:rFonts w:hint="eastAsia"/>
        </w:rPr>
        <w:t>太口语了</w:t>
      </w:r>
    </w:p>
  </w:comment>
  <w:comment w:id="5" w:author="王 立敏" w:date="2018-04-19T19:34:00Z" w:initials="王">
    <w:p w14:paraId="5F3B6B8C" w14:textId="77777777" w:rsidR="0055783B" w:rsidRDefault="005578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不能太宽泛</w:t>
      </w:r>
    </w:p>
    <w:p w14:paraId="0BE6AE55" w14:textId="77777777" w:rsidR="0055783B" w:rsidRDefault="0055783B">
      <w:pPr>
        <w:pStyle w:val="a9"/>
      </w:pPr>
      <w:r w:rsidRPr="005C38F9">
        <w:t>the new treatment on falciparum malaria, which shorten the treatment to 2 days, we measured average antipyretic time and average parasite clearance time of all 50 patients using regularly body temperature measuring and blood film.</w:t>
      </w:r>
    </w:p>
    <w:p w14:paraId="3061FBB1" w14:textId="77777777" w:rsidR="0055783B" w:rsidRDefault="0055783B">
      <w:pPr>
        <w:pStyle w:val="a9"/>
      </w:pPr>
    </w:p>
    <w:p w14:paraId="516116BD" w14:textId="77777777" w:rsidR="0055783B" w:rsidRDefault="0055783B">
      <w:pPr>
        <w:pStyle w:val="a9"/>
      </w:pPr>
      <w:r>
        <w:t>G</w:t>
      </w:r>
      <w:r>
        <w:rPr>
          <w:rFonts w:hint="eastAsia"/>
        </w:rPr>
        <w:t>reat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informal word</w:t>
      </w:r>
    </w:p>
    <w:p w14:paraId="158A9A58" w14:textId="77777777" w:rsidR="0055783B" w:rsidRDefault="0055783B">
      <w:pPr>
        <w:pStyle w:val="a9"/>
      </w:pPr>
    </w:p>
    <w:p w14:paraId="6B15A901" w14:textId="77777777" w:rsidR="0055783B" w:rsidRDefault="0055783B">
      <w:pPr>
        <w:pStyle w:val="a9"/>
      </w:pPr>
      <w:r>
        <w:t xml:space="preserve">Check the influence </w:t>
      </w:r>
      <w:r>
        <w:rPr>
          <w:rFonts w:hint="eastAsia"/>
        </w:rPr>
        <w:t>of</w:t>
      </w:r>
      <w:r>
        <w:t>…..</w:t>
      </w:r>
      <w:r>
        <w:rPr>
          <w:rFonts w:hint="eastAsia"/>
        </w:rPr>
        <w:t>可以换成evaluate之类的词</w:t>
      </w:r>
    </w:p>
    <w:p w14:paraId="426091B9" w14:textId="77777777" w:rsidR="0055783B" w:rsidRDefault="0055783B">
      <w:pPr>
        <w:pStyle w:val="a9"/>
      </w:pPr>
    </w:p>
    <w:p w14:paraId="5B5A1D9F" w14:textId="10E6DCFD" w:rsidR="0055783B" w:rsidRDefault="0055783B">
      <w:pPr>
        <w:pStyle w:val="a9"/>
      </w:pPr>
      <w:r>
        <w:t>D</w:t>
      </w:r>
      <w:r>
        <w:rPr>
          <w:rFonts w:hint="eastAsia"/>
        </w:rPr>
        <w:t>o</w:t>
      </w:r>
      <w:r>
        <w:t xml:space="preserve"> not use “could” “can”  not necessary</w:t>
      </w:r>
    </w:p>
  </w:comment>
  <w:comment w:id="6" w:author="王 立敏" w:date="2018-04-19T20:46:00Z" w:initials="王">
    <w:p w14:paraId="76CC4969" w14:textId="4E5DF4A6" w:rsidR="0055783B" w:rsidRDefault="005578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要说清楚具体的情况，这个太笼统了</w:t>
      </w:r>
    </w:p>
  </w:comment>
  <w:comment w:id="7" w:author="王 立敏" w:date="2018-04-19T20:45:00Z" w:initials="王">
    <w:p w14:paraId="6D896C6C" w14:textId="77777777" w:rsidR="0055783B" w:rsidRDefault="005578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不仅要指出在哪个表里，也要说明结果</w:t>
      </w:r>
    </w:p>
    <w:p w14:paraId="511D32FC" w14:textId="1DFBA914" w:rsidR="0055783B" w:rsidRDefault="0055783B">
      <w:pPr>
        <w:pStyle w:val="a9"/>
      </w:pPr>
      <w:r>
        <w:rPr>
          <w:rFonts w:hint="eastAsia"/>
        </w:rPr>
        <w:t>As</w:t>
      </w:r>
      <w:r>
        <w:t xml:space="preserve">  </w:t>
      </w:r>
      <w:r>
        <w:rPr>
          <w:rFonts w:hint="eastAsia"/>
        </w:rPr>
        <w:t>shown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figure</w:t>
      </w:r>
      <w:r>
        <w:t xml:space="preserve"> 1</w:t>
      </w:r>
    </w:p>
    <w:p w14:paraId="6E19D2E1" w14:textId="77777777" w:rsidR="0055783B" w:rsidRDefault="0055783B">
      <w:pPr>
        <w:pStyle w:val="a9"/>
      </w:pPr>
      <w:r>
        <w:t>T</w:t>
      </w:r>
      <w:r>
        <w:rPr>
          <w:rFonts w:hint="eastAsia"/>
        </w:rPr>
        <w:t>ips，除了method部分，不要使用太多被动语态在别的部分，</w:t>
      </w:r>
    </w:p>
    <w:p w14:paraId="23E4A2EF" w14:textId="3A456C59" w:rsidR="0055783B" w:rsidRDefault="0055783B">
      <w:pPr>
        <w:pStyle w:val="a9"/>
      </w:pPr>
      <w:r>
        <w:rPr>
          <w:rFonts w:hint="eastAsia"/>
        </w:rPr>
        <w:t>使用动词代替名词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F3507" w15:done="0"/>
  <w15:commentEx w15:paraId="5B5A1D9F" w15:done="0"/>
  <w15:commentEx w15:paraId="76CC4969" w15:done="0"/>
  <w15:commentEx w15:paraId="23E4A2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F3507" w16cid:durableId="1E838115"/>
  <w16cid:commentId w16cid:paraId="5B5A1D9F" w16cid:durableId="1E836DB8"/>
  <w16cid:commentId w16cid:paraId="76CC4969" w16cid:durableId="1E837EAB"/>
  <w16cid:commentId w16cid:paraId="23E4A2EF" w16cid:durableId="1E837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3D114" w14:textId="77777777" w:rsidR="00000FBF" w:rsidRDefault="00000FBF" w:rsidP="00FB227D">
      <w:r>
        <w:separator/>
      </w:r>
    </w:p>
  </w:endnote>
  <w:endnote w:type="continuationSeparator" w:id="0">
    <w:p w14:paraId="40240CF6" w14:textId="77777777" w:rsidR="00000FBF" w:rsidRDefault="00000FBF" w:rsidP="00FB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106+ZMfTXp-106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77D6" w14:textId="77777777" w:rsidR="00000FBF" w:rsidRDefault="00000FBF" w:rsidP="00FB227D">
      <w:r>
        <w:separator/>
      </w:r>
    </w:p>
  </w:footnote>
  <w:footnote w:type="continuationSeparator" w:id="0">
    <w:p w14:paraId="1B962BC9" w14:textId="77777777" w:rsidR="00000FBF" w:rsidRDefault="00000FBF" w:rsidP="00FB227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立敏">
    <w15:presenceInfo w15:providerId="Windows Live" w15:userId="f88d2c13bfdc0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5"/>
    <w:rsid w:val="00000FBF"/>
    <w:rsid w:val="00040BDF"/>
    <w:rsid w:val="00084393"/>
    <w:rsid w:val="000B099C"/>
    <w:rsid w:val="000D37CA"/>
    <w:rsid w:val="00117B82"/>
    <w:rsid w:val="00120C12"/>
    <w:rsid w:val="00125F30"/>
    <w:rsid w:val="0015449E"/>
    <w:rsid w:val="001A250E"/>
    <w:rsid w:val="001D6B7E"/>
    <w:rsid w:val="00201347"/>
    <w:rsid w:val="00227214"/>
    <w:rsid w:val="0028006A"/>
    <w:rsid w:val="002918F3"/>
    <w:rsid w:val="002E1402"/>
    <w:rsid w:val="003023BC"/>
    <w:rsid w:val="00310911"/>
    <w:rsid w:val="00340C59"/>
    <w:rsid w:val="003447D4"/>
    <w:rsid w:val="003B4F59"/>
    <w:rsid w:val="003C68FC"/>
    <w:rsid w:val="00412F13"/>
    <w:rsid w:val="004273F2"/>
    <w:rsid w:val="004454C2"/>
    <w:rsid w:val="00463A2A"/>
    <w:rsid w:val="00493ABF"/>
    <w:rsid w:val="004A556A"/>
    <w:rsid w:val="004D3AF5"/>
    <w:rsid w:val="00531F62"/>
    <w:rsid w:val="00533CBE"/>
    <w:rsid w:val="00536B0C"/>
    <w:rsid w:val="00553F19"/>
    <w:rsid w:val="00554971"/>
    <w:rsid w:val="0055783B"/>
    <w:rsid w:val="0057147F"/>
    <w:rsid w:val="005A080B"/>
    <w:rsid w:val="005C2249"/>
    <w:rsid w:val="005C38F9"/>
    <w:rsid w:val="00633F3D"/>
    <w:rsid w:val="00655C03"/>
    <w:rsid w:val="00680EB2"/>
    <w:rsid w:val="00684D99"/>
    <w:rsid w:val="00686165"/>
    <w:rsid w:val="006C6468"/>
    <w:rsid w:val="006E2329"/>
    <w:rsid w:val="006E4A0D"/>
    <w:rsid w:val="006E70DF"/>
    <w:rsid w:val="00714030"/>
    <w:rsid w:val="00725CEC"/>
    <w:rsid w:val="007B58C4"/>
    <w:rsid w:val="007D4555"/>
    <w:rsid w:val="007D52C2"/>
    <w:rsid w:val="007D782F"/>
    <w:rsid w:val="007F4BA2"/>
    <w:rsid w:val="00804830"/>
    <w:rsid w:val="008277A0"/>
    <w:rsid w:val="008620C9"/>
    <w:rsid w:val="008F51CD"/>
    <w:rsid w:val="0091359D"/>
    <w:rsid w:val="00932DB4"/>
    <w:rsid w:val="00960D06"/>
    <w:rsid w:val="00987F0F"/>
    <w:rsid w:val="009C0789"/>
    <w:rsid w:val="009E49FE"/>
    <w:rsid w:val="009F54BD"/>
    <w:rsid w:val="00A03417"/>
    <w:rsid w:val="00A07B3B"/>
    <w:rsid w:val="00A50929"/>
    <w:rsid w:val="00B15954"/>
    <w:rsid w:val="00B43D82"/>
    <w:rsid w:val="00B75679"/>
    <w:rsid w:val="00B819F1"/>
    <w:rsid w:val="00B9380F"/>
    <w:rsid w:val="00BB4148"/>
    <w:rsid w:val="00BD20DC"/>
    <w:rsid w:val="00C30D4C"/>
    <w:rsid w:val="00C43394"/>
    <w:rsid w:val="00C46F85"/>
    <w:rsid w:val="00C64A1F"/>
    <w:rsid w:val="00CA2AAE"/>
    <w:rsid w:val="00CA324A"/>
    <w:rsid w:val="00CB4071"/>
    <w:rsid w:val="00CC1F08"/>
    <w:rsid w:val="00CD4BE7"/>
    <w:rsid w:val="00CE2051"/>
    <w:rsid w:val="00CF6FCE"/>
    <w:rsid w:val="00D315D5"/>
    <w:rsid w:val="00D53F53"/>
    <w:rsid w:val="00D639AC"/>
    <w:rsid w:val="00DE670D"/>
    <w:rsid w:val="00E15C8F"/>
    <w:rsid w:val="00E44ED3"/>
    <w:rsid w:val="00E46BB0"/>
    <w:rsid w:val="00E664F6"/>
    <w:rsid w:val="00E90860"/>
    <w:rsid w:val="00E9771C"/>
    <w:rsid w:val="00EC2651"/>
    <w:rsid w:val="00EE60B1"/>
    <w:rsid w:val="00EF7A41"/>
    <w:rsid w:val="00F10B4A"/>
    <w:rsid w:val="00F1192F"/>
    <w:rsid w:val="00F20DC9"/>
    <w:rsid w:val="00F44A74"/>
    <w:rsid w:val="00F76BAF"/>
    <w:rsid w:val="00F8357A"/>
    <w:rsid w:val="00F9148E"/>
    <w:rsid w:val="00FB227D"/>
    <w:rsid w:val="00FB4EA2"/>
    <w:rsid w:val="00FE0F29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61232"/>
  <w15:chartTrackingRefBased/>
  <w15:docId w15:val="{0D201DF1-96AE-4D47-9381-1F82599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2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8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148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5092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2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27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B938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CA2AA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2AA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2A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2AA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2AA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A2AA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2AAE"/>
    <w:rPr>
      <w:sz w:val="18"/>
      <w:szCs w:val="18"/>
    </w:rPr>
  </w:style>
  <w:style w:type="character" w:customStyle="1" w:styleId="fontstyle01">
    <w:name w:val="fontstyle01"/>
    <w:basedOn w:val="a0"/>
    <w:rsid w:val="006E70DF"/>
    <w:rPr>
      <w:rFonts w:ascii="DY106+ZMfTXp-106" w:hAnsi="DY106+ZMfTXp-106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am\Desktop\&#38738;&#33983;&#320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8D-4947-84D2-1990EA8C05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B8D-4947-84D2-1990EA8C05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B8D-4947-84D2-1990EA8C05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B8D-4947-84D2-1990EA8C053A}"/>
              </c:ext>
            </c:extLst>
          </c:dPt>
          <c:cat>
            <c:strRef>
              <c:f>Sheet1!$B$13:$B$16</c:f>
              <c:strCache>
                <c:ptCount val="4"/>
                <c:pt idx="0">
                  <c:v>total</c:v>
                </c:pt>
                <c:pt idx="1">
                  <c:v>headache</c:v>
                </c:pt>
                <c:pt idx="2">
                  <c:v>anorexia</c:v>
                </c:pt>
                <c:pt idx="3">
                  <c:v>pruritus</c:v>
                </c:pt>
              </c:strCache>
            </c:strRef>
          </c:cat>
          <c:val>
            <c:numRef>
              <c:f>Sheet1!$C$13:$C$16</c:f>
              <c:numCache>
                <c:formatCode>General</c:formatCode>
                <c:ptCount val="4"/>
                <c:pt idx="0">
                  <c:v>50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B8D-4947-84D2-1990EA8C0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42</cp:revision>
  <cp:lastPrinted>2018-04-15T10:44:00Z</cp:lastPrinted>
  <dcterms:created xsi:type="dcterms:W3CDTF">2018-04-19T11:22:00Z</dcterms:created>
  <dcterms:modified xsi:type="dcterms:W3CDTF">2018-04-26T02:44:00Z</dcterms:modified>
</cp:coreProperties>
</file>