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D3A22">
      <w:pPr>
        <w:spacing w:line="360" w:lineRule="auto"/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土壤属性图质控问题反馈—沧州市献县</w:t>
      </w:r>
    </w:p>
    <w:p w14:paraId="55ECCA20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2D35D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1、环境变量中的DEM数据坐标系与其他变量不统一。</w:t>
      </w:r>
    </w:p>
    <w:p w14:paraId="7F75DFCA">
      <w:r>
        <w:drawing>
          <wp:inline distT="0" distB="0" distL="114300" distR="114300">
            <wp:extent cx="3970020" cy="3138170"/>
            <wp:effectExtent l="0" t="0" r="762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A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2、元数据中遥感数据源内容缺失。</w:t>
      </w:r>
    </w:p>
    <w:p w14:paraId="3236CE6C">
      <w:r>
        <w:drawing>
          <wp:inline distT="0" distB="0" distL="114300" distR="114300">
            <wp:extent cx="5265420" cy="1247775"/>
            <wp:effectExtent l="0" t="0" r="762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1DCCD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7443C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1C65CF1D">
      <w:pPr>
        <w:jc w:val="both"/>
      </w:pPr>
      <w:r>
        <w:drawing>
          <wp:inline distT="0" distB="0" distL="114300" distR="114300">
            <wp:extent cx="1537335" cy="2987040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58627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3003F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1、环境变量缺少格式和制备年限说明。</w:t>
      </w:r>
    </w:p>
    <w:p w14:paraId="01148870">
      <w:pPr>
        <w:jc w:val="both"/>
      </w:pPr>
      <w:r>
        <w:drawing>
          <wp:inline distT="0" distB="0" distL="114300" distR="114300">
            <wp:extent cx="4208145" cy="3670300"/>
            <wp:effectExtent l="0" t="0" r="1333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0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气候变量一般要求20年以上均值；</w:t>
      </w:r>
    </w:p>
    <w:p w14:paraId="747F1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植被变量一般要求5-10年的均值。</w:t>
      </w:r>
    </w:p>
    <w:p w14:paraId="74070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2、缺少对入模环境变量的共线性说明及剔除；</w:t>
      </w:r>
    </w:p>
    <w:p w14:paraId="758B3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每个因子的环境变量重要度排序不同，需要分因子说明。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00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2026-09-10T08:28:22Z</dcterms:created>
  <dc:creator>30551</dc:creator>
  <cp:lastModifiedBy>Mi Manchi</cp:lastModifiedBy>
  <dcterms:modified xsi:type="dcterms:W3CDTF">2026-09-10T08:51:24Z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AE86237D4B81401CA490AC44A0D0DFFE_12</vt:lpwstr>
  </property>
</Properties>
</file>