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CCEB1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土壤属性图质控问题反馈—石家庄市灵寿县</w:t>
      </w:r>
    </w:p>
    <w:p w14:paraId="4DE0626D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0D909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422395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5F7BA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5749BA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  <w:lang w:val="en-US" w:eastAsia="zh-CN"/>
        </w:rPr>
        <w:t>环境变量按行政区划切分需保证覆盖行政区划全域。</w:t>
      </w:r>
    </w:p>
    <w:p w14:paraId="3E76A4B5">
      <w:r>
        <w:drawing>
          <wp:inline distT="0" distB="0" distL="114300" distR="114300">
            <wp:extent cx="5266690" cy="2411095"/>
            <wp:effectExtent l="0" t="0" r="635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D9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3、环境变量类型未包括主要成土要素（母质、土地利用）。如果没有母岩母质图，可用二普或者三普土壤类型图代替。此外，土地利用现状图、土壤类型图、母岩母质图等类别型变量需进行数值化处理。</w:t>
      </w:r>
    </w:p>
    <w:p w14:paraId="3DAF13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643380" cy="2277110"/>
            <wp:effectExtent l="0" t="0" r="254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97B8D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268C0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3ACFF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734185" cy="269176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3418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B8DF1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58134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1、技术路线图内分步名称重复。</w:t>
      </w:r>
    </w:p>
    <w:p w14:paraId="664A5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097780" cy="230124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76E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2、气候变量制备年限未说明。</w:t>
      </w:r>
    </w:p>
    <w:p w14:paraId="39187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2405" cy="2839085"/>
            <wp:effectExtent l="0" t="0" r="635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B6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3、缺少土壤样点空间分布图。</w:t>
      </w:r>
    </w:p>
    <w:p w14:paraId="1659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4、报告-制图过程（制图模型确定不合理）——环境变量的筛选方法和过程未说明；</w:t>
      </w:r>
    </w:p>
    <w:p w14:paraId="65709E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缺少对入模环境变量的共线性说明及剔除；</w:t>
      </w:r>
    </w:p>
    <w:p w14:paraId="1AF27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每个因子的环境变量重要度排序不同，需分因子说明。</w:t>
      </w:r>
    </w:p>
    <w:p w14:paraId="37BBD4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5、结果验证与分析不充分——属性与环境的关联性（驱动因素）未进行分析展示。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67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2026-09-04T13:21:49Z</dcterms:created>
  <dc:creator>30551</dc:creator>
  <cp:lastModifiedBy>Mi Manchi</cp:lastModifiedBy>
  <dcterms:modified xsi:type="dcterms:W3CDTF">2026-09-04T13:31:53Z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6A66868254304C89966A5C4E63F0B7AD_12</vt:lpwstr>
  </property>
</Properties>
</file>