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BB375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土壤属性图质控问题反馈—邢台市南宫市</w:t>
      </w:r>
    </w:p>
    <w:p w14:paraId="00740CB1">
      <w:pPr>
        <w:numPr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5B179D08">
      <w:pPr>
        <w:widowControl w:val="0"/>
        <w:numPr>
          <w:numId w:val="0"/>
        </w:numPr>
        <w:spacing w:line="360" w:lineRule="auto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1、提交数据中无历史样点数据，要求土壤二普、测土配方施肥（采集时间应为2008-2010年）、耕地地力监测样点数据，三者至少有一个；</w:t>
      </w:r>
    </w:p>
    <w:p w14:paraId="57E9719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要求提交的历史样点数据应转化为矢量（shp）格式并生成相应的栅格数据（Geotiff）；</w:t>
      </w:r>
    </w:p>
    <w:p w14:paraId="121F3BE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主要包含土壤pH、有机质、全氮、有效磷、速效钾的历史样点和栅格数据。</w:t>
      </w:r>
    </w:p>
    <w:p w14:paraId="3E44554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2、XJXZQ数据应为面状</w:t>
      </w:r>
    </w:p>
    <w:p w14:paraId="496E8A48">
      <w:pPr>
        <w:numPr>
          <w:numId w:val="0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0500" cy="384175"/>
            <wp:effectExtent l="0" t="0" r="254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A078">
      <w:pPr>
        <w:spacing w:line="360" w:lineRule="auto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参考如下</w:t>
      </w:r>
    </w:p>
    <w:p w14:paraId="0FB365DB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960" cy="374015"/>
            <wp:effectExtent l="0" t="0" r="508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5E7A">
      <w:pPr>
        <w:widowControl w:val="0"/>
        <w:numPr>
          <w:ilvl w:val="0"/>
          <w:numId w:val="0"/>
        </w:numPr>
        <w:spacing w:line="360" w:lineRule="auto"/>
        <w:jc w:val="both"/>
      </w:pPr>
      <w:r>
        <w:rPr>
          <w:rFonts w:hint="eastAsia"/>
          <w:sz w:val="24"/>
          <w:szCs w:val="32"/>
          <w:lang w:val="en-US" w:eastAsia="zh-CN"/>
        </w:rPr>
        <w:t>3、制图过程（环境变量）——环境变量按行政区划切分需保证覆盖行政区划全域。</w:t>
      </w:r>
    </w:p>
    <w:p w14:paraId="1C2B8EF7">
      <w:r>
        <w:drawing>
          <wp:inline distT="0" distB="0" distL="114300" distR="114300">
            <wp:extent cx="5269230" cy="2230755"/>
            <wp:effectExtent l="0" t="0" r="381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E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4、环境变量类型未包括主要成土要素（母质、土地利用）。如果没有母岩母质图，可用二普或者三普土壤类型图代替。此外，土地利用现状图、土壤类型图、母岩母质图等类别型变量需进行数值化处理。</w:t>
      </w:r>
    </w:p>
    <w:p w14:paraId="246C1B3C"/>
    <w:p w14:paraId="414FB4B9">
      <w:r>
        <w:drawing>
          <wp:inline distT="0" distB="0" distL="114300" distR="114300">
            <wp:extent cx="1595755" cy="2355215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6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hint="eastAsia"/>
          <w:sz w:val="24"/>
          <w:szCs w:val="24"/>
          <w:lang w:val="en-US" w:eastAsia="zh-CN"/>
        </w:rPr>
        <w:t>5、基础数据（元数据）——元数据目录与专题成果编制要求不一致。</w:t>
      </w:r>
    </w:p>
    <w:p w14:paraId="3A26DA15">
      <w:r>
        <w:drawing>
          <wp:inline distT="0" distB="0" distL="114300" distR="114300">
            <wp:extent cx="5263515" cy="986790"/>
            <wp:effectExtent l="0" t="0" r="952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880F">
      <w:r>
        <w:drawing>
          <wp:inline distT="0" distB="0" distL="114300" distR="114300">
            <wp:extent cx="5308600" cy="756285"/>
            <wp:effectExtent l="0" t="0" r="1016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377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35009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61D76866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2071370" cy="2842260"/>
            <wp:effectExtent l="0" t="0" r="127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7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2、图中缺少指北针。</w:t>
      </w:r>
    </w:p>
    <w:p w14:paraId="47315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1943100"/>
            <wp:effectExtent l="0" t="0" r="571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C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0471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3、缺少高程基准信息。</w:t>
      </w:r>
    </w:p>
    <w:p w14:paraId="6123E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5DE24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374140"/>
            <wp:effectExtent l="0" t="0" r="63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A2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192E5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5CAB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C5E3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7E96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09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2026-09-07T08:32:55Z</dcterms:created>
  <dc:creator>30551</dc:creator>
  <cp:lastModifiedBy>Mi Manchi</cp:lastModifiedBy>
  <dcterms:modified xsi:type="dcterms:W3CDTF">2026-09-07T08:50:16Z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7DC6ED5FDA664FB08BC87153BDB867E1_12</vt:lpwstr>
  </property>
</Properties>
</file>