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F632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耕地质量等级评价质控报告</w:t>
      </w:r>
    </w:p>
    <w:p w14:paraId="3298E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一、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数据库结构</w:t>
      </w:r>
    </w:p>
    <w:p w14:paraId="3D29F9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1.数据库结构：</w:t>
      </w:r>
    </w:p>
    <w:p w14:paraId="4A4914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（1）按目录结构整理数据库，数据库内容是否完整。（数据结构要求参考《第三次全国土壤普查土壤属性图与专题图编制技术规范》7.2 制图成果数据质量要求）</w:t>
      </w:r>
    </w:p>
    <w:p w14:paraId="3F00CA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2.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提交成果的名称是否规范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：</w:t>
      </w:r>
    </w:p>
    <w:p w14:paraId="28EAD75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（2）提交的成果与目录结构中的文件名称要求是否一致。</w:t>
      </w:r>
    </w:p>
    <w:p w14:paraId="64504F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元数据信息符合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《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土壤科学数据元数据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》（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G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 /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T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32739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—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2016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) 的相关规定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。</w:t>
      </w:r>
    </w:p>
    <w:p w14:paraId="2864C50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请按照要求核实并修改</w:t>
      </w:r>
    </w:p>
    <w:p w14:paraId="71F3E0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二、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数据库成果</w:t>
      </w:r>
    </w:p>
    <w:p w14:paraId="237528D7">
      <w:pPr>
        <w:pStyle w:val="4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19" w:line="36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包括行政区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居民点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  <w:t>道路 、水系 、DEM 等</w:t>
      </w:r>
    </w:p>
    <w:p w14:paraId="09AB29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auto"/>
          <w:kern w:val="2"/>
          <w:sz w:val="24"/>
          <w:szCs w:val="24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请按照要求核实并修改。</w:t>
      </w:r>
    </w:p>
    <w:p w14:paraId="1B2299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三、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图面表达</w:t>
      </w:r>
    </w:p>
    <w:p w14:paraId="44B61B8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1.图件制作是否符合规范</w:t>
      </w:r>
    </w:p>
    <w:p w14:paraId="4ED218D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注意图面内容配置、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要素搭配着色、注记图例、比例尺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、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署名等</w:t>
      </w:r>
    </w:p>
    <w:p w14:paraId="414130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2.图件信息缺失</w:t>
      </w:r>
    </w:p>
    <w:p w14:paraId="568F0B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缺少面积统计表或面积统计表不完整（在属性图中）；坐标、投影、高程基准、署名等图廓信息是否完整。</w:t>
      </w:r>
    </w:p>
    <w:p w14:paraId="77A89F1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3.图件缺失</w:t>
      </w:r>
    </w:p>
    <w:p w14:paraId="2C30839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数据库中不存在图件</w:t>
      </w:r>
    </w:p>
    <w:p w14:paraId="69438D2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default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/>
          <w:b w:val="0"/>
          <w:bCs w:val="0"/>
          <w:color w:val="auto"/>
          <w:sz w:val="24"/>
          <w:szCs w:val="24"/>
          <w:lang w:val="en-US" w:eastAsia="zh-CN"/>
        </w:rPr>
        <w:t>4.其他</w:t>
      </w:r>
    </w:p>
    <w:p w14:paraId="07645F2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4"/>
          <w:szCs w:val="24"/>
          <w:lang w:val="en-US" w:eastAsia="zh-CN"/>
        </w:rPr>
        <w:t>美观性，易读性，着色。图面清晰度、图件信息清晰度。</w:t>
      </w:r>
    </w:p>
    <w:p w14:paraId="0F21FDF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/>
          <w:b/>
          <w:bCs/>
          <w:color w:val="auto"/>
          <w:sz w:val="24"/>
          <w:szCs w:val="24"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color w:val="auto"/>
          <w:kern w:val="2"/>
          <w:sz w:val="24"/>
          <w:szCs w:val="24"/>
          <w:lang w:val="en-US" w:eastAsia="zh-CN" w:bidi="ar-SA"/>
        </w:rPr>
        <w:t>四、</w:t>
      </w:r>
      <w:r>
        <w:rPr>
          <w:rFonts w:hint="eastAsia"/>
          <w:b/>
          <w:bCs/>
          <w:color w:val="auto"/>
          <w:sz w:val="24"/>
          <w:szCs w:val="24"/>
          <w:lang w:val="en-US" w:eastAsia="zh-CN"/>
        </w:rPr>
        <w:t>文字成果</w:t>
      </w:r>
      <w:bookmarkStart w:id="0" w:name="_GoBack"/>
      <w:bookmarkEnd w:id="0"/>
    </w:p>
    <w:p w14:paraId="56B7AA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（一）资料收集与整理</w:t>
      </w:r>
    </w:p>
    <w:p w14:paraId="7B25C27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DEM数据源标注分辨率存在矛盾，正文技术描述地形部位时写DEM精度至少为30m，但资料清单写DEM为12.5m，未对两套分辨率差异做说明，未解释实际评价采用哪一套DEM数据。</w:t>
      </w:r>
    </w:p>
    <w:p w14:paraId="6FFE89E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样点相关说明不足，报告未统计三普耕地有效样点数量，没有样点筛选流程、异常样点剔除记录，无法核查样点的空间分布、密度是否满足县域评价要求。</w:t>
      </w:r>
    </w:p>
    <w:p w14:paraId="36CD4A7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资料收集部分缺少对收集资料的适用性校验说明，例如1:100万地貌图用于县级地形部位提取，未说明小比例尺地貌图经过本地化修正、外业校核的过程。</w:t>
      </w:r>
    </w:p>
    <w:p w14:paraId="638723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（二）评价分区和单元划分</w:t>
      </w:r>
    </w:p>
    <w:p w14:paraId="4CC6BF4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缺少评价单元平差处理完整描述，只给出最终汇总耕地面积571293亩，无平差方法、平差前后面积对比，未说明和自然资源部门2023年度耕地面积的核对情况。</w:t>
      </w:r>
    </w:p>
    <w:p w14:paraId="1E947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（三）评价指标选取和单元赋值</w:t>
      </w:r>
    </w:p>
    <w:p w14:paraId="2B54DD1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盐渍化程度纳入指标集，但报告全文所有统计表格、属性分析均未出现盐渍化相关统计结果，没有全县盐渍化程度分布统计，未说明全县无盐渍化的校验过程。</w:t>
      </w:r>
    </w:p>
    <w:p w14:paraId="6EBC47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不同指标赋值方法混杂，部分指标土种关联赋值、部分栅格分区统计赋值、部分DEM提取；没有划分空间范围，未说明哪些区域采用哪一种赋值方式，无法判断赋值方法分区是否合理。</w:t>
      </w:r>
    </w:p>
    <w:p w14:paraId="75B59B4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权重、隶属函数a/c参数直接给出结果，没有校核过程；没有说明参数来源：是规范给定参数，还是县域本地拟合得到。</w:t>
      </w:r>
    </w:p>
    <w:p w14:paraId="61332E0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灌溉能力（报告指标集写灌溉能力，正文部分又叫水资源条件）指标名称前后不统一，出现名词混用，属于文字前后矛盾。</w:t>
      </w:r>
    </w:p>
    <w:p w14:paraId="4DA6B2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（四）等级划分及产能计算</w:t>
      </w:r>
    </w:p>
    <w:p w14:paraId="53481BC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产能计算公式正文只给出公式编号，报告内部分公式的数学表达式图片缺失，文本中没有完整公式文字，阅读核查不方便；产能系数a、b、c直接列表给出，没有拟合优度R²等校验指标。</w:t>
      </w:r>
    </w:p>
    <w:p w14:paraId="209B489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熟制设定m=2（一年两熟），直接用于单季产能换算，没有县域熟制分区说明，没有说明县域全部耕地是否统一适用一年两熟。</w:t>
      </w:r>
    </w:p>
    <w:p w14:paraId="099C6F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校正系数k（粮食播种面积/耕地总面积），仅定义概念，报告没有给出k的实际取值、来源，区域总产能计算中k如何参与运算交代不清。</w:t>
      </w:r>
    </w:p>
    <w:p w14:paraId="141F85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（五）评价结果验证</w:t>
      </w:r>
    </w:p>
    <w:p w14:paraId="17E8881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对比验证只对比全县平均等级2.62和2.63，仅做全县平均数值对比；缺少分等级面积对比、关键指标均值对比；没有区分是耕地范围变化带来差异，还是耕地本身质量变化。</w:t>
      </w:r>
    </w:p>
    <w:p w14:paraId="6EA9DB0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缺少评价单元抽样验证方案：没有说明抽取多少评价单元、抽样空间分布，没有对随机单元复核综合指数计算、等级判定。</w:t>
      </w:r>
    </w:p>
    <w:p w14:paraId="49E4DA7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425" w:leftChars="0" w:hanging="425" w:firstLineChars="0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缺少验证不通过的处置流程，没有说明当验证偏差大时，如何回溯修正指标、权重、隶属函数参数。</w:t>
      </w:r>
    </w:p>
    <w:p w14:paraId="755FF94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（六）耕地质量等级图编制</w:t>
      </w:r>
    </w:p>
    <w:p w14:paraId="52A3E1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未发现明显问题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i Baiti">
    <w:panose1 w:val="03000500000000000000"/>
    <w:charset w:val="00"/>
    <w:family w:val="auto"/>
    <w:pitch w:val="default"/>
    <w:sig w:usb0="80000003" w:usb1="00010402" w:usb2="00080002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9232E0F"/>
    <w:multiLevelType w:val="singleLevel"/>
    <w:tmpl w:val="69232E0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BF60DCD"/>
    <w:rsid w:val="2BF60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Microsoft Yi Baiti" w:hAnsi="Microsoft Yi Baiti" w:eastAsia="Microsoft Yi Baiti" w:cs="Microsoft Yi Baiti"/>
      <w:sz w:val="20"/>
      <w:szCs w:val="20"/>
      <w:lang w:val="en-US" w:eastAsia="en-US" w:bidi="ar-SA"/>
    </w:r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2026-09-26T05:46:00Z</dcterms:created>
  <dc:creator>姚雨帆</dc:creator>
  <cp:lastModifiedBy>姚雨帆</cp:lastModifiedBy>
  <dcterms:modified xsi:type="dcterms:W3CDTF">2026-09-26T05:55:20Z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83BE05EF0FED4771BC38B1A89C8BD74B_11</vt:lpwstr>
  </property>
  <property fmtid="{D5CDD505-2E9C-101B-9397-08002B2CF9AE}" pid="4" name="KSOTemplateDocerSaveRecord">
    <vt:lpwstr>eyJoZGlkIjoiN2ZiMWU4NjE2ZThjZWFmNTIyNjY1N2Y2MGM4NGU0YzgiLCJ1c2VySWQiOiIxNzY4NTM1ODk0In0=</vt:lpwstr>
  </property>
</Properties>
</file>