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F632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/>
          <w:color w:val="auto"/>
          <w:sz w:val="24"/>
          <w:szCs w:val="24"/>
          <w:lang w:val="en-US" w:eastAsia="zh-CN"/>
        </w:rPr>
      </w:pPr>
      <w:r>
        <w:rPr>
          <w:rFonts w:hint="eastAsia"/>
          <w:color w:val="auto"/>
          <w:sz w:val="24"/>
          <w:szCs w:val="24"/>
          <w:lang w:val="en-US" w:eastAsia="zh-CN"/>
        </w:rPr>
        <w:t>耕地质量等级评价质控报告</w:t>
      </w:r>
    </w:p>
    <w:p w14:paraId="3298E80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color w:val="auto"/>
          <w:kern w:val="2"/>
          <w:sz w:val="24"/>
          <w:szCs w:val="24"/>
          <w:lang w:val="en-US" w:eastAsia="zh-CN" w:bidi="ar-SA"/>
        </w:rPr>
        <w:t>一、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数据库结构</w:t>
      </w:r>
    </w:p>
    <w:p w14:paraId="3D29F99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1.数据库结构：</w:t>
      </w:r>
    </w:p>
    <w:p w14:paraId="4A49142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（1）按目录结构整理数据库，数据库内容是否完整。（数据结构要求参考《第三次全国土壤普查土壤属性图与专题图编制技术规范》7.2 制图成果数据质量要求）</w:t>
      </w:r>
    </w:p>
    <w:p w14:paraId="3F00CAF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2.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提交成果的名称是否规范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：</w:t>
      </w:r>
    </w:p>
    <w:p w14:paraId="28EAD75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（2）提交的成果与目录结构中的文件名称要求是否一致。</w:t>
      </w:r>
    </w:p>
    <w:p w14:paraId="64504F5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 xml:space="preserve">元数据信息符合 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《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土壤科学数据元数据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》（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G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B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 xml:space="preserve"> / 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T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32739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—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2016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) 的相关规定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。</w:t>
      </w:r>
    </w:p>
    <w:p w14:paraId="2864C50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请按照要求核实并修改</w:t>
      </w:r>
    </w:p>
    <w:p w14:paraId="71F3E07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color w:val="auto"/>
          <w:kern w:val="2"/>
          <w:sz w:val="24"/>
          <w:szCs w:val="24"/>
          <w:lang w:val="en-US" w:eastAsia="zh-CN" w:bidi="ar-SA"/>
        </w:rPr>
        <w:t>二、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数据库成果</w:t>
      </w:r>
    </w:p>
    <w:p w14:paraId="237528D7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19" w:line="36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包括行政区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、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居民点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、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道路 、水系 、DEM 等</w:t>
      </w:r>
    </w:p>
    <w:p w14:paraId="09AB296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请按照要求核实并修改。</w:t>
      </w:r>
    </w:p>
    <w:p w14:paraId="1B2299C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color w:val="auto"/>
          <w:kern w:val="2"/>
          <w:sz w:val="24"/>
          <w:szCs w:val="24"/>
          <w:lang w:val="en-US" w:eastAsia="zh-CN" w:bidi="ar-SA"/>
        </w:rPr>
        <w:t>三、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图面表达</w:t>
      </w:r>
    </w:p>
    <w:p w14:paraId="44B61B8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1.图件制作是否符合规范</w:t>
      </w:r>
    </w:p>
    <w:p w14:paraId="4ED218D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注意图面内容配置、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要素搭配着色、注记图例、比例尺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、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署名等</w:t>
      </w:r>
    </w:p>
    <w:p w14:paraId="4141304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2.图件信息缺失</w:t>
      </w:r>
    </w:p>
    <w:p w14:paraId="568F0B2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缺少面积统计表或面积统计表不完整（在属性图中）；坐标、投影、高程基准、署名等图廓信息是否完整。</w:t>
      </w:r>
    </w:p>
    <w:p w14:paraId="77A89F1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3.图</w:t>
      </w: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件缺失</w:t>
      </w:r>
    </w:p>
    <w:p w14:paraId="2C30839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数据库中不存在图件</w:t>
      </w:r>
    </w:p>
    <w:p w14:paraId="69438D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4.其他</w:t>
      </w:r>
    </w:p>
    <w:p w14:paraId="07645F2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美观性，易读性，着色。图面清晰度、图件信息清晰度。</w:t>
      </w:r>
    </w:p>
    <w:p w14:paraId="0F21FDF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color w:val="auto"/>
          <w:kern w:val="2"/>
          <w:sz w:val="24"/>
          <w:szCs w:val="24"/>
          <w:lang w:val="en-US" w:eastAsia="zh-CN" w:bidi="ar-SA"/>
        </w:rPr>
        <w:t>四、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文字成果</w:t>
      </w:r>
    </w:p>
    <w:p w14:paraId="199B93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一、资料收集与整理</w:t>
      </w:r>
    </w:p>
    <w:p w14:paraId="2AA92BF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有效耕地样点最终650个，筛选四步流程输出样点数量全部为650，无剔除样点清单、剔除原因、异常样点案例佐证材料，缺少异常值筛查原始记录。</w:t>
      </w:r>
    </w:p>
    <w:p w14:paraId="77F935B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多源空间数据预处理记录缺失 多源图层叠加前，没有图层边界、图斑拓扑冲突核查说明；不同分辨率栅格（DEM、土壤属性栅格）重采样规则、掩膜裁剪、异常值处理无文字记录。</w:t>
      </w:r>
    </w:p>
    <w:p w14:paraId="668F0F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二、评价分区和单元划分</w:t>
      </w:r>
    </w:p>
    <w:p w14:paraId="1C5BF1C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评价单元平差只给出最终耕地总面积672276亩；无平差方法、平差前后面积对比，未说明与自然资源部门2023耕地统计面积核对结果。</w:t>
      </w:r>
    </w:p>
    <w:p w14:paraId="3CDBB60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未说明评价单元属性库必填字段清单，行政区划、农业分区编号等字段入库情况无文字说明。</w:t>
      </w:r>
    </w:p>
    <w:p w14:paraId="1F56603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乡镇统计表只统计常规行政乡镇，飞地、国有林场等特殊图斑归并统计规则没有说明。</w:t>
      </w:r>
    </w:p>
    <w:p w14:paraId="6248A0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三、评价指标选取和单元赋值</w:t>
      </w:r>
    </w:p>
    <w:p w14:paraId="6B37252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多套赋值方式并行：土种关联赋值、栅格分区统计、DEM提取、点代面赋值；没有划定空间范围，未说明哪些区域使用哪一种赋值策略，复核性差。</w:t>
      </w:r>
    </w:p>
    <w:p w14:paraId="1C78DAD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权重、隶属函数a/c参数直接给出结果，缺少校核过程；未明确参数来源：是规范附录自带参数还是本县本地化拟合得到。</w:t>
      </w:r>
    </w:p>
    <w:p w14:paraId="14DCA46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地形部位概念型隶属度表包含宽谷盆地、山间盆地、山地坡上等全部类型，但本县实际统计只出现5类地形，没有对其余类型在本县域不存在开展核查记录。</w:t>
      </w:r>
    </w:p>
    <w:p w14:paraId="58FA012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指标集文字列出“农田林网化程度”作为区域补充指标，但后续权重表、赋值、结果分析全程未出现该指标，指标集前后不一致。</w:t>
      </w:r>
    </w:p>
    <w:p w14:paraId="203675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四、等级划分及产能计算</w:t>
      </w:r>
    </w:p>
    <w:p w14:paraId="08190EE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熟制设定m=1（一年一季）用于单季换算；虽然卢龙县以一年一熟旱作为主，缺少县域熟制分区说明，没有论证全县统一m=1的合理性。</w:t>
      </w:r>
    </w:p>
    <w:p w14:paraId="13092E8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校正系数k=0.7482，为粮食播种面积/耕地总面积；k参与总产能计算的运算逻辑交代不清：是每个单元乘k，还是最终汇总总产能后再乘k。</w:t>
      </w:r>
    </w:p>
    <w:p w14:paraId="1E25F0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五、评价结果验证</w:t>
      </w:r>
    </w:p>
    <w:p w14:paraId="13EAAFE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技术路线写明4种验证手段：对比验证、产量验证、专家验证、实地验证； 报告写开展了专家验证，但缺少专家名单、专家审查意见原始材料；完全没有实地验证实施记录，无踏勘点位、外业记录表佐证，未说明不开展实地验证的原因。</w:t>
      </w:r>
    </w:p>
    <w:p w14:paraId="05026F7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产量验证只使用县级统计年鉴宏观总产量、单产做全县总量比对；没有地块尺度实测测产数据，缺少地块级佐证；差异率6.40%，没有给出技术规范允许的偏差阈值，没有说明该偏差是否符合规范要求。</w:t>
      </w:r>
    </w:p>
    <w:p w14:paraId="4ED0F3C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缺少评价单元抽样验证方案：抽样数量、空间布点方案缺失，没有随机抽取评价单元复核综合指数计算、等级判定过程。</w:t>
      </w:r>
    </w:p>
    <w:p w14:paraId="6A00BEE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缺少验证不通过处置流程：未说明验证偏差超标后，如何回溯修正指标、权重、隶属函数参数。</w:t>
      </w:r>
    </w:p>
    <w:p w14:paraId="10B7A4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六、耕地质量等级图编制</w:t>
      </w:r>
    </w:p>
    <w:p w14:paraId="4C19961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eastAsiaTheme="minorEastAsia"/>
          <w:color w:val="auto"/>
          <w:sz w:val="24"/>
          <w:szCs w:val="24"/>
          <w:lang w:val="en-US" w:eastAsia="zh-CN"/>
        </w:rPr>
      </w:pPr>
      <w:r>
        <w:rPr>
          <w:rFonts w:hint="eastAsia"/>
          <w:color w:val="auto"/>
          <w:sz w:val="24"/>
          <w:szCs w:val="24"/>
          <w:lang w:val="en-US" w:eastAsia="zh-CN"/>
        </w:rPr>
        <w:t>15.请检查并修改所有图件类似情况。</w:t>
      </w:r>
    </w:p>
    <w:p w14:paraId="4A7CB3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color w:val="auto"/>
          <w:sz w:val="24"/>
          <w:szCs w:val="24"/>
          <w:lang w:val="en-US" w:eastAsia="zh-CN"/>
        </w:rPr>
      </w:pPr>
      <w:r>
        <w:rPr>
          <w:rFonts w:hint="default"/>
          <w:color w:val="auto"/>
          <w:sz w:val="24"/>
          <w:szCs w:val="24"/>
          <w:lang w:val="en-US" w:eastAsia="zh-CN"/>
        </w:rPr>
        <w:drawing>
          <wp:inline distT="0" distB="0" distL="114300" distR="114300">
            <wp:extent cx="2857500" cy="1666875"/>
            <wp:effectExtent l="0" t="0" r="0" b="9525"/>
            <wp:docPr id="1" name="图片 1" descr="292663d6-78f1-421c-8499-ff18fac2dd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92663d6-78f1-421c-8499-ff18fac2ddab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6B0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328FC3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01B9129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i Baiti">
    <w:panose1 w:val="03000500000000000000"/>
    <w:charset w:val="00"/>
    <w:family w:val="auto"/>
    <w:pitch w:val="default"/>
    <w:sig w:usb0="80000003" w:usb1="00010402" w:usb2="00080002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AB12F2B"/>
    <w:multiLevelType w:val="singleLevel"/>
    <w:tmpl w:val="6AB12F2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DC29DC"/>
    <w:rsid w:val="79DC2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Microsoft Yi Baiti" w:hAnsi="Microsoft Yi Baiti" w:eastAsia="Microsoft Yi Baiti" w:cs="Microsoft Yi Baiti"/>
      <w:sz w:val="20"/>
      <w:szCs w:val="20"/>
      <w:lang w:val="en-US" w:eastAsia="en-US" w:bidi="ar-SA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2026-09-26T06:09:00Z</dcterms:created>
  <dc:creator>姚雨帆</dc:creator>
  <cp:lastModifiedBy>姚雨帆</cp:lastModifiedBy>
  <dcterms:modified xsi:type="dcterms:W3CDTF">2026-09-26T06:15:55Z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1DEAA0A43BCB4DD5961B9200739294F0_11</vt:lpwstr>
  </property>
  <property fmtid="{D5CDD505-2E9C-101B-9397-08002B2CF9AE}" pid="4" name="KSOTemplateDocerSaveRecord">
    <vt:lpwstr>eyJoZGlkIjoiN2ZiMWU4NjE2ZThjZWFmNTIyNjY1N2Y2MGM4NGU0YzgiLCJ1c2VySWQiOiIxNzY4NTM1ODk0In0=</vt:lpwstr>
  </property>
</Properties>
</file>