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63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耕地质量等级评价质控报告</w:t>
      </w:r>
    </w:p>
    <w:p w14:paraId="3298E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一、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数据库结构</w:t>
      </w:r>
    </w:p>
    <w:p w14:paraId="3D29F9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1.数据库结构：</w:t>
      </w:r>
    </w:p>
    <w:p w14:paraId="4A4914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（1）按目录结构整理数据库，数据库内容是否完整。（数据结构要求参考《第三次全国土壤普查土壤属性图与专题图编制技术规范》7.2 制图成果数据质量要求）</w:t>
      </w:r>
    </w:p>
    <w:p w14:paraId="3F00CA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提交成果的名称是否规范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：</w:t>
      </w:r>
    </w:p>
    <w:p w14:paraId="28EAD7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（2）提交的成果与目录结构中的文件名称要求是否一致。</w:t>
      </w:r>
    </w:p>
    <w:p w14:paraId="64504F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元数据信息符合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《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土壤科学数据元数据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》（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 /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T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32739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—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2016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) 的相关规定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。</w:t>
      </w:r>
    </w:p>
    <w:p w14:paraId="2864C5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请按照要求核实并修改</w:t>
      </w:r>
    </w:p>
    <w:p w14:paraId="71F3E0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数据库成果</w:t>
      </w:r>
    </w:p>
    <w:p w14:paraId="237528D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9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包</w:t>
      </w:r>
      <w:bookmarkStart w:id="0" w:name="_GoBack"/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括行政区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居民点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道路 、水系 、DEM 等</w:t>
      </w:r>
    </w:p>
    <w:p w14:paraId="09AB29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请按照要求核实并修改。</w:t>
      </w:r>
    </w:p>
    <w:p w14:paraId="1B2299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图面表达</w:t>
      </w:r>
    </w:p>
    <w:p w14:paraId="44B61B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1.图件制作是否符合规范</w:t>
      </w:r>
    </w:p>
    <w:p w14:paraId="4ED218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注意图面内容配置、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要素搭配着色、注记图例、比例尺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署名等</w:t>
      </w:r>
    </w:p>
    <w:p w14:paraId="414130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2.图件信息缺失</w:t>
      </w:r>
    </w:p>
    <w:p w14:paraId="568F0B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缺少面积统计表或面积统计表不完整（在属性图中）；坐标、投影、高程基准、署名等图廓信息是否完整。</w:t>
      </w:r>
    </w:p>
    <w:p w14:paraId="77A89F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3.图件缺失</w:t>
      </w:r>
    </w:p>
    <w:p w14:paraId="2C3083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数据库中不存在图件</w:t>
      </w:r>
    </w:p>
    <w:p w14:paraId="69438D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4.其他</w:t>
      </w:r>
    </w:p>
    <w:p w14:paraId="07645F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美观性，易读性，着色。图面清晰度、图件信息清晰度。</w:t>
      </w:r>
    </w:p>
    <w:p w14:paraId="0F21FD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四、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文字成果</w:t>
      </w:r>
    </w:p>
    <w:p w14:paraId="443D5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一、资料收集与整理</w:t>
      </w:r>
    </w:p>
    <w:p w14:paraId="0A3F78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耕地有效样点最终225个，四步筛选流程输出结果均为225个。无剔除样点清单、异常样点案例、异常值筛查原始记录表，无法复核剔除逻辑。</w:t>
      </w:r>
    </w:p>
    <w:p w14:paraId="1778EBA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特别重大差异：两次评价统计范围不一致，三普不含北戴河新区，2019包含北戴河新区，报告文字做了说明，但没有做同口径裁剪对照（把2019成果裁剪到本次三普边界再做对比），直接用两套不同范围的原始数据对比，对比结果说服力下降。</w:t>
      </w:r>
    </w:p>
    <w:p w14:paraId="2E15E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二、评价分区和单元划分</w:t>
      </w:r>
    </w:p>
    <w:p w14:paraId="4B00E7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单元面积平差给出最终耕地217790亩；无平差方法、平差前后面积对照表，未提供与自然资源2023耕地统计面积核对结果。</w:t>
      </w:r>
    </w:p>
    <w:p w14:paraId="6E9128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未说明评价单元属性库必填字段清单，农业分区编号、原始图斑编码入库情况无说明。</w:t>
      </w:r>
    </w:p>
    <w:p w14:paraId="2A0EAD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乡镇统计表只统计常规行政乡镇；飞地、街道、国有土地特殊图斑归并统计规则缺失。</w:t>
      </w:r>
    </w:p>
    <w:p w14:paraId="594B2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三、评价指标选取和单元赋值</w:t>
      </w:r>
    </w:p>
    <w:p w14:paraId="66EB8A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多套赋值手段并行：土种关联赋值、栅格分区统计、DEM提取、点代面；没有划定空间范围，未写明哪些子区域使用哪一套赋值策略，复核困难。</w:t>
      </w:r>
    </w:p>
    <w:p w14:paraId="104BFE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权重、隶属函数a/c参数直接给出数值，缺少校核记录；未明确参数来源：是规范附录自带，还是本区本地化拟合得到。</w:t>
      </w:r>
    </w:p>
    <w:p w14:paraId="7D4765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概念型隶属度表包含宽谷盆地、山间盆地、山地坡上等全部枚举类型，但本区实际统计只出现5类地形；缺少对其余类型在本评价区不存在的核查记录。</w:t>
      </w:r>
    </w:p>
    <w:p w14:paraId="460A8F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指标集文字写“农田林网化程度”为区域补充指标，但后续权重表、赋值、结果分析全程没有使用该指标，指标集前后矛盾。</w:t>
      </w:r>
    </w:p>
    <w:p w14:paraId="5D531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四、等级划分及产能计算</w:t>
      </w:r>
    </w:p>
    <w:p w14:paraId="66E3FE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熟制设定m=1（一年一季），本区以一年一熟旱作为主，缺少县域熟制分区说明，未论证全区统一m=1的合理性。</w:t>
      </w:r>
    </w:p>
    <w:p w14:paraId="089718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校正系数k=0.4189（粮食播种面积/耕地总面积）；没有写清运算逻辑：是每个单元乘k，还是总汇总结果之后再乘k。</w:t>
      </w:r>
    </w:p>
    <w:p w14:paraId="2C8E78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产量验证差异率21.00%，差异偏大；没有引用技术规范允许的偏差阈值，未判断该差异是否符合规范要求。</w:t>
      </w:r>
    </w:p>
    <w:p w14:paraId="62C4C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五、评价结果验证</w:t>
      </w:r>
    </w:p>
    <w:p w14:paraId="4C9022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技术路线写明4种验证手段：对比验证、产量验证、专家验证、实地验证。</w:t>
      </w:r>
      <w:r>
        <w:rPr>
          <w:sz w:val="24"/>
          <w:szCs w:val="24"/>
        </w:rPr>
        <w:t>专家验证：正文写开展专家审查，但是缺少专家名单、专家审查意见原始材料。实地验证完全缺失，无踏勘点位、外业记录表，也没有说明不开展实地验证的理由。对比验证：两次评价范围不一致（三普无北戴河新区，2019含北戴河新区），虽然文字指出范围差异，但没有做同口径裁剪后的指标对比；仅对比全县平均等级、等级面积占比，没有开展有机质、耕层厚度、灌溉能力等关键指标均值对比；两年总面积差距巨大，区分“范围变更带来结构改变”和“地力真实提升”归因分析深度不足。</w:t>
      </w:r>
    </w:p>
    <w:p w14:paraId="027276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缺少评价单元抽样验证方案：抽样数量、空间布点方案缺失，没有随机抽单元复核综合指数、等级判定。</w:t>
      </w:r>
    </w:p>
    <w:p w14:paraId="3DCAEF6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缺失验证不通过处置流程：未写偏差超标后如何回溯修正指标、权重、隶属函数参数。</w:t>
      </w:r>
    </w:p>
    <w:p w14:paraId="31DC1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六、耕地质量等级图编制</w:t>
      </w:r>
    </w:p>
    <w:bookmarkEnd w:id="0"/>
    <w:p w14:paraId="4C1996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eastAsiaTheme="minor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16.请检查并修改所有图件类似情况。</w:t>
      </w:r>
    </w:p>
    <w:p w14:paraId="4A7CB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2857500" cy="1666875"/>
            <wp:effectExtent l="0" t="0" r="0" b="9525"/>
            <wp:docPr id="1" name="图片 1" descr="292663d6-78f1-421c-8499-ff18fac2dd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92663d6-78f1-421c-8499-ff18fac2dda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B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28FC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1B91298"/>
    <w:p w14:paraId="144FE70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53424A"/>
    <w:multiLevelType w:val="singleLevel"/>
    <w:tmpl w:val="F25342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0575CC"/>
    <w:rsid w:val="6F05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Microsoft Yi Baiti" w:hAnsi="Microsoft Yi Baiti" w:eastAsia="Microsoft Yi Baiti" w:cs="Microsoft Yi Baiti"/>
      <w:sz w:val="20"/>
      <w:szCs w:val="20"/>
      <w:lang w:val="en-US" w:eastAsia="en-US" w:bidi="ar-SA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2026-09-26T06:16:00Z</dcterms:created>
  <dc:creator>姚雨帆</dc:creator>
  <cp:lastModifiedBy>姚雨帆</cp:lastModifiedBy>
  <dcterms:modified xsi:type="dcterms:W3CDTF">2026-09-26T06:24:09Z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704473384CDE4F1FA2617DEBA50410DB_11</vt:lpwstr>
  </property>
  <property fmtid="{D5CDD505-2E9C-101B-9397-08002B2CF9AE}" pid="4" name="KSOTemplateDocerSaveRecord">
    <vt:lpwstr>eyJoZGlkIjoiN2ZiMWU4NjE2ZThjZWFmNTIyNjY1N2Y2MGM4NGU0YzgiLCJ1c2VySWQiOiIxNzY4NTM1ODk0In0=</vt:lpwstr>
  </property>
</Properties>
</file>