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6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耕地质量等级评价质控报告</w:t>
      </w:r>
    </w:p>
    <w:p w14:paraId="3298E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数据库结构</w:t>
      </w:r>
    </w:p>
    <w:p w14:paraId="3D29F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1.数据库结构：</w:t>
      </w:r>
    </w:p>
    <w:p w14:paraId="4A491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（1）按目录结构整理数据库，数据库内容是否完整。（数据结构要求参考《第三次全国土壤普查土壤属性图与专题图编制技术规范》7.2 制图成果数据质量要求）</w:t>
      </w:r>
    </w:p>
    <w:p w14:paraId="3F00C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提交成果的名称是否规范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28EAD7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（2）提交的成果与目录结构中的文件名称要求是否一致。</w:t>
      </w:r>
    </w:p>
    <w:p w14:paraId="64504F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元数据信息符合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土壤科学数据元数据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》（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32739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2016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) 的相关规定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2864C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</w:t>
      </w:r>
    </w:p>
    <w:p w14:paraId="71F3E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数据库成果</w:t>
      </w:r>
    </w:p>
    <w:p w14:paraId="237528D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9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包括行政区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居民点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道路 、水系 、DEM 等</w:t>
      </w:r>
    </w:p>
    <w:p w14:paraId="09AB2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请按照要求核实并修改。</w:t>
      </w:r>
    </w:p>
    <w:p w14:paraId="1B2299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图面表达</w:t>
      </w:r>
    </w:p>
    <w:p w14:paraId="44B61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1.图件制作是否符合规范</w:t>
      </w:r>
    </w:p>
    <w:p w14:paraId="4ED21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注意图面内容配置、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要素搭配着色、注记图例、比例尺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署名等</w:t>
      </w:r>
    </w:p>
    <w:p w14:paraId="414130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2.图件信息缺失</w:t>
      </w:r>
    </w:p>
    <w:p w14:paraId="568F0B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缺少面积统计表或面积统计表不完整（在属性图中）；坐标、投影、高程基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准、署名等图廓信息是否完整。</w:t>
      </w:r>
    </w:p>
    <w:p w14:paraId="77A89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3.图件缺失</w:t>
      </w:r>
      <w:bookmarkStart w:id="0" w:name="_GoBack"/>
      <w:bookmarkEnd w:id="0"/>
    </w:p>
    <w:p w14:paraId="2C308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数据库中不存在图件</w:t>
      </w:r>
    </w:p>
    <w:p w14:paraId="69438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4.其他</w:t>
      </w:r>
    </w:p>
    <w:p w14:paraId="07645F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美观性，易读性，着色。图面清晰度、图件信息清晰度。</w:t>
      </w:r>
    </w:p>
    <w:p w14:paraId="0F21F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文字成果</w:t>
      </w:r>
    </w:p>
    <w:p w14:paraId="4067B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（一）资料收集与整理</w:t>
      </w:r>
    </w:p>
    <w:p w14:paraId="2EEFF0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收集2018</w:t>
      </w:r>
      <w:r>
        <w:rPr>
          <w:sz w:val="24"/>
          <w:szCs w:val="24"/>
        </w:rPr>
        <w:noBreakHyphen/>
      </w:r>
      <w:r>
        <w:rPr>
          <w:sz w:val="24"/>
          <w:szCs w:val="24"/>
        </w:rPr>
        <w:t>2022年各县区历史耕地质量评价、统计年鉴、高标准农田建设资料；市级层面没有开展同口径裁剪再对比分析，直接采用各县原有对比成果汇总；缺少跨县区统一的实地测产、外业踏勘原始记录台账。</w:t>
      </w:r>
    </w:p>
    <w:p w14:paraId="30E26E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多源空间预处理记录缺失：报告描述各县完成坐标统一、拓扑修复，市级汇总环节图层拼接前，跨县边界图层冲突核查、栅格重采样、掩膜裁剪、异常值处理缺少书面预处理记录。</w:t>
      </w:r>
    </w:p>
    <w:p w14:paraId="11E4D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（二）评价分区和单元划分</w:t>
      </w:r>
    </w:p>
    <w:p w14:paraId="406A7C1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单元碎小图斑合并阈值、飞地、跨乡镇图斑处置规则为县级管控，市级报告未复述各县碎图斑合并规则；跨县飞地图斑拼接处置规则缺失。</w:t>
      </w:r>
    </w:p>
    <w:p w14:paraId="59930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（三）评价指标选取和单元赋值</w:t>
      </w:r>
    </w:p>
    <w:p w14:paraId="3D672E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赋值手段包含土种关联赋值、栅格分区统计、DEM提取、点代面；各县自行划定不同子区域赋值策略；市级汇总未复核各县不同区域赋值策略合理性，无跨县同类型区域赋值比对记录。</w:t>
      </w:r>
    </w:p>
    <w:p w14:paraId="263552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不同指标选用函数类型（戒上型、峰型、概念型等）执行规范附录；缺少对部分指标函数选型的复核记录归档。</w:t>
      </w:r>
    </w:p>
    <w:p w14:paraId="61E79F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（四）等级划分及产能计算</w:t>
      </w:r>
    </w:p>
    <w:p w14:paraId="07524FE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未复核各县产能拟合原始样本、R²拟合优度校验指标；缺少跨县相邻区域产能合理性比对。</w:t>
      </w:r>
    </w:p>
    <w:p w14:paraId="342064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熟制参数m由各县根据本地熟制设定，</w:t>
      </w:r>
      <w:r>
        <w:rPr>
          <w:rFonts w:hint="eastAsia"/>
          <w:sz w:val="24"/>
          <w:szCs w:val="24"/>
          <w:lang w:val="en-US" w:eastAsia="zh-CN"/>
        </w:rPr>
        <w:t>未</w:t>
      </w:r>
      <w:r>
        <w:rPr>
          <w:sz w:val="24"/>
          <w:szCs w:val="24"/>
        </w:rPr>
        <w:t>汇总各县熟制参数清单，缺少跨县熟制差异说明。</w:t>
      </w:r>
    </w:p>
    <w:p w14:paraId="4550C82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多处表格占比写0.00%，无四舍五入规则备注；子项求和合计校验过程未见文字记录。</w:t>
      </w:r>
    </w:p>
    <w:p w14:paraId="5D430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（五）评价结果验证</w:t>
      </w:r>
    </w:p>
    <w:p w14:paraId="5EB180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缺少评价单元抽样复核方案：抽样数量、空间布点方案缺失，没有随机抽取跨县边界单元复核综合指数、等级判定。</w:t>
      </w:r>
    </w:p>
    <w:p w14:paraId="5B8793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sz w:val="24"/>
          <w:szCs w:val="24"/>
        </w:rPr>
      </w:pPr>
      <w:r>
        <w:rPr>
          <w:sz w:val="24"/>
          <w:szCs w:val="24"/>
        </w:rPr>
        <w:t>缺失验证不通过处置流程说明：偏差超标后如何回溯修正指标、权重、隶属函数参数未见描述。</w:t>
      </w:r>
    </w:p>
    <w:p w14:paraId="60FD2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（六）耕地质量等级图编制</w:t>
      </w:r>
    </w:p>
    <w:p w14:paraId="4C1996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eastAsiaTheme="minor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16.请检查并修改所有图件类似情况。</w:t>
      </w:r>
    </w:p>
    <w:p w14:paraId="4A7CB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default"/>
          <w:color w:val="auto"/>
          <w:sz w:val="24"/>
          <w:szCs w:val="24"/>
          <w:lang w:val="en-US" w:eastAsia="zh-CN"/>
        </w:rPr>
        <w:drawing>
          <wp:inline distT="0" distB="0" distL="114300" distR="114300">
            <wp:extent cx="4400550" cy="2133600"/>
            <wp:effectExtent l="0" t="0" r="6350" b="0"/>
            <wp:docPr id="1" name="图片 1" descr="205d23b9-d574-41ed-8dfd-185154ce5c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5d23b9-d574-41ed-8dfd-185154ce5cb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6B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328FC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01B91298"/>
    <w:p w14:paraId="144FE70F"/>
    <w:p w14:paraId="4F9910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902D01"/>
    <w:multiLevelType w:val="singleLevel"/>
    <w:tmpl w:val="D3902D0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E85B2D"/>
    <w:rsid w:val="11E8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i Baiti" w:hAnsi="Microsoft Yi Baiti" w:eastAsia="Microsoft Yi Baiti" w:cs="Microsoft Yi Baiti"/>
      <w:sz w:val="20"/>
      <w:szCs w:val="20"/>
      <w:lang w:val="en-US" w:eastAsia="en-US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2026-09-26T06:24:00Z</dcterms:created>
  <dc:creator>姚雨帆</dc:creator>
  <cp:lastModifiedBy>姚雨帆</cp:lastModifiedBy>
  <dcterms:modified xsi:type="dcterms:W3CDTF">2026-09-26T06:41:32Z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5734DE1B7879460DAA7F7F3A5D019386_11</vt:lpwstr>
  </property>
  <property fmtid="{D5CDD505-2E9C-101B-9397-08002B2CF9AE}" pid="4" name="KSOTemplateDocerSaveRecord">
    <vt:lpwstr>eyJoZGlkIjoiN2ZiMWU4NjE2ZThjZWFmNTIyNjY1N2Y2MGM4NGU0YzgiLCJ1c2VySWQiOiIxNzY4NTM1ODk0In0=</vt:lpwstr>
  </property>
</Properties>
</file>