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3"/>
        <w:ind w:firstLine="480"/>
        <w:jc w:val="center"/>
        <w:rPr>
          <w:rFonts w:cs="Times New Roman"/>
          <w:b/>
          <w:kern w:val="44"/>
          <w:sz w:val="36"/>
          <w:szCs w:val="48"/>
        </w:rPr>
      </w:pPr>
      <w:bookmarkStart w:id="0" w:name="_Toc241153134"/>
      <w:bookmarkStart w:id="1" w:name="_Toc228109822"/>
      <w:r>
        <w:drawing>
          <wp:inline distT="0" distB="0" distL="0" distR="0">
            <wp:extent cx="3488690" cy="2167890"/>
            <wp:effectExtent l="0" t="0" r="0" b="3810"/>
            <wp:docPr id="1774232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32649" name="图片 1"/>
                    <pic:cNvPicPr>
                      <a:picLocks noChangeAspect="1"/>
                    </pic:cNvPicPr>
                  </pic:nvPicPr>
                  <pic:blipFill>
                    <a:blip r:embed="rId15"/>
                    <a:stretch>
                      <a:fillRect/>
                    </a:stretch>
                  </pic:blipFill>
                  <pic:spPr>
                    <a:xfrm>
                      <a:off x="0" y="0"/>
                      <a:ext cx="3492792" cy="2170520"/>
                    </a:xfrm>
                    <a:prstGeom prst="rect">
                      <a:avLst/>
                    </a:prstGeom>
                  </pic:spPr>
                </pic:pic>
              </a:graphicData>
            </a:graphic>
          </wp:inline>
        </w:drawing>
      </w:r>
      <w:bookmarkEnd w:id="0"/>
    </w:p>
    <w:p>
      <w:pPr>
        <w:pStyle w:val="93"/>
        <w:ind w:left="0" w:leftChars="0" w:firstLine="0" w:firstLineChars="0"/>
        <w:jc w:val="center"/>
        <w:rPr>
          <w:rFonts w:hint="eastAsia"/>
          <w:b/>
          <w:bCs/>
          <w:sz w:val="44"/>
          <w:szCs w:val="44"/>
          <w:lang w:eastAsia="zh-CN"/>
        </w:rPr>
      </w:pPr>
      <w:bookmarkStart w:id="2" w:name="_Toc241153135"/>
      <w:r>
        <w:rPr>
          <w:rFonts w:hint="eastAsia"/>
          <w:b/>
          <w:bCs/>
          <w:sz w:val="44"/>
          <w:szCs w:val="44"/>
        </w:rPr>
        <w:t>泊头市第三次全国土壤普查</w:t>
      </w:r>
      <w:bookmarkEnd w:id="2"/>
      <w:bookmarkStart w:id="3" w:name="_Toc241153136"/>
      <w:r>
        <w:rPr>
          <w:rFonts w:hint="eastAsia"/>
          <w:b/>
          <w:bCs/>
          <w:sz w:val="44"/>
          <w:szCs w:val="44"/>
          <w:lang w:eastAsia="zh-CN"/>
        </w:rPr>
        <w:t>桑椹</w:t>
      </w:r>
    </w:p>
    <w:p>
      <w:pPr>
        <w:pStyle w:val="93"/>
        <w:ind w:left="0" w:leftChars="0" w:firstLine="0" w:firstLineChars="0"/>
        <w:jc w:val="center"/>
        <w:rPr>
          <w:b/>
          <w:bCs/>
          <w:sz w:val="44"/>
          <w:szCs w:val="44"/>
        </w:rPr>
      </w:pPr>
      <w:r>
        <w:rPr>
          <w:rFonts w:hint="eastAsia"/>
          <w:b/>
          <w:bCs/>
          <w:sz w:val="44"/>
          <w:szCs w:val="44"/>
        </w:rPr>
        <w:t>土特产品土壤适宜性评价报告</w:t>
      </w:r>
      <w:bookmarkEnd w:id="3"/>
      <w:r>
        <w:commentReference w:id="0"/>
      </w:r>
      <w:r>
        <w:commentReference w:id="1"/>
      </w:r>
    </w:p>
    <w:p>
      <w:pPr>
        <w:pStyle w:val="93"/>
        <w:ind w:firstLine="723"/>
        <w:jc w:val="center"/>
        <w:rPr>
          <w:b/>
          <w:bCs/>
          <w:sz w:val="36"/>
          <w:szCs w:val="36"/>
        </w:rPr>
      </w:pPr>
      <w:r>
        <w:commentReference w:id="2"/>
      </w:r>
    </w:p>
    <w:p>
      <w:pPr>
        <w:pStyle w:val="93"/>
        <w:ind w:firstLine="723"/>
        <w:jc w:val="center"/>
        <w:rPr>
          <w:b/>
          <w:bCs/>
          <w:sz w:val="36"/>
          <w:szCs w:val="36"/>
        </w:rPr>
      </w:pPr>
    </w:p>
    <w:p>
      <w:pPr>
        <w:pStyle w:val="93"/>
        <w:ind w:firstLine="723"/>
        <w:jc w:val="center"/>
        <w:rPr>
          <w:b/>
          <w:bCs/>
          <w:sz w:val="36"/>
          <w:szCs w:val="36"/>
        </w:rPr>
      </w:pPr>
    </w:p>
    <w:p>
      <w:pPr>
        <w:pStyle w:val="93"/>
        <w:ind w:firstLine="723"/>
        <w:jc w:val="center"/>
        <w:rPr>
          <w:b/>
          <w:bCs/>
          <w:sz w:val="36"/>
          <w:szCs w:val="36"/>
        </w:rPr>
      </w:pPr>
    </w:p>
    <w:p>
      <w:pPr>
        <w:pStyle w:val="93"/>
        <w:ind w:firstLine="723"/>
        <w:jc w:val="center"/>
        <w:rPr>
          <w:b/>
          <w:bCs/>
          <w:sz w:val="36"/>
          <w:szCs w:val="36"/>
        </w:rPr>
      </w:pPr>
    </w:p>
    <w:p>
      <w:pPr>
        <w:pStyle w:val="93"/>
        <w:ind w:firstLine="723"/>
        <w:jc w:val="center"/>
        <w:rPr>
          <w:b/>
          <w:bCs/>
          <w:sz w:val="36"/>
          <w:szCs w:val="36"/>
        </w:rPr>
      </w:pPr>
    </w:p>
    <w:p>
      <w:pPr>
        <w:pStyle w:val="93"/>
        <w:ind w:firstLine="723"/>
        <w:jc w:val="center"/>
        <w:rPr>
          <w:b/>
          <w:bCs/>
          <w:sz w:val="36"/>
          <w:szCs w:val="36"/>
        </w:rPr>
      </w:pPr>
    </w:p>
    <w:p>
      <w:pPr>
        <w:pStyle w:val="93"/>
        <w:ind w:firstLine="723"/>
        <w:jc w:val="center"/>
        <w:rPr>
          <w:b/>
          <w:bCs/>
          <w:sz w:val="36"/>
          <w:szCs w:val="36"/>
        </w:rPr>
      </w:pPr>
    </w:p>
    <w:p>
      <w:pPr>
        <w:pStyle w:val="93"/>
        <w:ind w:firstLine="723"/>
        <w:jc w:val="center"/>
        <w:rPr>
          <w:b/>
          <w:bCs/>
          <w:sz w:val="36"/>
          <w:szCs w:val="36"/>
        </w:rPr>
      </w:pPr>
    </w:p>
    <w:p>
      <w:pPr>
        <w:pStyle w:val="93"/>
        <w:ind w:firstLine="723"/>
        <w:jc w:val="center"/>
        <w:rPr>
          <w:b/>
          <w:bCs/>
          <w:sz w:val="36"/>
          <w:szCs w:val="36"/>
        </w:rPr>
      </w:pPr>
    </w:p>
    <w:p>
      <w:pPr>
        <w:pStyle w:val="93"/>
        <w:ind w:firstLine="723"/>
        <w:jc w:val="center"/>
        <w:rPr>
          <w:b/>
          <w:bCs/>
          <w:sz w:val="36"/>
          <w:szCs w:val="36"/>
        </w:rPr>
      </w:pPr>
    </w:p>
    <w:p>
      <w:pPr>
        <w:pStyle w:val="93"/>
        <w:ind w:firstLine="723"/>
        <w:jc w:val="center"/>
        <w:rPr>
          <w:b/>
          <w:bCs/>
          <w:sz w:val="36"/>
          <w:szCs w:val="36"/>
        </w:rPr>
      </w:pPr>
    </w:p>
    <w:p>
      <w:pPr>
        <w:kinsoku/>
        <w:autoSpaceDE/>
        <w:autoSpaceDN/>
        <w:adjustRightInd/>
        <w:snapToGrid/>
        <w:spacing w:line="360" w:lineRule="auto"/>
        <w:ind w:firstLine="0" w:firstLineChars="0"/>
        <w:jc w:val="center"/>
        <w:textAlignment w:val="auto"/>
        <w:rPr>
          <w:rFonts w:cs="Times New Roman"/>
          <w:b/>
          <w:kern w:val="44"/>
          <w:sz w:val="36"/>
          <w:szCs w:val="48"/>
          <w:lang w:eastAsia="zh-CN"/>
        </w:rPr>
      </w:pPr>
      <w:r>
        <w:rPr>
          <w:rFonts w:cs="Times New Roman"/>
          <w:b/>
          <w:kern w:val="44"/>
          <w:sz w:val="28"/>
          <w:szCs w:val="40"/>
          <w:lang w:eastAsia="zh-CN"/>
        </w:rPr>
        <w:t>二〇二</w:t>
      </w:r>
      <w:r>
        <w:rPr>
          <w:rFonts w:hint="eastAsia" w:cs="Times New Roman"/>
          <w:b/>
          <w:kern w:val="44"/>
          <w:sz w:val="28"/>
          <w:szCs w:val="40"/>
          <w:lang w:val="en-US" w:eastAsia="zh-CN"/>
        </w:rPr>
        <w:t>六</w:t>
      </w:r>
      <w:r>
        <w:rPr>
          <w:rFonts w:cs="Times New Roman"/>
          <w:b/>
          <w:kern w:val="44"/>
          <w:sz w:val="28"/>
          <w:szCs w:val="40"/>
          <w:lang w:eastAsia="zh-CN"/>
        </w:rPr>
        <w:t>年</w:t>
      </w:r>
      <w:r>
        <w:rPr>
          <w:rFonts w:hint="eastAsia" w:cs="Times New Roman"/>
          <w:b/>
          <w:kern w:val="44"/>
          <w:sz w:val="28"/>
          <w:szCs w:val="40"/>
          <w:lang w:val="en-US" w:eastAsia="zh-CN"/>
        </w:rPr>
        <w:t>九</w:t>
      </w:r>
      <w:r>
        <w:rPr>
          <w:rFonts w:cs="Times New Roman"/>
          <w:b/>
          <w:kern w:val="44"/>
          <w:sz w:val="28"/>
          <w:szCs w:val="40"/>
          <w:lang w:eastAsia="zh-CN"/>
        </w:rPr>
        <w:t xml:space="preserve">月 </w:t>
      </w:r>
      <w:r>
        <w:rPr>
          <w:rFonts w:cs="Times New Roman"/>
          <w:b/>
          <w:kern w:val="44"/>
          <w:sz w:val="36"/>
          <w:szCs w:val="48"/>
          <w:lang w:eastAsia="zh-CN"/>
        </w:rPr>
        <w:br w:type="page"/>
      </w:r>
    </w:p>
    <w:p>
      <w:pPr>
        <w:kinsoku/>
        <w:autoSpaceDE/>
        <w:autoSpaceDN/>
        <w:adjustRightInd/>
        <w:snapToGrid/>
        <w:spacing w:line="360" w:lineRule="auto"/>
        <w:ind w:firstLine="0" w:firstLineChars="0"/>
        <w:jc w:val="center"/>
        <w:textAlignment w:val="auto"/>
      </w:pPr>
      <w:commentRangeStart w:id="3"/>
      <w:commentRangeStart w:id="4"/>
      <w:r>
        <w:rPr>
          <w:rFonts w:hint="eastAsia" w:cs="Times New Roman"/>
          <w:b/>
          <w:kern w:val="44"/>
          <w:sz w:val="36"/>
          <w:szCs w:val="48"/>
          <w:lang w:eastAsia="zh-CN"/>
        </w:rPr>
        <w:t>目录</w:t>
      </w:r>
      <w:commentRangeEnd w:id="3"/>
      <w:r>
        <w:commentReference w:id="3"/>
      </w:r>
      <w:commentRangeEnd w:id="4"/>
      <w:r>
        <w:commentReference w:id="4"/>
      </w:r>
      <w:r>
        <w:rPr>
          <w:rFonts w:cs="Times New Roman"/>
          <w:b/>
          <w:kern w:val="44"/>
          <w:sz w:val="36"/>
          <w:szCs w:val="48"/>
          <w:lang w:eastAsia="zh-CN"/>
        </w:rPr>
        <w:fldChar w:fldCharType="begin"/>
      </w:r>
      <w:r>
        <w:rPr>
          <w:rFonts w:cs="Times New Roman"/>
          <w:b/>
          <w:kern w:val="44"/>
          <w:sz w:val="36"/>
          <w:szCs w:val="48"/>
          <w:lang w:eastAsia="zh-CN"/>
        </w:rPr>
        <w:instrText xml:space="preserve"> TOC \o "1-3" \h \z \u </w:instrText>
      </w:r>
      <w:r>
        <w:rPr>
          <w:rFonts w:cs="Times New Roman"/>
          <w:b/>
          <w:kern w:val="44"/>
          <w:sz w:val="36"/>
          <w:szCs w:val="48"/>
          <w:lang w:eastAsia="zh-CN"/>
        </w:rPr>
        <w:fldChar w:fldCharType="separate"/>
      </w:r>
    </w:p>
    <w:p>
      <w:pPr>
        <w:pStyle w:val="21"/>
        <w:tabs>
          <w:tab w:val="right" w:leader="dot" w:pos="8296"/>
        </w:tabs>
        <w:spacing w:line="360" w:lineRule="auto"/>
        <w:ind w:firstLine="0" w:firstLineChars="0"/>
        <w:rPr>
          <w:rFonts w:cs="Times New Roman"/>
          <w:snapToGrid/>
          <w:color w:val="auto"/>
          <w:kern w:val="2"/>
          <w:sz w:val="22"/>
          <w:szCs w:val="24"/>
          <w:lang w:eastAsia="zh-CN"/>
          <w14:ligatures w14:val="standardContextual"/>
        </w:rPr>
      </w:pPr>
      <w:r>
        <w:fldChar w:fldCharType="begin"/>
      </w:r>
      <w:r>
        <w:instrText xml:space="preserve"> HYPERLINK \l "_Toc241153602" </w:instrText>
      </w:r>
      <w:r>
        <w:fldChar w:fldCharType="separate"/>
      </w:r>
      <w:r>
        <w:rPr>
          <w:rStyle w:val="37"/>
          <w:rFonts w:cs="Times New Roman"/>
        </w:rPr>
        <w:t>一、区域概况及土特产品生产情况</w:t>
      </w:r>
      <w:r>
        <w:rPr>
          <w:rFonts w:cs="Times New Roman"/>
        </w:rPr>
        <w:tab/>
      </w:r>
      <w:r>
        <w:rPr>
          <w:rFonts w:cs="Times New Roman"/>
        </w:rPr>
        <w:fldChar w:fldCharType="begin"/>
      </w:r>
      <w:r>
        <w:rPr>
          <w:rFonts w:cs="Times New Roman"/>
        </w:rPr>
        <w:instrText xml:space="preserve"> PAGEREF _Toc241153602 \h </w:instrText>
      </w:r>
      <w:r>
        <w:rPr>
          <w:rFonts w:cs="Times New Roman"/>
        </w:rPr>
        <w:fldChar w:fldCharType="separate"/>
      </w:r>
      <w:r>
        <w:rPr>
          <w:rFonts w:cs="Times New Roman"/>
        </w:rPr>
        <w:t>3</w:t>
      </w:r>
      <w:r>
        <w:rPr>
          <w:rFonts w:cs="Times New Roman"/>
        </w:rPr>
        <w:fldChar w:fldCharType="end"/>
      </w:r>
      <w:r>
        <w:rPr>
          <w:rFonts w:cs="Times New Roman"/>
        </w:rPr>
        <w:fldChar w:fldCharType="end"/>
      </w:r>
    </w:p>
    <w:p>
      <w:pPr>
        <w:pStyle w:val="26"/>
        <w:tabs>
          <w:tab w:val="right" w:leader="dot" w:pos="8296"/>
        </w:tabs>
        <w:spacing w:line="360" w:lineRule="auto"/>
        <w:ind w:left="240" w:leftChars="100" w:firstLine="240" w:firstLineChars="100"/>
        <w:rPr>
          <w:rFonts w:cs="Times New Roman"/>
          <w:snapToGrid/>
          <w:color w:val="auto"/>
          <w:kern w:val="2"/>
          <w:sz w:val="22"/>
          <w:szCs w:val="24"/>
          <w:lang w:eastAsia="zh-CN"/>
          <w14:ligatures w14:val="standardContextual"/>
        </w:rPr>
      </w:pPr>
      <w:r>
        <w:fldChar w:fldCharType="begin"/>
      </w:r>
      <w:r>
        <w:instrText xml:space="preserve"> HYPERLINK \l "_Toc241153603" </w:instrText>
      </w:r>
      <w:r>
        <w:fldChar w:fldCharType="separate"/>
      </w:r>
      <w:r>
        <w:rPr>
          <w:rStyle w:val="37"/>
          <w:rFonts w:cs="Times New Roman"/>
          <w:lang w:eastAsia="zh-CN"/>
        </w:rPr>
        <w:t>（一）土特产品生产概况</w:t>
      </w:r>
      <w:r>
        <w:rPr>
          <w:rFonts w:cs="Times New Roman"/>
        </w:rPr>
        <w:tab/>
      </w:r>
      <w:r>
        <w:rPr>
          <w:rFonts w:cs="Times New Roman"/>
        </w:rPr>
        <w:fldChar w:fldCharType="begin"/>
      </w:r>
      <w:r>
        <w:rPr>
          <w:rFonts w:cs="Times New Roman"/>
        </w:rPr>
        <w:instrText xml:space="preserve"> PAGEREF _Toc241153603 \h </w:instrText>
      </w:r>
      <w:r>
        <w:rPr>
          <w:rFonts w:cs="Times New Roman"/>
        </w:rPr>
        <w:fldChar w:fldCharType="separate"/>
      </w:r>
      <w:r>
        <w:rPr>
          <w:rFonts w:cs="Times New Roman"/>
        </w:rPr>
        <w:t>3</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"_Toc241153604" </w:instrText>
      </w:r>
      <w:r>
        <w:fldChar w:fldCharType="separate"/>
      </w:r>
      <w:r>
        <w:rPr>
          <w:rStyle w:val="37"/>
          <w:rFonts w:cs="Times New Roman"/>
          <w:lang w:eastAsia="zh-CN"/>
        </w:rPr>
        <w:t>1. 土壤条件</w:t>
      </w:r>
      <w:r>
        <w:rPr>
          <w:rFonts w:cs="Times New Roman"/>
        </w:rPr>
        <w:tab/>
      </w:r>
      <w:r>
        <w:rPr>
          <w:rFonts w:cs="Times New Roman"/>
        </w:rPr>
        <w:fldChar w:fldCharType="begin"/>
      </w:r>
      <w:r>
        <w:rPr>
          <w:rFonts w:cs="Times New Roman"/>
        </w:rPr>
        <w:instrText xml:space="preserve"> PAGEREF _Toc241153604 \h </w:instrText>
      </w:r>
      <w:r>
        <w:rPr>
          <w:rFonts w:cs="Times New Roman"/>
        </w:rPr>
        <w:fldChar w:fldCharType="separate"/>
      </w:r>
      <w:r>
        <w:rPr>
          <w:rFonts w:cs="Times New Roman"/>
        </w:rPr>
        <w:t>4</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"_Toc241153605" </w:instrText>
      </w:r>
      <w:r>
        <w:fldChar w:fldCharType="separate"/>
      </w:r>
      <w:r>
        <w:rPr>
          <w:rStyle w:val="37"/>
          <w:rFonts w:cs="Times New Roman"/>
          <w:lang w:eastAsia="zh-CN"/>
        </w:rPr>
        <w:t>2. 气候条件</w:t>
      </w:r>
      <w:r>
        <w:rPr>
          <w:rFonts w:cs="Times New Roman"/>
        </w:rPr>
        <w:tab/>
      </w:r>
      <w:r>
        <w:rPr>
          <w:rFonts w:cs="Times New Roman"/>
        </w:rPr>
        <w:fldChar w:fldCharType="begin"/>
      </w:r>
      <w:r>
        <w:rPr>
          <w:rFonts w:cs="Times New Roman"/>
        </w:rPr>
        <w:instrText xml:space="preserve"> PAGEREF _Toc241153605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"_Toc241153606" </w:instrText>
      </w:r>
      <w:r>
        <w:fldChar w:fldCharType="separate"/>
      </w:r>
      <w:r>
        <w:rPr>
          <w:rStyle w:val="37"/>
          <w:rFonts w:cs="Times New Roman"/>
          <w:lang w:eastAsia="zh-CN"/>
        </w:rPr>
        <w:t>3. 水文资源</w:t>
      </w:r>
      <w:r>
        <w:rPr>
          <w:rFonts w:cs="Times New Roman"/>
        </w:rPr>
        <w:tab/>
      </w:r>
      <w:r>
        <w:rPr>
          <w:rFonts w:cs="Times New Roman"/>
        </w:rPr>
        <w:fldChar w:fldCharType="begin"/>
      </w:r>
      <w:r>
        <w:rPr>
          <w:rFonts w:cs="Times New Roman"/>
        </w:rPr>
        <w:instrText xml:space="preserve"> PAGEREF _Toc241153606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"_Toc241153607" </w:instrText>
      </w:r>
      <w:r>
        <w:fldChar w:fldCharType="separate"/>
      </w:r>
      <w:r>
        <w:rPr>
          <w:rStyle w:val="37"/>
          <w:rFonts w:cs="Times New Roman"/>
          <w:lang w:eastAsia="zh-CN"/>
        </w:rPr>
        <w:t>4. 地形地貌</w:t>
      </w:r>
      <w:r>
        <w:rPr>
          <w:rFonts w:cs="Times New Roman"/>
        </w:rPr>
        <w:tab/>
      </w:r>
      <w:r>
        <w:rPr>
          <w:rFonts w:cs="Times New Roman"/>
        </w:rPr>
        <w:fldChar w:fldCharType="begin"/>
      </w:r>
      <w:r>
        <w:rPr>
          <w:rFonts w:cs="Times New Roman"/>
        </w:rPr>
        <w:instrText xml:space="preserve"> PAGEREF _Toc241153607 \h </w:instrText>
      </w:r>
      <w:r>
        <w:rPr>
          <w:rFonts w:cs="Times New Roman"/>
        </w:rPr>
        <w:fldChar w:fldCharType="separate"/>
      </w:r>
      <w:r>
        <w:rPr>
          <w:rFonts w:cs="Times New Roman"/>
        </w:rPr>
        <w:t>6</w:t>
      </w:r>
      <w:r>
        <w:rPr>
          <w:rFonts w:cs="Times New Roman"/>
        </w:rPr>
        <w:fldChar w:fldCharType="end"/>
      </w:r>
      <w:r>
        <w:rPr>
          <w:rFonts w:cs="Times New Roman"/>
        </w:rPr>
        <w:fldChar w:fldCharType="end"/>
      </w:r>
    </w:p>
    <w:p>
      <w:pPr>
        <w:pStyle w:val="26"/>
        <w:tabs>
          <w:tab w:val="right" w:leader="dot" w:pos="8296"/>
        </w:tabs>
        <w:spacing w:line="360" w:lineRule="auto"/>
        <w:ind w:left="240" w:leftChars="100" w:firstLine="240" w:firstLineChars="100"/>
        <w:rPr>
          <w:rFonts w:cs="Times New Roman"/>
          <w:snapToGrid/>
          <w:color w:val="auto"/>
          <w:kern w:val="2"/>
          <w:sz w:val="22"/>
          <w:szCs w:val="24"/>
          <w:lang w:eastAsia="zh-CN"/>
          <w14:ligatures w14:val="standardContextual"/>
        </w:rPr>
      </w:pPr>
      <w:r>
        <w:fldChar w:fldCharType="begin"/>
      </w:r>
      <w:r>
        <w:instrText xml:space="preserve"> HYPERLINK \l "_Toc241153608" </w:instrText>
      </w:r>
      <w:r>
        <w:fldChar w:fldCharType="separate"/>
      </w:r>
      <w:r>
        <w:rPr>
          <w:rStyle w:val="37"/>
          <w:rFonts w:cs="Times New Roman"/>
          <w:lang w:eastAsia="zh-CN"/>
        </w:rPr>
        <w:t>（二）泊头市</w:t>
      </w:r>
      <w:r>
        <w:rPr>
          <w:rStyle w:val="37"/>
          <w:rFonts w:hint="eastAsia" w:cs="Times New Roman"/>
          <w:lang w:eastAsia="zh-CN"/>
        </w:rPr>
        <w:t>桑椹</w:t>
      </w:r>
      <w:r>
        <w:rPr>
          <w:rStyle w:val="37"/>
          <w:rFonts w:cs="Times New Roman"/>
          <w:lang w:eastAsia="zh-CN"/>
        </w:rPr>
        <w:t>土特产品简介</w:t>
      </w:r>
      <w:r>
        <w:rPr>
          <w:rFonts w:cs="Times New Roman"/>
        </w:rPr>
        <w:tab/>
      </w:r>
      <w:r>
        <w:rPr>
          <w:rFonts w:cs="Times New Roman"/>
        </w:rPr>
        <w:fldChar w:fldCharType="begin"/>
      </w:r>
      <w:r>
        <w:rPr>
          <w:rFonts w:cs="Times New Roman"/>
        </w:rPr>
        <w:instrText xml:space="preserve"> PAGEREF _Toc241153608 \h </w:instrText>
      </w:r>
      <w:r>
        <w:rPr>
          <w:rFonts w:cs="Times New Roman"/>
        </w:rPr>
        <w:fldChar w:fldCharType="separate"/>
      </w:r>
      <w:r>
        <w:rPr>
          <w:rFonts w:cs="Times New Roman"/>
        </w:rPr>
        <w:t>7</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"_Toc241153609" </w:instrText>
      </w:r>
      <w:r>
        <w:fldChar w:fldCharType="separate"/>
      </w:r>
      <w:r>
        <w:rPr>
          <w:rStyle w:val="37"/>
          <w:rFonts w:cs="Times New Roman"/>
          <w:lang w:eastAsia="zh-CN"/>
        </w:rPr>
        <w:t>1. 种植历史</w:t>
      </w:r>
      <w:r>
        <w:rPr>
          <w:rFonts w:cs="Times New Roman"/>
        </w:rPr>
        <w:tab/>
      </w:r>
      <w:r>
        <w:rPr>
          <w:rFonts w:cs="Times New Roman"/>
        </w:rPr>
        <w:fldChar w:fldCharType="begin"/>
      </w:r>
      <w:r>
        <w:rPr>
          <w:rFonts w:cs="Times New Roman"/>
        </w:rPr>
        <w:instrText xml:space="preserve"> PAGEREF _Toc241153609 \h </w:instrText>
      </w:r>
      <w:r>
        <w:rPr>
          <w:rFonts w:cs="Times New Roman"/>
        </w:rPr>
        <w:fldChar w:fldCharType="separate"/>
      </w:r>
      <w:r>
        <w:rPr>
          <w:rFonts w:cs="Times New Roman"/>
        </w:rPr>
        <w:t>8</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"_Toc241153610" </w:instrText>
      </w:r>
      <w:r>
        <w:fldChar w:fldCharType="separate"/>
      </w:r>
      <w:r>
        <w:rPr>
          <w:rStyle w:val="37"/>
          <w:rFonts w:cs="Times New Roman"/>
          <w:lang w:eastAsia="zh-CN"/>
        </w:rPr>
        <w:t>2. 种植区域与面积</w:t>
      </w:r>
      <w:r>
        <w:rPr>
          <w:rFonts w:cs="Times New Roman"/>
        </w:rPr>
        <w:tab/>
      </w:r>
      <w:r>
        <w:rPr>
          <w:rFonts w:cs="Times New Roman"/>
        </w:rPr>
        <w:fldChar w:fldCharType="begin"/>
      </w:r>
      <w:r>
        <w:rPr>
          <w:rFonts w:cs="Times New Roman"/>
        </w:rPr>
        <w:instrText xml:space="preserve"> PAGEREF _Toc241153610 \h </w:instrText>
      </w:r>
      <w:r>
        <w:rPr>
          <w:rFonts w:cs="Times New Roman"/>
        </w:rPr>
        <w:fldChar w:fldCharType="separate"/>
      </w:r>
      <w:r>
        <w:rPr>
          <w:rFonts w:cs="Times New Roman"/>
        </w:rPr>
        <w:t>9</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"_Toc241153611" </w:instrText>
      </w:r>
      <w:r>
        <w:fldChar w:fldCharType="separate"/>
      </w:r>
      <w:r>
        <w:rPr>
          <w:rStyle w:val="37"/>
          <w:rFonts w:cs="Times New Roman"/>
          <w:lang w:eastAsia="zh-CN"/>
        </w:rPr>
        <w:t>3. 品质与产量</w:t>
      </w:r>
      <w:r>
        <w:rPr>
          <w:rFonts w:cs="Times New Roman"/>
        </w:rPr>
        <w:tab/>
      </w:r>
      <w:r>
        <w:rPr>
          <w:rFonts w:cs="Times New Roman"/>
        </w:rPr>
        <w:fldChar w:fldCharType="begin"/>
      </w:r>
      <w:r>
        <w:rPr>
          <w:rFonts w:cs="Times New Roman"/>
        </w:rPr>
        <w:instrText xml:space="preserve"> PAGEREF _Toc241153611 \h </w:instrText>
      </w:r>
      <w:r>
        <w:rPr>
          <w:rFonts w:cs="Times New Roman"/>
        </w:rPr>
        <w:fldChar w:fldCharType="separate"/>
      </w:r>
      <w:r>
        <w:rPr>
          <w:rFonts w:cs="Times New Roman"/>
        </w:rPr>
        <w:t>10</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"_Toc241153612" </w:instrText>
      </w:r>
      <w:r>
        <w:fldChar w:fldCharType="separate"/>
      </w:r>
      <w:r>
        <w:rPr>
          <w:rStyle w:val="37"/>
          <w:rFonts w:cs="Times New Roman"/>
          <w:lang w:eastAsia="zh-CN"/>
        </w:rPr>
        <w:t>4. 市场状况</w:t>
      </w:r>
      <w:r>
        <w:rPr>
          <w:rFonts w:cs="Times New Roman"/>
        </w:rPr>
        <w:tab/>
      </w:r>
      <w:r>
        <w:rPr>
          <w:rFonts w:cs="Times New Roman"/>
        </w:rPr>
        <w:fldChar w:fldCharType="begin"/>
      </w:r>
      <w:r>
        <w:rPr>
          <w:rFonts w:cs="Times New Roman"/>
        </w:rPr>
        <w:instrText xml:space="preserve"> PAGEREF _Toc241153612 \h </w:instrText>
      </w:r>
      <w:r>
        <w:rPr>
          <w:rFonts w:cs="Times New Roman"/>
        </w:rPr>
        <w:fldChar w:fldCharType="separate"/>
      </w:r>
      <w:r>
        <w:rPr>
          <w:rFonts w:cs="Times New Roman"/>
        </w:rPr>
        <w:t>11</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"_Toc241153613" </w:instrText>
      </w:r>
      <w:r>
        <w:fldChar w:fldCharType="separate"/>
      </w:r>
      <w:r>
        <w:rPr>
          <w:rStyle w:val="37"/>
          <w:rFonts w:cs="Times New Roman"/>
          <w:lang w:eastAsia="zh-CN"/>
        </w:rPr>
        <w:t>5. 存在问题</w:t>
      </w:r>
      <w:r>
        <w:rPr>
          <w:rFonts w:cs="Times New Roman"/>
        </w:rPr>
        <w:tab/>
      </w:r>
      <w:r>
        <w:rPr>
          <w:rFonts w:cs="Times New Roman"/>
        </w:rPr>
        <w:fldChar w:fldCharType="begin"/>
      </w:r>
      <w:r>
        <w:rPr>
          <w:rFonts w:cs="Times New Roman"/>
        </w:rPr>
        <w:instrText xml:space="preserve"> PAGEREF _Toc241153613 \h </w:instrText>
      </w:r>
      <w:r>
        <w:rPr>
          <w:rFonts w:cs="Times New Roman"/>
        </w:rPr>
        <w:fldChar w:fldCharType="separate"/>
      </w:r>
      <w:r>
        <w:rPr>
          <w:rFonts w:cs="Times New Roman"/>
        </w:rPr>
        <w:t>11</w:t>
      </w:r>
      <w:r>
        <w:rPr>
          <w:rFonts w:cs="Times New Roman"/>
        </w:rPr>
        <w:fldChar w:fldCharType="end"/>
      </w:r>
      <w:r>
        <w:rPr>
          <w:rFonts w:cs="Times New Roman"/>
        </w:rPr>
        <w:fldChar w:fldCharType="end"/>
      </w:r>
    </w:p>
    <w:p>
      <w:pPr>
        <w:pStyle w:val="21"/>
        <w:tabs>
          <w:tab w:val="right" w:leader="dot" w:pos="8296"/>
        </w:tabs>
        <w:spacing w:line="360" w:lineRule="auto"/>
        <w:ind w:firstLine="0" w:firstLineChars="0"/>
        <w:rPr>
          <w:rFonts w:cs="Times New Roman"/>
          <w:snapToGrid/>
          <w:color w:val="auto"/>
          <w:kern w:val="2"/>
          <w:sz w:val="22"/>
          <w:szCs w:val="24"/>
          <w:lang w:eastAsia="zh-CN"/>
          <w14:ligatures w14:val="standardContextual"/>
        </w:rPr>
      </w:pPr>
      <w:r>
        <w:fldChar w:fldCharType="begin"/>
      </w:r>
      <w:r>
        <w:instrText xml:space="preserve"> HYPERLINK \l "_Toc241153614" </w:instrText>
      </w:r>
      <w:r>
        <w:fldChar w:fldCharType="separate"/>
      </w:r>
      <w:r>
        <w:rPr>
          <w:rStyle w:val="37"/>
          <w:rFonts w:cs="Times New Roman"/>
        </w:rPr>
        <w:t>二、土特产品适宜环境条件分析</w:t>
      </w:r>
      <w:r>
        <w:rPr>
          <w:rFonts w:cs="Times New Roman"/>
        </w:rPr>
        <w:tab/>
      </w:r>
      <w:r>
        <w:rPr>
          <w:rFonts w:cs="Times New Roman"/>
        </w:rPr>
        <w:fldChar w:fldCharType="begin"/>
      </w:r>
      <w:r>
        <w:rPr>
          <w:rFonts w:cs="Times New Roman"/>
        </w:rPr>
        <w:instrText xml:space="preserve"> PAGEREF _Toc241153614 \h </w:instrText>
      </w:r>
      <w:r>
        <w:rPr>
          <w:rFonts w:cs="Times New Roman"/>
        </w:rPr>
        <w:fldChar w:fldCharType="separate"/>
      </w:r>
      <w:r>
        <w:rPr>
          <w:rFonts w:cs="Times New Roman"/>
        </w:rPr>
        <w:t>12</w:t>
      </w:r>
      <w:r>
        <w:rPr>
          <w:rFonts w:cs="Times New Roman"/>
        </w:rPr>
        <w:fldChar w:fldCharType="end"/>
      </w:r>
      <w:r>
        <w:rPr>
          <w:rFonts w:cs="Times New Roman"/>
        </w:rPr>
        <w:fldChar w:fldCharType="end"/>
      </w:r>
    </w:p>
    <w:p>
      <w:pPr>
        <w:pStyle w:val="26"/>
        <w:tabs>
          <w:tab w:val="right" w:leader="dot" w:pos="8296"/>
        </w:tabs>
        <w:spacing w:line="360" w:lineRule="auto"/>
        <w:ind w:left="240" w:leftChars="100" w:firstLine="240" w:firstLineChars="100"/>
        <w:rPr>
          <w:rFonts w:cs="Times New Roman"/>
          <w:snapToGrid/>
          <w:color w:val="auto"/>
          <w:kern w:val="2"/>
          <w:sz w:val="22"/>
          <w:szCs w:val="24"/>
          <w:lang w:eastAsia="zh-CN"/>
          <w14:ligatures w14:val="standardContextual"/>
        </w:rPr>
      </w:pPr>
      <w:r>
        <w:fldChar w:fldCharType="begin"/>
      </w:r>
      <w:r>
        <w:instrText xml:space="preserve"> HYPERLINK \l "_Toc241153615" </w:instrText>
      </w:r>
      <w:r>
        <w:fldChar w:fldCharType="separate"/>
      </w:r>
      <w:r>
        <w:rPr>
          <w:rStyle w:val="37"/>
          <w:rFonts w:cs="Times New Roman"/>
          <w:lang w:eastAsia="zh-CN"/>
        </w:rPr>
        <w:t>（一）</w:t>
      </w:r>
      <w:r>
        <w:rPr>
          <w:rStyle w:val="37"/>
          <w:rFonts w:hint="eastAsia" w:cs="Times New Roman"/>
          <w:lang w:eastAsia="zh-CN"/>
        </w:rPr>
        <w:t>桑椹</w:t>
      </w:r>
      <w:r>
        <w:rPr>
          <w:rStyle w:val="37"/>
          <w:rFonts w:cs="Times New Roman"/>
          <w:lang w:eastAsia="zh-CN"/>
        </w:rPr>
        <w:t>生长及优质生产的适宜环境的关系分析</w:t>
      </w:r>
      <w:r>
        <w:rPr>
          <w:rFonts w:cs="Times New Roman"/>
        </w:rPr>
        <w:tab/>
      </w:r>
      <w:r>
        <w:rPr>
          <w:rFonts w:cs="Times New Roman"/>
        </w:rPr>
        <w:fldChar w:fldCharType="begin"/>
      </w:r>
      <w:r>
        <w:rPr>
          <w:rFonts w:cs="Times New Roman"/>
        </w:rPr>
        <w:instrText xml:space="preserve"> PAGEREF _Toc241153615 \h </w:instrText>
      </w:r>
      <w:r>
        <w:rPr>
          <w:rFonts w:cs="Times New Roman"/>
        </w:rPr>
        <w:fldChar w:fldCharType="separate"/>
      </w:r>
      <w:r>
        <w:rPr>
          <w:rFonts w:cs="Times New Roman"/>
        </w:rPr>
        <w:t>13</w:t>
      </w:r>
      <w:r>
        <w:rPr>
          <w:rFonts w:cs="Times New Roman"/>
        </w:rPr>
        <w:fldChar w:fldCharType="end"/>
      </w:r>
      <w:r>
        <w:rPr>
          <w:rFonts w:cs="Times New Roman"/>
        </w:rPr>
        <w:fldChar w:fldCharType="end"/>
      </w:r>
    </w:p>
    <w:p>
      <w:pPr>
        <w:pStyle w:val="26"/>
        <w:tabs>
          <w:tab w:val="right" w:leader="dot" w:pos="8296"/>
        </w:tabs>
        <w:spacing w:line="360" w:lineRule="auto"/>
        <w:ind w:left="240" w:leftChars="100" w:firstLine="240" w:firstLineChars="100"/>
        <w:rPr>
          <w:rFonts w:cs="Times New Roman"/>
          <w:snapToGrid/>
          <w:color w:val="auto"/>
          <w:kern w:val="2"/>
          <w:sz w:val="22"/>
          <w:szCs w:val="24"/>
          <w:lang w:eastAsia="zh-CN"/>
          <w14:ligatures w14:val="standardContextual"/>
        </w:rPr>
      </w:pPr>
      <w:r>
        <w:fldChar w:fldCharType="begin"/>
      </w:r>
      <w:r>
        <w:instrText xml:space="preserve"> HYPERLINK \l "_Toc241153616" </w:instrText>
      </w:r>
      <w:r>
        <w:fldChar w:fldCharType="separate"/>
      </w:r>
      <w:r>
        <w:rPr>
          <w:rStyle w:val="37"/>
          <w:rFonts w:cs="Times New Roman"/>
          <w:lang w:eastAsia="zh-CN"/>
        </w:rPr>
        <w:t>（二）区域适宜生产条件分析</w:t>
      </w:r>
      <w:r>
        <w:rPr>
          <w:rFonts w:cs="Times New Roman"/>
        </w:rPr>
        <w:tab/>
      </w:r>
      <w:r>
        <w:rPr>
          <w:rFonts w:cs="Times New Roman"/>
        </w:rPr>
        <w:fldChar w:fldCharType="begin"/>
      </w:r>
      <w:r>
        <w:rPr>
          <w:rFonts w:cs="Times New Roman"/>
        </w:rPr>
        <w:instrText xml:space="preserve"> PAGEREF _Toc241153616 \h </w:instrText>
      </w:r>
      <w:r>
        <w:rPr>
          <w:rFonts w:cs="Times New Roman"/>
        </w:rPr>
        <w:fldChar w:fldCharType="separate"/>
      </w:r>
      <w:r>
        <w:rPr>
          <w:rFonts w:cs="Times New Roman"/>
        </w:rPr>
        <w:t>16</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"_Toc241153617" </w:instrText>
      </w:r>
      <w:r>
        <w:fldChar w:fldCharType="separate"/>
      </w:r>
      <w:r>
        <w:rPr>
          <w:rStyle w:val="37"/>
          <w:rFonts w:cs="Times New Roman"/>
          <w:lang w:eastAsia="zh-CN"/>
        </w:rPr>
        <w:t>1.</w:t>
      </w:r>
      <w:r>
        <w:rPr>
          <w:rFonts w:hint="eastAsia" w:cs="Times New Roman"/>
          <w:snapToGrid/>
          <w:color w:val="auto"/>
          <w:kern w:val="2"/>
          <w:sz w:val="22"/>
          <w:szCs w:val="24"/>
          <w:lang w:eastAsia="zh-CN"/>
          <w14:ligatures w14:val="standardContextual"/>
        </w:rPr>
        <w:t xml:space="preserve"> </w:t>
      </w:r>
      <w:r>
        <w:rPr>
          <w:rStyle w:val="37"/>
          <w:rFonts w:cs="Times New Roman"/>
          <w:lang w:eastAsia="zh-CN"/>
        </w:rPr>
        <w:t>气候条件</w:t>
      </w:r>
      <w:r>
        <w:rPr>
          <w:rFonts w:cs="Times New Roman"/>
        </w:rPr>
        <w:tab/>
      </w:r>
      <w:r>
        <w:rPr>
          <w:rFonts w:cs="Times New Roman"/>
        </w:rPr>
        <w:fldChar w:fldCharType="begin"/>
      </w:r>
      <w:r>
        <w:rPr>
          <w:rFonts w:cs="Times New Roman"/>
        </w:rPr>
        <w:instrText xml:space="preserve"> PAGEREF _Toc241153617 \h </w:instrText>
      </w:r>
      <w:r>
        <w:rPr>
          <w:rFonts w:cs="Times New Roman"/>
        </w:rPr>
        <w:fldChar w:fldCharType="separate"/>
      </w:r>
      <w:r>
        <w:rPr>
          <w:rFonts w:cs="Times New Roman"/>
        </w:rPr>
        <w:t>16</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"_Toc241153618" </w:instrText>
      </w:r>
      <w:r>
        <w:fldChar w:fldCharType="separate"/>
      </w:r>
      <w:r>
        <w:rPr>
          <w:rStyle w:val="37"/>
          <w:rFonts w:cs="Times New Roman"/>
          <w:lang w:eastAsia="zh-CN"/>
        </w:rPr>
        <w:t>2. 土壤条件</w:t>
      </w:r>
      <w:r>
        <w:rPr>
          <w:rFonts w:cs="Times New Roman"/>
        </w:rPr>
        <w:tab/>
      </w:r>
      <w:r>
        <w:rPr>
          <w:rFonts w:cs="Times New Roman"/>
        </w:rPr>
        <w:fldChar w:fldCharType="begin"/>
      </w:r>
      <w:r>
        <w:rPr>
          <w:rFonts w:cs="Times New Roman"/>
        </w:rPr>
        <w:instrText xml:space="preserve"> PAGEREF _Toc241153618 \h </w:instrText>
      </w:r>
      <w:r>
        <w:rPr>
          <w:rFonts w:cs="Times New Roman"/>
        </w:rPr>
        <w:fldChar w:fldCharType="separate"/>
      </w:r>
      <w:r>
        <w:rPr>
          <w:rFonts w:cs="Times New Roman"/>
        </w:rPr>
        <w:t>17</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"_Toc241153619" </w:instrText>
      </w:r>
      <w:r>
        <w:fldChar w:fldCharType="separate"/>
      </w:r>
      <w:r>
        <w:rPr>
          <w:rStyle w:val="37"/>
          <w:rFonts w:cs="Times New Roman"/>
          <w:lang w:eastAsia="zh-CN"/>
        </w:rPr>
        <w:t>3. 地形地貌与成土母质条件</w:t>
      </w:r>
      <w:r>
        <w:rPr>
          <w:rFonts w:cs="Times New Roman"/>
        </w:rPr>
        <w:tab/>
      </w:r>
      <w:r>
        <w:rPr>
          <w:rFonts w:cs="Times New Roman"/>
        </w:rPr>
        <w:fldChar w:fldCharType="begin"/>
      </w:r>
      <w:r>
        <w:rPr>
          <w:rFonts w:cs="Times New Roman"/>
        </w:rPr>
        <w:instrText xml:space="preserve"> PAGEREF _Toc241153619 \h </w:instrText>
      </w:r>
      <w:r>
        <w:rPr>
          <w:rFonts w:cs="Times New Roman"/>
        </w:rPr>
        <w:fldChar w:fldCharType="separate"/>
      </w:r>
      <w:r>
        <w:rPr>
          <w:rFonts w:cs="Times New Roman"/>
        </w:rPr>
        <w:t>17</w:t>
      </w:r>
      <w:r>
        <w:rPr>
          <w:rFonts w:cs="Times New Roman"/>
        </w:rPr>
        <w:fldChar w:fldCharType="end"/>
      </w:r>
      <w:r>
        <w:rPr>
          <w:rFonts w:cs="Times New Roman"/>
        </w:rPr>
        <w:fldChar w:fldCharType="end"/>
      </w:r>
    </w:p>
    <w:p>
      <w:pPr>
        <w:pStyle w:val="26"/>
        <w:tabs>
          <w:tab w:val="right" w:leader="dot" w:pos="8296"/>
        </w:tabs>
        <w:spacing w:line="360" w:lineRule="auto"/>
        <w:ind w:left="0" w:leftChars="0" w:firstLine="0" w:firstLineChars="0"/>
        <w:rPr>
          <w:rFonts w:cs="Times New Roman"/>
          <w:snapToGrid/>
          <w:color w:val="auto"/>
          <w:kern w:val="2"/>
          <w:sz w:val="22"/>
          <w:szCs w:val="24"/>
          <w:lang w:eastAsia="zh-CN"/>
          <w14:ligatures w14:val="standardContextual"/>
        </w:rPr>
      </w:pPr>
      <w:r>
        <w:fldChar w:fldCharType="begin"/>
      </w:r>
      <w:r>
        <w:instrText xml:space="preserve"> HYPERLINK \l "_Toc241153620" </w:instrText>
      </w:r>
      <w:r>
        <w:fldChar w:fldCharType="separate"/>
      </w:r>
      <w:r>
        <w:rPr>
          <w:rStyle w:val="37"/>
          <w:rFonts w:hint="eastAsia" w:cs="Times New Roman"/>
          <w:lang w:eastAsia="zh-CN"/>
        </w:rPr>
        <w:t>三、</w:t>
      </w:r>
      <w:r>
        <w:rPr>
          <w:rStyle w:val="37"/>
          <w:rFonts w:cs="Times New Roman"/>
          <w:lang w:eastAsia="zh-CN"/>
        </w:rPr>
        <w:t>评价流程与方法</w:t>
      </w:r>
      <w:r>
        <w:rPr>
          <w:rFonts w:cs="Times New Roman"/>
        </w:rPr>
        <w:tab/>
      </w:r>
      <w:r>
        <w:rPr>
          <w:rFonts w:cs="Times New Roman"/>
        </w:rPr>
        <w:fldChar w:fldCharType="begin"/>
      </w:r>
      <w:r>
        <w:rPr>
          <w:rFonts w:cs="Times New Roman"/>
        </w:rPr>
        <w:instrText xml:space="preserve"> PAGEREF _Toc241153620 \h </w:instrText>
      </w:r>
      <w:r>
        <w:rPr>
          <w:rFonts w:cs="Times New Roman"/>
        </w:rPr>
        <w:fldChar w:fldCharType="separate"/>
      </w:r>
      <w:r>
        <w:rPr>
          <w:rFonts w:cs="Times New Roman"/>
        </w:rPr>
        <w:t>18</w:t>
      </w:r>
      <w:r>
        <w:rPr>
          <w:rFonts w:cs="Times New Roman"/>
        </w:rPr>
        <w:fldChar w:fldCharType="end"/>
      </w:r>
      <w:r>
        <w:rPr>
          <w:rFonts w:cs="Times New Roman"/>
        </w:rPr>
        <w:fldChar w:fldCharType="end"/>
      </w:r>
    </w:p>
    <w:p>
      <w:pPr>
        <w:pStyle w:val="26"/>
        <w:tabs>
          <w:tab w:val="left" w:pos="1200"/>
          <w:tab w:val="right" w:leader="dot" w:pos="8296"/>
        </w:tabs>
        <w:spacing w:line="360" w:lineRule="auto"/>
        <w:ind w:left="480" w:firstLine="480"/>
        <w:rPr>
          <w:rFonts w:cs="Times New Roman"/>
          <w:snapToGrid/>
          <w:color w:val="auto"/>
          <w:kern w:val="2"/>
          <w:sz w:val="22"/>
          <w:szCs w:val="24"/>
          <w:lang w:eastAsia="zh-CN"/>
          <w14:ligatures w14:val="standardContextual"/>
        </w:rPr>
      </w:pPr>
      <w:r>
        <w:fldChar w:fldCharType="begin"/>
      </w:r>
      <w:r>
        <w:instrText xml:space="preserve"> HYPERLINK \l "_Toc241153621" </w:instrText>
      </w:r>
      <w:r>
        <w:fldChar w:fldCharType="separate"/>
      </w:r>
      <w:r>
        <w:rPr>
          <w:rStyle w:val="37"/>
          <w:rFonts w:cs="Times New Roman"/>
          <w:lang w:eastAsia="zh-CN"/>
        </w:rPr>
        <w:t>1.</w:t>
      </w:r>
      <w:r>
        <w:rPr>
          <w:rFonts w:cs="Times New Roman"/>
          <w:snapToGrid/>
          <w:color w:val="auto"/>
          <w:kern w:val="2"/>
          <w:sz w:val="22"/>
          <w:szCs w:val="24"/>
          <w:lang w:eastAsia="zh-CN"/>
          <w14:ligatures w14:val="standardContextual"/>
        </w:rPr>
        <w:tab/>
      </w:r>
      <w:r>
        <w:rPr>
          <w:rStyle w:val="37"/>
          <w:rFonts w:cs="Times New Roman"/>
          <w:lang w:eastAsia="zh-CN"/>
        </w:rPr>
        <w:t>技术路线</w:t>
      </w:r>
      <w:r>
        <w:rPr>
          <w:rFonts w:cs="Times New Roman"/>
        </w:rPr>
        <w:tab/>
      </w:r>
      <w:r>
        <w:rPr>
          <w:rFonts w:cs="Times New Roman"/>
        </w:rPr>
        <w:fldChar w:fldCharType="begin"/>
      </w:r>
      <w:r>
        <w:rPr>
          <w:rFonts w:cs="Times New Roman"/>
        </w:rPr>
        <w:instrText xml:space="preserve"> PAGEREF _Toc241153621 \h </w:instrText>
      </w:r>
      <w:r>
        <w:rPr>
          <w:rFonts w:cs="Times New Roman"/>
        </w:rPr>
        <w:fldChar w:fldCharType="separate"/>
      </w:r>
      <w:r>
        <w:rPr>
          <w:rFonts w:cs="Times New Roman"/>
        </w:rPr>
        <w:t>18</w:t>
      </w:r>
      <w:r>
        <w:rPr>
          <w:rFonts w:cs="Times New Roman"/>
        </w:rPr>
        <w:fldChar w:fldCharType="end"/>
      </w:r>
      <w:r>
        <w:rPr>
          <w:rFonts w:cs="Times New Roman"/>
        </w:rPr>
        <w:fldChar w:fldCharType="end"/>
      </w:r>
    </w:p>
    <w:p>
      <w:pPr>
        <w:pStyle w:val="26"/>
        <w:tabs>
          <w:tab w:val="left" w:pos="1200"/>
          <w:tab w:val="right" w:leader="dot" w:pos="8296"/>
        </w:tabs>
        <w:spacing w:line="360" w:lineRule="auto"/>
        <w:ind w:left="480" w:firstLine="480"/>
        <w:rPr>
          <w:rFonts w:cs="Times New Roman"/>
          <w:snapToGrid/>
          <w:color w:val="auto"/>
          <w:kern w:val="2"/>
          <w:sz w:val="22"/>
          <w:szCs w:val="24"/>
          <w:lang w:eastAsia="zh-CN"/>
          <w14:ligatures w14:val="standardContextual"/>
        </w:rPr>
      </w:pPr>
      <w:r>
        <w:fldChar w:fldCharType="begin"/>
      </w:r>
      <w:r>
        <w:instrText xml:space="preserve"> HYPERLINK \l "_Toc241153622" </w:instrText>
      </w:r>
      <w:r>
        <w:fldChar w:fldCharType="separate"/>
      </w:r>
      <w:r>
        <w:rPr>
          <w:rStyle w:val="37"/>
          <w:rFonts w:cs="Times New Roman"/>
          <w:lang w:eastAsia="zh-CN"/>
        </w:rPr>
        <w:t>2.</w:t>
      </w:r>
      <w:r>
        <w:rPr>
          <w:rFonts w:cs="Times New Roman"/>
          <w:snapToGrid/>
          <w:color w:val="auto"/>
          <w:kern w:val="2"/>
          <w:sz w:val="22"/>
          <w:szCs w:val="24"/>
          <w:lang w:eastAsia="zh-CN"/>
          <w14:ligatures w14:val="standardContextual"/>
        </w:rPr>
        <w:tab/>
      </w:r>
      <w:r>
        <w:rPr>
          <w:rStyle w:val="37"/>
          <w:rFonts w:cs="Times New Roman"/>
          <w:lang w:eastAsia="zh-CN"/>
        </w:rPr>
        <w:t>预选评价指标集</w:t>
      </w:r>
      <w:r>
        <w:rPr>
          <w:rFonts w:cs="Times New Roman"/>
        </w:rPr>
        <w:tab/>
      </w:r>
      <w:r>
        <w:rPr>
          <w:rFonts w:cs="Times New Roman"/>
        </w:rPr>
        <w:fldChar w:fldCharType="begin"/>
      </w:r>
      <w:r>
        <w:rPr>
          <w:rFonts w:cs="Times New Roman"/>
        </w:rPr>
        <w:instrText xml:space="preserve"> PAGEREF _Toc241153622 \h </w:instrText>
      </w:r>
      <w:r>
        <w:rPr>
          <w:rFonts w:cs="Times New Roman"/>
        </w:rPr>
        <w:fldChar w:fldCharType="separate"/>
      </w:r>
      <w:r>
        <w:rPr>
          <w:rFonts w:cs="Times New Roman"/>
        </w:rPr>
        <w:t>18</w:t>
      </w:r>
      <w:r>
        <w:rPr>
          <w:rFonts w:cs="Times New Roman"/>
        </w:rPr>
        <w:fldChar w:fldCharType="end"/>
      </w:r>
      <w:r>
        <w:rPr>
          <w:rFonts w:cs="Times New Roman"/>
        </w:rPr>
        <w:fldChar w:fldCharType="end"/>
      </w:r>
    </w:p>
    <w:p>
      <w:pPr>
        <w:pStyle w:val="26"/>
        <w:tabs>
          <w:tab w:val="left" w:pos="1200"/>
          <w:tab w:val="right" w:leader="dot" w:pos="8296"/>
        </w:tabs>
        <w:spacing w:line="360" w:lineRule="auto"/>
        <w:ind w:left="480" w:firstLine="480"/>
        <w:rPr>
          <w:rFonts w:cs="Times New Roman"/>
          <w:snapToGrid/>
          <w:color w:val="auto"/>
          <w:kern w:val="2"/>
          <w:sz w:val="22"/>
          <w:szCs w:val="24"/>
          <w:lang w:eastAsia="zh-CN"/>
          <w14:ligatures w14:val="standardContextual"/>
        </w:rPr>
      </w:pPr>
      <w:r>
        <w:fldChar w:fldCharType="begin"/>
      </w:r>
      <w:r>
        <w:instrText xml:space="preserve"> HYPERLINK \l "_Toc241153623" </w:instrText>
      </w:r>
      <w:r>
        <w:fldChar w:fldCharType="separate"/>
      </w:r>
      <w:r>
        <w:rPr>
          <w:rStyle w:val="37"/>
          <w:rFonts w:cs="Times New Roman"/>
          <w:lang w:eastAsia="zh-CN"/>
        </w:rPr>
        <w:t>3.</w:t>
      </w:r>
      <w:r>
        <w:rPr>
          <w:rFonts w:cs="Times New Roman"/>
          <w:snapToGrid/>
          <w:color w:val="auto"/>
          <w:kern w:val="2"/>
          <w:sz w:val="22"/>
          <w:szCs w:val="24"/>
          <w:lang w:eastAsia="zh-CN"/>
          <w14:ligatures w14:val="standardContextual"/>
        </w:rPr>
        <w:tab/>
      </w:r>
      <w:r>
        <w:rPr>
          <w:rStyle w:val="37"/>
          <w:rFonts w:cs="Times New Roman"/>
          <w:lang w:eastAsia="zh-CN"/>
        </w:rPr>
        <w:t>基础数据与图件</w:t>
      </w:r>
      <w:r>
        <w:rPr>
          <w:rFonts w:cs="Times New Roman"/>
        </w:rPr>
        <w:tab/>
      </w:r>
      <w:r>
        <w:rPr>
          <w:rFonts w:cs="Times New Roman"/>
        </w:rPr>
        <w:fldChar w:fldCharType="begin"/>
      </w:r>
      <w:r>
        <w:rPr>
          <w:rFonts w:cs="Times New Roman"/>
        </w:rPr>
        <w:instrText xml:space="preserve"> PAGEREF _Toc241153623 \h </w:instrText>
      </w:r>
      <w:r>
        <w:rPr>
          <w:rFonts w:cs="Times New Roman"/>
        </w:rPr>
        <w:fldChar w:fldCharType="separate"/>
      </w:r>
      <w:r>
        <w:rPr>
          <w:rFonts w:cs="Times New Roman"/>
        </w:rPr>
        <w:t>21</w:t>
      </w:r>
      <w:r>
        <w:rPr>
          <w:rFonts w:cs="Times New Roman"/>
        </w:rPr>
        <w:fldChar w:fldCharType="end"/>
      </w:r>
      <w:r>
        <w:rPr>
          <w:rFonts w:cs="Times New Roman"/>
        </w:rPr>
        <w:fldChar w:fldCharType="end"/>
      </w:r>
    </w:p>
    <w:p>
      <w:pPr>
        <w:pStyle w:val="21"/>
        <w:tabs>
          <w:tab w:val="right" w:leader="dot" w:pos="8296"/>
        </w:tabs>
        <w:spacing w:line="360" w:lineRule="auto"/>
        <w:ind w:firstLine="0" w:firstLineChars="0"/>
        <w:rPr>
          <w:rFonts w:cs="Times New Roman"/>
          <w:snapToGrid/>
          <w:color w:val="auto"/>
          <w:kern w:val="2"/>
          <w:sz w:val="22"/>
          <w:szCs w:val="24"/>
          <w:lang w:eastAsia="zh-CN"/>
          <w14:ligatures w14:val="standardContextual"/>
        </w:rPr>
      </w:pPr>
      <w:r>
        <w:fldChar w:fldCharType="begin"/>
      </w:r>
      <w:r>
        <w:instrText xml:space="preserve"> HYPERLINK \l "_Toc241153624" </w:instrText>
      </w:r>
      <w:r>
        <w:fldChar w:fldCharType="separate"/>
      </w:r>
      <w:r>
        <w:rPr>
          <w:rStyle w:val="37"/>
          <w:rFonts w:cs="Times New Roman"/>
        </w:rPr>
        <w:t>四、评价结果与验证</w:t>
      </w:r>
      <w:r>
        <w:rPr>
          <w:rFonts w:cs="Times New Roman"/>
        </w:rPr>
        <w:tab/>
      </w:r>
      <w:r>
        <w:rPr>
          <w:rFonts w:cs="Times New Roman"/>
        </w:rPr>
        <w:fldChar w:fldCharType="begin"/>
      </w:r>
      <w:r>
        <w:rPr>
          <w:rFonts w:cs="Times New Roman"/>
        </w:rPr>
        <w:instrText xml:space="preserve"> PAGEREF _Toc241153624 \h </w:instrText>
      </w:r>
      <w:r>
        <w:rPr>
          <w:rFonts w:cs="Times New Roman"/>
        </w:rPr>
        <w:fldChar w:fldCharType="separate"/>
      </w:r>
      <w:r>
        <w:rPr>
          <w:rFonts w:cs="Times New Roman"/>
        </w:rPr>
        <w:t>35</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"_Toc241153625" </w:instrText>
      </w:r>
      <w:r>
        <w:fldChar w:fldCharType="separate"/>
      </w:r>
      <w:r>
        <w:rPr>
          <w:rStyle w:val="37"/>
          <w:rFonts w:cs="Times New Roman"/>
          <w:lang w:eastAsia="zh-CN"/>
        </w:rPr>
        <w:t>1. 评价结果</w:t>
      </w:r>
      <w:r>
        <w:rPr>
          <w:rFonts w:cs="Times New Roman"/>
        </w:rPr>
        <w:tab/>
      </w:r>
      <w:r>
        <w:rPr>
          <w:rFonts w:cs="Times New Roman"/>
        </w:rPr>
        <w:fldChar w:fldCharType="begin"/>
      </w:r>
      <w:r>
        <w:rPr>
          <w:rFonts w:cs="Times New Roman"/>
        </w:rPr>
        <w:instrText xml:space="preserve"> PAGEREF _Toc241153625 \h </w:instrText>
      </w:r>
      <w:r>
        <w:rPr>
          <w:rFonts w:cs="Times New Roman"/>
        </w:rPr>
        <w:fldChar w:fldCharType="separate"/>
      </w:r>
      <w:r>
        <w:rPr>
          <w:rFonts w:cs="Times New Roman"/>
        </w:rPr>
        <w:t>35</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"_Toc241153626" </w:instrText>
      </w:r>
      <w:r>
        <w:fldChar w:fldCharType="separate"/>
      </w:r>
      <w:r>
        <w:rPr>
          <w:rStyle w:val="37"/>
          <w:rFonts w:cs="Times New Roman"/>
          <w:lang w:eastAsia="zh-CN"/>
        </w:rPr>
        <w:t>2. 评价结果验证</w:t>
      </w:r>
      <w:r>
        <w:rPr>
          <w:rFonts w:cs="Times New Roman"/>
        </w:rPr>
        <w:tab/>
      </w:r>
      <w:r>
        <w:rPr>
          <w:rFonts w:cs="Times New Roman"/>
        </w:rPr>
        <w:fldChar w:fldCharType="begin"/>
      </w:r>
      <w:r>
        <w:rPr>
          <w:rFonts w:cs="Times New Roman"/>
        </w:rPr>
        <w:instrText xml:space="preserve"> PAGEREF _Toc241153626 \h </w:instrText>
      </w:r>
      <w:r>
        <w:rPr>
          <w:rFonts w:cs="Times New Roman"/>
        </w:rPr>
        <w:fldChar w:fldCharType="separate"/>
      </w:r>
      <w:r>
        <w:rPr>
          <w:rFonts w:cs="Times New Roman"/>
        </w:rPr>
        <w:t>39</w:t>
      </w:r>
      <w:r>
        <w:rPr>
          <w:rFonts w:cs="Times New Roman"/>
        </w:rPr>
        <w:fldChar w:fldCharType="end"/>
      </w:r>
      <w:r>
        <w:rPr>
          <w:rFonts w:cs="Times New Roman"/>
        </w:rPr>
        <w:fldChar w:fldCharType="end"/>
      </w:r>
    </w:p>
    <w:p>
      <w:pPr>
        <w:pStyle w:val="21"/>
        <w:tabs>
          <w:tab w:val="right" w:leader="dot" w:pos="8296"/>
        </w:tabs>
        <w:spacing w:line="360" w:lineRule="auto"/>
        <w:ind w:firstLine="0" w:firstLineChars="0"/>
        <w:rPr>
          <w:rFonts w:cs="Times New Roman"/>
          <w:snapToGrid/>
          <w:color w:val="auto"/>
          <w:kern w:val="2"/>
          <w:sz w:val="22"/>
          <w:szCs w:val="24"/>
          <w:lang w:eastAsia="zh-CN"/>
          <w14:ligatures w14:val="standardContextual"/>
        </w:rPr>
      </w:pPr>
      <w:r>
        <w:fldChar w:fldCharType="begin"/>
      </w:r>
      <w:r>
        <w:instrText xml:space="preserve"> HYPERLINK \l "_Toc241153627" </w:instrText>
      </w:r>
      <w:r>
        <w:fldChar w:fldCharType="separate"/>
      </w:r>
      <w:r>
        <w:rPr>
          <w:rStyle w:val="37"/>
          <w:rFonts w:cs="Times New Roman"/>
          <w:highlight w:val="lightGray"/>
        </w:rPr>
        <w:t>五、</w:t>
      </w:r>
      <w:r>
        <w:rPr>
          <w:rStyle w:val="37"/>
          <w:rFonts w:cs="Times New Roman"/>
        </w:rPr>
        <w:t>产业优化布局和发展建议</w:t>
      </w:r>
      <w:r>
        <w:rPr>
          <w:rFonts w:cs="Times New Roman"/>
        </w:rPr>
        <w:tab/>
      </w:r>
      <w:r>
        <w:rPr>
          <w:rFonts w:cs="Times New Roman"/>
        </w:rPr>
        <w:fldChar w:fldCharType="begin"/>
      </w:r>
      <w:r>
        <w:rPr>
          <w:rFonts w:cs="Times New Roman"/>
        </w:rPr>
        <w:instrText xml:space="preserve"> PAGEREF _Toc241153627 \h </w:instrText>
      </w:r>
      <w:r>
        <w:rPr>
          <w:rFonts w:cs="Times New Roman"/>
        </w:rPr>
        <w:fldChar w:fldCharType="separate"/>
      </w:r>
      <w:r>
        <w:rPr>
          <w:rFonts w:cs="Times New Roman"/>
        </w:rPr>
        <w:t>40</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"_Toc241153628" </w:instrText>
      </w:r>
      <w:r>
        <w:fldChar w:fldCharType="separate"/>
      </w:r>
      <w:r>
        <w:rPr>
          <w:rStyle w:val="37"/>
          <w:rFonts w:cs="Times New Roman"/>
          <w:lang w:eastAsia="zh-CN"/>
        </w:rPr>
        <w:t>1. 种植优化布局建议</w:t>
      </w:r>
      <w:r>
        <w:rPr>
          <w:rFonts w:cs="Times New Roman"/>
        </w:rPr>
        <w:tab/>
      </w:r>
      <w:r>
        <w:rPr>
          <w:rFonts w:cs="Times New Roman"/>
        </w:rPr>
        <w:fldChar w:fldCharType="begin"/>
      </w:r>
      <w:r>
        <w:rPr>
          <w:rFonts w:cs="Times New Roman"/>
        </w:rPr>
        <w:instrText xml:space="preserve"> PAGEREF _Toc241153628 \h </w:instrText>
      </w:r>
      <w:r>
        <w:rPr>
          <w:rFonts w:cs="Times New Roman"/>
        </w:rPr>
        <w:fldChar w:fldCharType="separate"/>
      </w:r>
      <w:r>
        <w:rPr>
          <w:rFonts w:cs="Times New Roman"/>
        </w:rPr>
        <w:t>40</w:t>
      </w:r>
      <w:r>
        <w:rPr>
          <w:rFonts w:cs="Times New Roman"/>
        </w:rPr>
        <w:fldChar w:fldCharType="end"/>
      </w:r>
      <w:r>
        <w:rPr>
          <w:rFonts w:cs="Times New Roman"/>
        </w:rPr>
        <w:fldChar w:fldCharType="end"/>
      </w:r>
    </w:p>
    <w:p>
      <w:pPr>
        <w:pStyle w:val="17"/>
        <w:tabs>
          <w:tab w:val="right" w:leader="dot" w:pos="8296"/>
        </w:tabs>
        <w:spacing w:line="360" w:lineRule="auto"/>
        <w:ind w:left="480" w:leftChars="200" w:firstLine="480"/>
        <w:rPr>
          <w:rFonts w:cs="Times New Roman"/>
          <w:snapToGrid/>
          <w:color w:val="auto"/>
          <w:kern w:val="2"/>
          <w:sz w:val="22"/>
          <w:szCs w:val="24"/>
          <w:lang w:eastAsia="zh-CN"/>
          <w14:ligatures w14:val="standardContextual"/>
        </w:rPr>
      </w:pPr>
      <w:r>
        <w:fldChar w:fldCharType="begin"/>
      </w:r>
      <w:r>
        <w:instrText xml:space="preserve"> HYPERLINK \l "_Toc241153629" </w:instrText>
      </w:r>
      <w:r>
        <w:fldChar w:fldCharType="separate"/>
      </w:r>
      <w:r>
        <w:rPr>
          <w:rStyle w:val="37"/>
          <w:rFonts w:cs="Times New Roman"/>
          <w:lang w:eastAsia="zh-CN"/>
        </w:rPr>
        <w:t>2. 产业发展建议</w:t>
      </w:r>
      <w:r>
        <w:rPr>
          <w:rFonts w:cs="Times New Roman"/>
        </w:rPr>
        <w:tab/>
      </w:r>
      <w:r>
        <w:rPr>
          <w:rFonts w:cs="Times New Roman"/>
        </w:rPr>
        <w:fldChar w:fldCharType="begin"/>
      </w:r>
      <w:r>
        <w:rPr>
          <w:rFonts w:cs="Times New Roman"/>
        </w:rPr>
        <w:instrText xml:space="preserve"> PAGEREF _Toc241153629 \h </w:instrText>
      </w:r>
      <w:r>
        <w:rPr>
          <w:rFonts w:cs="Times New Roman"/>
        </w:rPr>
        <w:fldChar w:fldCharType="separate"/>
      </w:r>
      <w:r>
        <w:rPr>
          <w:rFonts w:cs="Times New Roman"/>
        </w:rPr>
        <w:t>41</w:t>
      </w:r>
      <w:r>
        <w:rPr>
          <w:rFonts w:cs="Times New Roman"/>
        </w:rPr>
        <w:fldChar w:fldCharType="end"/>
      </w:r>
      <w:r>
        <w:rPr>
          <w:rFonts w:cs="Times New Roman"/>
        </w:rPr>
        <w:fldChar w:fldCharType="end"/>
      </w:r>
    </w:p>
    <w:p>
      <w:pPr>
        <w:kinsoku/>
        <w:autoSpaceDE/>
        <w:autoSpaceDN/>
        <w:adjustRightInd/>
        <w:snapToGrid/>
        <w:spacing w:line="360" w:lineRule="auto"/>
        <w:ind w:firstLine="0" w:firstLineChars="0"/>
        <w:jc w:val="center"/>
        <w:textAlignment w:val="auto"/>
        <w:rPr>
          <w:rFonts w:cs="Times New Roman"/>
          <w:b/>
          <w:kern w:val="44"/>
          <w:sz w:val="36"/>
          <w:szCs w:val="48"/>
          <w:lang w:eastAsia="zh-CN"/>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pPr>
    </w:p>
    <w:p>
      <w:pPr>
        <w:kinsoku/>
        <w:autoSpaceDE/>
        <w:autoSpaceDN/>
        <w:adjustRightInd/>
        <w:snapToGrid/>
        <w:spacing w:line="360" w:lineRule="auto"/>
        <w:ind w:firstLine="0" w:firstLineChars="0"/>
        <w:jc w:val="center"/>
        <w:textAlignment w:val="auto"/>
        <w:rPr>
          <w:rFonts w:cs="Times New Roman"/>
          <w:b/>
          <w:kern w:val="44"/>
          <w:sz w:val="28"/>
          <w:szCs w:val="28"/>
          <w:lang w:eastAsia="zh-CN"/>
        </w:rPr>
      </w:pPr>
      <w:r>
        <w:rPr>
          <w:rFonts w:cs="Times New Roman"/>
          <w:b/>
          <w:kern w:val="44"/>
          <w:sz w:val="36"/>
          <w:szCs w:val="48"/>
          <w:lang w:eastAsia="zh-CN"/>
        </w:rPr>
        <w:fldChar w:fldCharType="end"/>
      </w:r>
      <w:bookmarkEnd w:id="1"/>
      <w:bookmarkStart w:id="4" w:name="_Toc241153137"/>
      <w:r>
        <w:rPr>
          <w:rFonts w:hint="eastAsia" w:cs="Times New Roman"/>
          <w:b/>
          <w:kern w:val="44"/>
          <w:sz w:val="28"/>
          <w:szCs w:val="28"/>
          <w:lang w:eastAsia="zh-CN"/>
        </w:rPr>
        <w:t>摘要</w:t>
      </w:r>
      <w:bookmarkEnd w:id="4"/>
    </w:p>
    <w:p>
      <w:pPr>
        <w:kinsoku/>
        <w:spacing w:line="360" w:lineRule="auto"/>
        <w:ind w:firstLine="480"/>
        <w:jc w:val="both"/>
        <w:rPr>
          <w:rFonts w:hint="eastAsia" w:cs="Times New Roman"/>
          <w:lang w:eastAsia="zh-CN"/>
        </w:rPr>
      </w:pPr>
      <w:r>
        <w:rPr>
          <w:rFonts w:hint="eastAsia" w:cs="Times New Roman"/>
          <w:lang w:eastAsia="zh-CN"/>
        </w:rPr>
        <w:t>土特产品是依托特定区域自然资源禀赋和长期生产实践形成、具有鲜明地域特色和品质特征的重要农产品。开展土特产品土壤适宜性评价，摸清特色农产品生产的土壤和环境“家底”，对于优化产业空间布局、保护优势产区、提升产品品质和品牌价值具有重要意义。第三次全国土壤普查将土特产品土壤适宜性评价作为成果应用的重要内容，为特色农业资源科学利用和产业高质量发展提供基础支撑。</w:t>
      </w:r>
    </w:p>
    <w:p>
      <w:pPr>
        <w:kinsoku/>
        <w:spacing w:line="360" w:lineRule="auto"/>
        <w:ind w:firstLine="480"/>
        <w:jc w:val="both"/>
        <w:rPr>
          <w:rFonts w:hint="eastAsia" w:cs="Times New Roman"/>
          <w:lang w:eastAsia="zh-CN"/>
        </w:rPr>
      </w:pPr>
      <w:r>
        <w:rPr>
          <w:rFonts w:hint="eastAsia" w:cs="Times New Roman"/>
          <w:lang w:eastAsia="zh-CN"/>
        </w:rPr>
        <w:t>泊头市地处河北省东南部黄河故道堆积平原，属暖温带大陆性季风气候，地势平坦，光照充足，具有较好的桑椹生产自然条件。泊头桑椹种植历史悠久，目前</w:t>
      </w:r>
      <w:commentRangeStart w:id="5"/>
      <w:r>
        <w:rPr>
          <w:rFonts w:hint="eastAsia" w:cs="Times New Roman"/>
          <w:lang w:eastAsia="zh-CN"/>
        </w:rPr>
        <w:t>全市桑树种植面积约3.5万亩</w:t>
      </w:r>
      <w:commentRangeEnd w:id="5"/>
      <w:r>
        <w:commentReference w:id="5"/>
      </w:r>
      <w:r>
        <w:rPr>
          <w:rFonts w:hint="eastAsia" w:cs="Times New Roman"/>
          <w:lang w:eastAsia="zh-CN"/>
        </w:rPr>
        <w:t>，其中营子镇约2.1万亩，占全市种植面积的60%，是现有桑椹最集中的核心产区；齐桥镇以及文庙镇、寺门村镇、洼里王镇等也有一定规模种植。长期生产实践形成了以“黑珍珠”为代表的地方特色桑椹产品和较为完整的种植、加工及销售产业体系。</w:t>
      </w:r>
    </w:p>
    <w:p>
      <w:pPr>
        <w:kinsoku/>
        <w:spacing w:line="360" w:lineRule="auto"/>
        <w:ind w:firstLine="480"/>
        <w:jc w:val="both"/>
        <w:rPr>
          <w:rFonts w:hint="eastAsia" w:cs="Times New Roman"/>
          <w:lang w:eastAsia="zh-CN"/>
        </w:rPr>
      </w:pPr>
      <w:r>
        <w:rPr>
          <w:rFonts w:hint="eastAsia" w:cs="Times New Roman"/>
          <w:lang w:eastAsia="zh-CN"/>
        </w:rPr>
        <w:t>本专题依据第三次全国土壤普查土特产品土壤适宜性评价有关技术要求，以泊头市相关农用地为评价对象，在系统分析桑椹生长发育及优质生产对土壤、气候等环境条件需求的基础上，结合泊头市第三次全国土壤普查数据、气象资料、现有桑椹种植分布以及营子镇等传统主产区生产实际，综合采用专家经验法、最大熵模型（MaxEnt）和熵权法开展评价指标筛选、权重确定和综合适宜性评价。评价过程中既考虑环境变量对现有桑椹空间分布的统计解释能力，又兼顾评价结果与泊头桑椹长期生产实际的协调性。最终确定12项评价指标，其中土壤指标6项，包括耕地质地、土壤有机质、土壤pH、土壤容重、有效磷和速效钾；气候指标6项，包括5-6月采摘期降雨量、年日照时数、年平均气温、无霜期天数、3月份低于0℃天数和年降水量，形成泊头桑椹土壤适宜性评价指标体系。</w:t>
      </w:r>
    </w:p>
    <w:p>
      <w:pPr>
        <w:kinsoku/>
        <w:spacing w:line="360" w:lineRule="auto"/>
        <w:ind w:firstLine="480"/>
        <w:jc w:val="both"/>
        <w:rPr>
          <w:rFonts w:hint="eastAsia" w:cs="Times New Roman"/>
          <w:lang w:eastAsia="zh-CN"/>
        </w:rPr>
      </w:pPr>
      <w:r>
        <w:rPr>
          <w:rFonts w:hint="eastAsia" w:cs="Times New Roman"/>
          <w:lang w:eastAsia="zh-CN"/>
        </w:rPr>
        <w:t>采用MaxEnt模型分析现有桑椹分布与土壤、气候环境变量之间的关系，以75%的样本数据作为训练集、25%作为测试集，并利用ROC曲线下面积评价模型预测精度。模型AUC值达到0.931，表明模型具有较好的判别和预测能力，能够较好刻画现有桑椹种植分布与区域环境条件之间的关系，可为评价指标筛选及桑椹适宜生境识别提供定量依据。</w:t>
      </w:r>
    </w:p>
    <w:p>
      <w:pPr>
        <w:kinsoku/>
        <w:spacing w:line="360" w:lineRule="auto"/>
        <w:ind w:firstLine="480"/>
        <w:jc w:val="both"/>
        <w:rPr>
          <w:rFonts w:hint="eastAsia" w:cs="Times New Roman"/>
          <w:lang w:eastAsia="zh-CN"/>
        </w:rPr>
      </w:pPr>
      <w:r>
        <w:rPr>
          <w:rFonts w:hint="eastAsia" w:cs="Times New Roman"/>
          <w:lang w:eastAsia="zh-CN"/>
        </w:rPr>
        <w:t>综合评价结果将泊头市桑椹土壤适宜性划分为优势区（高度适宜）、适宜区（中度适宜）和不适宜区3个等级。全市评价总面积为75.69万亩，其中优势区18.59万亩，占24.6%；适宜区48.52万亩，占64.1%；不适宜区8.58万亩，占11.3%；优势区和适宜区合计67.11万亩，占88.7%。总体呈现“适宜区为主体、优势区次之、不适宜区相对较少”的等级结构，表明泊头市总体具有较为广泛的桑椹适生土地资源。</w:t>
      </w:r>
    </w:p>
    <w:p>
      <w:pPr>
        <w:kinsoku/>
        <w:spacing w:line="360" w:lineRule="auto"/>
        <w:ind w:firstLine="480"/>
        <w:jc w:val="both"/>
        <w:rPr>
          <w:rFonts w:hint="eastAsia" w:cs="Times New Roman"/>
          <w:lang w:eastAsia="zh-CN"/>
        </w:rPr>
      </w:pPr>
      <w:r>
        <w:rPr>
          <w:rFonts w:hint="eastAsia" w:cs="Times New Roman"/>
          <w:lang w:eastAsia="zh-CN"/>
        </w:rPr>
        <w:t>从空间分布看，优势区在寺门村镇、四营镇、王武庄乡、齐桥镇和洼里王镇等区域相对集中，其中寺门村镇和四营镇优势区面积分别为2.98万亩和2.87万亩；齐桥镇优势区占本镇评价面积比例最高，为45.7%，王武庄乡、洼里王镇、寺门村镇和四营镇优势区占比也相对较高。适宜区在全市多数乡镇广泛分布，其中郝村镇适宜区面积最大，为6.54万亩；不适宜区主要集中于西辛店乡和交河镇，其中西辛店乡不适宜区约4.09万亩，占该乡评价面积的41.7%。</w:t>
      </w:r>
    </w:p>
    <w:p>
      <w:pPr>
        <w:kinsoku/>
        <w:spacing w:line="360" w:lineRule="auto"/>
        <w:ind w:firstLine="480"/>
        <w:jc w:val="both"/>
        <w:rPr>
          <w:rFonts w:hint="eastAsia" w:cs="Times New Roman"/>
          <w:lang w:eastAsia="zh-CN"/>
        </w:rPr>
      </w:pPr>
      <w:r>
        <w:rPr>
          <w:rFonts w:hint="eastAsia" w:cs="Times New Roman"/>
          <w:lang w:eastAsia="zh-CN"/>
        </w:rPr>
        <w:t>结合现状桑椹种植分布进行验证，营子乡作为泊头桑椹传统核心产区，本次评价优势区面积约0.94万亩，占14.8%，适宜区约4.81万亩，占75.6%，优势区与适宜区合计约5.75万亩，占90.4%。总体上，营子乡绝大部分评价区域达到适宜及以上等级，与当地长期形成的桑椹种植基础具有较好的对应关系；但其现状桑椹生产高度集聚，而评价结果以适宜区为主体，表明基于自然条件形成的适宜性评价与长期生产实践形成的产业集聚格局之间仍存在一定差异。现状桑椹分布除受土壤和气候条件影响外，还与长期种植传统、地方品种适应性、栽培管理水平、经营主体和产业基础等因素密切相关。后续应进一步开展现状桑园与评价结果的空间叠加验证，对局部差异区域的主要限制指标进行诊断，以进一步提高评价成果的区域适用性。</w:t>
      </w:r>
    </w:p>
    <w:p>
      <w:pPr>
        <w:kinsoku/>
        <w:spacing w:line="360" w:lineRule="auto"/>
        <w:ind w:firstLine="480"/>
        <w:jc w:val="both"/>
        <w:rPr>
          <w:rFonts w:hint="eastAsia" w:cs="Times New Roman"/>
          <w:lang w:eastAsia="zh-CN"/>
        </w:rPr>
      </w:pPr>
      <w:r>
        <w:rPr>
          <w:rFonts w:hint="eastAsia" w:cs="Times New Roman"/>
          <w:lang w:eastAsia="zh-CN"/>
        </w:rPr>
        <w:t>基于评价结果和泊头桑椹现有产业基础，提出构建“一核引领、多点支撑”的产业空间布局，以营子镇现有桑椹产业基础和古桑资源为核心，强化传统主产区保护、标准化生产和产业链提升；结合齐桥镇、寺门村镇、郝村镇等优势区和适宜区资源条件，合理布局潜在拓展区域。优势区重点实施保护提质和高品质生产，适宜区根据主要限制因素开展土壤培肥、水肥优化和生产条件改善，不适宜区原则上不作为新增桑椹生产基地的优先布局区域。通过评价成果与现状生产、产业基础及土地利用条件的综合衔接，为泊头桑椹优势产区保护、种植布局优化、品质提升、品牌建设及特色产业高质量发展提供科学依据。</w:t>
      </w:r>
    </w:p>
    <w:p>
      <w:pPr>
        <w:pStyle w:val="82"/>
        <w:numPr>
          <w:ilvl w:val="0"/>
          <w:numId w:val="1"/>
        </w:numPr>
        <w:spacing w:before="156" w:after="156"/>
        <w:outlineLvl w:val="0"/>
        <w:rPr>
          <w:rFonts w:ascii="Times New Roman" w:hAnsi="Times New Roman"/>
        </w:rPr>
      </w:pPr>
      <w:bookmarkStart w:id="5" w:name="_Toc241153602"/>
      <w:r>
        <w:rPr>
          <w:rFonts w:ascii="Times New Roman" w:hAnsi="Times New Roman"/>
        </w:rPr>
        <w:t>区域概况及土特产品生产情况</w:t>
      </w:r>
      <w:bookmarkEnd w:id="5"/>
    </w:p>
    <w:p>
      <w:pPr>
        <w:kinsoku/>
        <w:spacing w:line="360" w:lineRule="auto"/>
        <w:ind w:firstLine="480"/>
        <w:jc w:val="both"/>
        <w:rPr>
          <w:rFonts w:cs="Times New Roman"/>
          <w:lang w:eastAsia="zh-CN"/>
        </w:rPr>
      </w:pPr>
      <w:bookmarkStart w:id="6" w:name="_Toc11724"/>
      <w:bookmarkStart w:id="7" w:name="_Toc228109824"/>
      <w:r>
        <w:rPr>
          <w:rFonts w:hint="eastAsia" w:cs="Times New Roman"/>
          <w:lang w:eastAsia="zh-CN"/>
        </w:rPr>
        <w:t>泊头市位于河北省东南部，地处黄河故道堆积平原区域，属温带季风气候，四季分明、光照充足、雨热适配，市域内老盐河、滹沱河故道水系纵横，独特的蒙金砂土土质疏松肥沃、透气性佳，得天独厚的水土气候条件为特色林果产业发展筑牢了自然根基。作为河北省特色农业重点县市，泊头市农业产业体系多元完善，形成了以粮食种植、优质鸭梨、道地桑椹、特色果蔬、中药材种植为主导的现代农业产业格局，其中千年桑椹产业是市域最具辨识度的特色支柱产业。</w:t>
      </w:r>
    </w:p>
    <w:p>
      <w:pPr>
        <w:kinsoku/>
        <w:spacing w:line="360" w:lineRule="auto"/>
        <w:ind w:firstLine="480"/>
        <w:jc w:val="both"/>
        <w:rPr>
          <w:rFonts w:cs="Times New Roman"/>
          <w:lang w:eastAsia="zh-CN"/>
        </w:rPr>
      </w:pPr>
      <w:r>
        <w:rPr>
          <w:rFonts w:hint="eastAsia" w:cs="Times New Roman"/>
          <w:lang w:eastAsia="zh-CN"/>
        </w:rPr>
        <w:t>泊头市特色林果产业优势突出，桑椹产业是市域特色农业的核心亮点。全市深耕桑椹特色产业发展，建成多个标准化、规模化连片桑椹种植基地，产业集约化、规范化发展成效显著。目前，全市桑椹种植规模达3.5万亩，年产量超5万吨，其中核心产区营子镇种植面积2.1万亩，占全市种植规模的60%，是北方规模最大、品质最优的古桑种植集聚区。泊头桑椹主栽优质传统品种“黑珍珠”，凭借独特的水土孕育出果色黑紫、果肉饱满、甘甜醇香、药食同源的优良品质，先后斩获国家地理标志证明商标、国家农产品地理标志登记证书、全国名特优新农产品等多项荣誉，“河北泊头古桑林”入选第七批中国重要农业文化遗产，泊头市被中国经济林协会授予“桑椹名市”称号，泊头桑椹成功纳入河北省道地药材目录，区域品牌影响力持续提升。</w:t>
      </w:r>
    </w:p>
    <w:p>
      <w:pPr>
        <w:kinsoku/>
        <w:spacing w:line="360" w:lineRule="auto"/>
        <w:ind w:firstLine="480"/>
        <w:jc w:val="both"/>
        <w:rPr>
          <w:rFonts w:cs="Times New Roman"/>
          <w:lang w:eastAsia="zh-CN"/>
        </w:rPr>
      </w:pPr>
      <w:r>
        <w:rPr>
          <w:rFonts w:hint="eastAsia" w:cs="Times New Roman"/>
          <w:lang w:eastAsia="zh-CN"/>
        </w:rPr>
        <w:t>近年来，泊头市深入贯彻乡村振兴战略，紧扣产业兴旺、生态宜居、乡风文明、治理有效、生活富裕的总体要求，将营子镇作为全市桑椹产业核心发展重镇、农文旅融合示范标杆，立足千年古桑资源禀赋，因地制宜打造桑椹特色产业集群。全市全面推行“企业＋合作社＋基地＋农户”的成熟发展模式，大力推进桑椹标准化种植、规模化培育、品质化管控，依托桑椹现代农业园区，布局建设集标准化种植、仓储保鲜、精深加工、冷链物流、电商销售于一体的全产业链发展体系，开发出桑椹酒、桑椹干、桑叶茶、桑椹酵素、桑椹粉、桑叶挂面等多元化深加工产品。同时，深度推动农业与文旅产业深度融合，打造古桑采摘、桑文化体验、康养休闲、农耕研学等特色业态，持续延伸产业链、提升价值链，全方位推进农业供给侧结构性改革，为泊头特色农业高质量发展、乡村全面振兴注入持久动能。</w:t>
      </w:r>
    </w:p>
    <w:p>
      <w:pPr>
        <w:kinsoku/>
        <w:spacing w:line="360" w:lineRule="auto"/>
        <w:ind w:firstLine="0" w:firstLineChars="0"/>
        <w:jc w:val="both"/>
        <w:outlineLvl w:val="1"/>
        <w:rPr>
          <w:rFonts w:hint="eastAsia" w:ascii="黑体" w:hAnsi="黑体" w:eastAsia="黑体" w:cstheme="majorBidi"/>
          <w:color w:val="000000" w:themeColor="text1"/>
          <w:szCs w:val="24"/>
          <w:lang w:eastAsia="zh-CN"/>
          <w14:textFill>
            <w14:solidFill>
              <w14:schemeClr w14:val="tx1"/>
            </w14:solidFill>
          </w14:textFill>
        </w:rPr>
      </w:pPr>
      <w:bookmarkStart w:id="8" w:name="_Toc241153603"/>
      <w:r>
        <w:rPr>
          <w:rFonts w:ascii="黑体" w:hAnsi="黑体" w:eastAsia="黑体" w:cstheme="majorBidi"/>
          <w:color w:val="000000" w:themeColor="text1"/>
          <w:szCs w:val="24"/>
          <w:lang w:eastAsia="zh-CN"/>
          <w14:textFill>
            <w14:solidFill>
              <w14:schemeClr w14:val="tx1"/>
            </w14:solidFill>
          </w14:textFill>
        </w:rPr>
        <w:t>（一）土特产品生产概况</w:t>
      </w:r>
      <w:bookmarkEnd w:id="6"/>
      <w:bookmarkEnd w:id="7"/>
      <w:bookmarkEnd w:id="8"/>
    </w:p>
    <w:p>
      <w:pPr>
        <w:keepNext/>
        <w:keepLines/>
        <w:kinsoku/>
        <w:spacing w:before="156" w:beforeLines="50" w:after="156" w:afterLines="50" w:line="360" w:lineRule="auto"/>
        <w:ind w:firstLine="0" w:firstLineChars="0"/>
        <w:outlineLvl w:val="2"/>
        <w:rPr>
          <w:rFonts w:eastAsia="黑体" w:cs="Times New Roman"/>
          <w:lang w:eastAsia="zh-CN"/>
        </w:rPr>
      </w:pPr>
      <w:bookmarkStart w:id="9" w:name="_Toc207303699"/>
      <w:bookmarkStart w:id="10" w:name="_Toc241153604"/>
      <w:r>
        <w:rPr>
          <w:rFonts w:eastAsia="黑体" w:cs="Times New Roman"/>
          <w:lang w:eastAsia="zh-CN"/>
        </w:rPr>
        <w:t xml:space="preserve">1. </w:t>
      </w:r>
      <w:bookmarkEnd w:id="9"/>
      <w:r>
        <w:rPr>
          <w:rFonts w:eastAsia="黑体" w:cs="Times New Roman"/>
          <w:lang w:eastAsia="zh-CN"/>
        </w:rPr>
        <w:t>土壤条件</w:t>
      </w:r>
      <w:bookmarkEnd w:id="10"/>
    </w:p>
    <w:p>
      <w:pPr>
        <w:kinsoku/>
        <w:spacing w:line="360" w:lineRule="auto"/>
        <w:ind w:firstLine="480"/>
        <w:jc w:val="both"/>
        <w:rPr>
          <w:rFonts w:cs="Times New Roman"/>
          <w:lang w:eastAsia="zh-CN"/>
        </w:rPr>
      </w:pPr>
      <w:r>
        <w:rPr>
          <w:rFonts w:hint="eastAsia" w:cs="Times New Roman"/>
          <w:lang w:eastAsia="zh-CN"/>
        </w:rPr>
        <w:t>岩石经过风化作用后形成土壤母质。成土母质是形成土壤的物质基础，母质的类型组成和性质直接影响土壤的肥力、质地、孔隙结构及保水保肥特性，对特色农作物的生长发育、产量形成与品质优劣起决定性作用。泊头市地处华北冲积平原腹地、黄河故道堆积平原核心区域，全境无山地丘陵，地形平坦开阔，地势起伏平缓，区域地质构造简单，成土过程主要受历代黄河、老盐河、滹沱河等古河道水系冲积、淤积作用主导，成土母质类型以第四纪河流冲积物为主体，辅以少量洪积物、湖沼沉积物，全域无岩性风化物母质分布，母质质地均匀、土层深厚，为市域农业尤其是桑椹特色产业提供了优良的物质基础。</w:t>
      </w:r>
    </w:p>
    <w:p>
      <w:pPr>
        <w:kinsoku/>
        <w:spacing w:line="360" w:lineRule="auto"/>
        <w:ind w:firstLine="480"/>
        <w:jc w:val="both"/>
        <w:rPr>
          <w:rFonts w:cs="Times New Roman"/>
          <w:lang w:eastAsia="zh-CN"/>
        </w:rPr>
      </w:pPr>
      <w:r>
        <w:rPr>
          <w:rFonts w:hint="eastAsia" w:cs="Times New Roman"/>
          <w:lang w:eastAsia="zh-CN"/>
        </w:rPr>
        <w:t>从市域母质分布格局来看，河流冲积物母质分布最广、面积占比最大，是泊头市最主要的成土母质，广泛覆盖全市各乡镇平原区域，土层发育深厚、层理清晰、土质疏松、矿物质养分均衡；其中营子镇、齐桥镇等桑椹主产区为典型黄河故道冲积母质，发育形成独特的蒙金砂土，透气性、透水性极佳，适配古桑树根系深扎生长。其次为河道低洼地带的湖沼淤积母质，零星分布于老盐河沿线低洼区域，土壤有机质含量相对较高；少量洪积物母质零散分布于市域边缘缓坡地带，整体分布均匀、地域分异平缓，无碎片化零散分布特征。</w:t>
      </w:r>
    </w:p>
    <w:p>
      <w:pPr>
        <w:kinsoku/>
        <w:spacing w:line="360" w:lineRule="auto"/>
        <w:ind w:firstLine="480"/>
        <w:jc w:val="both"/>
        <w:rPr>
          <w:rFonts w:cs="Times New Roman"/>
          <w:lang w:eastAsia="zh-CN"/>
        </w:rPr>
      </w:pPr>
      <w:r>
        <w:rPr>
          <w:rFonts w:hint="eastAsia" w:cs="Times New Roman"/>
          <w:lang w:eastAsia="zh-CN"/>
        </w:rPr>
        <w:t>泊头市土壤类型归属华北平原潮土土类体系，市域土壤整体可划分为潮土、盐化潮土、沼泽土、风沙土等土类，以普通潮土为绝对主导，衍生出轻壤质潮土、砂质潮土、蒙金砂土、盐化潮土等多个亚类、土属与土种，土壤层级发育完整、质地梯度分明。其中桑椹核心产区营子镇全域以砂质潮土、蒙金砂土为主，土质疏松、含砂量适中、通透性优良、昼夜温差传导性好，是“黑珍珠”桑椹积累花青素、多糖等营养物质的核心土壤条件；市域中东部、北部平原区域多为轻壤质潮土，土质肥沃、保水保肥能力强，适宜规模化桑椹种植；沿老盐河低洼地段分布少量盐化潮土与沼泽土，土壤湿度偏高，桑椹种植适宜性相对较低。</w:t>
      </w:r>
    </w:p>
    <w:p>
      <w:pPr>
        <w:kinsoku/>
        <w:spacing w:line="360" w:lineRule="auto"/>
        <w:ind w:firstLine="480"/>
        <w:jc w:val="both"/>
        <w:rPr>
          <w:rFonts w:cs="Times New Roman"/>
          <w:lang w:eastAsia="zh-CN"/>
        </w:rPr>
      </w:pPr>
      <w:r>
        <w:rPr>
          <w:rFonts w:hint="eastAsia" w:cs="Times New Roman"/>
          <w:lang w:eastAsia="zh-CN"/>
        </w:rPr>
        <w:t>泊头市全域地势平坦开阔，海拔整体偏低，地形起伏极小，全境为平原地貌，无山地丘陵地貌单元。市域中西部、西北部（营子镇核心片区）为黄河故道平缓堆积平原，集中连片大面积分布蒙金砂土、砂质潮土，土质疏松通透、水肥气热协调，是泊头古桑林集中分布区与桑椹最优适宜种植区；市域东部、南部乡镇以轻壤质潮土为主，土壤肥力更高，适宜桑椹标准化规模化种植；沿河低洼地带土壤湿度偏大、盐分含量偏高，桑椹种植适宜性相对薄弱，形成了市域内桑椹种植品质、产量的区域性差异。</w:t>
      </w:r>
    </w:p>
    <w:p>
      <w:pPr>
        <w:keepNext/>
        <w:keepLines/>
        <w:kinsoku/>
        <w:spacing w:before="156" w:beforeLines="50" w:after="156" w:afterLines="50" w:line="360" w:lineRule="auto"/>
        <w:ind w:firstLine="0" w:firstLineChars="0"/>
        <w:outlineLvl w:val="2"/>
        <w:rPr>
          <w:rFonts w:eastAsia="黑体" w:cs="Times New Roman"/>
          <w:lang w:eastAsia="zh-CN"/>
        </w:rPr>
      </w:pPr>
      <w:bookmarkStart w:id="11" w:name="_Toc207303700"/>
      <w:bookmarkStart w:id="12" w:name="_Toc241153605"/>
      <w:r>
        <w:rPr>
          <w:rFonts w:eastAsia="黑体" w:cs="Times New Roman"/>
          <w:lang w:eastAsia="zh-CN"/>
        </w:rPr>
        <w:t xml:space="preserve">2. </w:t>
      </w:r>
      <w:bookmarkEnd w:id="11"/>
      <w:r>
        <w:rPr>
          <w:rFonts w:hint="eastAsia" w:eastAsia="黑体" w:cs="Times New Roman"/>
          <w:lang w:eastAsia="zh-CN"/>
        </w:rPr>
        <w:t>气候条件</w:t>
      </w:r>
      <w:bookmarkEnd w:id="12"/>
      <w:r>
        <w:commentReference w:id="6"/>
      </w:r>
    </w:p>
    <w:p>
      <w:pPr>
        <w:kinsoku/>
        <w:spacing w:line="360" w:lineRule="auto"/>
        <w:ind w:firstLine="480"/>
        <w:jc w:val="both"/>
        <w:rPr>
          <w:rFonts w:cs="Times New Roman"/>
          <w:lang w:eastAsia="zh-CN"/>
        </w:rPr>
      </w:pPr>
      <w:bookmarkStart w:id="13" w:name="_Toc207303701"/>
      <w:r>
        <w:rPr>
          <w:rFonts w:cs="Times New Roman"/>
          <w:lang w:eastAsia="zh-CN"/>
        </w:rPr>
        <w:t>泊头市地处中纬度华北平原腹地，属暖温带半湿润大陆性季风气候，四季分明、雨热同期、光照充足、昼夜温差适宜，春季干燥多风、夏季炎热多雨、秋季凉爽晴朗、冬季寒冷少雪，干湿季节区分清晰，适宜多年生果桑作物生长繁育。根据泊头市气象站多年长期实测资料统计，全市年平均气温为12.7℃，多年平均日照时数2784小时，多年平均降雨量为543mm，降水主要集中在7</w:t>
      </w:r>
      <w:r>
        <w:rPr>
          <w:rFonts w:hint="eastAsia" w:cs="Times New Roman"/>
          <w:lang w:eastAsia="zh-CN"/>
        </w:rPr>
        <w:t>-</w:t>
      </w:r>
      <w:r>
        <w:rPr>
          <w:rFonts w:cs="Times New Roman"/>
          <w:lang w:eastAsia="zh-CN"/>
        </w:rPr>
        <w:t>8月</w:t>
      </w:r>
      <w:r>
        <w:rPr>
          <w:rFonts w:hint="eastAsia" w:cs="Times New Roman"/>
          <w:lang w:eastAsia="zh-CN"/>
        </w:rPr>
        <w:t>桑椹</w:t>
      </w:r>
      <w:r>
        <w:rPr>
          <w:rFonts w:cs="Times New Roman"/>
          <w:lang w:eastAsia="zh-CN"/>
        </w:rPr>
        <w:t>生长关键期，多年平均相对湿度为65%左右，年平均无霜期为187天，充足的光照、适宜的温湿度与科学的降水分布，为泊头“黑珍珠”</w:t>
      </w:r>
      <w:r>
        <w:rPr>
          <w:rFonts w:hint="eastAsia" w:cs="Times New Roman"/>
          <w:lang w:eastAsia="zh-CN"/>
        </w:rPr>
        <w:t>桑椹</w:t>
      </w:r>
      <w:r>
        <w:rPr>
          <w:rFonts w:cs="Times New Roman"/>
          <w:lang w:eastAsia="zh-CN"/>
        </w:rPr>
        <w:t>积累糖分、花青素等营养物质，塑造独特优良品质提供了优越的气候条件。</w:t>
      </w:r>
    </w:p>
    <w:p>
      <w:pPr>
        <w:keepNext/>
        <w:keepLines/>
        <w:kinsoku/>
        <w:spacing w:before="156" w:beforeLines="50" w:after="156" w:afterLines="50" w:line="360" w:lineRule="auto"/>
        <w:ind w:firstLine="0" w:firstLineChars="0"/>
        <w:outlineLvl w:val="2"/>
        <w:rPr>
          <w:rFonts w:eastAsia="黑体" w:cs="Times New Roman"/>
          <w:lang w:eastAsia="zh-CN"/>
        </w:rPr>
      </w:pPr>
      <w:bookmarkStart w:id="14" w:name="_Toc241153606"/>
      <w:r>
        <w:rPr>
          <w:rFonts w:eastAsia="黑体" w:cs="Times New Roman"/>
          <w:lang w:eastAsia="zh-CN"/>
        </w:rPr>
        <w:t xml:space="preserve">3. </w:t>
      </w:r>
      <w:bookmarkEnd w:id="13"/>
      <w:r>
        <w:rPr>
          <w:rFonts w:eastAsia="黑体" w:cs="Times New Roman"/>
          <w:lang w:eastAsia="zh-CN"/>
        </w:rPr>
        <w:t>水文资源</w:t>
      </w:r>
      <w:bookmarkEnd w:id="14"/>
    </w:p>
    <w:p>
      <w:pPr>
        <w:kinsoku/>
        <w:spacing w:line="360" w:lineRule="auto"/>
        <w:ind w:firstLine="480"/>
        <w:jc w:val="both"/>
        <w:rPr>
          <w:rFonts w:cs="Times New Roman"/>
          <w:lang w:eastAsia="zh-CN"/>
        </w:rPr>
      </w:pPr>
      <w:r>
        <w:rPr>
          <w:rFonts w:hint="eastAsia" w:cs="Times New Roman"/>
          <w:lang w:eastAsia="zh-CN"/>
        </w:rPr>
        <w:t>泊头市境内河流属海河流域南运河水系，根据沧州市河长制河湖名录调查成果汇编，泊头市境内有老盐河、滹沱河故道、清凉江、江江河、南运河等大小河道多条。流经泊头市的较大河流为南运河，是京杭大运河重要组成河段，自西南向东北斜穿市域东部，境内全长约 36.5km；老盐河、滹沱河故道横贯市域中西部桑椹核心产区营子镇一带，为黄河改道遗留古河道，是区域农业灌溉的重要水源。</w:t>
      </w:r>
    </w:p>
    <w:p>
      <w:pPr>
        <w:kinsoku/>
        <w:spacing w:line="360" w:lineRule="auto"/>
        <w:ind w:firstLine="480"/>
        <w:jc w:val="both"/>
        <w:rPr>
          <w:rFonts w:cs="Times New Roman"/>
          <w:lang w:eastAsia="zh-CN"/>
        </w:rPr>
      </w:pPr>
      <w:r>
        <w:rPr>
          <w:rFonts w:hint="eastAsia" w:cs="Times New Roman"/>
          <w:lang w:eastAsia="zh-CN"/>
        </w:rPr>
        <w:t>泊头市地处华北平原冲积区，地下水类型以第四系松散岩类孔隙水为主，浅层孔隙水富水性较好区域集中在营子镇、齐桥镇等古河道带；富水性中等区域分布于文庙镇、寺门村镇、洼里王镇等广大平原区域。根据调查数据分析，市域地下水资源空间分布差异明显，绝大部分为松散岩类孔隙水，基岩裂隙水埋藏深、分布范围很小。市域浅层孔隙水分布面积广阔，占市域总面积 95% 以上；浅层孔隙水多年平均天然补给量占全市地下水多年平均天然补给量的 90% 以上，浅层孔隙水可采量占全市地下水可采量的 90% 左右，为泊头桑椹种植提供稳定的灌溉水源。</w:t>
      </w:r>
    </w:p>
    <w:p>
      <w:pPr>
        <w:kinsoku/>
        <w:spacing w:line="360" w:lineRule="auto"/>
        <w:ind w:firstLine="480"/>
        <w:jc w:val="both"/>
        <w:rPr>
          <w:rFonts w:cs="Times New Roman"/>
          <w:lang w:eastAsia="zh-CN"/>
        </w:rPr>
      </w:pPr>
      <w:r>
        <w:rPr>
          <w:rFonts w:cs="Times New Roman"/>
          <w:lang w:eastAsia="zh-CN"/>
        </w:rPr>
        <w:t>改革开放以来，随着特色农业发展和市场需求扩大，泊头</w:t>
      </w:r>
      <w:r>
        <w:rPr>
          <w:rFonts w:hint="eastAsia" w:cs="Times New Roman"/>
          <w:lang w:eastAsia="zh-CN"/>
        </w:rPr>
        <w:t>桑椹</w:t>
      </w:r>
      <w:r>
        <w:rPr>
          <w:rFonts w:cs="Times New Roman"/>
          <w:lang w:eastAsia="zh-CN"/>
        </w:rPr>
        <w:t>逐步由零散种植向规模化、产业化方向发展。营子镇苟鲁道村古桑园中仍存有古桑树30余棵，见证了泊头</w:t>
      </w:r>
      <w:r>
        <w:rPr>
          <w:rFonts w:hint="eastAsia" w:cs="Times New Roman"/>
          <w:lang w:eastAsia="zh-CN"/>
        </w:rPr>
        <w:t>桑椹</w:t>
      </w:r>
      <w:r>
        <w:rPr>
          <w:rFonts w:cs="Times New Roman"/>
          <w:lang w:eastAsia="zh-CN"/>
        </w:rPr>
        <w:t>的悠长历史。近年来，泊头市将</w:t>
      </w:r>
      <w:r>
        <w:rPr>
          <w:rFonts w:hint="eastAsia" w:cs="Times New Roman"/>
          <w:lang w:eastAsia="zh-CN"/>
        </w:rPr>
        <w:t>桑椹</w:t>
      </w:r>
      <w:r>
        <w:rPr>
          <w:rFonts w:cs="Times New Roman"/>
          <w:lang w:eastAsia="zh-CN"/>
        </w:rPr>
        <w:t>产业作为强镇富民的主导产业，规划建设现代农业示范园，推动</w:t>
      </w:r>
      <w:r>
        <w:rPr>
          <w:rFonts w:hint="eastAsia" w:cs="Times New Roman"/>
          <w:lang w:eastAsia="zh-CN"/>
        </w:rPr>
        <w:t>桑椹</w:t>
      </w:r>
      <w:r>
        <w:rPr>
          <w:rFonts w:cs="Times New Roman"/>
          <w:lang w:eastAsia="zh-CN"/>
        </w:rPr>
        <w:t>产业不断发展壮大。</w:t>
      </w:r>
    </w:p>
    <w:p>
      <w:pPr>
        <w:keepNext/>
        <w:keepLines/>
        <w:kinsoku/>
        <w:spacing w:before="156" w:beforeLines="50" w:after="156" w:afterLines="50" w:line="360" w:lineRule="auto"/>
        <w:ind w:firstLine="0" w:firstLineChars="0"/>
        <w:outlineLvl w:val="2"/>
        <w:rPr>
          <w:rFonts w:eastAsia="黑体" w:cs="Times New Roman"/>
          <w:lang w:eastAsia="zh-CN"/>
        </w:rPr>
      </w:pPr>
      <w:bookmarkStart w:id="15" w:name="_Toc207303702"/>
      <w:bookmarkStart w:id="16" w:name="_Toc241153607"/>
      <w:r>
        <w:rPr>
          <w:rFonts w:eastAsia="黑体" w:cs="Times New Roman"/>
          <w:lang w:eastAsia="zh-CN"/>
        </w:rPr>
        <w:t xml:space="preserve">4. </w:t>
      </w:r>
      <w:bookmarkEnd w:id="15"/>
      <w:r>
        <w:rPr>
          <w:rFonts w:hint="eastAsia" w:eastAsia="黑体" w:cs="Times New Roman"/>
          <w:lang w:eastAsia="zh-CN"/>
        </w:rPr>
        <w:t>地形地貌</w:t>
      </w:r>
      <w:bookmarkEnd w:id="16"/>
    </w:p>
    <w:p>
      <w:pPr>
        <w:kinsoku/>
        <w:spacing w:line="360" w:lineRule="auto"/>
        <w:ind w:firstLine="480"/>
        <w:jc w:val="both"/>
        <w:rPr>
          <w:rFonts w:cs="Times New Roman"/>
          <w:lang w:eastAsia="zh-CN"/>
        </w:rPr>
      </w:pPr>
      <w:r>
        <w:rPr>
          <w:rFonts w:hint="eastAsia" w:cs="Times New Roman"/>
          <w:lang w:eastAsia="zh-CN"/>
        </w:rPr>
        <w:t>泊头市地处黄河故道堆积平原，全境地势开阔平坦，整体自西南向东北微倾，属于华北平原黑龙港流域冲积平原。市域无山地、丘陵，是由历史上黄河、滹沱河等河流多次泛滥改道淤积形成的古河道平原，境内分布有古河道高地、河间浅平洼地、槽状洼地等微地貌单元。老盐河、滹沱河故道横贯市域中西部，桑椹核心产区营子镇就坐落于黄河故道古河道高地之上，地势略高于周边洼地。</w:t>
      </w:r>
    </w:p>
    <w:p>
      <w:pPr>
        <w:kinsoku/>
        <w:spacing w:line="360" w:lineRule="auto"/>
        <w:ind w:firstLine="480"/>
        <w:jc w:val="both"/>
        <w:rPr>
          <w:rFonts w:cs="Times New Roman"/>
          <w:lang w:eastAsia="zh-CN"/>
        </w:rPr>
      </w:pPr>
      <w:r>
        <w:rPr>
          <w:rFonts w:hint="eastAsia" w:cs="Times New Roman"/>
          <w:lang w:eastAsia="zh-CN"/>
        </w:rPr>
        <w:t>市域地貌类型以冲积平原为主，古河道砂质高地、河间洼地相间分布，海拔大多在10～20m。古河道高地主要分布在营子镇、齐桥镇一带，土壤多为蒙金砂土，通透性好；河间浅平洼地零散分布于市域各处，局部区域土壤盐分相对偏高。</w:t>
      </w:r>
    </w:p>
    <w:p>
      <w:pPr>
        <w:kinsoku/>
        <w:spacing w:line="360" w:lineRule="auto"/>
        <w:ind w:firstLine="480"/>
        <w:jc w:val="both"/>
        <w:rPr>
          <w:rFonts w:cs="Times New Roman"/>
          <w:lang w:eastAsia="zh-CN"/>
        </w:rPr>
      </w:pPr>
      <w:r>
        <w:rPr>
          <w:rFonts w:hint="eastAsia" w:cs="Times New Roman"/>
          <w:lang w:eastAsia="zh-CN"/>
        </w:rPr>
        <w:t>泊头市地貌类型以堆积平原为主，其中古河道砂质平原面积最大，占全市总面积46.7%，其次为河间浅平洼地，面积占比为38.2%，缓岗占9.4%，水域占 5.7%。古河道砂质高地主要分布在西部的营子镇、齐桥镇等桑椹主产乡镇。</w:t>
      </w:r>
    </w:p>
    <w:p>
      <w:pPr>
        <w:kinsoku/>
        <w:spacing w:line="360" w:lineRule="auto"/>
        <w:ind w:left="0" w:leftChars="0" w:firstLine="0" w:firstLineChars="0"/>
        <w:jc w:val="center"/>
        <w:rPr>
          <w:rFonts w:cs="Times New Roman"/>
          <w:lang w:eastAsia="zh-CN"/>
        </w:rPr>
      </w:pPr>
      <w:r>
        <w:rPr>
          <w:rFonts w:cs="Times New Roman"/>
          <w:snapToGrid/>
          <w:sz w:val="22"/>
          <w:szCs w:val="22"/>
          <w:lang w:eastAsia="zh-CN"/>
        </w:rPr>
        <w:drawing>
          <wp:inline distT="0" distB="0" distL="0" distR="0">
            <wp:extent cx="5274310" cy="3183255"/>
            <wp:effectExtent l="0" t="0" r="254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6" cstate="print">
                      <a:extLst>
                        <a:ext uri="{28A0092B-C50C-407E-A947-70E740481C1C}">
                          <a14:useLocalDpi xmlns:a14="http://schemas.microsoft.com/office/drawing/2010/main" val="0"/>
                        </a:ext>
                      </a:extLst>
                    </a:blip>
                    <a:srcRect t="9675" b="8022"/>
                    <a:stretch>
                      <a:fillRect/>
                    </a:stretch>
                  </pic:blipFill>
                  <pic:spPr>
                    <a:xfrm>
                      <a:off x="0" y="0"/>
                      <a:ext cx="5274310" cy="3183439"/>
                    </a:xfrm>
                    <a:prstGeom prst="rect">
                      <a:avLst/>
                    </a:prstGeom>
                  </pic:spPr>
                </pic:pic>
              </a:graphicData>
            </a:graphic>
          </wp:inline>
        </w:drawing>
      </w:r>
    </w:p>
    <w:p>
      <w:pPr>
        <w:kinsoku/>
        <w:spacing w:line="360" w:lineRule="auto"/>
        <w:ind w:firstLine="440"/>
        <w:jc w:val="center"/>
        <w:rPr>
          <w:rFonts w:cs="Times New Roman"/>
          <w:sz w:val="22"/>
          <w:szCs w:val="20"/>
          <w:lang w:eastAsia="zh-CN"/>
        </w:rPr>
      </w:pPr>
      <w:r>
        <w:rPr>
          <w:rFonts w:cs="Times New Roman"/>
          <w:sz w:val="22"/>
          <w:szCs w:val="20"/>
          <w:lang w:eastAsia="zh-CN"/>
        </w:rPr>
        <w:t>图</w:t>
      </w:r>
      <w:r>
        <w:rPr>
          <w:rFonts w:hint="eastAsia" w:cs="Times New Roman"/>
          <w:sz w:val="22"/>
          <w:szCs w:val="20"/>
          <w:lang w:eastAsia="zh-CN"/>
        </w:rPr>
        <w:t>1</w:t>
      </w:r>
      <w:r>
        <w:rPr>
          <w:rFonts w:cs="Times New Roman"/>
          <w:sz w:val="22"/>
          <w:szCs w:val="20"/>
          <w:lang w:eastAsia="zh-CN"/>
        </w:rPr>
        <w:t xml:space="preserve">.1 </w:t>
      </w:r>
      <w:r>
        <w:rPr>
          <w:rFonts w:hint="eastAsia" w:cs="Times New Roman"/>
          <w:sz w:val="22"/>
          <w:szCs w:val="20"/>
          <w:lang w:val="en-US" w:eastAsia="zh-CN"/>
        </w:rPr>
        <w:t>泊头市</w:t>
      </w:r>
      <w:r>
        <w:rPr>
          <w:rFonts w:hint="eastAsia" w:cs="Times New Roman"/>
          <w:sz w:val="22"/>
          <w:szCs w:val="20"/>
          <w:lang w:eastAsia="zh-CN"/>
        </w:rPr>
        <w:t>数字高程模型</w:t>
      </w:r>
    </w:p>
    <w:p>
      <w:pPr>
        <w:kinsoku/>
        <w:spacing w:line="360" w:lineRule="auto"/>
        <w:ind w:firstLine="480"/>
        <w:jc w:val="center"/>
        <w:rPr>
          <w:rFonts w:cs="Times New Roman"/>
          <w:lang w:eastAsia="zh-CN"/>
        </w:rPr>
      </w:pPr>
    </w:p>
    <w:p>
      <w:pPr>
        <w:pStyle w:val="3"/>
        <w:kinsoku/>
        <w:spacing w:before="120" w:after="120" w:line="360" w:lineRule="auto"/>
        <w:ind w:firstLine="0" w:firstLineChars="0"/>
        <w:rPr>
          <w:rFonts w:hint="eastAsia" w:ascii="黑体" w:hAnsi="黑体" w:eastAsia="黑体"/>
          <w:color w:val="000000" w:themeColor="text1"/>
          <w:sz w:val="24"/>
          <w:szCs w:val="24"/>
          <w:lang w:eastAsia="zh-CN"/>
          <w14:textFill>
            <w14:solidFill>
              <w14:schemeClr w14:val="tx1"/>
            </w14:solidFill>
          </w14:textFill>
        </w:rPr>
      </w:pPr>
      <w:bookmarkStart w:id="17" w:name="_Toc241153608"/>
      <w:r>
        <w:rPr>
          <w:rFonts w:hint="eastAsia" w:ascii="黑体" w:hAnsi="黑体" w:eastAsia="黑体"/>
          <w:color w:val="000000" w:themeColor="text1"/>
          <w:sz w:val="24"/>
          <w:szCs w:val="24"/>
          <w:lang w:eastAsia="zh-CN"/>
          <w14:textFill>
            <w14:solidFill>
              <w14:schemeClr w14:val="tx1"/>
            </w14:solidFill>
          </w14:textFill>
        </w:rPr>
        <w:t>（二）泊头市桑椹土特产品简介</w:t>
      </w:r>
      <w:bookmarkEnd w:id="17"/>
    </w:p>
    <w:p>
      <w:pPr>
        <w:kinsoku/>
        <w:spacing w:line="360" w:lineRule="auto"/>
        <w:ind w:firstLine="480"/>
        <w:jc w:val="both"/>
        <w:rPr>
          <w:rFonts w:cs="Times New Roman"/>
          <w:lang w:eastAsia="zh-CN"/>
        </w:rPr>
      </w:pPr>
      <w:r>
        <w:rPr>
          <w:rFonts w:cs="Times New Roman"/>
          <w:lang w:eastAsia="zh-CN"/>
        </w:rPr>
        <w:t>泊头</w:t>
      </w:r>
      <w:r>
        <w:rPr>
          <w:rFonts w:hint="eastAsia" w:cs="Times New Roman"/>
          <w:lang w:eastAsia="zh-CN"/>
        </w:rPr>
        <w:t>桑椹</w:t>
      </w:r>
      <w:r>
        <w:rPr>
          <w:rFonts w:cs="Times New Roman"/>
          <w:lang w:eastAsia="zh-CN"/>
        </w:rPr>
        <w:t>属于桑科桑属落叶乔木，起源于我国中部地区，是我国历史悠久的乡土特色果树，为典型温带落叶果树，在我国南北区域均有栽培。国内</w:t>
      </w:r>
      <w:r>
        <w:rPr>
          <w:rFonts w:hint="eastAsia" w:cs="Times New Roman"/>
          <w:lang w:eastAsia="zh-CN"/>
        </w:rPr>
        <w:t>桑椹</w:t>
      </w:r>
      <w:r>
        <w:rPr>
          <w:rFonts w:cs="Times New Roman"/>
          <w:lang w:eastAsia="zh-CN"/>
        </w:rPr>
        <w:t>主产区主要分布于河北、山东、江苏、浙江、新疆等省区，河北泊头是我国北方重要的</w:t>
      </w:r>
      <w:r>
        <w:rPr>
          <w:rFonts w:hint="eastAsia" w:cs="Times New Roman"/>
          <w:lang w:eastAsia="zh-CN"/>
        </w:rPr>
        <w:t>桑椹</w:t>
      </w:r>
      <w:r>
        <w:rPr>
          <w:rFonts w:cs="Times New Roman"/>
          <w:lang w:eastAsia="zh-CN"/>
        </w:rPr>
        <w:t>优势产区，获评 “</w:t>
      </w:r>
      <w:r>
        <w:rPr>
          <w:rFonts w:hint="eastAsia" w:cs="Times New Roman"/>
          <w:lang w:eastAsia="zh-CN"/>
        </w:rPr>
        <w:t>桑椹</w:t>
      </w:r>
      <w:r>
        <w:rPr>
          <w:rFonts w:cs="Times New Roman"/>
          <w:lang w:eastAsia="zh-CN"/>
        </w:rPr>
        <w:t>名市”，当地主栽传统优质地方品种为“黑珍珠”</w:t>
      </w:r>
      <w:r>
        <w:rPr>
          <w:rFonts w:hint="eastAsia" w:cs="Times New Roman"/>
          <w:lang w:eastAsia="zh-CN"/>
        </w:rPr>
        <w:t>桑椹</w:t>
      </w:r>
      <w:r>
        <w:rPr>
          <w:rFonts w:cs="Times New Roman"/>
          <w:lang w:eastAsia="zh-CN"/>
        </w:rPr>
        <w:t xml:space="preserve">。泊头 “黑珍珠” </w:t>
      </w:r>
      <w:r>
        <w:rPr>
          <w:rFonts w:hint="eastAsia" w:cs="Times New Roman"/>
          <w:lang w:eastAsia="zh-CN"/>
        </w:rPr>
        <w:t>桑椹</w:t>
      </w:r>
      <w:r>
        <w:rPr>
          <w:rFonts w:cs="Times New Roman"/>
          <w:lang w:eastAsia="zh-CN"/>
        </w:rPr>
        <w:t>果色黑紫饱满，果实外形似肾，肉质肥厚醇厚，入口甘甜、回味醇香，药食同源属性突出，地域品质特征稳定；市域</w:t>
      </w:r>
      <w:r>
        <w:rPr>
          <w:rFonts w:hint="eastAsia" w:cs="Times New Roman"/>
          <w:lang w:eastAsia="zh-CN"/>
        </w:rPr>
        <w:t>桑椹</w:t>
      </w:r>
      <w:r>
        <w:rPr>
          <w:rFonts w:cs="Times New Roman"/>
          <w:lang w:eastAsia="zh-CN"/>
        </w:rPr>
        <w:t>种植集中分布在营子镇、齐桥镇，寺门村镇、文庙镇、洼里王镇、王武镇亦有规模种植，其中营子镇为泊头</w:t>
      </w:r>
      <w:r>
        <w:rPr>
          <w:rFonts w:hint="eastAsia" w:cs="Times New Roman"/>
          <w:lang w:eastAsia="zh-CN"/>
        </w:rPr>
        <w:t>桑椹</w:t>
      </w:r>
      <w:r>
        <w:rPr>
          <w:rFonts w:cs="Times New Roman"/>
          <w:lang w:eastAsia="zh-CN"/>
        </w:rPr>
        <w:t>核心主产区。</w:t>
      </w:r>
    </w:p>
    <w:p>
      <w:pPr>
        <w:kinsoku/>
        <w:spacing w:line="360" w:lineRule="auto"/>
        <w:ind w:firstLine="480"/>
        <w:jc w:val="both"/>
        <w:rPr>
          <w:rFonts w:cs="Times New Roman"/>
          <w:lang w:eastAsia="zh-CN"/>
        </w:rPr>
      </w:pPr>
      <w:r>
        <w:rPr>
          <w:rFonts w:cs="Times New Roman"/>
          <w:lang w:eastAsia="zh-CN"/>
        </w:rPr>
        <w:t>泊头</w:t>
      </w:r>
      <w:r>
        <w:rPr>
          <w:rFonts w:hint="eastAsia" w:cs="Times New Roman"/>
          <w:lang w:eastAsia="zh-CN"/>
        </w:rPr>
        <w:t>桑椹</w:t>
      </w:r>
      <w:r>
        <w:rPr>
          <w:rFonts w:cs="Times New Roman"/>
          <w:lang w:eastAsia="zh-CN"/>
        </w:rPr>
        <w:t>栽培历史源远流长，桑树人工栽培可追溯至 2200 年前，明万历《交河县志》等地方史料均有本地植桑养蚕的相关记载，种植文化积淀深厚，桑果风味独特，产品地域辨识度高。泊头地处黄河故道堆积平原，独特的蒙金砂土地质条件，叠加暖温带半湿润大陆性季风气候，光热充足、昼夜温差适中，老盐河、滹沱河故道提供稳定灌溉水源，得天独厚的水土气候组合，塑造出泊头</w:t>
      </w:r>
      <w:r>
        <w:rPr>
          <w:rFonts w:hint="eastAsia" w:cs="Times New Roman"/>
          <w:lang w:eastAsia="zh-CN"/>
        </w:rPr>
        <w:t>桑椹</w:t>
      </w:r>
      <w:r>
        <w:rPr>
          <w:rFonts w:cs="Times New Roman"/>
          <w:lang w:eastAsia="zh-CN"/>
        </w:rPr>
        <w:t>区别于其他产区的优良品质。2020 年，“泊头</w:t>
      </w:r>
      <w:r>
        <w:rPr>
          <w:rFonts w:hint="eastAsia" w:cs="Times New Roman"/>
          <w:lang w:eastAsia="zh-CN"/>
        </w:rPr>
        <w:t>桑椹</w:t>
      </w:r>
      <w:r>
        <w:rPr>
          <w:rFonts w:cs="Times New Roman"/>
          <w:lang w:eastAsia="zh-CN"/>
        </w:rPr>
        <w:t>” 取得国家农产品地理标志登记保护</w:t>
      </w:r>
      <w:r>
        <w:rPr>
          <w:rFonts w:hint="eastAsia" w:cs="Times New Roman"/>
          <w:lang w:eastAsia="zh-CN"/>
        </w:rPr>
        <w:t>（图1.2）。</w:t>
      </w:r>
      <w:r>
        <w:rPr>
          <w:rFonts w:cs="Times New Roman"/>
          <w:lang w:eastAsia="zh-CN"/>
        </w:rPr>
        <w:t>2023 年，“河北泊头古桑林” 入选第七批中国重要农业文化遗产</w:t>
      </w:r>
      <w:r>
        <w:rPr>
          <w:rFonts w:hint="eastAsia" w:cs="Times New Roman"/>
          <w:lang w:eastAsia="zh-CN"/>
        </w:rPr>
        <w:t>。</w:t>
      </w:r>
      <w:r>
        <w:rPr>
          <w:rFonts w:cs="Times New Roman"/>
          <w:lang w:eastAsia="zh-CN"/>
        </w:rPr>
        <w:t>泊头</w:t>
      </w:r>
      <w:r>
        <w:rPr>
          <w:rFonts w:hint="eastAsia" w:cs="Times New Roman"/>
          <w:lang w:eastAsia="zh-CN"/>
        </w:rPr>
        <w:t>桑椹</w:t>
      </w:r>
      <w:r>
        <w:rPr>
          <w:rFonts w:cs="Times New Roman"/>
          <w:lang w:eastAsia="zh-CN"/>
        </w:rPr>
        <w:t>先后纳入河北省道地药材目录，取得全国名特优新农产品认定，区域公用品牌建设成效显著。</w:t>
      </w:r>
    </w:p>
    <w:p>
      <w:pPr>
        <w:kinsoku/>
        <w:spacing w:line="360" w:lineRule="auto"/>
        <w:ind w:firstLine="0" w:firstLineChars="0"/>
        <w:jc w:val="center"/>
        <w:rPr>
          <w:rFonts w:cs="Times New Roman"/>
          <w:sz w:val="22"/>
          <w:szCs w:val="20"/>
          <w:lang w:eastAsia="zh-CN"/>
        </w:rPr>
      </w:pPr>
      <w:r>
        <w:rPr>
          <w:snapToGrid/>
        </w:rPr>
        <w:drawing>
          <wp:inline distT="0" distB="0" distL="0" distR="0">
            <wp:extent cx="5323840" cy="3308350"/>
            <wp:effectExtent l="0" t="0" r="0" b="6350"/>
            <wp:docPr id="1825202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02146" name="图片 1"/>
                    <pic:cNvPicPr>
                      <a:picLocks noChangeAspect="1"/>
                    </pic:cNvPicPr>
                  </pic:nvPicPr>
                  <pic:blipFill>
                    <a:blip r:embed="rId17"/>
                    <a:stretch>
                      <a:fillRect/>
                    </a:stretch>
                  </pic:blipFill>
                  <pic:spPr>
                    <a:xfrm>
                      <a:off x="0" y="0"/>
                      <a:ext cx="5324400" cy="3308400"/>
                    </a:xfrm>
                    <a:prstGeom prst="rect">
                      <a:avLst/>
                    </a:prstGeom>
                  </pic:spPr>
                </pic:pic>
              </a:graphicData>
            </a:graphic>
          </wp:inline>
        </w:drawing>
      </w:r>
      <w:r>
        <w:rPr>
          <w:rFonts w:cs="Times New Roman"/>
          <w:sz w:val="22"/>
          <w:szCs w:val="20"/>
          <w:lang w:eastAsia="zh-CN"/>
        </w:rPr>
        <w:t>图</w:t>
      </w:r>
      <w:r>
        <w:rPr>
          <w:rFonts w:hint="eastAsia" w:cs="Times New Roman"/>
          <w:sz w:val="22"/>
          <w:szCs w:val="20"/>
          <w:lang w:eastAsia="zh-CN"/>
        </w:rPr>
        <w:t>1</w:t>
      </w:r>
      <w:r>
        <w:rPr>
          <w:rFonts w:cs="Times New Roman"/>
          <w:sz w:val="22"/>
          <w:szCs w:val="20"/>
          <w:lang w:eastAsia="zh-CN"/>
        </w:rPr>
        <w:t>.</w:t>
      </w:r>
      <w:r>
        <w:rPr>
          <w:rFonts w:hint="eastAsia" w:cs="Times New Roman"/>
          <w:sz w:val="22"/>
          <w:szCs w:val="20"/>
          <w:lang w:eastAsia="zh-CN"/>
        </w:rPr>
        <w:t>2</w:t>
      </w:r>
      <w:r>
        <w:rPr>
          <w:rFonts w:cs="Times New Roman"/>
          <w:sz w:val="22"/>
          <w:szCs w:val="20"/>
          <w:lang w:eastAsia="zh-CN"/>
        </w:rPr>
        <w:t xml:space="preserve"> </w:t>
      </w:r>
      <w:r>
        <w:rPr>
          <w:rFonts w:hint="eastAsia" w:cs="Times New Roman"/>
          <w:sz w:val="22"/>
          <w:szCs w:val="20"/>
          <w:lang w:eastAsia="zh-CN"/>
        </w:rPr>
        <w:t>泊头市桑椹实物图</w:t>
      </w:r>
    </w:p>
    <w:p>
      <w:pPr>
        <w:keepNext/>
        <w:keepLines/>
        <w:kinsoku/>
        <w:spacing w:before="156" w:beforeLines="50" w:after="156" w:afterLines="50" w:line="360" w:lineRule="auto"/>
        <w:ind w:firstLine="0" w:firstLineChars="0"/>
        <w:outlineLvl w:val="2"/>
        <w:rPr>
          <w:rFonts w:eastAsia="黑体" w:cs="Times New Roman"/>
          <w:lang w:eastAsia="zh-CN"/>
        </w:rPr>
      </w:pPr>
      <w:bookmarkStart w:id="18" w:name="_Toc241153609"/>
      <w:r>
        <w:rPr>
          <w:rFonts w:eastAsia="黑体" w:cs="Times New Roman"/>
          <w:lang w:eastAsia="zh-CN"/>
        </w:rPr>
        <w:t xml:space="preserve">1. </w:t>
      </w:r>
      <w:r>
        <w:rPr>
          <w:rFonts w:hint="eastAsia" w:eastAsia="黑体" w:cs="Times New Roman"/>
          <w:lang w:eastAsia="zh-CN"/>
        </w:rPr>
        <w:t>种植历史</w:t>
      </w:r>
      <w:bookmarkEnd w:id="18"/>
    </w:p>
    <w:p>
      <w:pPr>
        <w:kinsoku/>
        <w:spacing w:line="360" w:lineRule="auto"/>
        <w:ind w:firstLine="480"/>
        <w:jc w:val="both"/>
        <w:rPr>
          <w:rFonts w:cs="Times New Roman"/>
          <w:lang w:eastAsia="zh-CN"/>
        </w:rPr>
      </w:pPr>
      <w:r>
        <w:rPr>
          <w:rFonts w:hint="eastAsia" w:cs="Times New Roman"/>
          <w:lang w:eastAsia="zh-CN"/>
        </w:rPr>
        <w:t>泊头桑椹种植历史悠久，在《交河县志》《河间府志》等地方古籍中，均有泊头地域植桑产椹的相关记载。泊头桑树人工栽培最早可追溯至西汉时期，距今已有2200年历史。明代宣德年间，交河知县林俊大力倡导民众利用闲地栽植桑枣，“视民家有隙地者，使各树桑枣。后数年，桑长成林，获蚕丝之利”，官方推广桑林种植距今已有600余年历史，境内营子镇苟鲁道村至今仍留存树龄数百年的古桑树群。本地传统桑椹品种以地方古桑实生选育的“黑珍珠”为主，果形似肾、果色黑紫，是泊头本土标志性桑椹品种。</w:t>
      </w:r>
    </w:p>
    <w:p>
      <w:pPr>
        <w:kinsoku/>
        <w:spacing w:line="360" w:lineRule="auto"/>
        <w:ind w:firstLine="480"/>
        <w:jc w:val="both"/>
        <w:rPr>
          <w:rFonts w:cs="Times New Roman"/>
          <w:lang w:eastAsia="zh-CN"/>
        </w:rPr>
      </w:pPr>
      <w:r>
        <w:rPr>
          <w:rFonts w:hint="eastAsia" w:cs="Times New Roman"/>
          <w:lang w:eastAsia="zh-CN"/>
        </w:rPr>
        <w:t>20世纪90年代以来，泊头在保护本地古桑种质资源的基础上，逐步开展果桑品种引种试验，引进大十、云桑2号等国内优良果桑品种，同时持续开展本土 “黑珍珠” 古桑优株筛选复壮，兼顾古桑资源保护与规模化生产，桑椹种植面积与鲜果产量稳步提升。泊头市福星园农业发展有限公司、德荣食品有限公司、沧州黑桑椹酒业有限公司等一批本土经营主体逐步发展壮大，成为泊头桑椹产业的龙头企业，推动桑椹产业走向科学化、标准化、产业化发展道路。营子镇桑椹现代农业园区为河北省休闲农业精品园区、河北省“定制药园”，依托园区平台推广标准化栽培技术，建设绿色高质高效桑椹示范基地。泊头桑椹产业朝着古桑资源保护、集约化生产、新型经营主体带动的方向持续发展。</w:t>
      </w:r>
    </w:p>
    <w:p>
      <w:pPr>
        <w:keepNext/>
        <w:keepLines/>
        <w:kinsoku/>
        <w:spacing w:before="156" w:beforeLines="50" w:after="156" w:afterLines="50" w:line="360" w:lineRule="auto"/>
        <w:ind w:firstLine="0" w:firstLineChars="0"/>
        <w:outlineLvl w:val="2"/>
        <w:rPr>
          <w:rFonts w:eastAsia="黑体" w:cs="Times New Roman"/>
          <w:lang w:eastAsia="zh-CN"/>
        </w:rPr>
      </w:pPr>
      <w:bookmarkStart w:id="19" w:name="_Toc241153610"/>
      <w:r>
        <w:rPr>
          <w:rFonts w:eastAsia="黑体" w:cs="Times New Roman"/>
          <w:lang w:eastAsia="zh-CN"/>
        </w:rPr>
        <w:t xml:space="preserve">2. </w:t>
      </w:r>
      <w:r>
        <w:rPr>
          <w:rFonts w:hint="eastAsia" w:eastAsia="黑体" w:cs="Times New Roman"/>
          <w:lang w:eastAsia="zh-CN"/>
        </w:rPr>
        <w:t>种植区域与面积</w:t>
      </w:r>
      <w:bookmarkEnd w:id="19"/>
    </w:p>
    <w:p>
      <w:pPr>
        <w:kinsoku/>
        <w:spacing w:line="360" w:lineRule="auto"/>
        <w:ind w:firstLine="480"/>
        <w:jc w:val="both"/>
        <w:rPr>
          <w:rFonts w:cs="Times New Roman"/>
          <w:lang w:eastAsia="zh-CN"/>
        </w:rPr>
      </w:pPr>
      <w:r>
        <w:rPr>
          <w:rFonts w:cs="Times New Roman"/>
          <w:lang w:eastAsia="zh-CN"/>
        </w:rPr>
        <w:t>目前，泊头市桑树种植面积3.5万亩，主要分布在泊头市东部和北部的部分乡镇，以营子镇较为集中，共有2.1万亩，约占全市</w:t>
      </w:r>
      <w:r>
        <w:rPr>
          <w:rFonts w:hint="eastAsia" w:cs="Times New Roman"/>
          <w:lang w:eastAsia="zh-CN"/>
        </w:rPr>
        <w:t>桑椹</w:t>
      </w:r>
      <w:r>
        <w:rPr>
          <w:rFonts w:cs="Times New Roman"/>
          <w:lang w:eastAsia="zh-CN"/>
        </w:rPr>
        <w:t>种植面积的60%；其次为齐桥镇0.6万亩，文庙镇0.23万亩，寺门村镇0.18万亩，洼里王镇0.17万亩，王武镇0.16万亩；除此之外，在泊头市西部的西辛店乡也少有分布，面积为0.06万亩（图</w:t>
      </w:r>
      <w:r>
        <w:rPr>
          <w:rFonts w:hint="eastAsia" w:cs="Times New Roman"/>
          <w:lang w:eastAsia="zh-CN"/>
        </w:rPr>
        <w:t>1.3</w:t>
      </w:r>
      <w:r>
        <w:rPr>
          <w:rFonts w:cs="Times New Roman"/>
          <w:lang w:eastAsia="zh-CN"/>
        </w:rPr>
        <w:t>）。</w:t>
      </w:r>
    </w:p>
    <w:p>
      <w:pPr>
        <w:kinsoku/>
        <w:spacing w:line="360" w:lineRule="auto"/>
        <w:ind w:firstLine="480"/>
        <w:jc w:val="both"/>
        <w:rPr>
          <w:rFonts w:cs="Times New Roman"/>
          <w:lang w:val="en-GB" w:eastAsia="zh-CN"/>
        </w:rPr>
      </w:pPr>
      <w:r>
        <w:rPr>
          <w:szCs w:val="28"/>
        </w:rPr>
        <w:drawing>
          <wp:inline distT="0" distB="0" distL="0" distR="0">
            <wp:extent cx="5323840" cy="356743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24400" cy="3567600"/>
                    </a:xfrm>
                    <a:prstGeom prst="rect">
                      <a:avLst/>
                    </a:prstGeom>
                  </pic:spPr>
                </pic:pic>
              </a:graphicData>
            </a:graphic>
          </wp:inline>
        </w:drawing>
      </w:r>
      <w:r>
        <w:commentReference w:id="7"/>
      </w:r>
    </w:p>
    <w:p>
      <w:pPr>
        <w:spacing w:line="360" w:lineRule="auto"/>
        <w:ind w:firstLine="480"/>
        <w:jc w:val="center"/>
        <w:rPr>
          <w:szCs w:val="32"/>
          <w:lang w:eastAsia="zh-CN"/>
        </w:rPr>
      </w:pPr>
      <w:r>
        <w:rPr>
          <w:rFonts w:hint="eastAsia"/>
          <w:szCs w:val="32"/>
          <w:lang w:eastAsia="zh-CN"/>
        </w:rPr>
        <w:t>图1.3 泊头市各乡镇桑树种植面积</w:t>
      </w:r>
    </w:p>
    <w:p>
      <w:pPr>
        <w:spacing w:line="360" w:lineRule="auto"/>
        <w:ind w:firstLine="480"/>
        <w:rPr>
          <w:szCs w:val="28"/>
          <w:lang w:eastAsia="zh-CN"/>
        </w:rPr>
      </w:pPr>
      <w:r>
        <w:rPr>
          <w:rFonts w:hint="eastAsia"/>
          <w:szCs w:val="28"/>
          <w:lang w:eastAsia="zh-CN"/>
        </w:rPr>
        <w:t>桑树分布较为集中的营子镇位于泊头市西北部，为黄河故道堆积平原，土壤类型为蒙金砂土；境内有滹沱河故道、老盐河，独特的水土和气候孕育了的“黑珍珠”桑椹品种具有入口甘甜、回味醇香的独特品质。乡镇总面积为</w:t>
      </w:r>
      <w:r>
        <w:rPr>
          <w:szCs w:val="28"/>
          <w:lang w:eastAsia="zh-CN"/>
        </w:rPr>
        <w:t>96平方千米，辖营子、及庄、大徘徊、小徘徊、大鲁道、桑庄、西杨庄、东杨庄、西辛庄、东辛庄、后军屯、前军屯、大徐郭、小徐郭、前乜、后乜、西柏舟寺、东柏舟寺等67个行政村。</w:t>
      </w:r>
    </w:p>
    <w:p>
      <w:pPr>
        <w:spacing w:line="360" w:lineRule="auto"/>
        <w:ind w:firstLine="480"/>
        <w:rPr>
          <w:szCs w:val="28"/>
          <w:lang w:eastAsia="zh-CN"/>
        </w:rPr>
      </w:pPr>
      <w:r>
        <w:rPr>
          <w:rFonts w:hint="eastAsia"/>
          <w:szCs w:val="28"/>
          <w:lang w:eastAsia="zh-CN"/>
        </w:rPr>
        <w:t>不同行政村的桑树种植情况存在明显差异，以其中2</w:t>
      </w:r>
      <w:r>
        <w:rPr>
          <w:szCs w:val="28"/>
          <w:lang w:eastAsia="zh-CN"/>
        </w:rPr>
        <w:t>2</w:t>
      </w:r>
      <w:r>
        <w:rPr>
          <w:rFonts w:hint="eastAsia"/>
          <w:szCs w:val="28"/>
          <w:lang w:eastAsia="zh-CN"/>
        </w:rPr>
        <w:t>个行政村最为集中，包含刘辛庄、大鲁道第一、大鲁道第二、大鲁道第三、大鲁道第四、李鲁道第五、苟鲁道、庄头第一、庄头第二、庄头第三、尚古庄、王鲁道、曹鲁道、石桥鲁道、沙鲁道、段鲁道、玉皇庙西、玉皇庙中、玉皇庙东、袁村、金庄、来庄村，桑树种植总面积为1</w:t>
      </w:r>
      <w:r>
        <w:rPr>
          <w:szCs w:val="28"/>
          <w:lang w:eastAsia="zh-CN"/>
        </w:rPr>
        <w:t>6 210</w:t>
      </w:r>
      <w:r>
        <w:rPr>
          <w:rFonts w:hint="eastAsia"/>
          <w:szCs w:val="28"/>
          <w:lang w:eastAsia="zh-CN"/>
        </w:rPr>
        <w:t>亩，占营子镇桑树种植总面积的7</w:t>
      </w:r>
      <w:r>
        <w:rPr>
          <w:szCs w:val="28"/>
          <w:lang w:eastAsia="zh-CN"/>
        </w:rPr>
        <w:t>7.2</w:t>
      </w:r>
      <w:r>
        <w:rPr>
          <w:rFonts w:hint="eastAsia"/>
          <w:szCs w:val="28"/>
          <w:lang w:eastAsia="zh-CN"/>
        </w:rPr>
        <w:t>%，泊头市桑树种植总面积的4</w:t>
      </w:r>
      <w:r>
        <w:rPr>
          <w:szCs w:val="28"/>
          <w:lang w:eastAsia="zh-CN"/>
        </w:rPr>
        <w:t>6.3</w:t>
      </w:r>
      <w:r>
        <w:rPr>
          <w:rFonts w:hint="eastAsia"/>
          <w:szCs w:val="28"/>
          <w:lang w:eastAsia="zh-CN"/>
        </w:rPr>
        <w:t>%。综合上述条件，划定泊头市营子镇桑树种植集中的2</w:t>
      </w:r>
      <w:r>
        <w:rPr>
          <w:szCs w:val="28"/>
          <w:lang w:eastAsia="zh-CN"/>
        </w:rPr>
        <w:t>2</w:t>
      </w:r>
      <w:r>
        <w:rPr>
          <w:rFonts w:hint="eastAsia"/>
          <w:szCs w:val="28"/>
          <w:lang w:eastAsia="zh-CN"/>
        </w:rPr>
        <w:t>个行政村为河北泊头古桑林系统的核心保护区（表1.</w:t>
      </w:r>
      <w:r>
        <w:rPr>
          <w:szCs w:val="28"/>
          <w:lang w:eastAsia="zh-CN"/>
        </w:rPr>
        <w:t>1</w:t>
      </w:r>
      <w:r>
        <w:rPr>
          <w:rFonts w:hint="eastAsia"/>
          <w:szCs w:val="28"/>
          <w:lang w:eastAsia="zh-CN"/>
        </w:rPr>
        <w:t>）。</w:t>
      </w:r>
    </w:p>
    <w:p>
      <w:pPr>
        <w:spacing w:line="360" w:lineRule="auto"/>
        <w:ind w:firstLine="480"/>
        <w:jc w:val="center"/>
        <w:rPr>
          <w:szCs w:val="32"/>
        </w:rPr>
      </w:pPr>
      <w:r>
        <w:rPr>
          <w:rFonts w:hint="eastAsia"/>
          <w:szCs w:val="32"/>
        </w:rPr>
        <w:t>表</w:t>
      </w:r>
      <w:r>
        <w:rPr>
          <w:rFonts w:hint="eastAsia"/>
          <w:szCs w:val="32"/>
          <w:lang w:eastAsia="zh-CN"/>
        </w:rPr>
        <w:t>1.1</w:t>
      </w:r>
      <w:r>
        <w:rPr>
          <w:rFonts w:hint="eastAsia"/>
          <w:szCs w:val="32"/>
        </w:rPr>
        <w:t xml:space="preserve"> 核心保护区</w:t>
      </w:r>
    </w:p>
    <w:tbl>
      <w:tblPr>
        <w:tblStyle w:val="33"/>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80" w:type="dxa"/>
            <w:vAlign w:val="center"/>
          </w:tcPr>
          <w:p>
            <w:pPr>
              <w:pStyle w:val="47"/>
              <w:bidi w:val="0"/>
            </w:pPr>
            <w:r>
              <w:rPr>
                <w:rFonts w:hint="eastAsia"/>
              </w:rPr>
              <w:t>核心保护区乡镇</w:t>
            </w:r>
          </w:p>
        </w:tc>
        <w:tc>
          <w:tcPr>
            <w:tcW w:w="6316" w:type="dxa"/>
            <w:vAlign w:val="center"/>
          </w:tcPr>
          <w:p>
            <w:pPr>
              <w:pStyle w:val="47"/>
              <w:bidi w:val="0"/>
            </w:pPr>
            <w:r>
              <w:rPr>
                <w:rFonts w:hint="eastAsia"/>
              </w:rPr>
              <w:t>行政村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80" w:type="dxa"/>
            <w:vAlign w:val="center"/>
          </w:tcPr>
          <w:p>
            <w:pPr>
              <w:pStyle w:val="47"/>
              <w:bidi w:val="0"/>
            </w:pPr>
            <w:r>
              <w:rPr>
                <w:rFonts w:hint="eastAsia"/>
              </w:rPr>
              <w:t>营子镇</w:t>
            </w:r>
          </w:p>
        </w:tc>
        <w:tc>
          <w:tcPr>
            <w:tcW w:w="6316" w:type="dxa"/>
          </w:tcPr>
          <w:p>
            <w:pPr>
              <w:pStyle w:val="47"/>
              <w:bidi w:val="0"/>
              <w:rPr>
                <w:lang w:eastAsia="zh-CN"/>
              </w:rPr>
            </w:pPr>
            <w:r>
              <w:rPr>
                <w:rFonts w:hint="eastAsia"/>
                <w:lang w:eastAsia="zh-CN"/>
              </w:rPr>
              <w:t>刘辛庄、大鲁道第一、大鲁道第二、大鲁道第三、大鲁道第四、李鲁道第五、苟鲁道、庄头第一、庄头第二、庄头第三、尚古庄、王鲁道、曹鲁道、石桥鲁道、沙鲁道、段鲁道、玉皇庙西、玉皇庙中、玉皇庙东、袁村、金庄、来庄</w:t>
            </w:r>
          </w:p>
        </w:tc>
      </w:tr>
    </w:tbl>
    <w:p>
      <w:pPr>
        <w:keepNext/>
        <w:keepLines/>
        <w:kinsoku/>
        <w:spacing w:before="156" w:beforeLines="50" w:after="156" w:afterLines="50" w:line="360" w:lineRule="auto"/>
        <w:ind w:firstLine="0" w:firstLineChars="0"/>
        <w:outlineLvl w:val="2"/>
        <w:rPr>
          <w:szCs w:val="28"/>
          <w:lang w:eastAsia="zh-CN"/>
        </w:rPr>
      </w:pPr>
      <w:bookmarkStart w:id="20" w:name="_Toc241153611"/>
      <w:r>
        <w:rPr>
          <w:rFonts w:eastAsia="黑体" w:cs="Times New Roman"/>
          <w:lang w:eastAsia="zh-CN"/>
        </w:rPr>
        <w:t xml:space="preserve">3. </w:t>
      </w:r>
      <w:r>
        <w:rPr>
          <w:rFonts w:hint="eastAsia" w:eastAsia="黑体" w:cs="Times New Roman"/>
          <w:lang w:eastAsia="zh-CN"/>
        </w:rPr>
        <w:t>品质与产量</w:t>
      </w:r>
      <w:bookmarkEnd w:id="20"/>
    </w:p>
    <w:p>
      <w:pPr>
        <w:spacing w:line="360" w:lineRule="auto"/>
        <w:ind w:firstLine="480"/>
        <w:rPr>
          <w:szCs w:val="28"/>
          <w:lang w:eastAsia="zh-CN"/>
        </w:rPr>
      </w:pPr>
      <w:r>
        <w:rPr>
          <w:rFonts w:hint="eastAsia"/>
          <w:szCs w:val="28"/>
          <w:lang w:eastAsia="zh-CN"/>
        </w:rPr>
        <w:t>桑椹</w:t>
      </w:r>
      <w:r>
        <w:rPr>
          <w:szCs w:val="28"/>
          <w:lang w:eastAsia="zh-CN"/>
        </w:rPr>
        <w:t>品种分为南方和北方两大区域。南方传统桑树品种是以采叶养蚕为主，结果晚，</w:t>
      </w:r>
      <w:r>
        <w:rPr>
          <w:rFonts w:hint="eastAsia"/>
          <w:szCs w:val="28"/>
          <w:lang w:eastAsia="zh-CN"/>
        </w:rPr>
        <w:t>桑椹</w:t>
      </w:r>
      <w:r>
        <w:rPr>
          <w:szCs w:val="28"/>
          <w:lang w:eastAsia="zh-CN"/>
        </w:rPr>
        <w:t>小而且少，难以作为水果开发利用。上世纪九十年代，我国农业科研人员成功选育出云桑2号、大10等系列新品种，在四川、安徽、浙江等南方传统植桑区广泛推广种植，使</w:t>
      </w:r>
      <w:r>
        <w:rPr>
          <w:rFonts w:hint="eastAsia"/>
          <w:szCs w:val="28"/>
          <w:lang w:eastAsia="zh-CN"/>
        </w:rPr>
        <w:t>桑椹</w:t>
      </w:r>
      <w:r>
        <w:rPr>
          <w:szCs w:val="28"/>
          <w:lang w:eastAsia="zh-CN"/>
        </w:rPr>
        <w:t>品种的规模化种植成为现实。北方，随着</w:t>
      </w:r>
      <w:r>
        <w:rPr>
          <w:rFonts w:hint="eastAsia"/>
          <w:szCs w:val="28"/>
          <w:lang w:eastAsia="zh-CN"/>
        </w:rPr>
        <w:t>桑椹</w:t>
      </w:r>
      <w:r>
        <w:rPr>
          <w:szCs w:val="28"/>
          <w:lang w:eastAsia="zh-CN"/>
        </w:rPr>
        <w:t>产业的兴起，对原古桑树的重视程度日益提高，目前，</w:t>
      </w:r>
      <w:r>
        <w:rPr>
          <w:rFonts w:hint="eastAsia"/>
          <w:szCs w:val="28"/>
          <w:lang w:eastAsia="zh-CN"/>
        </w:rPr>
        <w:t>桑椹</w:t>
      </w:r>
      <w:r>
        <w:rPr>
          <w:szCs w:val="28"/>
          <w:lang w:eastAsia="zh-CN"/>
        </w:rPr>
        <w:t>品种以500年及至上千年古</w:t>
      </w:r>
      <w:r>
        <w:rPr>
          <w:rFonts w:hint="eastAsia"/>
          <w:szCs w:val="28"/>
          <w:lang w:eastAsia="zh-CN"/>
        </w:rPr>
        <w:t>桑椹</w:t>
      </w:r>
      <w:r>
        <w:rPr>
          <w:szCs w:val="28"/>
          <w:lang w:eastAsia="zh-CN"/>
        </w:rPr>
        <w:t>品种为主，如北京大兴的</w:t>
      </w:r>
      <w:r>
        <w:rPr>
          <w:rFonts w:hint="eastAsia"/>
          <w:szCs w:val="28"/>
          <w:lang w:eastAsia="zh-CN"/>
        </w:rPr>
        <w:t>“</w:t>
      </w:r>
      <w:r>
        <w:rPr>
          <w:szCs w:val="28"/>
          <w:lang w:eastAsia="zh-CN"/>
        </w:rPr>
        <w:t>白蜡皮</w:t>
      </w:r>
      <w:r>
        <w:rPr>
          <w:rFonts w:hint="eastAsia"/>
          <w:szCs w:val="28"/>
          <w:lang w:eastAsia="zh-CN"/>
        </w:rPr>
        <w:t>”</w:t>
      </w:r>
      <w:r>
        <w:rPr>
          <w:szCs w:val="28"/>
          <w:lang w:eastAsia="zh-CN"/>
        </w:rPr>
        <w:t>、山东夏津的</w:t>
      </w:r>
      <w:r>
        <w:rPr>
          <w:rFonts w:hint="eastAsia"/>
          <w:szCs w:val="28"/>
          <w:lang w:eastAsia="zh-CN"/>
        </w:rPr>
        <w:t>“</w:t>
      </w:r>
      <w:r>
        <w:rPr>
          <w:szCs w:val="28"/>
          <w:lang w:eastAsia="zh-CN"/>
        </w:rPr>
        <w:t>红子母</w:t>
      </w:r>
      <w:r>
        <w:rPr>
          <w:rFonts w:hint="eastAsia"/>
          <w:szCs w:val="28"/>
          <w:lang w:eastAsia="zh-CN"/>
        </w:rPr>
        <w:t>”</w:t>
      </w:r>
      <w:r>
        <w:rPr>
          <w:szCs w:val="28"/>
          <w:lang w:eastAsia="zh-CN"/>
        </w:rPr>
        <w:t>、河北泊头营子的</w:t>
      </w:r>
      <w:r>
        <w:rPr>
          <w:rFonts w:hint="eastAsia"/>
          <w:szCs w:val="28"/>
          <w:lang w:eastAsia="zh-CN"/>
        </w:rPr>
        <w:t>“</w:t>
      </w:r>
      <w:r>
        <w:rPr>
          <w:szCs w:val="28"/>
          <w:lang w:eastAsia="zh-CN"/>
        </w:rPr>
        <w:t>黑珍珠</w:t>
      </w:r>
      <w:r>
        <w:rPr>
          <w:rFonts w:hint="eastAsia"/>
          <w:szCs w:val="28"/>
          <w:lang w:eastAsia="zh-CN"/>
        </w:rPr>
        <w:t>”</w:t>
      </w:r>
      <w:r>
        <w:rPr>
          <w:szCs w:val="28"/>
          <w:lang w:eastAsia="zh-CN"/>
        </w:rPr>
        <w:t>。《本草新编》有</w:t>
      </w:r>
      <w:r>
        <w:rPr>
          <w:rFonts w:hint="eastAsia"/>
          <w:szCs w:val="28"/>
          <w:lang w:eastAsia="zh-CN"/>
        </w:rPr>
        <w:t>桑椹“</w:t>
      </w:r>
      <w:r>
        <w:rPr>
          <w:szCs w:val="28"/>
          <w:lang w:eastAsia="zh-CN"/>
        </w:rPr>
        <w:t>紫者为第一</w:t>
      </w:r>
      <w:r>
        <w:rPr>
          <w:rFonts w:hint="eastAsia"/>
          <w:szCs w:val="28"/>
          <w:lang w:eastAsia="zh-CN"/>
        </w:rPr>
        <w:t>”</w:t>
      </w:r>
      <w:r>
        <w:rPr>
          <w:szCs w:val="28"/>
          <w:lang w:eastAsia="zh-CN"/>
        </w:rPr>
        <w:t>的记载，黑</w:t>
      </w:r>
      <w:r>
        <w:rPr>
          <w:rFonts w:hint="eastAsia"/>
          <w:szCs w:val="28"/>
          <w:lang w:eastAsia="zh-CN"/>
        </w:rPr>
        <w:t>桑椹</w:t>
      </w:r>
      <w:r>
        <w:rPr>
          <w:szCs w:val="28"/>
          <w:lang w:eastAsia="zh-CN"/>
        </w:rPr>
        <w:t>富含花青素等功能性有效成分，护肝补肾，营子</w:t>
      </w:r>
      <w:r>
        <w:rPr>
          <w:rFonts w:hint="eastAsia"/>
          <w:szCs w:val="28"/>
          <w:lang w:eastAsia="zh-CN"/>
        </w:rPr>
        <w:t>桑椹</w:t>
      </w:r>
      <w:r>
        <w:rPr>
          <w:szCs w:val="28"/>
          <w:lang w:eastAsia="zh-CN"/>
        </w:rPr>
        <w:t>为黑紫色，相比品质最优。</w:t>
      </w:r>
    </w:p>
    <w:p>
      <w:pPr>
        <w:spacing w:line="360" w:lineRule="auto"/>
        <w:ind w:firstLine="480"/>
        <w:rPr>
          <w:szCs w:val="28"/>
          <w:lang w:eastAsia="zh-CN"/>
        </w:rPr>
      </w:pPr>
      <w:r>
        <w:rPr>
          <w:szCs w:val="28"/>
          <w:lang w:eastAsia="zh-CN"/>
        </w:rPr>
        <w:t>泊头市</w:t>
      </w:r>
      <w:r>
        <w:rPr>
          <w:rFonts w:hint="eastAsia"/>
          <w:szCs w:val="28"/>
          <w:lang w:eastAsia="zh-CN"/>
        </w:rPr>
        <w:t>桑椹</w:t>
      </w:r>
      <w:r>
        <w:rPr>
          <w:szCs w:val="28"/>
          <w:lang w:eastAsia="zh-CN"/>
        </w:rPr>
        <w:t>主栽优良品种以本土古桑选育的黑珍珠为核心，同时引种试种大十、云桑 2 号等国内优良果桑品种。其中： 黑珍珠，果实外形似肾，果色黑紫饱满光亮，果个中大，果肉肥厚多汁，果汁浓紫；果肉质地醇厚，入口甘甜、回味醇香，富含花青素、总酚、黄酮等抗氧化活性物质，药食同源特性突出，是泊头标志性地方</w:t>
      </w:r>
      <w:r>
        <w:rPr>
          <w:rFonts w:hint="eastAsia"/>
          <w:szCs w:val="28"/>
          <w:lang w:eastAsia="zh-CN"/>
        </w:rPr>
        <w:t>桑椹</w:t>
      </w:r>
      <w:r>
        <w:rPr>
          <w:szCs w:val="28"/>
          <w:lang w:eastAsia="zh-CN"/>
        </w:rPr>
        <w:t>品种； 大十，果型较大，果色紫黑，无籽，果肉细软多汁，酸甜适口，丰产性好，适合鲜果采摘； 云桑 2 号，果实中大，果色紫褐，结实能力强，既适合鲜食，也适宜加工</w:t>
      </w:r>
      <w:r>
        <w:rPr>
          <w:rFonts w:hint="eastAsia"/>
          <w:szCs w:val="28"/>
          <w:lang w:eastAsia="zh-CN"/>
        </w:rPr>
        <w:t>桑椹</w:t>
      </w:r>
      <w:r>
        <w:rPr>
          <w:szCs w:val="28"/>
          <w:lang w:eastAsia="zh-CN"/>
        </w:rPr>
        <w:t>干、</w:t>
      </w:r>
      <w:r>
        <w:rPr>
          <w:rFonts w:hint="eastAsia"/>
          <w:szCs w:val="28"/>
          <w:lang w:eastAsia="zh-CN"/>
        </w:rPr>
        <w:t>桑椹</w:t>
      </w:r>
      <w:r>
        <w:rPr>
          <w:szCs w:val="28"/>
          <w:lang w:eastAsia="zh-CN"/>
        </w:rPr>
        <w:t>酒等产品。</w:t>
      </w:r>
    </w:p>
    <w:p>
      <w:pPr>
        <w:spacing w:line="360" w:lineRule="auto"/>
        <w:ind w:firstLine="480"/>
        <w:rPr>
          <w:rFonts w:cs="Times New Roman"/>
          <w:lang w:eastAsia="zh-CN"/>
        </w:rPr>
      </w:pPr>
      <w:r>
        <w:rPr>
          <w:szCs w:val="28"/>
          <w:lang w:eastAsia="zh-CN"/>
        </w:rPr>
        <w:t>泊头</w:t>
      </w:r>
      <w:r>
        <w:rPr>
          <w:rFonts w:hint="eastAsia"/>
          <w:szCs w:val="28"/>
          <w:lang w:eastAsia="zh-CN"/>
        </w:rPr>
        <w:t>桑椹</w:t>
      </w:r>
      <w:r>
        <w:rPr>
          <w:szCs w:val="28"/>
          <w:lang w:eastAsia="zh-CN"/>
        </w:rPr>
        <w:t>鲜果成熟期集中在每年 5</w:t>
      </w:r>
      <w:r>
        <w:rPr>
          <w:szCs w:val="28"/>
          <w:lang w:eastAsia="zh-CN"/>
        </w:rPr>
        <w:noBreakHyphen/>
      </w:r>
      <w:r>
        <w:rPr>
          <w:szCs w:val="28"/>
          <w:lang w:eastAsia="zh-CN"/>
        </w:rPr>
        <w:t>6 月，产区地处黄河故道蒙金砂土地带，生长季光照充足，果实膨大成熟期昼夜温差可达 10</w:t>
      </w:r>
      <w:r>
        <w:rPr>
          <w:szCs w:val="28"/>
          <w:lang w:eastAsia="zh-CN"/>
        </w:rPr>
        <w:noBreakHyphen/>
      </w:r>
      <w:r>
        <w:rPr>
          <w:szCs w:val="28"/>
          <w:lang w:eastAsia="zh-CN"/>
        </w:rPr>
        <w:t>12℃，有利于糖分、花青素与风味物质积累。国内南方</w:t>
      </w:r>
      <w:r>
        <w:rPr>
          <w:rFonts w:hint="eastAsia"/>
          <w:szCs w:val="28"/>
          <w:lang w:eastAsia="zh-CN"/>
        </w:rPr>
        <w:t>桑椹</w:t>
      </w:r>
      <w:r>
        <w:rPr>
          <w:szCs w:val="28"/>
          <w:lang w:eastAsia="zh-CN"/>
        </w:rPr>
        <w:t>主产区成熟期多伴随梅雨季节，雨水偏多，果实易裂果、风味偏淡；与之相比，泊头</w:t>
      </w:r>
      <w:r>
        <w:rPr>
          <w:rFonts w:hint="eastAsia"/>
          <w:szCs w:val="28"/>
          <w:lang w:eastAsia="zh-CN"/>
        </w:rPr>
        <w:t>桑椹</w:t>
      </w:r>
      <w:r>
        <w:rPr>
          <w:szCs w:val="28"/>
          <w:lang w:eastAsia="zh-CN"/>
        </w:rPr>
        <w:t xml:space="preserve">果实可溶性固形物含量高，花青素等功能性营养物质积累更为丰富。经检测，泊头 “黑珍珠” </w:t>
      </w:r>
      <w:r>
        <w:rPr>
          <w:rFonts w:hint="eastAsia"/>
          <w:szCs w:val="28"/>
          <w:lang w:eastAsia="zh-CN"/>
        </w:rPr>
        <w:t>桑椹</w:t>
      </w:r>
      <w:r>
        <w:rPr>
          <w:szCs w:val="28"/>
          <w:lang w:eastAsia="zh-CN"/>
        </w:rPr>
        <w:t>鲜果可溶性固形物可达 14.5% 以上，矿质元素、氨基酸含量丰富，综合品质优于国内部分</w:t>
      </w:r>
      <w:r>
        <w:rPr>
          <w:rFonts w:hint="eastAsia"/>
          <w:szCs w:val="28"/>
          <w:lang w:eastAsia="zh-CN"/>
        </w:rPr>
        <w:t>桑椹</w:t>
      </w:r>
      <w:r>
        <w:rPr>
          <w:szCs w:val="28"/>
          <w:lang w:eastAsia="zh-CN"/>
        </w:rPr>
        <w:t>产区。根据泊头市各乡镇统计数据，全市</w:t>
      </w:r>
      <w:r>
        <w:rPr>
          <w:rFonts w:hint="eastAsia"/>
          <w:szCs w:val="28"/>
          <w:lang w:eastAsia="zh-CN"/>
        </w:rPr>
        <w:t>桑椹</w:t>
      </w:r>
      <w:r>
        <w:rPr>
          <w:szCs w:val="28"/>
          <w:lang w:eastAsia="zh-CN"/>
        </w:rPr>
        <w:t>种植面积 3.5 万亩，</w:t>
      </w:r>
      <w:r>
        <w:rPr>
          <w:rFonts w:hint="eastAsia"/>
          <w:szCs w:val="28"/>
          <w:lang w:eastAsia="zh-CN"/>
        </w:rPr>
        <w:t>桑椹</w:t>
      </w:r>
      <w:r>
        <w:rPr>
          <w:szCs w:val="28"/>
          <w:lang w:eastAsia="zh-CN"/>
        </w:rPr>
        <w:t>鲜果总产量7万吨，平均亩产2000公斤。</w:t>
      </w:r>
    </w:p>
    <w:p>
      <w:pPr>
        <w:keepNext/>
        <w:keepLines/>
        <w:kinsoku/>
        <w:spacing w:before="156" w:beforeLines="50" w:after="156" w:afterLines="50" w:line="360" w:lineRule="auto"/>
        <w:ind w:firstLine="0" w:firstLineChars="0"/>
        <w:outlineLvl w:val="2"/>
        <w:rPr>
          <w:rFonts w:eastAsia="黑体" w:cs="Times New Roman"/>
          <w:lang w:eastAsia="zh-CN"/>
        </w:rPr>
      </w:pPr>
      <w:bookmarkStart w:id="21" w:name="_Toc207303703"/>
      <w:bookmarkStart w:id="22" w:name="_Toc241153612"/>
      <w:r>
        <w:rPr>
          <w:rFonts w:hint="eastAsia" w:eastAsia="黑体" w:cs="Times New Roman"/>
          <w:lang w:eastAsia="zh-CN"/>
        </w:rPr>
        <w:t>4</w:t>
      </w:r>
      <w:r>
        <w:rPr>
          <w:rFonts w:eastAsia="黑体" w:cs="Times New Roman"/>
          <w:lang w:eastAsia="zh-CN"/>
        </w:rPr>
        <w:t xml:space="preserve">. </w:t>
      </w:r>
      <w:bookmarkEnd w:id="21"/>
      <w:r>
        <w:rPr>
          <w:rFonts w:hint="eastAsia" w:eastAsia="黑体" w:cs="Times New Roman"/>
          <w:lang w:eastAsia="zh-CN"/>
        </w:rPr>
        <w:t>市场状况</w:t>
      </w:r>
      <w:bookmarkEnd w:id="22"/>
    </w:p>
    <w:p>
      <w:pPr>
        <w:kinsoku/>
        <w:spacing w:line="360" w:lineRule="auto"/>
        <w:ind w:firstLine="480"/>
        <w:jc w:val="both"/>
        <w:rPr>
          <w:rFonts w:cs="Times New Roman"/>
          <w:lang w:eastAsia="zh-CN"/>
        </w:rPr>
      </w:pPr>
      <w:r>
        <w:rPr>
          <w:rFonts w:cs="Times New Roman"/>
          <w:lang w:eastAsia="zh-CN"/>
        </w:rPr>
        <w:t>泊头市营子镇</w:t>
      </w:r>
      <w:r>
        <w:rPr>
          <w:rFonts w:hint="eastAsia" w:cs="Times New Roman"/>
          <w:lang w:eastAsia="zh-CN"/>
        </w:rPr>
        <w:t>桑椹</w:t>
      </w:r>
      <w:r>
        <w:rPr>
          <w:rFonts w:cs="Times New Roman"/>
          <w:lang w:eastAsia="zh-CN"/>
        </w:rPr>
        <w:t>现代农业园区是泊头</w:t>
      </w:r>
      <w:r>
        <w:rPr>
          <w:rFonts w:hint="eastAsia" w:cs="Times New Roman"/>
          <w:lang w:eastAsia="zh-CN"/>
        </w:rPr>
        <w:t>桑椹</w:t>
      </w:r>
      <w:r>
        <w:rPr>
          <w:rFonts w:cs="Times New Roman"/>
          <w:lang w:eastAsia="zh-CN"/>
        </w:rPr>
        <w:t>种植的代表，依托标准化、专业化的管理模式，着力打造高品质</w:t>
      </w:r>
      <w:r>
        <w:rPr>
          <w:rFonts w:hint="eastAsia" w:cs="Times New Roman"/>
          <w:lang w:eastAsia="zh-CN"/>
        </w:rPr>
        <w:t>桑椹</w:t>
      </w:r>
      <w:r>
        <w:rPr>
          <w:rFonts w:cs="Times New Roman"/>
          <w:lang w:eastAsia="zh-CN"/>
        </w:rPr>
        <w:t>种植。黄河故道堆积平原的蒙金砂土疏松通透、光热充足，叠加老盐河、滹沱河故道优质水源，再加上园区 "龙头企业＋合作社</w:t>
      </w:r>
      <w:r>
        <w:rPr>
          <w:rFonts w:hint="eastAsia" w:cs="Times New Roman"/>
          <w:lang w:eastAsia="zh-CN"/>
        </w:rPr>
        <w:t>＋</w:t>
      </w:r>
      <w:r>
        <w:rPr>
          <w:rFonts w:cs="Times New Roman"/>
          <w:lang w:eastAsia="zh-CN"/>
        </w:rPr>
        <w:t>基地</w:t>
      </w:r>
      <w:r>
        <w:rPr>
          <w:rFonts w:hint="eastAsia" w:cs="Times New Roman"/>
          <w:lang w:eastAsia="zh-CN"/>
        </w:rPr>
        <w:t>＋</w:t>
      </w:r>
      <w:r>
        <w:rPr>
          <w:rFonts w:cs="Times New Roman"/>
          <w:lang w:eastAsia="zh-CN"/>
        </w:rPr>
        <w:t>农户" 的标准化、专业化运营，同一</w:t>
      </w:r>
      <w:r>
        <w:rPr>
          <w:rFonts w:hint="eastAsia" w:cs="Times New Roman"/>
          <w:lang w:eastAsia="zh-CN"/>
        </w:rPr>
        <w:t>桑椹</w:t>
      </w:r>
      <w:r>
        <w:rPr>
          <w:rFonts w:cs="Times New Roman"/>
          <w:lang w:eastAsia="zh-CN"/>
        </w:rPr>
        <w:t>品种，泊头境内产出的</w:t>
      </w:r>
      <w:r>
        <w:rPr>
          <w:rFonts w:hint="eastAsia" w:cs="Times New Roman"/>
          <w:lang w:eastAsia="zh-CN"/>
        </w:rPr>
        <w:t>桑椹</w:t>
      </w:r>
      <w:r>
        <w:rPr>
          <w:rFonts w:cs="Times New Roman"/>
          <w:lang w:eastAsia="zh-CN"/>
        </w:rPr>
        <w:t xml:space="preserve">在果形、甜度、花青素等营养指标上均明显优于周边地区同类产品，本地 "黑珍珠" </w:t>
      </w:r>
      <w:r>
        <w:rPr>
          <w:rFonts w:hint="eastAsia" w:cs="Times New Roman"/>
          <w:lang w:eastAsia="zh-CN"/>
        </w:rPr>
        <w:t>桑椹</w:t>
      </w:r>
      <w:r>
        <w:rPr>
          <w:rFonts w:cs="Times New Roman"/>
          <w:lang w:eastAsia="zh-CN"/>
        </w:rPr>
        <w:t>不仅销往安国、亳州两大药都及全国市场，还依托药食同源特性成为北方重要的药用</w:t>
      </w:r>
      <w:r>
        <w:rPr>
          <w:rFonts w:hint="eastAsia" w:cs="Times New Roman"/>
          <w:lang w:eastAsia="zh-CN"/>
        </w:rPr>
        <w:t>桑椹</w:t>
      </w:r>
      <w:r>
        <w:rPr>
          <w:rFonts w:cs="Times New Roman"/>
          <w:lang w:eastAsia="zh-CN"/>
        </w:rPr>
        <w:t>供货基地。</w:t>
      </w:r>
    </w:p>
    <w:p>
      <w:pPr>
        <w:kinsoku/>
        <w:spacing w:line="360" w:lineRule="auto"/>
        <w:ind w:firstLine="480"/>
        <w:jc w:val="both"/>
        <w:rPr>
          <w:rFonts w:cs="Times New Roman"/>
          <w:lang w:eastAsia="zh-CN"/>
        </w:rPr>
      </w:pPr>
      <w:r>
        <w:rPr>
          <w:rFonts w:cs="Times New Roman"/>
          <w:lang w:eastAsia="zh-CN"/>
        </w:rPr>
        <w:t>随着 "互联网</w:t>
      </w:r>
      <w:r>
        <w:rPr>
          <w:rFonts w:hint="eastAsia" w:cs="Times New Roman"/>
          <w:lang w:eastAsia="zh-CN"/>
        </w:rPr>
        <w:t>＋</w:t>
      </w:r>
      <w:r>
        <w:rPr>
          <w:rFonts w:cs="Times New Roman"/>
          <w:lang w:eastAsia="zh-CN"/>
        </w:rPr>
        <w:t>" 的兴起及国内消费升级、健康食养需求增长，泊头</w:t>
      </w:r>
      <w:r>
        <w:rPr>
          <w:rFonts w:hint="eastAsia" w:cs="Times New Roman"/>
          <w:lang w:eastAsia="zh-CN"/>
        </w:rPr>
        <w:t>桑椹</w:t>
      </w:r>
      <w:r>
        <w:rPr>
          <w:rFonts w:cs="Times New Roman"/>
          <w:lang w:eastAsia="zh-CN"/>
        </w:rPr>
        <w:t>及其加工产品价格稳步上升，国内市场对</w:t>
      </w:r>
      <w:r>
        <w:rPr>
          <w:rFonts w:hint="eastAsia" w:cs="Times New Roman"/>
          <w:lang w:eastAsia="zh-CN"/>
        </w:rPr>
        <w:t>桑椹</w:t>
      </w:r>
      <w:r>
        <w:rPr>
          <w:rFonts w:cs="Times New Roman"/>
          <w:lang w:eastAsia="zh-CN"/>
        </w:rPr>
        <w:t>干、</w:t>
      </w:r>
      <w:r>
        <w:rPr>
          <w:rFonts w:hint="eastAsia" w:cs="Times New Roman"/>
          <w:lang w:eastAsia="zh-CN"/>
        </w:rPr>
        <w:t>桑椹</w:t>
      </w:r>
      <w:r>
        <w:rPr>
          <w:rFonts w:cs="Times New Roman"/>
          <w:lang w:eastAsia="zh-CN"/>
        </w:rPr>
        <w:t>酒、</w:t>
      </w:r>
      <w:r>
        <w:rPr>
          <w:rFonts w:hint="eastAsia" w:cs="Times New Roman"/>
          <w:lang w:eastAsia="zh-CN"/>
        </w:rPr>
        <w:t>桑椹</w:t>
      </w:r>
      <w:r>
        <w:rPr>
          <w:rFonts w:cs="Times New Roman"/>
          <w:lang w:eastAsia="zh-CN"/>
        </w:rPr>
        <w:t>酵素等功能性产品的需求量持续增长，市场前景广阔、发展潜力巨大。泊头市委、市政府对此高度重视，多年来持续推进</w:t>
      </w:r>
      <w:r>
        <w:rPr>
          <w:rFonts w:hint="eastAsia" w:cs="Times New Roman"/>
          <w:lang w:eastAsia="zh-CN"/>
        </w:rPr>
        <w:t>桑椹</w:t>
      </w:r>
      <w:r>
        <w:rPr>
          <w:rFonts w:cs="Times New Roman"/>
          <w:lang w:eastAsia="zh-CN"/>
        </w:rPr>
        <w:t>产业全链条发展，将其培育为带动农民增收的支柱产业。以福星园农业、德荣食品、沧州黑</w:t>
      </w:r>
      <w:r>
        <w:rPr>
          <w:rFonts w:hint="eastAsia" w:cs="Times New Roman"/>
          <w:lang w:eastAsia="zh-CN"/>
        </w:rPr>
        <w:t>桑椹</w:t>
      </w:r>
      <w:r>
        <w:rPr>
          <w:rFonts w:cs="Times New Roman"/>
          <w:lang w:eastAsia="zh-CN"/>
        </w:rPr>
        <w:t>酒业等龙头企业为引领，</w:t>
      </w:r>
      <w:r>
        <w:rPr>
          <w:rFonts w:hint="eastAsia" w:cs="Times New Roman"/>
          <w:lang w:eastAsia="zh-CN"/>
        </w:rPr>
        <w:t>“</w:t>
      </w:r>
      <w:r>
        <w:rPr>
          <w:rFonts w:cs="Times New Roman"/>
          <w:lang w:eastAsia="zh-CN"/>
        </w:rPr>
        <w:t>福星人家</w:t>
      </w:r>
      <w:r>
        <w:rPr>
          <w:rFonts w:hint="eastAsia" w:cs="Times New Roman"/>
          <w:lang w:eastAsia="zh-CN"/>
        </w:rPr>
        <w:t>”、“</w:t>
      </w:r>
      <w:r>
        <w:rPr>
          <w:rFonts w:cs="Times New Roman"/>
          <w:lang w:eastAsia="zh-CN"/>
        </w:rPr>
        <w:t xml:space="preserve"> 黑珍珠尚品</w:t>
      </w:r>
      <w:r>
        <w:rPr>
          <w:rFonts w:hint="eastAsia" w:cs="Times New Roman"/>
          <w:lang w:eastAsia="zh-CN"/>
        </w:rPr>
        <w:t>”、“</w:t>
      </w:r>
      <w:r>
        <w:rPr>
          <w:rFonts w:cs="Times New Roman"/>
          <w:lang w:eastAsia="zh-CN"/>
        </w:rPr>
        <w:t>泊冠桑园</w:t>
      </w:r>
      <w:r>
        <w:rPr>
          <w:rFonts w:hint="eastAsia" w:cs="Times New Roman"/>
          <w:lang w:eastAsia="zh-CN"/>
        </w:rPr>
        <w:t>”</w:t>
      </w:r>
      <w:r>
        <w:rPr>
          <w:rFonts w:cs="Times New Roman"/>
          <w:lang w:eastAsia="zh-CN"/>
        </w:rPr>
        <w:t xml:space="preserve"> 等</w:t>
      </w:r>
      <w:r>
        <w:rPr>
          <w:rFonts w:hint="eastAsia" w:cs="Times New Roman"/>
          <w:lang w:eastAsia="zh-CN"/>
        </w:rPr>
        <w:t>桑椹</w:t>
      </w:r>
      <w:r>
        <w:rPr>
          <w:rFonts w:cs="Times New Roman"/>
          <w:lang w:eastAsia="zh-CN"/>
        </w:rPr>
        <w:t>品牌通过电商平台和实体渠道，在京津冀及全国多个省市建立了稳定的销售网络。</w:t>
      </w:r>
    </w:p>
    <w:p>
      <w:pPr>
        <w:keepNext/>
        <w:keepLines/>
        <w:kinsoku/>
        <w:spacing w:before="156" w:beforeLines="50" w:after="156" w:afterLines="50" w:line="360" w:lineRule="auto"/>
        <w:ind w:firstLine="0" w:firstLineChars="0"/>
        <w:outlineLvl w:val="2"/>
        <w:rPr>
          <w:rFonts w:eastAsia="黑体" w:cs="Times New Roman"/>
          <w:lang w:eastAsia="zh-CN"/>
        </w:rPr>
      </w:pPr>
      <w:bookmarkStart w:id="23" w:name="_Toc241153613"/>
      <w:r>
        <w:rPr>
          <w:rFonts w:hint="eastAsia" w:eastAsia="黑体" w:cs="Times New Roman"/>
          <w:lang w:eastAsia="zh-CN"/>
        </w:rPr>
        <w:t>5</w:t>
      </w:r>
      <w:r>
        <w:rPr>
          <w:rFonts w:eastAsia="黑体" w:cs="Times New Roman"/>
          <w:lang w:eastAsia="zh-CN"/>
        </w:rPr>
        <w:t xml:space="preserve">. </w:t>
      </w:r>
      <w:r>
        <w:rPr>
          <w:rFonts w:hint="eastAsia" w:eastAsia="黑体" w:cs="Times New Roman"/>
          <w:lang w:eastAsia="zh-CN"/>
        </w:rPr>
        <w:t>存在问题</w:t>
      </w:r>
      <w:bookmarkEnd w:id="23"/>
    </w:p>
    <w:p>
      <w:pPr>
        <w:kinsoku/>
        <w:spacing w:line="360" w:lineRule="auto"/>
        <w:ind w:firstLine="482"/>
        <w:jc w:val="both"/>
        <w:rPr>
          <w:rFonts w:cs="Times New Roman"/>
          <w:b/>
          <w:bCs/>
          <w:lang w:eastAsia="zh-CN"/>
        </w:rPr>
      </w:pPr>
      <w:r>
        <w:rPr>
          <w:rFonts w:cs="Times New Roman"/>
          <w:b/>
          <w:bCs/>
          <w:lang w:eastAsia="zh-CN"/>
        </w:rPr>
        <w:t xml:space="preserve">（1）农业机械化水平偏低 </w:t>
      </w:r>
    </w:p>
    <w:p>
      <w:pPr>
        <w:kinsoku/>
        <w:spacing w:line="360" w:lineRule="auto"/>
        <w:ind w:firstLine="480"/>
        <w:jc w:val="both"/>
        <w:rPr>
          <w:rFonts w:cs="Times New Roman"/>
          <w:lang w:eastAsia="zh-CN"/>
        </w:rPr>
      </w:pPr>
      <w:r>
        <w:rPr>
          <w:rFonts w:cs="Times New Roman"/>
          <w:lang w:eastAsia="zh-CN"/>
        </w:rPr>
        <w:t>当前泊头市</w:t>
      </w:r>
      <w:r>
        <w:rPr>
          <w:rFonts w:hint="eastAsia" w:cs="Times New Roman"/>
          <w:lang w:eastAsia="zh-CN"/>
        </w:rPr>
        <w:t>桑椹</w:t>
      </w:r>
      <w:r>
        <w:rPr>
          <w:rFonts w:cs="Times New Roman"/>
          <w:lang w:eastAsia="zh-CN"/>
        </w:rPr>
        <w:t>产业存在农业机械设施建设滞后、机械化程度不高的问题。在</w:t>
      </w:r>
      <w:r>
        <w:rPr>
          <w:rFonts w:hint="eastAsia" w:cs="Times New Roman"/>
          <w:lang w:eastAsia="zh-CN"/>
        </w:rPr>
        <w:t>桑椹</w:t>
      </w:r>
      <w:r>
        <w:rPr>
          <w:rFonts w:cs="Times New Roman"/>
          <w:lang w:eastAsia="zh-CN"/>
        </w:rPr>
        <w:t>栽植、灌溉、施肥、树体修剪、病虫害防治及鲜果采收等关键环节，机械投入不足，尤其在老桑园内因树体高大、株行距不规整，作业多依赖人工完成。这导致生产管理环节高度依赖人力，劳动强度大、效率偏低、成本偏高，且难以有效抵御极端天气风险，粗放式的生产管理模式制约了泊头</w:t>
      </w:r>
      <w:r>
        <w:rPr>
          <w:rFonts w:hint="eastAsia" w:cs="Times New Roman"/>
          <w:lang w:eastAsia="zh-CN"/>
        </w:rPr>
        <w:t>桑椹</w:t>
      </w:r>
      <w:r>
        <w:rPr>
          <w:rFonts w:cs="Times New Roman"/>
          <w:lang w:eastAsia="zh-CN"/>
        </w:rPr>
        <w:t>产量与品质的进一步提升。</w:t>
      </w:r>
    </w:p>
    <w:p>
      <w:pPr>
        <w:kinsoku/>
        <w:spacing w:line="360" w:lineRule="auto"/>
        <w:ind w:firstLine="482"/>
        <w:jc w:val="both"/>
        <w:rPr>
          <w:rFonts w:cs="Times New Roman"/>
          <w:b/>
          <w:bCs/>
          <w:lang w:eastAsia="zh-CN"/>
        </w:rPr>
      </w:pPr>
      <w:r>
        <w:rPr>
          <w:rFonts w:cs="Times New Roman"/>
          <w:b/>
          <w:bCs/>
          <w:lang w:eastAsia="zh-CN"/>
        </w:rPr>
        <w:t xml:space="preserve">（2）标准化高效技术应用水平不高 </w:t>
      </w:r>
    </w:p>
    <w:p>
      <w:pPr>
        <w:kinsoku/>
        <w:spacing w:line="360" w:lineRule="auto"/>
        <w:ind w:firstLine="480"/>
        <w:jc w:val="both"/>
        <w:rPr>
          <w:rFonts w:cs="Times New Roman"/>
          <w:lang w:eastAsia="zh-CN"/>
        </w:rPr>
      </w:pPr>
      <w:r>
        <w:rPr>
          <w:rFonts w:cs="Times New Roman"/>
          <w:lang w:eastAsia="zh-CN"/>
        </w:rPr>
        <w:t>虽然泊头</w:t>
      </w:r>
      <w:r>
        <w:rPr>
          <w:rFonts w:hint="eastAsia" w:cs="Times New Roman"/>
          <w:lang w:eastAsia="zh-CN"/>
        </w:rPr>
        <w:t>桑椹</w:t>
      </w:r>
      <w:r>
        <w:rPr>
          <w:rFonts w:cs="Times New Roman"/>
          <w:lang w:eastAsia="zh-CN"/>
        </w:rPr>
        <w:t>种植领域已有多项标准化技术，但推广落实参差不齐。水肥一体化、老桑树精细修剪、绿色防控等技术在园区、示范区内应用相对较广，而测土配方施肥、病虫害综合防治、智能化水肥管理、机械化分级采收等尚未大面积推广。尤其是大量小农户，受地块零散、资金不足、桑园郁闭等条件限制，无力建设灌溉设施、难以落实统一株行距，只能依赖自然降水和人工施肥，标准化生产难以落地，影响了泊头</w:t>
      </w:r>
      <w:r>
        <w:rPr>
          <w:rFonts w:hint="eastAsia" w:cs="Times New Roman"/>
          <w:lang w:eastAsia="zh-CN"/>
        </w:rPr>
        <w:t>桑椹</w:t>
      </w:r>
      <w:r>
        <w:rPr>
          <w:rFonts w:cs="Times New Roman"/>
          <w:lang w:eastAsia="zh-CN"/>
        </w:rPr>
        <w:t>的产量、品质和后期加工的稳定性。</w:t>
      </w:r>
    </w:p>
    <w:p>
      <w:pPr>
        <w:kinsoku/>
        <w:spacing w:line="360" w:lineRule="auto"/>
        <w:ind w:firstLine="482"/>
        <w:jc w:val="both"/>
        <w:rPr>
          <w:rFonts w:cs="Times New Roman"/>
          <w:b/>
          <w:bCs/>
          <w:lang w:eastAsia="zh-CN"/>
        </w:rPr>
      </w:pPr>
      <w:r>
        <w:rPr>
          <w:rFonts w:cs="Times New Roman"/>
          <w:b/>
          <w:bCs/>
          <w:lang w:eastAsia="zh-CN"/>
        </w:rPr>
        <w:t xml:space="preserve">（3）加工能力偏弱，产品附加值不高 </w:t>
      </w:r>
    </w:p>
    <w:p>
      <w:pPr>
        <w:kinsoku/>
        <w:spacing w:line="360" w:lineRule="auto"/>
        <w:ind w:firstLine="480"/>
        <w:jc w:val="both"/>
        <w:rPr>
          <w:rFonts w:cs="Times New Roman"/>
          <w:lang w:eastAsia="zh-CN"/>
        </w:rPr>
      </w:pPr>
      <w:r>
        <w:rPr>
          <w:rFonts w:hint="eastAsia" w:cs="Times New Roman"/>
          <w:lang w:eastAsia="zh-CN"/>
        </w:rPr>
        <w:t>桑椹</w:t>
      </w:r>
      <w:r>
        <w:rPr>
          <w:rFonts w:cs="Times New Roman"/>
          <w:lang w:eastAsia="zh-CN"/>
        </w:rPr>
        <w:t>鲜果属浆果，常温保质期短，加工是延长保质期、提升附加值的关键途径。当前泊头市</w:t>
      </w:r>
      <w:r>
        <w:rPr>
          <w:rFonts w:hint="eastAsia" w:cs="Times New Roman"/>
          <w:lang w:eastAsia="zh-CN"/>
        </w:rPr>
        <w:t>桑椹</w:t>
      </w:r>
      <w:r>
        <w:rPr>
          <w:rFonts w:cs="Times New Roman"/>
          <w:lang w:eastAsia="zh-CN"/>
        </w:rPr>
        <w:t>加工企业多集中于初加工环节，加工产品主要集中在</w:t>
      </w:r>
      <w:r>
        <w:rPr>
          <w:rFonts w:hint="eastAsia" w:cs="Times New Roman"/>
          <w:lang w:eastAsia="zh-CN"/>
        </w:rPr>
        <w:t>桑椹</w:t>
      </w:r>
      <w:r>
        <w:rPr>
          <w:rFonts w:cs="Times New Roman"/>
          <w:lang w:eastAsia="zh-CN"/>
        </w:rPr>
        <w:t>干、桑叶茶、</w:t>
      </w:r>
      <w:r>
        <w:rPr>
          <w:rFonts w:hint="eastAsia" w:cs="Times New Roman"/>
          <w:lang w:eastAsia="zh-CN"/>
        </w:rPr>
        <w:t>桑椹</w:t>
      </w:r>
      <w:r>
        <w:rPr>
          <w:rFonts w:cs="Times New Roman"/>
          <w:lang w:eastAsia="zh-CN"/>
        </w:rPr>
        <w:t>酒、</w:t>
      </w:r>
      <w:r>
        <w:rPr>
          <w:rFonts w:hint="eastAsia" w:cs="Times New Roman"/>
          <w:lang w:eastAsia="zh-CN"/>
        </w:rPr>
        <w:t>桑椹</w:t>
      </w:r>
      <w:r>
        <w:rPr>
          <w:rFonts w:cs="Times New Roman"/>
          <w:lang w:eastAsia="zh-CN"/>
        </w:rPr>
        <w:t>粉等初级产品，同质化较为明显，科技含量和附加值不高，拳头产品缺乏。产业组织化程度偏低，小农户分散晾晒缺乏统一品质标准，加工企业产品品质把控不一，产品质量参差不齐。市场竞争主要依靠价格和原料规模，产业链难以向精深加工、功能开发方向充分延伸，制约了泊头</w:t>
      </w:r>
      <w:r>
        <w:rPr>
          <w:rFonts w:hint="eastAsia" w:cs="Times New Roman"/>
          <w:lang w:eastAsia="zh-CN"/>
        </w:rPr>
        <w:t>桑椹</w:t>
      </w:r>
      <w:r>
        <w:rPr>
          <w:rFonts w:cs="Times New Roman"/>
          <w:lang w:eastAsia="zh-CN"/>
        </w:rPr>
        <w:t>的品牌化发展，也造成部分原料资源的浪费。</w:t>
      </w:r>
    </w:p>
    <w:p>
      <w:pPr>
        <w:kinsoku/>
        <w:spacing w:line="360" w:lineRule="auto"/>
        <w:ind w:firstLine="482"/>
        <w:jc w:val="both"/>
        <w:rPr>
          <w:rFonts w:cs="Times New Roman"/>
          <w:b/>
          <w:bCs/>
          <w:lang w:eastAsia="zh-CN"/>
        </w:rPr>
      </w:pPr>
      <w:r>
        <w:rPr>
          <w:rFonts w:cs="Times New Roman"/>
          <w:b/>
          <w:bCs/>
          <w:lang w:eastAsia="zh-CN"/>
        </w:rPr>
        <w:t xml:space="preserve">（4）销售渠道较为单一，流通环节偏多 </w:t>
      </w:r>
    </w:p>
    <w:p>
      <w:pPr>
        <w:kinsoku/>
        <w:spacing w:line="360" w:lineRule="auto"/>
        <w:ind w:firstLine="480"/>
        <w:jc w:val="both"/>
        <w:rPr>
          <w:rFonts w:cs="Times New Roman"/>
          <w:lang w:eastAsia="zh-CN"/>
        </w:rPr>
      </w:pPr>
      <w:r>
        <w:rPr>
          <w:rFonts w:cs="Times New Roman"/>
          <w:lang w:eastAsia="zh-CN"/>
        </w:rPr>
        <w:t>泊头</w:t>
      </w:r>
      <w:r>
        <w:rPr>
          <w:rFonts w:hint="eastAsia" w:cs="Times New Roman"/>
          <w:lang w:eastAsia="zh-CN"/>
        </w:rPr>
        <w:t>桑椹</w:t>
      </w:r>
      <w:r>
        <w:rPr>
          <w:rFonts w:cs="Times New Roman"/>
          <w:lang w:eastAsia="zh-CN"/>
        </w:rPr>
        <w:t>鲜果主要依赖传统销售渠道，流通链条较长（农户→产地收购商→批发市场 / 药都→零售商→消费者），中间环节过多。小农户多依赖外地客商上门收购，市场信息获取被动、缺乏定价权，行情波动时容易出现丰产不增收的局面。受保鲜技术不足、冷链物流配套不完善、电商发展相对滞后的限制，</w:t>
      </w:r>
      <w:r>
        <w:rPr>
          <w:rFonts w:hint="eastAsia" w:cs="Times New Roman"/>
          <w:lang w:eastAsia="zh-CN"/>
        </w:rPr>
        <w:t>桑椹</w:t>
      </w:r>
      <w:r>
        <w:rPr>
          <w:rFonts w:cs="Times New Roman"/>
          <w:lang w:eastAsia="zh-CN"/>
        </w:rPr>
        <w:t>鲜果在大型电商平台分销规模有限，远距离鲜销和市场拓展受到制约。</w:t>
      </w:r>
    </w:p>
    <w:p>
      <w:pPr>
        <w:pStyle w:val="82"/>
        <w:numPr>
          <w:ilvl w:val="0"/>
          <w:numId w:val="1"/>
        </w:numPr>
        <w:spacing w:before="156" w:after="156"/>
        <w:outlineLvl w:val="0"/>
        <w:rPr>
          <w:rFonts w:ascii="Times New Roman" w:hAnsi="Times New Roman"/>
        </w:rPr>
      </w:pPr>
      <w:bookmarkStart w:id="24" w:name="_Toc228109825"/>
      <w:bookmarkStart w:id="25" w:name="_Toc241153614"/>
      <w:bookmarkStart w:id="26" w:name="_Toc31675"/>
      <w:r>
        <w:rPr>
          <w:rFonts w:ascii="Times New Roman" w:hAnsi="Times New Roman"/>
        </w:rPr>
        <w:t>土特产品适宜环境条件分析</w:t>
      </w:r>
      <w:bookmarkEnd w:id="24"/>
      <w:bookmarkEnd w:id="25"/>
      <w:bookmarkEnd w:id="26"/>
    </w:p>
    <w:p>
      <w:pPr>
        <w:kinsoku/>
        <w:spacing w:line="360" w:lineRule="auto"/>
        <w:ind w:firstLine="480"/>
        <w:rPr>
          <w:rFonts w:cs="Times New Roman"/>
          <w:lang w:eastAsia="zh-CN"/>
        </w:rPr>
      </w:pPr>
      <w:r>
        <w:rPr>
          <w:rFonts w:hint="eastAsia" w:cs="Times New Roman"/>
          <w:lang w:eastAsia="zh-CN"/>
        </w:rPr>
        <w:t>桑椹</w:t>
      </w:r>
      <w:r>
        <w:rPr>
          <w:rFonts w:cs="Times New Roman"/>
          <w:lang w:eastAsia="zh-CN"/>
        </w:rPr>
        <w:t>的生长发育和果实品质形成是气候、土壤、水分和地形等多种环境因素共同作用的结果。开展泊头</w:t>
      </w:r>
      <w:r>
        <w:rPr>
          <w:rFonts w:hint="eastAsia" w:cs="Times New Roman"/>
          <w:lang w:eastAsia="zh-CN"/>
        </w:rPr>
        <w:t>桑椹</w:t>
      </w:r>
      <w:r>
        <w:rPr>
          <w:rFonts w:cs="Times New Roman"/>
          <w:lang w:eastAsia="zh-CN"/>
        </w:rPr>
        <w:t>土壤适宜性评价，首先需要明确</w:t>
      </w:r>
      <w:r>
        <w:rPr>
          <w:rFonts w:hint="eastAsia" w:cs="Times New Roman"/>
          <w:lang w:eastAsia="zh-CN"/>
        </w:rPr>
        <w:t>桑椹</w:t>
      </w:r>
      <w:r>
        <w:rPr>
          <w:rFonts w:cs="Times New Roman"/>
          <w:lang w:eastAsia="zh-CN"/>
        </w:rPr>
        <w:t>正常生长以及优质、高产形成所需要的基本环境条件，在此基础上分析泊头市自然环境和土壤条件与</w:t>
      </w:r>
      <w:r>
        <w:rPr>
          <w:rFonts w:hint="eastAsia" w:cs="Times New Roman"/>
          <w:lang w:eastAsia="zh-CN"/>
        </w:rPr>
        <w:t>桑椹</w:t>
      </w:r>
      <w:r>
        <w:rPr>
          <w:rFonts w:cs="Times New Roman"/>
          <w:lang w:eastAsia="zh-CN"/>
        </w:rPr>
        <w:t>生长需求之间的匹配程度，从而为后续评价指标筛选、指标分级及隶属度确定提供依据。</w:t>
      </w:r>
    </w:p>
    <w:p>
      <w:pPr>
        <w:kinsoku/>
        <w:spacing w:line="360" w:lineRule="auto"/>
        <w:ind w:firstLine="480"/>
        <w:rPr>
          <w:rFonts w:cs="Times New Roman"/>
          <w:lang w:eastAsia="zh-CN"/>
        </w:rPr>
      </w:pPr>
      <w:r>
        <w:rPr>
          <w:rFonts w:hint="eastAsia" w:cs="Times New Roman"/>
          <w:lang w:eastAsia="zh-CN"/>
        </w:rPr>
        <w:t>泊头桑椹作为优质农产品，其生长对土壤环境、气候条件等有特定要求。桑树对土壤适应性强，山地、平原、四旁隙地均可栽植，但以沙壤土最为适宜。桑树喜温暖湿润环境，适宜在年均温10～15℃地区种植，具有较强耐旱性，年降水量400～800毫米即可满足生长需求。充足的光照是保证果实品质的关键因素，年日照时数需达2500小时以上，以促进光合作用，提高糖分积累和果实风味。</w:t>
      </w:r>
    </w:p>
    <w:p>
      <w:pPr>
        <w:kinsoku/>
        <w:spacing w:line="360" w:lineRule="auto"/>
        <w:ind w:firstLine="480"/>
        <w:rPr>
          <w:rFonts w:cs="Times New Roman"/>
          <w:lang w:eastAsia="zh-CN"/>
        </w:rPr>
      </w:pPr>
      <w:r>
        <w:rPr>
          <w:rFonts w:hint="eastAsia" w:cs="Times New Roman"/>
          <w:lang w:eastAsia="zh-CN"/>
        </w:rPr>
        <w:t>泊头桑椹作为国家地理标志产品，其优质特性的形成与当地独特的自然环境密不可分。通过对桑椹生长周期中土壤、气候、地形地貌等环境要素的系统分析，结合营子镇、齐桥镇等核心产区的生产实践，明确各环境因子对桑椹生长发育、产量形成及品质提升的影响机制，为适宜性评价指标体系构建提供科学支撑</w:t>
      </w:r>
      <w:r>
        <w:rPr>
          <w:rFonts w:cs="Times New Roman"/>
          <w:lang w:eastAsia="zh-CN"/>
        </w:rPr>
        <w:t>。</w:t>
      </w:r>
    </w:p>
    <w:p>
      <w:pPr>
        <w:pStyle w:val="3"/>
        <w:numPr>
          <w:ilvl w:val="0"/>
          <w:numId w:val="2"/>
        </w:numPr>
        <w:kinsoku/>
        <w:spacing w:before="120" w:after="120" w:line="360" w:lineRule="auto"/>
        <w:ind w:firstLineChars="0"/>
        <w:rPr>
          <w:rFonts w:hint="eastAsia" w:ascii="黑体" w:hAnsi="黑体" w:eastAsia="黑体"/>
          <w:color w:val="000000" w:themeColor="text1"/>
          <w:sz w:val="24"/>
          <w:szCs w:val="24"/>
          <w:lang w:eastAsia="zh-CN"/>
          <w14:textFill>
            <w14:solidFill>
              <w14:schemeClr w14:val="tx1"/>
            </w14:solidFill>
          </w14:textFill>
        </w:rPr>
      </w:pPr>
      <w:bookmarkStart w:id="27" w:name="_Toc241153615"/>
      <w:r>
        <w:rPr>
          <w:rFonts w:hint="eastAsia" w:ascii="黑体" w:hAnsi="黑体" w:eastAsia="黑体"/>
          <w:color w:val="000000" w:themeColor="text1"/>
          <w:sz w:val="24"/>
          <w:szCs w:val="24"/>
          <w:lang w:eastAsia="zh-CN"/>
          <w14:textFill>
            <w14:solidFill>
              <w14:schemeClr w14:val="tx1"/>
            </w14:solidFill>
          </w14:textFill>
        </w:rPr>
        <w:t>桑椹</w:t>
      </w:r>
      <w:r>
        <w:rPr>
          <w:rFonts w:ascii="黑体" w:hAnsi="黑体" w:eastAsia="黑体"/>
          <w:color w:val="000000" w:themeColor="text1"/>
          <w:sz w:val="24"/>
          <w:szCs w:val="24"/>
          <w:lang w:eastAsia="zh-CN"/>
          <w14:textFill>
            <w14:solidFill>
              <w14:schemeClr w14:val="tx1"/>
            </w14:solidFill>
          </w14:textFill>
        </w:rPr>
        <w:t>生长及优质生产的适宜环境</w:t>
      </w:r>
      <w:r>
        <w:rPr>
          <w:rFonts w:hint="eastAsia" w:ascii="黑体" w:hAnsi="黑体" w:eastAsia="黑体"/>
          <w:color w:val="000000" w:themeColor="text1"/>
          <w:sz w:val="24"/>
          <w:szCs w:val="24"/>
          <w:lang w:eastAsia="zh-CN"/>
          <w14:textFill>
            <w14:solidFill>
              <w14:schemeClr w14:val="tx1"/>
            </w14:solidFill>
          </w14:textFill>
        </w:rPr>
        <w:t>的关系分析</w:t>
      </w:r>
      <w:bookmarkEnd w:id="27"/>
    </w:p>
    <w:p>
      <w:pPr>
        <w:kinsoku/>
        <w:spacing w:line="360" w:lineRule="auto"/>
        <w:ind w:firstLine="482"/>
        <w:rPr>
          <w:rFonts w:cs="Times New Roman"/>
          <w:b/>
          <w:bCs/>
          <w:lang w:eastAsia="zh-CN"/>
        </w:rPr>
      </w:pPr>
      <w:r>
        <w:rPr>
          <w:rFonts w:hint="eastAsia" w:cs="Times New Roman"/>
          <w:b/>
          <w:bCs/>
          <w:lang w:eastAsia="zh-CN"/>
        </w:rPr>
        <w:t xml:space="preserve"> 1. 生长特性</w:t>
      </w:r>
    </w:p>
    <w:p>
      <w:pPr>
        <w:kinsoku/>
        <w:spacing w:line="360" w:lineRule="auto"/>
        <w:ind w:firstLine="480"/>
        <w:rPr>
          <w:rFonts w:cs="Times New Roman"/>
          <w:lang w:eastAsia="zh-CN"/>
        </w:rPr>
      </w:pPr>
      <w:r>
        <w:rPr>
          <w:rFonts w:cs="Times New Roman"/>
          <w:lang w:eastAsia="zh-CN"/>
        </w:rPr>
        <w:t>桑树为多年生落叶乔木，泊头主栽地方品种为 “黑珍珠” 果桑，一般栽植后 2‑3 年进入初果期，4‑5 年进入盛果期，盛果期可维持数十年，部分古桑树树龄可达数百年。年生长周期可划分为多个关键阶段，不同阶段生长特点、环境敏感性存在明显差异。</w:t>
      </w:r>
      <w:r>
        <w:rPr>
          <w:rFonts w:hint="eastAsia" w:cs="Times New Roman"/>
          <w:lang w:eastAsia="zh-CN"/>
        </w:rPr>
        <w:t>其年生长周期可划分为不同阶段，各阶段生长特点与环境需求各不相同：</w:t>
      </w:r>
    </w:p>
    <w:p>
      <w:pPr>
        <w:kinsoku/>
        <w:spacing w:line="360" w:lineRule="auto"/>
        <w:ind w:firstLine="482"/>
        <w:rPr>
          <w:rFonts w:cs="Times New Roman"/>
          <w:b/>
          <w:bCs/>
          <w:lang w:eastAsia="zh-CN"/>
        </w:rPr>
      </w:pPr>
      <w:r>
        <w:rPr>
          <w:rFonts w:hint="eastAsia" w:cs="Times New Roman"/>
          <w:b/>
          <w:bCs/>
          <w:lang w:eastAsia="zh-CN"/>
        </w:rPr>
        <w:t>（</w:t>
      </w:r>
      <w:r>
        <w:rPr>
          <w:rFonts w:cs="Times New Roman"/>
          <w:b/>
          <w:bCs/>
          <w:lang w:eastAsia="zh-CN"/>
        </w:rPr>
        <w:t>1</w:t>
      </w:r>
      <w:r>
        <w:rPr>
          <w:rFonts w:hint="eastAsia" w:cs="Times New Roman"/>
          <w:b/>
          <w:bCs/>
          <w:lang w:eastAsia="zh-CN"/>
        </w:rPr>
        <w:t>）萌芽膨大期（</w:t>
      </w:r>
      <w:r>
        <w:rPr>
          <w:rFonts w:cs="Times New Roman"/>
          <w:b/>
          <w:bCs/>
          <w:lang w:eastAsia="zh-CN"/>
        </w:rPr>
        <w:t>3‑4</w:t>
      </w:r>
      <w:r>
        <w:rPr>
          <w:rFonts w:hint="eastAsia" w:cs="Times New Roman"/>
          <w:b/>
          <w:bCs/>
          <w:lang w:eastAsia="zh-CN"/>
        </w:rPr>
        <w:t>月）</w:t>
      </w:r>
    </w:p>
    <w:p>
      <w:pPr>
        <w:kinsoku/>
        <w:spacing w:line="360" w:lineRule="auto"/>
        <w:ind w:firstLine="480"/>
        <w:rPr>
          <w:rFonts w:cs="Times New Roman"/>
          <w:lang w:eastAsia="zh-CN"/>
        </w:rPr>
      </w:pPr>
      <w:r>
        <w:rPr>
          <w:rFonts w:hint="eastAsia" w:cs="Times New Roman"/>
          <w:lang w:eastAsia="zh-CN"/>
        </w:rPr>
        <w:t>早春气温回升，桑树冬芽开始膨大、萌发抽梢。此阶段以新梢、幼叶萌发生长为主，根系逐步恢复生理活性，养分主要依靠树体内上一年贮藏的营养。植株对水分、养分需求逐步提升，对倒春寒低温十分敏感，如遇短期 0℃以下低温，嫩芽、花芽容易受冻损伤，直接影响当年桑椹挂果数量。光照充足有利于新梢健壮萌发。</w:t>
      </w:r>
    </w:p>
    <w:p>
      <w:pPr>
        <w:kinsoku/>
        <w:spacing w:line="360" w:lineRule="auto"/>
        <w:ind w:firstLine="482"/>
        <w:rPr>
          <w:rFonts w:cs="Times New Roman"/>
          <w:b/>
          <w:bCs/>
          <w:lang w:eastAsia="zh-CN"/>
        </w:rPr>
      </w:pPr>
      <w:r>
        <w:rPr>
          <w:rFonts w:hint="eastAsia" w:cs="Times New Roman"/>
          <w:b/>
          <w:bCs/>
          <w:lang w:eastAsia="zh-CN"/>
        </w:rPr>
        <w:t>（</w:t>
      </w:r>
      <w:r>
        <w:rPr>
          <w:rFonts w:cs="Times New Roman"/>
          <w:b/>
          <w:bCs/>
          <w:lang w:eastAsia="zh-CN"/>
        </w:rPr>
        <w:t>2</w:t>
      </w:r>
      <w:r>
        <w:rPr>
          <w:rFonts w:hint="eastAsia" w:cs="Times New Roman"/>
          <w:b/>
          <w:bCs/>
          <w:lang w:eastAsia="zh-CN"/>
        </w:rPr>
        <w:t>）营养生长期（</w:t>
      </w:r>
      <w:r>
        <w:rPr>
          <w:rFonts w:cs="Times New Roman"/>
          <w:b/>
          <w:bCs/>
          <w:lang w:eastAsia="zh-CN"/>
        </w:rPr>
        <w:t>4‑5</w:t>
      </w:r>
      <w:r>
        <w:rPr>
          <w:rFonts w:hint="eastAsia" w:cs="Times New Roman"/>
          <w:b/>
          <w:bCs/>
          <w:lang w:eastAsia="zh-CN"/>
        </w:rPr>
        <w:t>月上中旬）</w:t>
      </w:r>
    </w:p>
    <w:p>
      <w:pPr>
        <w:kinsoku/>
        <w:spacing w:line="360" w:lineRule="auto"/>
        <w:ind w:firstLine="480"/>
        <w:rPr>
          <w:rFonts w:cs="Times New Roman"/>
          <w:lang w:eastAsia="zh-CN"/>
        </w:rPr>
      </w:pPr>
      <w:r>
        <w:rPr>
          <w:rFonts w:hint="eastAsia" w:cs="Times New Roman"/>
          <w:lang w:eastAsia="zh-CN"/>
        </w:rPr>
        <w:t>新梢快速伸长，叶片大量展开，树冠叶面积快速增大，根系持续扩展，吸收能力显著增强。桑树光合效率快速提升，为后续开花坐果积累碳水化合物。此阶段对氮、磷、钾养分需求旺盛，需要充足光照，适宜的土壤墒情，保障枝叶健壮生长，为开花结果打下物质基础。</w:t>
      </w:r>
    </w:p>
    <w:p>
      <w:pPr>
        <w:kinsoku/>
        <w:spacing w:line="360" w:lineRule="auto"/>
        <w:ind w:firstLine="482"/>
        <w:rPr>
          <w:rFonts w:cs="Times New Roman"/>
          <w:b/>
          <w:bCs/>
          <w:lang w:eastAsia="zh-CN"/>
        </w:rPr>
      </w:pPr>
      <w:r>
        <w:rPr>
          <w:rFonts w:hint="eastAsia" w:cs="Times New Roman"/>
          <w:b/>
          <w:bCs/>
          <w:lang w:eastAsia="zh-CN"/>
        </w:rPr>
        <w:t>（</w:t>
      </w:r>
      <w:r>
        <w:rPr>
          <w:rFonts w:cs="Times New Roman"/>
          <w:b/>
          <w:bCs/>
          <w:lang w:eastAsia="zh-CN"/>
        </w:rPr>
        <w:t>3</w:t>
      </w:r>
      <w:r>
        <w:rPr>
          <w:rFonts w:hint="eastAsia" w:cs="Times New Roman"/>
          <w:b/>
          <w:bCs/>
          <w:lang w:eastAsia="zh-CN"/>
        </w:rPr>
        <w:t>）开花坐果期（</w:t>
      </w:r>
      <w:r>
        <w:rPr>
          <w:rFonts w:cs="Times New Roman"/>
          <w:b/>
          <w:bCs/>
          <w:lang w:eastAsia="zh-CN"/>
        </w:rPr>
        <w:t xml:space="preserve">4 </w:t>
      </w:r>
      <w:r>
        <w:rPr>
          <w:rFonts w:hint="eastAsia" w:cs="Times New Roman"/>
          <w:b/>
          <w:bCs/>
          <w:lang w:eastAsia="zh-CN"/>
        </w:rPr>
        <w:t>月下旬</w:t>
      </w:r>
      <w:r>
        <w:rPr>
          <w:rFonts w:cs="Times New Roman"/>
          <w:b/>
          <w:bCs/>
          <w:lang w:eastAsia="zh-CN"/>
        </w:rPr>
        <w:t>‑5</w:t>
      </w:r>
      <w:r>
        <w:rPr>
          <w:rFonts w:hint="eastAsia" w:cs="Times New Roman"/>
          <w:b/>
          <w:bCs/>
          <w:lang w:eastAsia="zh-CN"/>
        </w:rPr>
        <w:t>月上旬）</w:t>
      </w:r>
    </w:p>
    <w:p>
      <w:pPr>
        <w:kinsoku/>
        <w:spacing w:line="360" w:lineRule="auto"/>
        <w:ind w:firstLine="480"/>
        <w:rPr>
          <w:rFonts w:cs="Times New Roman"/>
          <w:lang w:eastAsia="zh-CN"/>
        </w:rPr>
      </w:pPr>
      <w:r>
        <w:rPr>
          <w:rFonts w:hint="eastAsia" w:cs="Times New Roman"/>
          <w:lang w:eastAsia="zh-CN"/>
        </w:rPr>
        <w:t>桑树雌雄花开放、完成授粉，转入坐果阶段，是决定桑椹产量的关键时期。生长重心由枝叶营养生长转向生殖生长。该时期对温度、湿度、光照条件敏感。阴雨寡照会影响授粉，造成坐果率下降；土壤水分供应失衡，会引起落花。磷、钾养分供应充足，有利于提升坐果率。</w:t>
      </w:r>
    </w:p>
    <w:p>
      <w:pPr>
        <w:kinsoku/>
        <w:spacing w:line="360" w:lineRule="auto"/>
        <w:ind w:firstLine="482"/>
        <w:rPr>
          <w:rFonts w:cs="Times New Roman"/>
          <w:b/>
          <w:bCs/>
          <w:lang w:eastAsia="zh-CN"/>
        </w:rPr>
      </w:pPr>
      <w:r>
        <w:rPr>
          <w:rFonts w:hint="eastAsia" w:cs="Times New Roman"/>
          <w:b/>
          <w:bCs/>
          <w:lang w:eastAsia="zh-CN"/>
        </w:rPr>
        <w:t>（</w:t>
      </w:r>
      <w:r>
        <w:rPr>
          <w:rFonts w:cs="Times New Roman"/>
          <w:b/>
          <w:bCs/>
          <w:lang w:eastAsia="zh-CN"/>
        </w:rPr>
        <w:t>4</w:t>
      </w:r>
      <w:r>
        <w:rPr>
          <w:rFonts w:hint="eastAsia" w:cs="Times New Roman"/>
          <w:b/>
          <w:bCs/>
          <w:lang w:eastAsia="zh-CN"/>
        </w:rPr>
        <w:t>）果实膨大转色成熟期（</w:t>
      </w:r>
      <w:r>
        <w:rPr>
          <w:rFonts w:cs="Times New Roman"/>
          <w:b/>
          <w:bCs/>
          <w:lang w:eastAsia="zh-CN"/>
        </w:rPr>
        <w:t>5‑6</w:t>
      </w:r>
      <w:r>
        <w:rPr>
          <w:rFonts w:hint="eastAsia" w:cs="Times New Roman"/>
          <w:b/>
          <w:bCs/>
          <w:lang w:eastAsia="zh-CN"/>
        </w:rPr>
        <w:t>月）</w:t>
      </w:r>
    </w:p>
    <w:p>
      <w:pPr>
        <w:kinsoku/>
        <w:spacing w:line="360" w:lineRule="auto"/>
        <w:ind w:firstLine="480"/>
        <w:rPr>
          <w:rFonts w:cs="Times New Roman"/>
          <w:lang w:eastAsia="zh-CN"/>
        </w:rPr>
      </w:pPr>
      <w:r>
        <w:rPr>
          <w:rFonts w:hint="eastAsia" w:cs="Times New Roman"/>
          <w:lang w:eastAsia="zh-CN"/>
        </w:rPr>
        <w:t>幼果迅速膨大，果实由绿转为红紫色，进一步转为黑紫色，逐步积累糖分、花青素、黄酮、铁等功能性营养物质，直至果实成熟采收。此阶段光照充足、昼夜温差大，利于糖分与花青素积累，提升桑椹品质。采摘期若连续阴雨，极易造成桑椹裂果、发生菌核病（白果病），果实腐烂，严重降低产量与品质。果实成熟后不耐储运，需要及时采收。采收结束后，桑树继续进行枝叶营养生长，进行树体养分的积累，为下一年生长结果储备营养。</w:t>
      </w:r>
    </w:p>
    <w:p>
      <w:pPr>
        <w:kinsoku/>
        <w:spacing w:line="360" w:lineRule="auto"/>
        <w:ind w:firstLine="482"/>
        <w:rPr>
          <w:rFonts w:cs="Times New Roman"/>
          <w:b/>
          <w:bCs/>
          <w:lang w:eastAsia="zh-CN"/>
        </w:rPr>
      </w:pPr>
      <w:r>
        <w:rPr>
          <w:rFonts w:hint="eastAsia" w:cs="Times New Roman"/>
          <w:b/>
          <w:bCs/>
          <w:lang w:eastAsia="zh-CN"/>
        </w:rPr>
        <w:t>（</w:t>
      </w:r>
      <w:r>
        <w:rPr>
          <w:rFonts w:cs="Times New Roman"/>
          <w:b/>
          <w:bCs/>
          <w:lang w:eastAsia="zh-CN"/>
        </w:rPr>
        <w:t>5</w:t>
      </w:r>
      <w:r>
        <w:rPr>
          <w:rFonts w:hint="eastAsia" w:cs="Times New Roman"/>
          <w:b/>
          <w:bCs/>
          <w:lang w:eastAsia="zh-CN"/>
        </w:rPr>
        <w:t>）秋季养分积累及休眠期（</w:t>
      </w:r>
      <w:r>
        <w:rPr>
          <w:rFonts w:cs="Times New Roman"/>
          <w:b/>
          <w:bCs/>
          <w:lang w:eastAsia="zh-CN"/>
        </w:rPr>
        <w:t>7‑</w:t>
      </w:r>
      <w:r>
        <w:rPr>
          <w:rFonts w:hint="eastAsia" w:cs="Times New Roman"/>
          <w:b/>
          <w:bCs/>
          <w:lang w:eastAsia="zh-CN"/>
        </w:rPr>
        <w:t>次年</w:t>
      </w:r>
      <w:r>
        <w:rPr>
          <w:rFonts w:cs="Times New Roman"/>
          <w:b/>
          <w:bCs/>
          <w:lang w:eastAsia="zh-CN"/>
        </w:rPr>
        <w:t>2</w:t>
      </w:r>
      <w:r>
        <w:rPr>
          <w:rFonts w:hint="eastAsia" w:cs="Times New Roman"/>
          <w:b/>
          <w:bCs/>
          <w:lang w:eastAsia="zh-CN"/>
        </w:rPr>
        <w:t>月）</w:t>
      </w:r>
    </w:p>
    <w:p>
      <w:pPr>
        <w:kinsoku/>
        <w:spacing w:line="360" w:lineRule="auto"/>
        <w:ind w:firstLine="480"/>
        <w:rPr>
          <w:rFonts w:cs="Times New Roman"/>
          <w:lang w:eastAsia="zh-CN"/>
        </w:rPr>
      </w:pPr>
      <w:r>
        <w:rPr>
          <w:rFonts w:hint="eastAsia" w:cs="Times New Roman"/>
          <w:lang w:eastAsia="zh-CN"/>
        </w:rPr>
        <w:t>采果结束后，桑树持续长叶长枝，进行光合物质积累，回流储存于根系和枝干。秋季温度降低、日照缩短，桑树逐步停止生长；入冬后落叶进入休眠，可耐受北方冬季低温，完成自然休眠，为来年萌芽开花做准备。</w:t>
      </w:r>
    </w:p>
    <w:p>
      <w:pPr>
        <w:kinsoku/>
        <w:spacing w:line="360" w:lineRule="auto"/>
        <w:ind w:firstLine="482"/>
        <w:rPr>
          <w:rFonts w:cs="Times New Roman"/>
          <w:b/>
          <w:bCs/>
          <w:lang w:eastAsia="zh-CN"/>
        </w:rPr>
      </w:pPr>
      <w:r>
        <w:rPr>
          <w:rFonts w:hint="eastAsia" w:cs="Times New Roman"/>
          <w:b/>
          <w:bCs/>
          <w:lang w:eastAsia="zh-CN"/>
        </w:rPr>
        <w:t xml:space="preserve"> 2. 土肥水气热等需求</w:t>
      </w:r>
    </w:p>
    <w:p>
      <w:pPr>
        <w:kinsoku/>
        <w:spacing w:line="360" w:lineRule="auto"/>
        <w:ind w:firstLine="482"/>
        <w:rPr>
          <w:rFonts w:cs="Times New Roman"/>
          <w:b/>
          <w:bCs/>
          <w:lang w:eastAsia="zh-CN"/>
        </w:rPr>
      </w:pPr>
      <w:r>
        <w:rPr>
          <w:rFonts w:hint="eastAsia" w:cs="Times New Roman"/>
          <w:b/>
          <w:bCs/>
          <w:lang w:eastAsia="zh-CN"/>
        </w:rPr>
        <w:t xml:space="preserve"> （1）土壤质地</w:t>
      </w:r>
    </w:p>
    <w:p>
      <w:pPr>
        <w:kinsoku/>
        <w:spacing w:line="360" w:lineRule="auto"/>
        <w:ind w:firstLine="480"/>
        <w:rPr>
          <w:rFonts w:cs="Times New Roman"/>
          <w:lang w:eastAsia="zh-CN"/>
        </w:rPr>
      </w:pPr>
      <w:r>
        <w:rPr>
          <w:rFonts w:hint="eastAsia" w:cs="Times New Roman"/>
          <w:lang w:eastAsia="zh-CN"/>
        </w:rPr>
        <w:t>桑树根系发达，入土深，适宜土层深厚、土质疏松、透气性良好的土壤。泊头产区实践表明，砂壤土（蒙金砂土）最为适宜，壤土次之；黏重板结土壤通透性差，容易积水，不利于根系呼吸生长。桑树根系呼吸旺盛，土壤积水、通透性差会抑制根系活性，易诱发根系病害；土壤砂性过强则保水保肥能力不足，容易出现养分流失。因此，桑园要求土层深厚，排水通畅，兼顾透气与保肥能力。</w:t>
      </w:r>
    </w:p>
    <w:p>
      <w:pPr>
        <w:kinsoku/>
        <w:spacing w:line="360" w:lineRule="auto"/>
        <w:ind w:firstLine="482"/>
        <w:rPr>
          <w:rFonts w:cs="Times New Roman"/>
          <w:b/>
          <w:bCs/>
          <w:lang w:eastAsia="zh-CN"/>
        </w:rPr>
      </w:pPr>
      <w:r>
        <w:rPr>
          <w:rFonts w:hint="eastAsia" w:cs="Times New Roman"/>
          <w:b/>
          <w:bCs/>
          <w:lang w:eastAsia="zh-CN"/>
        </w:rPr>
        <w:t xml:space="preserve"> （2）土壤酸碱度</w:t>
      </w:r>
    </w:p>
    <w:p>
      <w:pPr>
        <w:kinsoku/>
        <w:spacing w:line="360" w:lineRule="auto"/>
        <w:ind w:firstLine="480"/>
        <w:rPr>
          <w:rFonts w:cs="Times New Roman"/>
          <w:lang w:eastAsia="zh-CN"/>
        </w:rPr>
      </w:pPr>
      <w:r>
        <w:rPr>
          <w:rFonts w:hint="eastAsia" w:cs="Times New Roman"/>
          <w:lang w:eastAsia="zh-CN"/>
        </w:rPr>
        <w:t>土壤</w:t>
      </w:r>
      <w:r>
        <w:rPr>
          <w:rFonts w:cs="Times New Roman"/>
          <w:lang w:eastAsia="zh-CN"/>
        </w:rPr>
        <w:t xml:space="preserve"> pH </w:t>
      </w:r>
      <w:r>
        <w:rPr>
          <w:rFonts w:hint="eastAsia" w:cs="Times New Roman"/>
          <w:lang w:eastAsia="zh-CN"/>
        </w:rPr>
        <w:t>影响桑树根系养分吸收、土壤微生物活性，进而影响桑椹产量与品质。泊头桑椹适宜土壤</w:t>
      </w:r>
      <w:r>
        <w:rPr>
          <w:rFonts w:cs="Times New Roman"/>
          <w:lang w:eastAsia="zh-CN"/>
        </w:rPr>
        <w:t xml:space="preserve"> pH</w:t>
      </w:r>
      <w:r>
        <w:rPr>
          <w:rFonts w:hint="eastAsia" w:cs="Times New Roman"/>
          <w:lang w:eastAsia="zh-CN"/>
        </w:rPr>
        <w:t>为</w:t>
      </w:r>
      <w:r>
        <w:rPr>
          <w:rFonts w:cs="Times New Roman"/>
          <w:lang w:eastAsia="zh-CN"/>
        </w:rPr>
        <w:t>6.5‑8.0</w:t>
      </w:r>
      <w:r>
        <w:rPr>
          <w:rFonts w:hint="eastAsia" w:cs="Times New Roman"/>
          <w:lang w:eastAsia="zh-CN"/>
        </w:rPr>
        <w:t>的中性至弱碱性环境，适配泊头黄河故道冲积土壤本底条件。</w:t>
      </w:r>
      <w:r>
        <w:rPr>
          <w:rFonts w:cs="Times New Roman"/>
          <w:lang w:eastAsia="zh-CN"/>
        </w:rPr>
        <w:t>pH</w:t>
      </w:r>
      <w:r>
        <w:rPr>
          <w:rFonts w:hint="eastAsia" w:cs="Times New Roman"/>
          <w:lang w:eastAsia="zh-CN"/>
        </w:rPr>
        <w:t>过高或者过低，会降低部分微量元素有效性，不利于桑树正常生长。</w:t>
      </w:r>
    </w:p>
    <w:p>
      <w:pPr>
        <w:kinsoku/>
        <w:spacing w:line="360" w:lineRule="auto"/>
        <w:ind w:firstLine="480"/>
        <w:rPr>
          <w:rFonts w:cs="Times New Roman"/>
          <w:lang w:eastAsia="zh-CN"/>
        </w:rPr>
      </w:pPr>
      <w:r>
        <w:rPr>
          <w:rFonts w:hint="eastAsia" w:cs="Times New Roman"/>
          <w:lang w:eastAsia="zh-CN"/>
        </w:rPr>
        <w:t xml:space="preserve"> </w:t>
      </w:r>
      <w:r>
        <w:rPr>
          <w:rFonts w:hint="eastAsia" w:cs="Times New Roman"/>
          <w:b/>
          <w:bCs/>
          <w:lang w:eastAsia="zh-CN"/>
        </w:rPr>
        <w:t>（3）土壤养分</w:t>
      </w:r>
    </w:p>
    <w:p>
      <w:pPr>
        <w:kinsoku/>
        <w:spacing w:line="360" w:lineRule="auto"/>
        <w:ind w:firstLine="480"/>
        <w:rPr>
          <w:rFonts w:cs="Times New Roman"/>
          <w:lang w:eastAsia="zh-CN"/>
        </w:rPr>
      </w:pPr>
      <w:r>
        <w:rPr>
          <w:rFonts w:hint="eastAsia" w:cs="Times New Roman"/>
          <w:lang w:eastAsia="zh-CN"/>
        </w:rPr>
        <w:t>土壤肥力是桑树生长发育、桑椹产量品质形成的物质基础。有机质可以改良土壤团粒结构，提升土壤保水保肥能力。桑树对钾元素需求量较高，钾元素可以促进碳水化合物向果实转运，提升桑椹糖分、花青素积累，增强树体抗逆性；其次为氮、磷。氮素促进枝叶生长，保障光合面积；磷素促进根系发育、开花坐果。同时钙、镁、硫以及铁、硼、锌等中微量元素，对桑树生长和桑椹营养物质合成同样起到重要作用。桑园要避免偏施氮肥，否则易造成树体徒长，加重白果病等病害发生。</w:t>
      </w:r>
    </w:p>
    <w:p>
      <w:pPr>
        <w:kinsoku/>
        <w:spacing w:line="360" w:lineRule="auto"/>
        <w:ind w:firstLine="482"/>
        <w:rPr>
          <w:rFonts w:cs="Times New Roman"/>
          <w:b/>
          <w:bCs/>
          <w:lang w:eastAsia="zh-CN"/>
        </w:rPr>
      </w:pPr>
      <w:r>
        <w:rPr>
          <w:rFonts w:hint="eastAsia" w:cs="Times New Roman"/>
          <w:b/>
          <w:bCs/>
          <w:lang w:eastAsia="zh-CN"/>
        </w:rPr>
        <w:t xml:space="preserve"> （4）水分</w:t>
      </w:r>
    </w:p>
    <w:p>
      <w:pPr>
        <w:kinsoku/>
        <w:spacing w:line="360" w:lineRule="auto"/>
        <w:ind w:firstLine="480"/>
        <w:rPr>
          <w:rFonts w:cs="Times New Roman"/>
          <w:lang w:eastAsia="zh-CN"/>
        </w:rPr>
      </w:pPr>
      <w:r>
        <w:rPr>
          <w:rFonts w:hint="eastAsia" w:cs="Times New Roman"/>
          <w:lang w:eastAsia="zh-CN"/>
        </w:rPr>
        <w:t>桑树具备一定耐旱能力，但不耐积水。土壤适度湿润有利于桑树生长。适宜年降水量</w:t>
      </w:r>
      <w:r>
        <w:rPr>
          <w:rFonts w:cs="Times New Roman"/>
          <w:lang w:eastAsia="zh-CN"/>
        </w:rPr>
        <w:t xml:space="preserve"> 450‑650 mm</w:t>
      </w:r>
      <w:r>
        <w:rPr>
          <w:rFonts w:hint="eastAsia" w:cs="Times New Roman"/>
          <w:lang w:eastAsia="zh-CN"/>
        </w:rPr>
        <w:t>，降水季节分配不均时需要依靠灌溉进行补充。</w:t>
      </w:r>
    </w:p>
    <w:p>
      <w:pPr>
        <w:kinsoku/>
        <w:spacing w:line="360" w:lineRule="auto"/>
        <w:ind w:firstLine="480"/>
        <w:rPr>
          <w:rFonts w:cs="Times New Roman"/>
          <w:lang w:eastAsia="zh-CN"/>
        </w:rPr>
      </w:pPr>
      <w:r>
        <w:rPr>
          <w:rFonts w:hint="eastAsia" w:cs="Times New Roman"/>
          <w:lang w:eastAsia="zh-CN"/>
        </w:rPr>
        <w:t>萌芽、新梢生长期缺水，会造成新梢细弱、叶片小；开花坐果、果实膨大期水分亏缺，会造成坐果降低、果个变小，直接降低产量。果实成熟期（</w:t>
      </w:r>
      <w:r>
        <w:rPr>
          <w:rFonts w:cs="Times New Roman"/>
          <w:lang w:eastAsia="zh-CN"/>
        </w:rPr>
        <w:t xml:space="preserve">5‑6 </w:t>
      </w:r>
      <w:r>
        <w:rPr>
          <w:rFonts w:hint="eastAsia" w:cs="Times New Roman"/>
          <w:lang w:eastAsia="zh-CN"/>
        </w:rPr>
        <w:t>月）降水过多、连阴雨天，极易诱发桑椹菌核病，造成裂果、烂果，对桑椹产量品质造成毁灭性影响。</w:t>
      </w:r>
    </w:p>
    <w:p>
      <w:pPr>
        <w:kinsoku/>
        <w:spacing w:line="360" w:lineRule="auto"/>
        <w:ind w:firstLine="480"/>
        <w:rPr>
          <w:rFonts w:cs="Times New Roman"/>
          <w:lang w:eastAsia="zh-CN"/>
        </w:rPr>
      </w:pPr>
      <w:r>
        <w:rPr>
          <w:rFonts w:hint="eastAsia" w:cs="Times New Roman"/>
          <w:lang w:eastAsia="zh-CN"/>
        </w:rPr>
        <w:t>桑园严禁积水，土壤积水会造成根系缺氧腐烂。同时光照条件十分关键，充足光照提升光合产物积累，增大昼夜温差，利于桑椹糖分与花青素积累；花、果期长期阴雨寡照，病害加重，果实风味变淡。</w:t>
      </w:r>
    </w:p>
    <w:p>
      <w:pPr>
        <w:kinsoku/>
        <w:spacing w:line="360" w:lineRule="auto"/>
        <w:ind w:firstLine="482"/>
        <w:rPr>
          <w:rFonts w:cs="Times New Roman"/>
          <w:b/>
          <w:bCs/>
          <w:lang w:eastAsia="zh-CN"/>
        </w:rPr>
      </w:pPr>
      <w:r>
        <w:rPr>
          <w:rFonts w:hint="eastAsia" w:cs="Times New Roman"/>
          <w:b/>
          <w:bCs/>
          <w:lang w:eastAsia="zh-CN"/>
        </w:rPr>
        <w:t xml:space="preserve"> （5）气候</w:t>
      </w:r>
    </w:p>
    <w:p>
      <w:pPr>
        <w:kinsoku/>
        <w:spacing w:line="360" w:lineRule="auto"/>
        <w:ind w:firstLine="480"/>
        <w:rPr>
          <w:rFonts w:cs="Times New Roman"/>
          <w:lang w:eastAsia="zh-CN"/>
        </w:rPr>
      </w:pPr>
      <w:r>
        <w:rPr>
          <w:rFonts w:hint="eastAsia" w:cs="Times New Roman"/>
          <w:lang w:eastAsia="zh-CN"/>
        </w:rPr>
        <w:t>桑椹为温带落叶果树，适宜暖温带半湿润大陆性季风气候，四季分明，光照资源充足，无霜期≥185 天。冬季需要经历一定时长低温休眠，满足需冷量，保障第二年正常开花结果。</w:t>
      </w:r>
    </w:p>
    <w:p>
      <w:pPr>
        <w:kinsoku/>
        <w:spacing w:line="360" w:lineRule="auto"/>
        <w:ind w:firstLine="482"/>
        <w:rPr>
          <w:rFonts w:cs="Times New Roman"/>
          <w:b/>
          <w:bCs/>
          <w:lang w:eastAsia="zh-CN"/>
        </w:rPr>
      </w:pPr>
      <w:r>
        <w:rPr>
          <w:rFonts w:hint="eastAsia" w:cs="Times New Roman"/>
          <w:b/>
          <w:bCs/>
          <w:lang w:eastAsia="zh-CN"/>
        </w:rPr>
        <w:t xml:space="preserve"> （6）热量（温度）</w:t>
      </w:r>
    </w:p>
    <w:p>
      <w:pPr>
        <w:kinsoku/>
        <w:spacing w:line="360" w:lineRule="auto"/>
        <w:ind w:firstLine="480"/>
        <w:rPr>
          <w:rFonts w:cs="Times New Roman"/>
          <w:lang w:eastAsia="zh-CN"/>
        </w:rPr>
      </w:pPr>
      <w:r>
        <w:rPr>
          <w:rFonts w:hint="eastAsia" w:cs="Times New Roman"/>
          <w:lang w:eastAsia="zh-CN"/>
        </w:rPr>
        <w:t>桑树生长适宜日均温度</w:t>
      </w:r>
      <w:r>
        <w:rPr>
          <w:rFonts w:cs="Times New Roman"/>
          <w:lang w:eastAsia="zh-CN"/>
        </w:rPr>
        <w:t xml:space="preserve"> 11‑14</w:t>
      </w:r>
      <w:r>
        <w:rPr>
          <w:rFonts w:hint="eastAsia" w:cs="Times New Roman"/>
          <w:lang w:eastAsia="zh-CN"/>
        </w:rPr>
        <w:t>℃。春季气温达到</w:t>
      </w:r>
      <w:r>
        <w:rPr>
          <w:rFonts w:cs="Times New Roman"/>
          <w:lang w:eastAsia="zh-CN"/>
        </w:rPr>
        <w:t xml:space="preserve"> 12 </w:t>
      </w:r>
      <w:r>
        <w:rPr>
          <w:rFonts w:hint="eastAsia" w:cs="Times New Roman"/>
          <w:lang w:eastAsia="zh-CN"/>
        </w:rPr>
        <w:t>℃以上桑芽开始萌发；</w:t>
      </w:r>
      <w:r>
        <w:rPr>
          <w:rFonts w:cs="Times New Roman"/>
          <w:lang w:eastAsia="zh-CN"/>
        </w:rPr>
        <w:t>20‑28 </w:t>
      </w:r>
      <w:r>
        <w:rPr>
          <w:rFonts w:hint="eastAsia" w:cs="Times New Roman"/>
          <w:lang w:eastAsia="zh-CN"/>
        </w:rPr>
        <w:t>℃为新梢生长、果实发育最适温度。</w:t>
      </w:r>
    </w:p>
    <w:p>
      <w:pPr>
        <w:kinsoku/>
        <w:spacing w:line="360" w:lineRule="auto"/>
        <w:ind w:firstLine="480"/>
        <w:rPr>
          <w:rFonts w:cs="Times New Roman"/>
          <w:lang w:eastAsia="zh-CN"/>
        </w:rPr>
      </w:pPr>
      <w:r>
        <w:rPr>
          <w:rFonts w:hint="eastAsia" w:cs="Times New Roman"/>
          <w:lang w:eastAsia="zh-CN"/>
        </w:rPr>
        <w:t>桑树耐寒，休眠期可以耐受</w:t>
      </w:r>
      <w:r>
        <w:rPr>
          <w:rFonts w:cs="Times New Roman"/>
          <w:lang w:eastAsia="zh-CN"/>
        </w:rPr>
        <w:t>‑20</w:t>
      </w:r>
      <w:r>
        <w:rPr>
          <w:rFonts w:hint="eastAsia" w:cs="Times New Roman"/>
          <w:lang w:eastAsia="zh-CN"/>
        </w:rPr>
        <w:t>℃左右低温；但萌芽之后抗寒力急剧下降，</w:t>
      </w:r>
      <w:r>
        <w:rPr>
          <w:rFonts w:cs="Times New Roman"/>
          <w:lang w:eastAsia="zh-CN"/>
        </w:rPr>
        <w:t xml:space="preserve">3‑4 </w:t>
      </w:r>
      <w:r>
        <w:rPr>
          <w:rFonts w:hint="eastAsia" w:cs="Times New Roman"/>
          <w:lang w:eastAsia="zh-CN"/>
        </w:rPr>
        <w:t>月萌芽现蕾阶段，遇到</w:t>
      </w:r>
      <w:r>
        <w:rPr>
          <w:rFonts w:cs="Times New Roman"/>
          <w:lang w:eastAsia="zh-CN"/>
        </w:rPr>
        <w:t xml:space="preserve"> 0</w:t>
      </w:r>
      <w:r>
        <w:rPr>
          <w:rFonts w:hint="eastAsia" w:cs="Times New Roman"/>
          <w:lang w:eastAsia="zh-CN"/>
        </w:rPr>
        <w:t>℃以下倒春寒，嫩芽、花器发生冻害，造成当年减产。果实膨大成熟期，</w:t>
      </w:r>
      <w:r>
        <w:rPr>
          <w:rFonts w:cs="Times New Roman"/>
          <w:lang w:eastAsia="zh-CN"/>
        </w:rPr>
        <w:t>10‑12</w:t>
      </w:r>
      <w:r>
        <w:rPr>
          <w:rFonts w:hint="eastAsia" w:cs="Times New Roman"/>
          <w:lang w:eastAsia="zh-CN"/>
        </w:rPr>
        <w:t>℃的昼夜温差有利于桑椹品质提升。</w:t>
      </w:r>
    </w:p>
    <w:p>
      <w:pPr>
        <w:kinsoku/>
        <w:spacing w:line="360" w:lineRule="auto"/>
        <w:ind w:firstLine="480"/>
        <w:rPr>
          <w:rFonts w:cs="Times New Roman"/>
          <w:b/>
          <w:bCs/>
          <w:lang w:eastAsia="zh-CN"/>
        </w:rPr>
      </w:pPr>
      <w:r>
        <w:rPr>
          <w:rFonts w:hint="eastAsia" w:cs="Times New Roman"/>
          <w:lang w:eastAsia="zh-CN"/>
        </w:rPr>
        <w:t xml:space="preserve"> </w:t>
      </w:r>
      <w:r>
        <w:rPr>
          <w:rFonts w:hint="eastAsia" w:cs="Times New Roman"/>
          <w:b/>
          <w:bCs/>
          <w:lang w:eastAsia="zh-CN"/>
        </w:rPr>
        <w:t>（7）其他</w:t>
      </w:r>
    </w:p>
    <w:p>
      <w:pPr>
        <w:kinsoku/>
        <w:spacing w:line="360" w:lineRule="auto"/>
        <w:ind w:firstLine="480"/>
        <w:rPr>
          <w:rFonts w:cs="Times New Roman"/>
          <w:lang w:eastAsia="zh-CN"/>
        </w:rPr>
      </w:pPr>
      <w:r>
        <w:rPr>
          <w:rFonts w:hint="eastAsia" w:cs="Times New Roman"/>
          <w:lang w:eastAsia="zh-CN"/>
        </w:rPr>
        <w:t>阳离子交换量是土壤重要化学性质，表征土壤吸附交换钙、镁、钾等养分离子的能力，直接影响桑园土壤保肥供肥性能，对桑树长势、桑椹产量品质具有重要影响。</w:t>
      </w:r>
    </w:p>
    <w:p>
      <w:pPr>
        <w:kinsoku/>
        <w:spacing w:line="360" w:lineRule="auto"/>
        <w:ind w:firstLine="480"/>
        <w:rPr>
          <w:lang w:eastAsia="zh-CN"/>
        </w:rPr>
      </w:pPr>
      <w:r>
        <w:rPr>
          <w:rFonts w:hint="eastAsia" w:cs="Times New Roman"/>
          <w:lang w:eastAsia="zh-CN"/>
        </w:rPr>
        <w:t>交换性钙能够增强树体抗性，辅助减轻果实病害发生；交换性镁参与光合作用，促进碳水化合物合成与向桑椹果实转运，提升桑椹风味品质。土壤电导率反映土壤盐分状况，泊头局部低洼地块土壤盐分偏高，</w:t>
      </w:r>
      <w:r>
        <w:rPr>
          <w:rFonts w:hint="eastAsia"/>
          <w:lang w:eastAsia="zh-CN"/>
        </w:rPr>
        <w:t>盐分过高会抑制桑树根系生长，不利于桑椹栽培。</w:t>
      </w:r>
    </w:p>
    <w:p>
      <w:pPr>
        <w:pStyle w:val="3"/>
        <w:numPr>
          <w:ilvl w:val="0"/>
          <w:numId w:val="2"/>
        </w:numPr>
        <w:kinsoku/>
        <w:spacing w:before="120" w:after="120" w:line="360" w:lineRule="auto"/>
        <w:ind w:firstLineChars="0"/>
        <w:rPr>
          <w:rFonts w:hint="eastAsia" w:ascii="黑体" w:hAnsi="黑体" w:eastAsia="黑体"/>
          <w:color w:val="000000" w:themeColor="text1"/>
          <w:sz w:val="24"/>
          <w:szCs w:val="24"/>
          <w:lang w:eastAsia="zh-CN"/>
          <w14:textFill>
            <w14:solidFill>
              <w14:schemeClr w14:val="tx1"/>
            </w14:solidFill>
          </w14:textFill>
        </w:rPr>
      </w:pPr>
      <w:bookmarkStart w:id="28" w:name="_Toc241153616"/>
      <w:r>
        <w:rPr>
          <w:rFonts w:hint="eastAsia" w:ascii="黑体" w:hAnsi="黑体" w:eastAsia="黑体"/>
          <w:color w:val="000000" w:themeColor="text1"/>
          <w:sz w:val="24"/>
          <w:szCs w:val="24"/>
          <w:lang w:eastAsia="zh-CN"/>
          <w14:textFill>
            <w14:solidFill>
              <w14:schemeClr w14:val="tx1"/>
            </w14:solidFill>
          </w14:textFill>
        </w:rPr>
        <w:t>区域适宜生产条件分析</w:t>
      </w:r>
      <w:bookmarkEnd w:id="28"/>
    </w:p>
    <w:p>
      <w:pPr>
        <w:kinsoku/>
        <w:spacing w:line="360" w:lineRule="auto"/>
        <w:ind w:firstLine="480"/>
        <w:jc w:val="both"/>
        <w:rPr>
          <w:rFonts w:cs="Times New Roman"/>
          <w:color w:val="auto"/>
          <w:lang w:eastAsia="zh-CN"/>
        </w:rPr>
      </w:pPr>
      <w:r>
        <w:rPr>
          <w:rFonts w:cs="Times New Roman"/>
          <w:color w:val="auto"/>
          <w:lang w:eastAsia="zh-CN"/>
        </w:rPr>
        <w:t>在明确</w:t>
      </w:r>
      <w:r>
        <w:rPr>
          <w:rFonts w:hint="eastAsia" w:cs="Times New Roman"/>
          <w:color w:val="auto"/>
          <w:lang w:eastAsia="zh-CN"/>
        </w:rPr>
        <w:t>桑椹</w:t>
      </w:r>
      <w:r>
        <w:rPr>
          <w:rFonts w:cs="Times New Roman"/>
          <w:color w:val="auto"/>
          <w:lang w:eastAsia="zh-CN"/>
        </w:rPr>
        <w:t>生长及优质生产基本环境需求的基础上，结合泊头市第三次全国土壤普查成果、气象资料以及现有</w:t>
      </w:r>
      <w:r>
        <w:rPr>
          <w:rFonts w:hint="eastAsia" w:cs="Times New Roman"/>
          <w:color w:val="auto"/>
          <w:lang w:eastAsia="zh-CN"/>
        </w:rPr>
        <w:t>桑椹</w:t>
      </w:r>
      <w:r>
        <w:rPr>
          <w:rFonts w:cs="Times New Roman"/>
          <w:color w:val="auto"/>
          <w:lang w:eastAsia="zh-CN"/>
        </w:rPr>
        <w:t>种植分布，对泊头市气候、土壤和地形地貌条件进行分析，以判断区域自然环境与</w:t>
      </w:r>
      <w:r>
        <w:rPr>
          <w:rFonts w:hint="eastAsia" w:cs="Times New Roman"/>
          <w:color w:val="auto"/>
          <w:lang w:eastAsia="zh-CN"/>
        </w:rPr>
        <w:t>桑椹</w:t>
      </w:r>
      <w:r>
        <w:rPr>
          <w:rFonts w:cs="Times New Roman"/>
          <w:color w:val="auto"/>
          <w:lang w:eastAsia="zh-CN"/>
        </w:rPr>
        <w:t>生态需求的匹配程度。现状调查表明，泊头市</w:t>
      </w:r>
      <w:r>
        <w:rPr>
          <w:rFonts w:hint="eastAsia" w:cs="Times New Roman"/>
          <w:color w:val="auto"/>
          <w:lang w:eastAsia="zh-CN"/>
        </w:rPr>
        <w:t>桑椹</w:t>
      </w:r>
      <w:r>
        <w:rPr>
          <w:rFonts w:cs="Times New Roman"/>
          <w:color w:val="auto"/>
          <w:lang w:eastAsia="zh-CN"/>
        </w:rPr>
        <w:t>种植面积约 3.5 万亩，其中营子镇约 2.1 万亩，占全市种植面积约 60%，是现有</w:t>
      </w:r>
      <w:r>
        <w:rPr>
          <w:rFonts w:hint="eastAsia" w:cs="Times New Roman"/>
          <w:color w:val="auto"/>
          <w:lang w:eastAsia="zh-CN"/>
        </w:rPr>
        <w:t>桑椹</w:t>
      </w:r>
      <w:r>
        <w:rPr>
          <w:rFonts w:cs="Times New Roman"/>
          <w:color w:val="auto"/>
          <w:lang w:eastAsia="zh-CN"/>
        </w:rPr>
        <w:t>最集中的核心产区；齐桥镇以及文庙镇、寺门村镇、洼里王镇、王武镇等也有不同规模分布。因此，对区域环境适配性的分析还应特别关注营子镇等长期稳定种植区所反映出的实际适生环境特征。</w:t>
      </w:r>
    </w:p>
    <w:p>
      <w:pPr>
        <w:pStyle w:val="56"/>
        <w:keepNext/>
        <w:keepLines/>
        <w:numPr>
          <w:ilvl w:val="0"/>
          <w:numId w:val="3"/>
        </w:numPr>
        <w:kinsoku/>
        <w:spacing w:before="156" w:beforeLines="50" w:after="156" w:afterLines="50"/>
        <w:ind w:firstLineChars="0"/>
        <w:outlineLvl w:val="2"/>
        <w:rPr>
          <w:rFonts w:eastAsia="黑体" w:cs="Times New Roman"/>
          <w:lang w:eastAsia="zh-CN"/>
        </w:rPr>
      </w:pPr>
      <w:bookmarkStart w:id="29" w:name="_Toc241153617"/>
      <w:r>
        <w:rPr>
          <w:rFonts w:hint="eastAsia" w:eastAsia="黑体" w:cs="Times New Roman"/>
          <w:lang w:eastAsia="zh-CN"/>
        </w:rPr>
        <w:t>气候条件</w:t>
      </w:r>
      <w:bookmarkEnd w:id="29"/>
    </w:p>
    <w:p>
      <w:pPr>
        <w:kinsoku/>
        <w:spacing w:line="360" w:lineRule="auto"/>
        <w:ind w:firstLine="480"/>
        <w:jc w:val="both"/>
        <w:rPr>
          <w:rFonts w:hint="eastAsia" w:ascii="宋体" w:hAnsi="宋体" w:cs="Times New Roman"/>
          <w:color w:val="auto"/>
          <w:lang w:eastAsia="zh-CN"/>
        </w:rPr>
      </w:pPr>
      <w:r>
        <w:rPr>
          <w:rFonts w:cs="Times New Roman"/>
          <w:color w:val="auto"/>
          <w:lang w:eastAsia="zh-CN"/>
        </w:rPr>
        <w:t>泊头市属暖温带大陆性季风气候区，四季分明，日照充足。全区年平均气温12.7℃，≥10℃活动积温约4500℃·d，可充分满足桑树生育需求。年平均日照时数2783.6小时，日均7.6小时，为强日照地区，4</w:t>
      </w:r>
      <w:r>
        <w:rPr>
          <w:rFonts w:hint="eastAsia" w:cs="Times New Roman"/>
          <w:color w:val="auto"/>
          <w:lang w:eastAsia="zh-CN"/>
        </w:rPr>
        <w:t>-</w:t>
      </w:r>
      <w:r>
        <w:rPr>
          <w:rFonts w:cs="Times New Roman"/>
          <w:color w:val="auto"/>
          <w:lang w:eastAsia="zh-CN"/>
        </w:rPr>
        <w:t>9月生长季日照占全年70%以上。丰富的日照资源为桑树生长、果实发育、内部有机质转化、提高果实糖分和各种有机酸含量提供了重要条件。全区年平均降水量543毫米，降水多集中在7、8两月。桑树具有较强的耐旱性，该降水量基本满足</w:t>
      </w:r>
      <w:r>
        <w:rPr>
          <w:rFonts w:hint="eastAsia" w:cs="Times New Roman"/>
          <w:color w:val="auto"/>
          <w:lang w:eastAsia="zh-CN"/>
        </w:rPr>
        <w:t>桑椹</w:t>
      </w:r>
      <w:r>
        <w:rPr>
          <w:rFonts w:cs="Times New Roman"/>
          <w:color w:val="auto"/>
          <w:lang w:eastAsia="zh-CN"/>
        </w:rPr>
        <w:t>生长需求，但在果实膨大期（5</w:t>
      </w:r>
      <w:r>
        <w:rPr>
          <w:rFonts w:hint="eastAsia" w:cs="Times New Roman"/>
          <w:color w:val="auto"/>
          <w:lang w:eastAsia="zh-CN"/>
        </w:rPr>
        <w:t>-</w:t>
      </w:r>
      <w:r>
        <w:rPr>
          <w:rFonts w:cs="Times New Roman"/>
          <w:color w:val="auto"/>
          <w:lang w:eastAsia="zh-CN"/>
        </w:rPr>
        <w:t>6月）需配套灌溉设施保障水分供应。全区无霜期187天，适宜桑树生长和果实成熟。昼夜温差方面，5</w:t>
      </w:r>
      <w:r>
        <w:rPr>
          <w:rFonts w:hint="eastAsia" w:cs="Times New Roman"/>
          <w:color w:val="auto"/>
          <w:lang w:eastAsia="zh-CN"/>
        </w:rPr>
        <w:t>-</w:t>
      </w:r>
      <w:r>
        <w:rPr>
          <w:rFonts w:cs="Times New Roman"/>
          <w:color w:val="auto"/>
          <w:lang w:eastAsia="zh-CN"/>
        </w:rPr>
        <w:t>6月果实成熟期昼夜温差约10～12℃，有利于糖分积累和风味物质形成。此外，平原开阔地形带来的良好通风条件，可有效减少病虫害发生</w:t>
      </w:r>
      <w:r>
        <w:rPr>
          <w:rFonts w:ascii="宋体" w:hAnsi="宋体" w:cs="Times New Roman"/>
          <w:color w:val="auto"/>
          <w:lang w:eastAsia="zh-CN"/>
        </w:rPr>
        <w:t>。</w:t>
      </w:r>
    </w:p>
    <w:p>
      <w:pPr>
        <w:kinsoku/>
        <w:spacing w:line="360" w:lineRule="auto"/>
        <w:ind w:firstLine="480"/>
        <w:jc w:val="both"/>
        <w:rPr>
          <w:rFonts w:cs="Times New Roman"/>
          <w:color w:val="auto"/>
          <w:lang w:eastAsia="zh-CN"/>
        </w:rPr>
      </w:pPr>
      <w:r>
        <w:rPr>
          <w:rFonts w:hint="eastAsia" w:cs="Times New Roman"/>
          <w:color w:val="auto"/>
          <w:lang w:eastAsia="zh-CN"/>
        </w:rPr>
        <w:t>因此，从区域尺度看，泊头市温度、光照、降水总量及无霜期总体能够满足桑椹生长需求，其中充足日照以及果实成熟阶段较适宜的昼夜温差，是当地桑椹品质形成较为有利的气候条件；春季和果实膨大期阶段性水分不足则需要依靠灌溉进行调节。</w:t>
      </w:r>
    </w:p>
    <w:p>
      <w:pPr>
        <w:pStyle w:val="155"/>
        <w:ind w:left="240" w:right="240"/>
        <w:rPr>
          <w:color w:val="000000" w:themeColor="text1"/>
          <w:lang w:eastAsia="zh-CN"/>
          <w14:textFill>
            <w14:solidFill>
              <w14:schemeClr w14:val="tx1"/>
            </w14:solidFill>
          </w14:textFill>
        </w:rPr>
      </w:pPr>
      <w:bookmarkStart w:id="30" w:name="_Toc228107795"/>
      <w:bookmarkStart w:id="31" w:name="_Toc228113533"/>
      <w:r>
        <w:rPr>
          <w:color w:val="000000" w:themeColor="text1"/>
          <w:lang w:eastAsia="zh-CN"/>
          <w14:textFill>
            <w14:solidFill>
              <w14:schemeClr w14:val="tx1"/>
            </w14:solidFill>
          </w14:textFill>
        </w:rPr>
        <w:t>表</w:t>
      </w:r>
      <w:r>
        <w:rPr>
          <w:rFonts w:hint="eastAsia"/>
          <w:color w:val="000000" w:themeColor="text1"/>
          <w:lang w:eastAsia="zh-CN"/>
          <w14:textFill>
            <w14:solidFill>
              <w14:schemeClr w14:val="tx1"/>
            </w14:solidFill>
          </w14:textFill>
        </w:rPr>
        <w:t>2</w:t>
      </w:r>
      <w:r>
        <w:rPr>
          <w:color w:val="000000" w:themeColor="text1"/>
          <w:lang w:eastAsia="zh-CN"/>
          <w14:textFill>
            <w14:solidFill>
              <w14:schemeClr w14:val="tx1"/>
            </w14:solidFill>
          </w14:textFill>
        </w:rPr>
        <w:t>.1 2020~2024年</w:t>
      </w:r>
      <w:r>
        <w:rPr>
          <w:rFonts w:hint="eastAsia"/>
          <w:color w:val="000000" w:themeColor="text1"/>
          <w:lang w:eastAsia="zh-CN"/>
          <w14:textFill>
            <w14:solidFill>
              <w14:schemeClr w14:val="tx1"/>
            </w14:solidFill>
          </w14:textFill>
        </w:rPr>
        <w:t>桑椹</w:t>
      </w:r>
      <w:r>
        <w:rPr>
          <w:color w:val="000000" w:themeColor="text1"/>
          <w:lang w:eastAsia="zh-CN"/>
          <w14:textFill>
            <w14:solidFill>
              <w14:schemeClr w14:val="tx1"/>
            </w14:solidFill>
          </w14:textFill>
        </w:rPr>
        <w:t>主要生长季</w:t>
      </w:r>
      <w:r>
        <w:rPr>
          <w:rFonts w:hint="eastAsia"/>
          <w:color w:val="000000" w:themeColor="text1"/>
          <w:lang w:eastAsia="zh-CN"/>
          <w14:textFill>
            <w14:solidFill>
              <w14:schemeClr w14:val="tx1"/>
            </w14:solidFill>
          </w14:textFill>
        </w:rPr>
        <w:t>泊头市</w:t>
      </w:r>
      <w:r>
        <w:rPr>
          <w:color w:val="000000" w:themeColor="text1"/>
          <w:lang w:eastAsia="zh-CN"/>
          <w14:textFill>
            <w14:solidFill>
              <w14:schemeClr w14:val="tx1"/>
            </w14:solidFill>
          </w14:textFill>
        </w:rPr>
        <w:t>相关气象要素统计</w:t>
      </w:r>
      <w:bookmarkEnd w:id="30"/>
      <w:bookmarkEnd w:id="31"/>
    </w:p>
    <w:tbl>
      <w:tblPr>
        <w:tblStyle w:val="32"/>
        <w:tblW w:w="8351" w:type="dxa"/>
        <w:tblInd w:w="0" w:type="dxa"/>
        <w:shd w:val="clear" w:color="auto" w:fill="auto"/>
        <w:tblLayout w:type="autofit"/>
        <w:tblCellMar>
          <w:top w:w="0" w:type="dxa"/>
          <w:left w:w="108" w:type="dxa"/>
          <w:bottom w:w="0" w:type="dxa"/>
          <w:right w:w="108" w:type="dxa"/>
        </w:tblCellMar>
      </w:tblPr>
      <w:tblGrid>
        <w:gridCol w:w="1838"/>
        <w:gridCol w:w="979"/>
        <w:gridCol w:w="1446"/>
        <w:gridCol w:w="1371"/>
        <w:gridCol w:w="1371"/>
        <w:gridCol w:w="1346"/>
      </w:tblGrid>
      <w:tr>
        <w:tblPrEx>
          <w:shd w:val="clear" w:color="auto" w:fill="auto"/>
          <w:tblCellMar>
            <w:top w:w="0" w:type="dxa"/>
            <w:left w:w="108" w:type="dxa"/>
            <w:bottom w:w="0" w:type="dxa"/>
            <w:right w:w="108" w:type="dxa"/>
          </w:tblCellMar>
        </w:tblPrEx>
        <w:trPr>
          <w:trHeight w:val="312" w:hRule="atLeast"/>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7"/>
              <w:bidi w:val="0"/>
              <w:rPr>
                <w:lang w:eastAsia="zh-CN"/>
              </w:rPr>
            </w:pPr>
            <w:r>
              <w:rPr>
                <w:lang w:eastAsia="zh-CN"/>
              </w:rPr>
              <w:t>年份</w:t>
            </w:r>
          </w:p>
        </w:tc>
        <w:tc>
          <w:tcPr>
            <w:tcW w:w="979" w:type="dxa"/>
            <w:tcBorders>
              <w:top w:val="single" w:color="auto" w:sz="4" w:space="0"/>
              <w:left w:val="nil"/>
              <w:bottom w:val="single" w:color="auto" w:sz="4" w:space="0"/>
              <w:right w:val="single" w:color="auto" w:sz="4" w:space="0"/>
            </w:tcBorders>
            <w:shd w:val="clear" w:color="auto" w:fill="auto"/>
            <w:vAlign w:val="center"/>
          </w:tcPr>
          <w:p>
            <w:pPr>
              <w:pStyle w:val="47"/>
              <w:bidi w:val="0"/>
              <w:rPr>
                <w:lang w:eastAsia="zh-CN"/>
              </w:rPr>
            </w:pPr>
            <w:r>
              <w:rPr>
                <w:lang w:eastAsia="zh-CN"/>
              </w:rPr>
              <w:t>2020年</w:t>
            </w:r>
          </w:p>
        </w:tc>
        <w:tc>
          <w:tcPr>
            <w:tcW w:w="1446" w:type="dxa"/>
            <w:tcBorders>
              <w:top w:val="single" w:color="auto" w:sz="4" w:space="0"/>
              <w:left w:val="nil"/>
              <w:bottom w:val="single" w:color="auto" w:sz="4" w:space="0"/>
              <w:right w:val="single" w:color="auto" w:sz="4" w:space="0"/>
            </w:tcBorders>
            <w:shd w:val="clear" w:color="auto" w:fill="auto"/>
            <w:vAlign w:val="center"/>
          </w:tcPr>
          <w:p>
            <w:pPr>
              <w:pStyle w:val="47"/>
              <w:bidi w:val="0"/>
              <w:rPr>
                <w:lang w:eastAsia="zh-CN"/>
              </w:rPr>
            </w:pPr>
            <w:r>
              <w:rPr>
                <w:lang w:eastAsia="zh-CN"/>
              </w:rPr>
              <w:t>2021年</w:t>
            </w:r>
          </w:p>
        </w:tc>
        <w:tc>
          <w:tcPr>
            <w:tcW w:w="1371" w:type="dxa"/>
            <w:tcBorders>
              <w:top w:val="single" w:color="auto" w:sz="4" w:space="0"/>
              <w:left w:val="nil"/>
              <w:bottom w:val="single" w:color="auto" w:sz="4" w:space="0"/>
              <w:right w:val="single" w:color="auto" w:sz="4" w:space="0"/>
            </w:tcBorders>
            <w:shd w:val="clear" w:color="auto" w:fill="auto"/>
            <w:vAlign w:val="center"/>
          </w:tcPr>
          <w:p>
            <w:pPr>
              <w:pStyle w:val="47"/>
              <w:bidi w:val="0"/>
              <w:rPr>
                <w:lang w:eastAsia="zh-CN"/>
              </w:rPr>
            </w:pPr>
            <w:r>
              <w:rPr>
                <w:lang w:eastAsia="zh-CN"/>
              </w:rPr>
              <w:t>2022年</w:t>
            </w:r>
          </w:p>
        </w:tc>
        <w:tc>
          <w:tcPr>
            <w:tcW w:w="1371" w:type="dxa"/>
            <w:tcBorders>
              <w:top w:val="single" w:color="auto" w:sz="4" w:space="0"/>
              <w:left w:val="nil"/>
              <w:bottom w:val="single" w:color="auto" w:sz="4" w:space="0"/>
              <w:right w:val="single" w:color="auto" w:sz="4" w:space="0"/>
            </w:tcBorders>
            <w:shd w:val="clear" w:color="auto" w:fill="auto"/>
            <w:vAlign w:val="center"/>
          </w:tcPr>
          <w:p>
            <w:pPr>
              <w:pStyle w:val="47"/>
              <w:bidi w:val="0"/>
              <w:rPr>
                <w:lang w:eastAsia="zh-CN"/>
              </w:rPr>
            </w:pPr>
            <w:r>
              <w:rPr>
                <w:lang w:eastAsia="zh-CN"/>
              </w:rPr>
              <w:t>2023年</w:t>
            </w:r>
          </w:p>
        </w:tc>
        <w:tc>
          <w:tcPr>
            <w:tcW w:w="1346" w:type="dxa"/>
            <w:tcBorders>
              <w:top w:val="single" w:color="auto" w:sz="4" w:space="0"/>
              <w:left w:val="nil"/>
              <w:bottom w:val="single" w:color="auto" w:sz="4" w:space="0"/>
              <w:right w:val="single" w:color="auto" w:sz="4" w:space="0"/>
            </w:tcBorders>
            <w:shd w:val="clear" w:color="auto" w:fill="auto"/>
            <w:vAlign w:val="center"/>
          </w:tcPr>
          <w:p>
            <w:pPr>
              <w:pStyle w:val="47"/>
              <w:bidi w:val="0"/>
              <w:rPr>
                <w:lang w:eastAsia="zh-CN"/>
              </w:rPr>
            </w:pPr>
            <w:r>
              <w:rPr>
                <w:lang w:eastAsia="zh-CN"/>
              </w:rPr>
              <w:t>2024年</w:t>
            </w:r>
          </w:p>
        </w:tc>
      </w:tr>
      <w:tr>
        <w:tblPrEx>
          <w:shd w:val="clear" w:color="auto" w:fill="auto"/>
          <w:tblCellMar>
            <w:top w:w="0" w:type="dxa"/>
            <w:left w:w="108" w:type="dxa"/>
            <w:bottom w:w="0" w:type="dxa"/>
            <w:right w:w="108" w:type="dxa"/>
          </w:tblCellMar>
        </w:tblPrEx>
        <w:trPr>
          <w:trHeight w:val="323" w:hRule="atLeast"/>
        </w:trPr>
        <w:tc>
          <w:tcPr>
            <w:tcW w:w="1838" w:type="dxa"/>
            <w:tcBorders>
              <w:top w:val="nil"/>
              <w:left w:val="single" w:color="auto" w:sz="4" w:space="0"/>
              <w:bottom w:val="single" w:color="auto" w:sz="4" w:space="0"/>
              <w:right w:val="single" w:color="auto" w:sz="4" w:space="0"/>
            </w:tcBorders>
            <w:shd w:val="clear" w:color="auto" w:fill="auto"/>
            <w:vAlign w:val="center"/>
          </w:tcPr>
          <w:p>
            <w:pPr>
              <w:pStyle w:val="47"/>
              <w:bidi w:val="0"/>
              <w:rPr>
                <w:lang w:eastAsia="zh-CN"/>
              </w:rPr>
            </w:pPr>
            <w:r>
              <w:rPr>
                <w:lang w:eastAsia="zh-CN"/>
              </w:rPr>
              <w:t>平均气温(℃)</w:t>
            </w:r>
          </w:p>
        </w:tc>
        <w:tc>
          <w:tcPr>
            <w:tcW w:w="979"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17.8</w:t>
            </w:r>
          </w:p>
        </w:tc>
        <w:tc>
          <w:tcPr>
            <w:tcW w:w="1446"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18.1</w:t>
            </w:r>
          </w:p>
        </w:tc>
        <w:tc>
          <w:tcPr>
            <w:tcW w:w="1371"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18.4</w:t>
            </w:r>
          </w:p>
        </w:tc>
        <w:tc>
          <w:tcPr>
            <w:tcW w:w="1371"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18.7</w:t>
            </w:r>
          </w:p>
        </w:tc>
        <w:tc>
          <w:tcPr>
            <w:tcW w:w="1346"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19.2</w:t>
            </w:r>
          </w:p>
        </w:tc>
      </w:tr>
      <w:tr>
        <w:tblPrEx>
          <w:shd w:val="clear" w:color="auto" w:fill="auto"/>
          <w:tblCellMar>
            <w:top w:w="0" w:type="dxa"/>
            <w:left w:w="108" w:type="dxa"/>
            <w:bottom w:w="0" w:type="dxa"/>
            <w:right w:w="108" w:type="dxa"/>
          </w:tblCellMar>
        </w:tblPrEx>
        <w:trPr>
          <w:trHeight w:val="271" w:hRule="atLeast"/>
        </w:trPr>
        <w:tc>
          <w:tcPr>
            <w:tcW w:w="1838" w:type="dxa"/>
            <w:tcBorders>
              <w:top w:val="nil"/>
              <w:left w:val="single" w:color="auto" w:sz="4" w:space="0"/>
              <w:bottom w:val="single" w:color="auto" w:sz="4" w:space="0"/>
              <w:right w:val="single" w:color="auto" w:sz="4" w:space="0"/>
            </w:tcBorders>
            <w:shd w:val="clear" w:color="auto" w:fill="auto"/>
            <w:vAlign w:val="center"/>
          </w:tcPr>
          <w:p>
            <w:pPr>
              <w:pStyle w:val="47"/>
              <w:bidi w:val="0"/>
              <w:rPr>
                <w:lang w:eastAsia="zh-CN"/>
              </w:rPr>
            </w:pPr>
            <w:r>
              <w:rPr>
                <w:lang w:eastAsia="zh-CN"/>
              </w:rPr>
              <w:t>降水量(mm)</w:t>
            </w:r>
          </w:p>
        </w:tc>
        <w:tc>
          <w:tcPr>
            <w:tcW w:w="979"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158</w:t>
            </w:r>
          </w:p>
        </w:tc>
        <w:tc>
          <w:tcPr>
            <w:tcW w:w="1446"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228</w:t>
            </w:r>
          </w:p>
        </w:tc>
        <w:tc>
          <w:tcPr>
            <w:tcW w:w="1371"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98</w:t>
            </w:r>
          </w:p>
        </w:tc>
        <w:tc>
          <w:tcPr>
            <w:tcW w:w="1371"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145</w:t>
            </w:r>
          </w:p>
        </w:tc>
        <w:tc>
          <w:tcPr>
            <w:tcW w:w="1346"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170</w:t>
            </w:r>
          </w:p>
        </w:tc>
      </w:tr>
      <w:tr>
        <w:tblPrEx>
          <w:shd w:val="clear" w:color="auto" w:fill="auto"/>
          <w:tblCellMar>
            <w:top w:w="0" w:type="dxa"/>
            <w:left w:w="108" w:type="dxa"/>
            <w:bottom w:w="0" w:type="dxa"/>
            <w:right w:w="108" w:type="dxa"/>
          </w:tblCellMar>
        </w:tblPrEx>
        <w:trPr>
          <w:trHeight w:val="233" w:hRule="atLeast"/>
        </w:trPr>
        <w:tc>
          <w:tcPr>
            <w:tcW w:w="1838" w:type="dxa"/>
            <w:tcBorders>
              <w:top w:val="nil"/>
              <w:left w:val="single" w:color="auto" w:sz="4" w:space="0"/>
              <w:bottom w:val="single" w:color="auto" w:sz="4" w:space="0"/>
              <w:right w:val="single" w:color="auto" w:sz="4" w:space="0"/>
            </w:tcBorders>
            <w:shd w:val="clear" w:color="auto" w:fill="auto"/>
            <w:vAlign w:val="center"/>
          </w:tcPr>
          <w:p>
            <w:pPr>
              <w:pStyle w:val="47"/>
              <w:bidi w:val="0"/>
              <w:rPr>
                <w:lang w:eastAsia="zh-CN"/>
              </w:rPr>
            </w:pPr>
            <w:r>
              <w:rPr>
                <w:lang w:eastAsia="zh-CN"/>
              </w:rPr>
              <w:t>日照时数 (h)</w:t>
            </w:r>
          </w:p>
        </w:tc>
        <w:tc>
          <w:tcPr>
            <w:tcW w:w="979"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840</w:t>
            </w:r>
          </w:p>
        </w:tc>
        <w:tc>
          <w:tcPr>
            <w:tcW w:w="1446"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730</w:t>
            </w:r>
          </w:p>
        </w:tc>
        <w:tc>
          <w:tcPr>
            <w:tcW w:w="1371"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940</w:t>
            </w:r>
          </w:p>
        </w:tc>
        <w:tc>
          <w:tcPr>
            <w:tcW w:w="1371"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860</w:t>
            </w:r>
          </w:p>
        </w:tc>
        <w:tc>
          <w:tcPr>
            <w:tcW w:w="1346" w:type="dxa"/>
            <w:tcBorders>
              <w:top w:val="nil"/>
              <w:left w:val="nil"/>
              <w:bottom w:val="single" w:color="auto" w:sz="4" w:space="0"/>
              <w:right w:val="single" w:color="auto" w:sz="4" w:space="0"/>
            </w:tcBorders>
            <w:shd w:val="clear" w:color="auto" w:fill="auto"/>
            <w:vAlign w:val="center"/>
          </w:tcPr>
          <w:p>
            <w:pPr>
              <w:pStyle w:val="47"/>
              <w:bidi w:val="0"/>
              <w:rPr>
                <w:lang w:eastAsia="zh-CN"/>
              </w:rPr>
            </w:pPr>
            <w:r>
              <w:rPr>
                <w:lang w:eastAsia="zh-CN"/>
              </w:rPr>
              <w:t>815</w:t>
            </w:r>
          </w:p>
        </w:tc>
      </w:tr>
    </w:tbl>
    <w:p>
      <w:pPr>
        <w:keepNext/>
        <w:keepLines/>
        <w:kinsoku/>
        <w:spacing w:before="156" w:beforeLines="50" w:after="156" w:afterLines="50" w:line="360" w:lineRule="auto"/>
        <w:ind w:firstLine="0" w:firstLineChars="0"/>
        <w:outlineLvl w:val="2"/>
        <w:rPr>
          <w:rFonts w:eastAsia="黑体" w:cs="Times New Roman"/>
          <w:lang w:eastAsia="zh-CN"/>
        </w:rPr>
      </w:pPr>
      <w:bookmarkStart w:id="32" w:name="_Toc27211"/>
      <w:bookmarkStart w:id="33" w:name="_Toc207303706"/>
      <w:bookmarkStart w:id="34" w:name="_Toc241153618"/>
      <w:r>
        <w:rPr>
          <w:rFonts w:eastAsia="黑体" w:cs="Times New Roman"/>
          <w:lang w:eastAsia="zh-CN"/>
        </w:rPr>
        <w:t>2. 土壤条件</w:t>
      </w:r>
      <w:bookmarkEnd w:id="32"/>
      <w:bookmarkEnd w:id="33"/>
      <w:bookmarkEnd w:id="34"/>
    </w:p>
    <w:p>
      <w:pPr>
        <w:kinsoku/>
        <w:spacing w:line="360" w:lineRule="auto"/>
        <w:ind w:firstLine="480"/>
        <w:jc w:val="both"/>
        <w:rPr>
          <w:rFonts w:cs="Times New Roman"/>
          <w:lang w:eastAsia="zh-CN"/>
        </w:rPr>
      </w:pPr>
      <w:r>
        <w:rPr>
          <w:rFonts w:hint="eastAsia" w:cs="Times New Roman"/>
          <w:lang w:eastAsia="zh-CN"/>
        </w:rPr>
        <w:t>泊头市桑椹种植区的土壤经过长期耕作改良，形成了适配桑树生长的理化特性，土壤质量直接影响根系活力和养分吸收效率。</w:t>
      </w:r>
    </w:p>
    <w:p>
      <w:pPr>
        <w:kinsoku/>
        <w:spacing w:line="360" w:lineRule="auto"/>
        <w:ind w:firstLine="480"/>
        <w:jc w:val="both"/>
        <w:rPr>
          <w:rFonts w:cs="Times New Roman"/>
          <w:lang w:eastAsia="zh-CN"/>
        </w:rPr>
      </w:pPr>
      <w:r>
        <w:rPr>
          <w:rFonts w:hint="eastAsia" w:cs="Times New Roman"/>
          <w:lang w:eastAsia="zh-CN"/>
        </w:rPr>
        <w:t>核心产区土壤多为古河流冲积形成的沙壤土，占桑椹种植面积的85%以上。沙壤土层理清晰，土层深厚，厚度可达180～220厘米，深厚的土层使桑树根系可扩展至2米以上深度，形成庞大的吸收网络。种植区耕层（0～30cm）土壤质地以沙壤土为主，容重保持在1.3～1.5g/cm</w:t>
      </w:r>
      <w:r>
        <w:rPr>
          <w:rFonts w:hint="eastAsia" w:cs="Times New Roman"/>
          <w:vertAlign w:val="superscript"/>
          <w:lang w:eastAsia="zh-CN"/>
        </w:rPr>
        <w:t>3</w:t>
      </w:r>
      <w:r>
        <w:rPr>
          <w:rFonts w:hint="eastAsia" w:cs="Times New Roman"/>
          <w:lang w:eastAsia="zh-CN"/>
        </w:rPr>
        <w:t>，总孔隙度45%～55%，通气性好，排水性强，“上松下松”的构型使表层土壤渗透系数达30～50mm/h，能快速排除多余水分，满足桑树“喜湿怕涝”的生长特性。</w:t>
      </w:r>
    </w:p>
    <w:p>
      <w:pPr>
        <w:kinsoku/>
        <w:spacing w:line="360" w:lineRule="auto"/>
        <w:ind w:firstLine="480"/>
        <w:jc w:val="both"/>
        <w:rPr>
          <w:rFonts w:cs="Times New Roman"/>
          <w:lang w:eastAsia="zh-CN"/>
        </w:rPr>
      </w:pPr>
      <w:r>
        <w:rPr>
          <w:rFonts w:hint="eastAsia" w:cs="Times New Roman"/>
          <w:lang w:eastAsia="zh-CN"/>
        </w:rPr>
        <w:t>土壤pH值集中在7.0～8.0的弱碱性范围，与桑树适宜的pH范围（6.5～8.0）高度匹配。种植区耕层土壤有机质含量平均0.6%～0.8%，处于中等水平。土壤有效磷含量14～19mg/kg，速效钾含量102～112mg/kg。充足的钾元素促进果实糖分运输和品质提升；磷素供应保障根系发育和花果形成。此外，土壤保肥能力中等，能吸附一定量的交换性养分，保障桑树生长季养分供应稳定。</w:t>
      </w:r>
    </w:p>
    <w:p>
      <w:pPr>
        <w:kinsoku/>
        <w:spacing w:line="360" w:lineRule="auto"/>
        <w:ind w:firstLine="480"/>
        <w:jc w:val="both"/>
        <w:rPr>
          <w:rFonts w:cs="Times New Roman"/>
          <w:lang w:eastAsia="zh-CN"/>
        </w:rPr>
      </w:pPr>
      <w:r>
        <w:rPr>
          <w:rFonts w:cs="Times New Roman"/>
          <w:lang w:eastAsia="zh-CN"/>
        </w:rPr>
        <w:t>从养分状况看，现有</w:t>
      </w:r>
      <w:r>
        <w:rPr>
          <w:rFonts w:hint="eastAsia" w:cs="Times New Roman"/>
          <w:lang w:eastAsia="zh-CN"/>
        </w:rPr>
        <w:t>桑椹</w:t>
      </w:r>
      <w:r>
        <w:rPr>
          <w:rFonts w:cs="Times New Roman"/>
          <w:lang w:eastAsia="zh-CN"/>
        </w:rPr>
        <w:t>种植区土壤有机质以及磷、钾等养分能够为桑树生长提供基本的养分基础，但不同区域之间存在一定空间差异。因此，有机质、有效磷、速效钾以及相关中微量元素既是反映区域土壤肥力差异的重要指标，也是进一步区分优势区、适宜区和不适宜区的重要依据。</w:t>
      </w:r>
    </w:p>
    <w:p>
      <w:pPr>
        <w:keepNext/>
        <w:keepLines/>
        <w:kinsoku/>
        <w:spacing w:before="156" w:beforeLines="50" w:after="156" w:afterLines="50" w:line="360" w:lineRule="auto"/>
        <w:ind w:firstLine="0" w:firstLineChars="0"/>
        <w:outlineLvl w:val="2"/>
        <w:rPr>
          <w:rFonts w:eastAsia="黑体" w:cs="Times New Roman"/>
          <w:lang w:eastAsia="zh-CN"/>
        </w:rPr>
      </w:pPr>
      <w:bookmarkStart w:id="35" w:name="_Toc241153619"/>
      <w:bookmarkStart w:id="36" w:name="_Toc207303707"/>
      <w:bookmarkStart w:id="37" w:name="_Toc3254"/>
      <w:r>
        <w:rPr>
          <w:rFonts w:eastAsia="黑体" w:cs="Times New Roman"/>
          <w:lang w:eastAsia="zh-CN"/>
        </w:rPr>
        <w:t>3. 地形地貌与成土母质条件</w:t>
      </w:r>
      <w:bookmarkEnd w:id="35"/>
      <w:bookmarkEnd w:id="36"/>
      <w:bookmarkEnd w:id="37"/>
    </w:p>
    <w:p>
      <w:pPr>
        <w:kinsoku/>
        <w:spacing w:line="360" w:lineRule="auto"/>
        <w:ind w:firstLine="480"/>
        <w:jc w:val="both"/>
        <w:rPr>
          <w:rFonts w:cs="Times New Roman"/>
          <w:lang w:eastAsia="zh-CN"/>
        </w:rPr>
      </w:pPr>
      <w:r>
        <w:rPr>
          <w:rFonts w:hint="eastAsia" w:cs="Times New Roman"/>
          <w:lang w:eastAsia="zh-CN"/>
        </w:rPr>
        <w:t>泊头市位于河北平原腹地，整体属于典型冲积平原地貌，全境地势较为平坦。桑椹现有主产区主要位于海拔约 10～16 m 的平原区域，地形平缓，有利于桑园连片布局、灌溉以及生产管理。区域地貌和成土母质具有明显的古河道沉积特征。营子镇、齐桥镇等传统桑椹主产区分布于古河道砂质地带，土壤多由古黄河等河流冲积物发育而成，形成了质地偏砂、通透性较好的土壤环境。报告现有资料显示，古河道砂质高地主要集中于营子镇、齐桥镇等桑椹主产乡镇，而部分河间浅平洼地区域土壤盐分相对偏高。这种地貌和母质差异进一步造成了市域土壤质地、盐分及养分条件的空间差异，也是桑椹现状种植分布具有明显区域集聚特征的重要自然基础。</w:t>
      </w:r>
    </w:p>
    <w:p>
      <w:pPr>
        <w:kinsoku/>
        <w:spacing w:line="360" w:lineRule="auto"/>
        <w:ind w:firstLine="480"/>
        <w:jc w:val="both"/>
      </w:pPr>
      <w:r>
        <w:rPr>
          <w:rFonts w:hint="eastAsia" w:cs="Times New Roman"/>
          <w:lang w:eastAsia="zh-CN"/>
        </w:rPr>
        <w:t>通过上述对比分析可以看出，泊头市光热、土壤、地形总体上能够满足果桑优质生产，但也存在阶段性干旱、低洼区域土壤盐分偏高、果实成熟期降雨诱发病害等限制性因素。以上为本研究运用 MaxEnt 最大熵模型、熵权法开展桑椹土壤适宜性评价，设置限制性指标、划分隶属度阈值提供现实生产依据。</w:t>
      </w:r>
      <w:bookmarkStart w:id="38" w:name="_Toc28099"/>
      <w:bookmarkStart w:id="39" w:name="_Toc228109826"/>
      <w:r>
        <w:t>评价流程与方法概述</w:t>
      </w:r>
      <w:bookmarkEnd w:id="38"/>
      <w:bookmarkEnd w:id="39"/>
    </w:p>
    <w:p>
      <w:pPr>
        <w:pStyle w:val="82"/>
        <w:numPr>
          <w:ilvl w:val="0"/>
          <w:numId w:val="1"/>
        </w:numPr>
        <w:spacing w:before="156" w:after="156"/>
        <w:outlineLvl w:val="0"/>
        <w:rPr>
          <w:rFonts w:ascii="Times New Roman" w:hAnsi="Times New Roman"/>
        </w:rPr>
      </w:pPr>
      <w:bookmarkStart w:id="40" w:name="_Toc241153620"/>
      <w:bookmarkStart w:id="41" w:name="_Toc32096"/>
      <w:r>
        <w:rPr>
          <w:rFonts w:hint="eastAsia" w:ascii="Times New Roman" w:hAnsi="Times New Roman"/>
        </w:rPr>
        <w:t>评价流程与方法</w:t>
      </w:r>
      <w:bookmarkEnd w:id="40"/>
    </w:p>
    <w:p>
      <w:pPr>
        <w:pStyle w:val="3"/>
        <w:numPr>
          <w:ilvl w:val="0"/>
          <w:numId w:val="4"/>
        </w:numPr>
        <w:kinsoku/>
        <w:spacing w:before="120" w:after="120" w:line="360" w:lineRule="auto"/>
        <w:ind w:firstLineChars="0"/>
        <w:rPr>
          <w:rFonts w:hint="eastAsia" w:ascii="黑体" w:hAnsi="黑体" w:eastAsia="黑体"/>
          <w:color w:val="000000" w:themeColor="text1"/>
          <w:sz w:val="24"/>
          <w:szCs w:val="24"/>
          <w:lang w:eastAsia="zh-CN"/>
          <w14:textFill>
            <w14:solidFill>
              <w14:schemeClr w14:val="tx1"/>
            </w14:solidFill>
          </w14:textFill>
        </w:rPr>
      </w:pPr>
      <w:bookmarkStart w:id="42" w:name="_Toc241153621"/>
      <w:r>
        <w:rPr>
          <w:rFonts w:hint="eastAsia" w:ascii="黑体" w:hAnsi="黑体" w:eastAsia="黑体"/>
          <w:color w:val="000000" w:themeColor="text1"/>
          <w:sz w:val="24"/>
          <w:szCs w:val="24"/>
          <w:lang w:eastAsia="zh-CN"/>
          <w14:textFill>
            <w14:solidFill>
              <w14:schemeClr w14:val="tx1"/>
            </w14:solidFill>
          </w14:textFill>
        </w:rPr>
        <w:t>技术路线</w:t>
      </w:r>
      <w:bookmarkEnd w:id="42"/>
    </w:p>
    <w:p>
      <w:pPr>
        <w:kinsoku/>
        <w:spacing w:line="360" w:lineRule="auto"/>
        <w:ind w:firstLine="480"/>
        <w:jc w:val="both"/>
        <w:rPr>
          <w:rFonts w:cs="Times New Roman"/>
          <w:lang w:eastAsia="zh-CN"/>
        </w:rPr>
      </w:pPr>
      <w:r>
        <w:rPr>
          <w:rFonts w:hint="eastAsia" w:cs="Times New Roman"/>
          <w:lang w:eastAsia="zh-CN"/>
        </w:rPr>
        <w:t>项目组严格遵循《第三次全国土壤普查土特产品土壤适宜性评价技术规范》要求，综合运用专家经验法、最大熵（MaxEnt）模型法和熵权法，基于泊头市地域气候、地形和土壤条件的特征，筛选影响泊头桑椹生长的关键环境因子，建立多种生态因子来开展泊头市桑椹适宜性评价，技术路线图见图3.1。</w:t>
      </w:r>
    </w:p>
    <w:p>
      <w:pPr>
        <w:kinsoku/>
        <w:spacing w:line="360" w:lineRule="auto"/>
        <w:ind w:firstLine="480"/>
        <w:jc w:val="center"/>
        <w:rPr>
          <w:rFonts w:cs="Times New Roman"/>
          <w:lang w:eastAsia="zh-CN"/>
        </w:rPr>
      </w:pPr>
      <w:r>
        <w:rPr>
          <w:rFonts w:cs="Times New Roman"/>
          <w:lang w:eastAsia="zh-CN"/>
        </w:rPr>
        <w:drawing>
          <wp:inline distT="0" distB="0" distL="0" distR="0">
            <wp:extent cx="4248785" cy="3313430"/>
            <wp:effectExtent l="0" t="0" r="0" b="1270"/>
            <wp:docPr id="1182490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90636"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257446" cy="3320459"/>
                    </a:xfrm>
                    <a:prstGeom prst="rect">
                      <a:avLst/>
                    </a:prstGeom>
                    <a:noFill/>
                    <a:ln>
                      <a:noFill/>
                    </a:ln>
                  </pic:spPr>
                </pic:pic>
              </a:graphicData>
            </a:graphic>
          </wp:inline>
        </w:drawing>
      </w:r>
    </w:p>
    <w:p>
      <w:pPr>
        <w:kinsoku/>
        <w:spacing w:line="360" w:lineRule="auto"/>
        <w:ind w:firstLine="480"/>
        <w:jc w:val="center"/>
        <w:rPr>
          <w:rFonts w:cs="Times New Roman"/>
          <w:lang w:eastAsia="zh-CN"/>
        </w:rPr>
      </w:pPr>
      <w:r>
        <w:rPr>
          <w:rFonts w:hint="eastAsia" w:cs="Times New Roman"/>
          <w:lang w:eastAsia="zh-CN"/>
        </w:rPr>
        <w:t>图 3.1 评价技术路线</w:t>
      </w:r>
    </w:p>
    <w:p>
      <w:pPr>
        <w:pStyle w:val="3"/>
        <w:numPr>
          <w:ilvl w:val="0"/>
          <w:numId w:val="3"/>
        </w:numPr>
        <w:kinsoku/>
        <w:spacing w:before="120" w:after="120" w:line="360" w:lineRule="auto"/>
        <w:ind w:firstLineChars="0"/>
        <w:rPr>
          <w:rFonts w:hint="eastAsia" w:ascii="黑体" w:hAnsi="黑体" w:eastAsia="黑体"/>
          <w:color w:val="000000" w:themeColor="text1"/>
          <w:sz w:val="24"/>
          <w:szCs w:val="24"/>
          <w:lang w:eastAsia="zh-CN"/>
          <w14:textFill>
            <w14:solidFill>
              <w14:schemeClr w14:val="tx1"/>
            </w14:solidFill>
          </w14:textFill>
        </w:rPr>
      </w:pPr>
      <w:bookmarkStart w:id="43" w:name="_Toc241153622"/>
      <w:r>
        <w:rPr>
          <w:rFonts w:ascii="黑体" w:hAnsi="黑体" w:eastAsia="黑体"/>
          <w:color w:val="000000" w:themeColor="text1"/>
          <w:sz w:val="24"/>
          <w:szCs w:val="24"/>
          <w:lang w:eastAsia="zh-CN"/>
          <w14:textFill>
            <w14:solidFill>
              <w14:schemeClr w14:val="tx1"/>
            </w14:solidFill>
          </w14:textFill>
        </w:rPr>
        <w:t>预选评价指标集</w:t>
      </w:r>
      <w:bookmarkEnd w:id="43"/>
    </w:p>
    <w:p>
      <w:pPr>
        <w:kinsoku/>
        <w:spacing w:line="360" w:lineRule="auto"/>
        <w:ind w:firstLine="480"/>
        <w:jc w:val="both"/>
        <w:rPr>
          <w:rFonts w:cs="Times New Roman"/>
          <w:lang w:eastAsia="zh-CN"/>
        </w:rPr>
      </w:pPr>
      <w:r>
        <w:rPr>
          <w:rFonts w:cs="Times New Roman"/>
          <w:lang w:eastAsia="zh-CN"/>
        </w:rPr>
        <w:t>依据国务院第三次全国土壤普查领导小组办公室印发的《土特产品土壤适宜性评价技术规范》（国土壤普查办发（2024）22 号），泊头</w:t>
      </w:r>
      <w:r>
        <w:rPr>
          <w:rFonts w:hint="eastAsia" w:cs="Times New Roman"/>
          <w:lang w:eastAsia="zh-CN"/>
        </w:rPr>
        <w:t>桑椹</w:t>
      </w:r>
      <w:r>
        <w:rPr>
          <w:rFonts w:cs="Times New Roman"/>
          <w:lang w:eastAsia="zh-CN"/>
        </w:rPr>
        <w:t>适宜性评价在县级尺度上按资料收集、评价单元划分、指标体系构建、隶属度与权重计算、适宜类别划分、结果验证和成果编制实施，确保评价成果与土壤三普成果有机结合，并直接服务于产业布局和品质提升。根据泊头</w:t>
      </w:r>
      <w:r>
        <w:rPr>
          <w:rFonts w:hint="eastAsia" w:cs="Times New Roman"/>
          <w:lang w:eastAsia="zh-CN"/>
        </w:rPr>
        <w:t>桑椹</w:t>
      </w:r>
      <w:r>
        <w:rPr>
          <w:rFonts w:cs="Times New Roman"/>
          <w:lang w:eastAsia="zh-CN"/>
        </w:rPr>
        <w:t>的生长条件，参考国内果桑种植适宜区的气候、土壤适宜性评价相关的文献资料，以泊头市土壤三普土特产品外业调查和内业测试数据作为最大熵模型（MaxEnt）的训练样点，估算各指标贡献率的基础上，结合泊头市</w:t>
      </w:r>
      <w:r>
        <w:rPr>
          <w:rFonts w:hint="eastAsia" w:cs="Times New Roman"/>
          <w:lang w:eastAsia="zh-CN"/>
        </w:rPr>
        <w:t>桑椹</w:t>
      </w:r>
      <w:r>
        <w:rPr>
          <w:rFonts w:cs="Times New Roman"/>
          <w:lang w:eastAsia="zh-CN"/>
        </w:rPr>
        <w:t>种植的实际情况和初步征求基层农技人员、桑产业经营主体技术人员建议，确定影响泊头市</w:t>
      </w:r>
      <w:r>
        <w:rPr>
          <w:rFonts w:hint="eastAsia" w:cs="Times New Roman"/>
          <w:lang w:eastAsia="zh-CN"/>
        </w:rPr>
        <w:t>桑椹</w:t>
      </w:r>
      <w:r>
        <w:rPr>
          <w:rFonts w:cs="Times New Roman"/>
          <w:lang w:eastAsia="zh-CN"/>
        </w:rPr>
        <w:t>品质与产量的土壤与环境预选评价指标集共 22 个，并分为土壤、气候、地形、其它指标四大类，如表 3.1 所示。</w:t>
      </w:r>
    </w:p>
    <w:p>
      <w:pPr>
        <w:spacing w:after="40" w:line="360" w:lineRule="auto"/>
        <w:ind w:firstLine="440"/>
        <w:jc w:val="center"/>
        <w:rPr>
          <w:rFonts w:cs="Times New Roman"/>
          <w:lang w:eastAsia="zh-CN"/>
        </w:rPr>
      </w:pPr>
      <w:r>
        <w:rPr>
          <w:rFonts w:cs="Times New Roman"/>
          <w:sz w:val="22"/>
          <w:lang w:eastAsia="zh-CN"/>
        </w:rPr>
        <w:t>表 3.1 泊头</w:t>
      </w:r>
      <w:r>
        <w:rPr>
          <w:rFonts w:hint="eastAsia" w:cs="Times New Roman"/>
          <w:sz w:val="22"/>
          <w:lang w:eastAsia="zh-CN"/>
        </w:rPr>
        <w:t>桑椹</w:t>
      </w:r>
      <w:r>
        <w:rPr>
          <w:rFonts w:cs="Times New Roman"/>
          <w:sz w:val="22"/>
          <w:lang w:eastAsia="zh-CN"/>
        </w:rPr>
        <w:t>土壤适宜性预选评价指标集</w:t>
      </w:r>
    </w:p>
    <w:tbl>
      <w:tblPr>
        <w:tblStyle w:val="3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23"/>
        <w:gridCol w:w="1535"/>
        <w:gridCol w:w="5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jc w:val="center"/>
        </w:trPr>
        <w:tc>
          <w:tcPr>
            <w:tcW w:w="609" w:type="pct"/>
            <w:tcMar>
              <w:top w:w="45" w:type="dxa"/>
              <w:left w:w="45" w:type="dxa"/>
              <w:bottom w:w="45" w:type="dxa"/>
              <w:right w:w="45" w:type="dxa"/>
            </w:tcMar>
            <w:vAlign w:val="center"/>
          </w:tcPr>
          <w:p>
            <w:pPr>
              <w:pStyle w:val="47"/>
              <w:bidi w:val="0"/>
            </w:pPr>
            <w:r>
              <w:t>准则层</w:t>
            </w:r>
          </w:p>
        </w:tc>
        <w:tc>
          <w:tcPr>
            <w:tcW w:w="914" w:type="pct"/>
            <w:tcMar>
              <w:top w:w="45" w:type="dxa"/>
              <w:left w:w="45" w:type="dxa"/>
              <w:bottom w:w="45" w:type="dxa"/>
              <w:right w:w="45" w:type="dxa"/>
            </w:tcMar>
            <w:vAlign w:val="center"/>
          </w:tcPr>
          <w:p>
            <w:pPr>
              <w:pStyle w:val="47"/>
              <w:bidi w:val="0"/>
            </w:pPr>
            <w:r>
              <w:t>指标层</w:t>
            </w:r>
          </w:p>
        </w:tc>
        <w:tc>
          <w:tcPr>
            <w:tcW w:w="3475" w:type="pct"/>
            <w:tcMar>
              <w:top w:w="45" w:type="dxa"/>
              <w:left w:w="45" w:type="dxa"/>
              <w:bottom w:w="45" w:type="dxa"/>
              <w:right w:w="45" w:type="dxa"/>
            </w:tcMar>
            <w:vAlign w:val="center"/>
          </w:tcPr>
          <w:p>
            <w:pPr>
              <w:pStyle w:val="47"/>
              <w:bidi w:val="0"/>
            </w:pPr>
            <w:r>
              <w:t>因子意义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restart"/>
            <w:tcMar>
              <w:top w:w="45" w:type="dxa"/>
              <w:left w:w="45" w:type="dxa"/>
              <w:bottom w:w="45" w:type="dxa"/>
              <w:right w:w="45" w:type="dxa"/>
            </w:tcMar>
            <w:vAlign w:val="center"/>
          </w:tcPr>
          <w:p>
            <w:pPr>
              <w:pStyle w:val="47"/>
              <w:bidi w:val="0"/>
            </w:pPr>
            <w:r>
              <w:t>土壤指标</w:t>
            </w:r>
          </w:p>
        </w:tc>
        <w:tc>
          <w:tcPr>
            <w:tcW w:w="914" w:type="pct"/>
            <w:tcMar>
              <w:top w:w="45" w:type="dxa"/>
              <w:left w:w="45" w:type="dxa"/>
              <w:bottom w:w="45" w:type="dxa"/>
              <w:right w:w="45" w:type="dxa"/>
            </w:tcMar>
            <w:vAlign w:val="center"/>
          </w:tcPr>
          <w:p>
            <w:pPr>
              <w:pStyle w:val="47"/>
              <w:bidi w:val="0"/>
            </w:pPr>
            <w:r>
              <w:t>有效土层厚度</w:t>
            </w:r>
          </w:p>
        </w:tc>
        <w:tc>
          <w:tcPr>
            <w:tcW w:w="3475" w:type="pct"/>
            <w:tcMar>
              <w:top w:w="45" w:type="dxa"/>
              <w:left w:w="45" w:type="dxa"/>
              <w:bottom w:w="45" w:type="dxa"/>
              <w:right w:w="45" w:type="dxa"/>
            </w:tcMar>
            <w:vAlign w:val="center"/>
          </w:tcPr>
          <w:p>
            <w:pPr>
              <w:pStyle w:val="47"/>
              <w:bidi w:val="0"/>
              <w:rPr>
                <w:lang w:eastAsia="zh-CN"/>
              </w:rPr>
            </w:pPr>
            <w:r>
              <w:rPr>
                <w:lang w:eastAsia="zh-CN"/>
              </w:rPr>
              <w:t>桑树为多年生木本果树，根系分布较深。有效土层厚度直接影响根系伸展、土壤蓄水蓄肥能力以及树体长期稳定生长，土层过浅或存在明显障碍层均不利于形成稳定高产桑园。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土壤容重</w:t>
            </w:r>
          </w:p>
        </w:tc>
        <w:tc>
          <w:tcPr>
            <w:tcW w:w="3475" w:type="pct"/>
            <w:tcMar>
              <w:top w:w="45" w:type="dxa"/>
              <w:left w:w="45" w:type="dxa"/>
              <w:bottom w:w="45" w:type="dxa"/>
              <w:right w:w="45" w:type="dxa"/>
            </w:tcMar>
            <w:vAlign w:val="center"/>
          </w:tcPr>
          <w:p>
            <w:pPr>
              <w:pStyle w:val="47"/>
              <w:bidi w:val="0"/>
              <w:rPr>
                <w:lang w:eastAsia="zh-CN"/>
              </w:rPr>
            </w:pPr>
            <w:r>
              <w:rPr>
                <w:lang w:eastAsia="zh-CN"/>
              </w:rPr>
              <w:t>反映土壤紧实程度和孔隙状况，影响通气、入渗、保水及根系生长。容重过高会限制根系下扎和水肥吸收，并可能加重旱涝胁迫。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pH</w:t>
            </w:r>
          </w:p>
        </w:tc>
        <w:tc>
          <w:tcPr>
            <w:tcW w:w="3475" w:type="pct"/>
            <w:tcMar>
              <w:top w:w="45" w:type="dxa"/>
              <w:left w:w="45" w:type="dxa"/>
              <w:bottom w:w="45" w:type="dxa"/>
              <w:right w:w="45" w:type="dxa"/>
            </w:tcMar>
            <w:vAlign w:val="center"/>
          </w:tcPr>
          <w:p>
            <w:pPr>
              <w:pStyle w:val="47"/>
              <w:bidi w:val="0"/>
              <w:rPr>
                <w:lang w:eastAsia="zh-CN"/>
              </w:rPr>
            </w:pPr>
            <w:r>
              <w:rPr>
                <w:lang w:eastAsia="zh-CN"/>
              </w:rPr>
              <w:t>桑树对土壤酸碱度适应范围较宽，但适宜的酸碱环境有利于养分有效性和根系活力。泊头桑区以北方石灰性土壤为主，pH过高时铁、锌、磷等元素有效性下降，应作为重要限制因子。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有机质</w:t>
            </w:r>
          </w:p>
        </w:tc>
        <w:tc>
          <w:tcPr>
            <w:tcW w:w="3475" w:type="pct"/>
            <w:tcMar>
              <w:top w:w="45" w:type="dxa"/>
              <w:left w:w="45" w:type="dxa"/>
              <w:bottom w:w="45" w:type="dxa"/>
              <w:right w:w="45" w:type="dxa"/>
            </w:tcMar>
            <w:vAlign w:val="center"/>
          </w:tcPr>
          <w:p>
            <w:pPr>
              <w:pStyle w:val="47"/>
              <w:bidi w:val="0"/>
              <w:rPr>
                <w:lang w:eastAsia="zh-CN"/>
              </w:rPr>
            </w:pPr>
            <w:r>
              <w:rPr>
                <w:lang w:eastAsia="zh-CN"/>
              </w:rPr>
              <w:t>是衡量土壤肥力和缓冲能力的重要指标，可改善团聚结构，提高保水保肥性能并持续供应养分。较高有机质水平有利于桑树树势维持、果实膨大和品质形成。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速效钾</w:t>
            </w:r>
          </w:p>
        </w:tc>
        <w:tc>
          <w:tcPr>
            <w:tcW w:w="3475" w:type="pct"/>
            <w:tcMar>
              <w:top w:w="45" w:type="dxa"/>
              <w:left w:w="45" w:type="dxa"/>
              <w:bottom w:w="45" w:type="dxa"/>
              <w:right w:w="45" w:type="dxa"/>
            </w:tcMar>
            <w:vAlign w:val="center"/>
          </w:tcPr>
          <w:p>
            <w:pPr>
              <w:pStyle w:val="47"/>
              <w:bidi w:val="0"/>
              <w:rPr>
                <w:lang w:eastAsia="zh-CN"/>
              </w:rPr>
            </w:pPr>
            <w:r>
              <w:rPr>
                <w:lang w:eastAsia="zh-CN"/>
              </w:rPr>
              <w:t>钾与光合产物运输、糖分积累、果实着色和抗逆性密切相关。果桑结果量大、养分输出高，适宜的速效钾水平有利于提高</w:t>
            </w:r>
            <w:r>
              <w:rPr>
                <w:rFonts w:hint="eastAsia"/>
                <w:lang w:eastAsia="zh-CN"/>
              </w:rPr>
              <w:t>桑椹</w:t>
            </w:r>
            <w:r>
              <w:rPr>
                <w:lang w:eastAsia="zh-CN"/>
              </w:rPr>
              <w:t>可溶性固形物、风味和商品品质。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交换性钙</w:t>
            </w:r>
          </w:p>
        </w:tc>
        <w:tc>
          <w:tcPr>
            <w:tcW w:w="3475" w:type="pct"/>
            <w:tcMar>
              <w:top w:w="45" w:type="dxa"/>
              <w:left w:w="45" w:type="dxa"/>
              <w:bottom w:w="45" w:type="dxa"/>
              <w:right w:w="45" w:type="dxa"/>
            </w:tcMar>
            <w:vAlign w:val="center"/>
          </w:tcPr>
          <w:p>
            <w:pPr>
              <w:pStyle w:val="47"/>
              <w:bidi w:val="0"/>
              <w:rPr>
                <w:lang w:eastAsia="zh-CN"/>
              </w:rPr>
            </w:pPr>
            <w:r>
              <w:rPr>
                <w:lang w:eastAsia="zh-CN"/>
              </w:rPr>
              <w:t>钙参与细胞壁和细胞膜结构稳定，影响根系生长、果实组织稳定性和抗逆能力；同时可改善土壤胶体交换环境，对北方土壤结构维持具有积极作用。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交换性镁</w:t>
            </w:r>
          </w:p>
        </w:tc>
        <w:tc>
          <w:tcPr>
            <w:tcW w:w="3475" w:type="pct"/>
            <w:tcMar>
              <w:top w:w="45" w:type="dxa"/>
              <w:left w:w="45" w:type="dxa"/>
              <w:bottom w:w="45" w:type="dxa"/>
              <w:right w:w="45" w:type="dxa"/>
            </w:tcMar>
            <w:vAlign w:val="center"/>
          </w:tcPr>
          <w:p>
            <w:pPr>
              <w:pStyle w:val="47"/>
              <w:bidi w:val="0"/>
              <w:rPr>
                <w:lang w:eastAsia="zh-CN"/>
              </w:rPr>
            </w:pPr>
            <w:r>
              <w:rPr>
                <w:lang w:eastAsia="zh-CN"/>
              </w:rPr>
              <w:t>镁是叶绿素中心元素，参与光合作用和多种酶促反应。适宜的交换性镁有利于维持桑叶光合功能，并保障果实生长和碳水化合物积累。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有效磷</w:t>
            </w:r>
          </w:p>
        </w:tc>
        <w:tc>
          <w:tcPr>
            <w:tcW w:w="3475" w:type="pct"/>
            <w:tcMar>
              <w:top w:w="45" w:type="dxa"/>
              <w:left w:w="45" w:type="dxa"/>
              <w:bottom w:w="45" w:type="dxa"/>
              <w:right w:w="45" w:type="dxa"/>
            </w:tcMar>
            <w:vAlign w:val="center"/>
          </w:tcPr>
          <w:p>
            <w:pPr>
              <w:pStyle w:val="47"/>
              <w:bidi w:val="0"/>
              <w:rPr>
                <w:lang w:eastAsia="zh-CN"/>
              </w:rPr>
            </w:pPr>
            <w:r>
              <w:rPr>
                <w:lang w:eastAsia="zh-CN"/>
              </w:rPr>
              <w:t>磷参与能量代谢、根系形成和花芽分化，适宜水平有利于萌芽、开花坐果和果实发育；石灰性土壤中磷易被固定，因此有效磷比全磷更能反映实际供磷能力。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全氮</w:t>
            </w:r>
          </w:p>
        </w:tc>
        <w:tc>
          <w:tcPr>
            <w:tcW w:w="3475" w:type="pct"/>
            <w:tcMar>
              <w:top w:w="45" w:type="dxa"/>
              <w:left w:w="45" w:type="dxa"/>
              <w:bottom w:w="45" w:type="dxa"/>
              <w:right w:w="45" w:type="dxa"/>
            </w:tcMar>
            <w:vAlign w:val="center"/>
          </w:tcPr>
          <w:p>
            <w:pPr>
              <w:pStyle w:val="47"/>
              <w:bidi w:val="0"/>
              <w:rPr>
                <w:lang w:eastAsia="zh-CN"/>
              </w:rPr>
            </w:pPr>
            <w:r>
              <w:rPr>
                <w:lang w:eastAsia="zh-CN"/>
              </w:rPr>
              <w:t>反映土壤氮素基础供给水平。氮素可促进枝叶生长和叶绿素形成，是维持树势和产量的重要养分，但过量氮供应可能导致营养生长过旺并影响果实品质。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有效锌</w:t>
            </w:r>
          </w:p>
        </w:tc>
        <w:tc>
          <w:tcPr>
            <w:tcW w:w="3475" w:type="pct"/>
            <w:tcMar>
              <w:top w:w="45" w:type="dxa"/>
              <w:left w:w="45" w:type="dxa"/>
              <w:bottom w:w="45" w:type="dxa"/>
              <w:right w:w="45" w:type="dxa"/>
            </w:tcMar>
            <w:vAlign w:val="center"/>
          </w:tcPr>
          <w:p>
            <w:pPr>
              <w:pStyle w:val="47"/>
              <w:bidi w:val="0"/>
              <w:rPr>
                <w:lang w:eastAsia="zh-CN"/>
              </w:rPr>
            </w:pPr>
            <w:r>
              <w:rPr>
                <w:lang w:eastAsia="zh-CN"/>
              </w:rPr>
              <w:t>锌参与生长素合成、蛋白质代谢及多种酶活化，对新梢、叶片和花器发育具有重要作用；北方石灰性土壤中锌有效性易受pH影响。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有效铜</w:t>
            </w:r>
          </w:p>
        </w:tc>
        <w:tc>
          <w:tcPr>
            <w:tcW w:w="3475" w:type="pct"/>
            <w:tcMar>
              <w:top w:w="45" w:type="dxa"/>
              <w:left w:w="45" w:type="dxa"/>
              <w:bottom w:w="45" w:type="dxa"/>
              <w:right w:w="45" w:type="dxa"/>
            </w:tcMar>
            <w:vAlign w:val="center"/>
          </w:tcPr>
          <w:p>
            <w:pPr>
              <w:pStyle w:val="47"/>
              <w:bidi w:val="0"/>
              <w:rPr>
                <w:lang w:eastAsia="zh-CN"/>
              </w:rPr>
            </w:pPr>
            <w:r>
              <w:rPr>
                <w:lang w:eastAsia="zh-CN"/>
              </w:rPr>
              <w:t>铜参与光合作用电子传递、氧化还原反应和木质素形成，对枝条成熟、抗病性和树体正常生理活动具有重要作用。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有效锰</w:t>
            </w:r>
          </w:p>
        </w:tc>
        <w:tc>
          <w:tcPr>
            <w:tcW w:w="3475" w:type="pct"/>
            <w:tcMar>
              <w:top w:w="45" w:type="dxa"/>
              <w:left w:w="45" w:type="dxa"/>
              <w:bottom w:w="45" w:type="dxa"/>
              <w:right w:w="45" w:type="dxa"/>
            </w:tcMar>
            <w:vAlign w:val="center"/>
          </w:tcPr>
          <w:p>
            <w:pPr>
              <w:pStyle w:val="47"/>
              <w:bidi w:val="0"/>
              <w:rPr>
                <w:lang w:eastAsia="zh-CN"/>
              </w:rPr>
            </w:pPr>
            <w:r>
              <w:rPr>
                <w:lang w:eastAsia="zh-CN"/>
              </w:rPr>
              <w:t>锰参与光系统Ⅱ放氧反应、酶活化及氮代谢，对叶片光合性能和树体生长具有重要作用；高pH条件下其有效性可能降低。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有效铁</w:t>
            </w:r>
          </w:p>
        </w:tc>
        <w:tc>
          <w:tcPr>
            <w:tcW w:w="3475" w:type="pct"/>
            <w:tcMar>
              <w:top w:w="45" w:type="dxa"/>
              <w:left w:w="45" w:type="dxa"/>
              <w:bottom w:w="45" w:type="dxa"/>
              <w:right w:w="45" w:type="dxa"/>
            </w:tcMar>
            <w:vAlign w:val="center"/>
          </w:tcPr>
          <w:p>
            <w:pPr>
              <w:pStyle w:val="47"/>
              <w:bidi w:val="0"/>
              <w:rPr>
                <w:lang w:eastAsia="zh-CN"/>
              </w:rPr>
            </w:pPr>
            <w:r>
              <w:rPr>
                <w:lang w:eastAsia="zh-CN"/>
              </w:rPr>
              <w:t>铁参与叶绿素合成相关过程和电子传递。泊头桑区土壤偏中性至碱性时易出现铁有效性下降，缺铁可导致新叶黄化并削弱光合能力，因此具有较强的区域指示意义。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restart"/>
            <w:tcMar>
              <w:top w:w="45" w:type="dxa"/>
              <w:left w:w="45" w:type="dxa"/>
              <w:bottom w:w="45" w:type="dxa"/>
              <w:right w:w="45" w:type="dxa"/>
            </w:tcMar>
            <w:vAlign w:val="center"/>
          </w:tcPr>
          <w:p>
            <w:pPr>
              <w:pStyle w:val="47"/>
              <w:bidi w:val="0"/>
            </w:pPr>
            <w:r>
              <w:t>气候指标</w:t>
            </w:r>
          </w:p>
        </w:tc>
        <w:tc>
          <w:tcPr>
            <w:tcW w:w="914" w:type="pct"/>
            <w:tcMar>
              <w:top w:w="45" w:type="dxa"/>
              <w:left w:w="45" w:type="dxa"/>
              <w:bottom w:w="45" w:type="dxa"/>
              <w:right w:w="45" w:type="dxa"/>
            </w:tcMar>
            <w:vAlign w:val="center"/>
          </w:tcPr>
          <w:p>
            <w:pPr>
              <w:pStyle w:val="47"/>
              <w:bidi w:val="0"/>
            </w:pPr>
            <w:r>
              <w:t>年均降雨量</w:t>
            </w:r>
          </w:p>
        </w:tc>
        <w:tc>
          <w:tcPr>
            <w:tcW w:w="3475" w:type="pct"/>
            <w:tcMar>
              <w:top w:w="45" w:type="dxa"/>
              <w:left w:w="45" w:type="dxa"/>
              <w:bottom w:w="45" w:type="dxa"/>
              <w:right w:w="45" w:type="dxa"/>
            </w:tcMar>
            <w:vAlign w:val="center"/>
          </w:tcPr>
          <w:p>
            <w:pPr>
              <w:pStyle w:val="47"/>
              <w:bidi w:val="0"/>
              <w:rPr>
                <w:lang w:eastAsia="zh-CN"/>
              </w:rPr>
            </w:pPr>
            <w:r>
              <w:rPr>
                <w:lang w:eastAsia="zh-CN"/>
              </w:rPr>
              <w:t>反映区域自然水分供给水平及灌溉需求。泊头多年平均降水量约530 mm，具有北方季风区降水集中、年际波动较大的特点，因此降雨量及其季节分配会直接影响萌芽、生长、果实膨大和旱涝风险。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年日照时数</w:t>
            </w:r>
          </w:p>
        </w:tc>
        <w:tc>
          <w:tcPr>
            <w:tcW w:w="3475" w:type="pct"/>
            <w:tcMar>
              <w:top w:w="45" w:type="dxa"/>
              <w:left w:w="45" w:type="dxa"/>
              <w:bottom w:w="45" w:type="dxa"/>
              <w:right w:w="45" w:type="dxa"/>
            </w:tcMar>
            <w:vAlign w:val="center"/>
          </w:tcPr>
          <w:p>
            <w:pPr>
              <w:pStyle w:val="47"/>
              <w:bidi w:val="0"/>
              <w:rPr>
                <w:lang w:eastAsia="zh-CN"/>
              </w:rPr>
            </w:pPr>
            <w:r>
              <w:rPr>
                <w:rFonts w:hint="eastAsia"/>
                <w:lang w:eastAsia="zh-CN"/>
              </w:rPr>
              <w:t>桑椹</w:t>
            </w:r>
            <w:r>
              <w:rPr>
                <w:lang w:eastAsia="zh-CN"/>
              </w:rPr>
              <w:t>为喜光果树，充足光照有利于光合产物积累、糖分形成和果实着色。泊头多年平均日照时数约2784 h，光照资源较丰富，是形成“黑珍珠”</w:t>
            </w:r>
            <w:r>
              <w:rPr>
                <w:rFonts w:hint="eastAsia"/>
                <w:lang w:eastAsia="zh-CN"/>
              </w:rPr>
              <w:t>桑椹</w:t>
            </w:r>
            <w:r>
              <w:rPr>
                <w:lang w:eastAsia="zh-CN"/>
              </w:rPr>
              <w:t>风味和色泽的重要生态基础之一。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≥10 ℃年积温</w:t>
            </w:r>
          </w:p>
        </w:tc>
        <w:tc>
          <w:tcPr>
            <w:tcW w:w="3475" w:type="pct"/>
            <w:tcMar>
              <w:top w:w="45" w:type="dxa"/>
              <w:left w:w="45" w:type="dxa"/>
              <w:bottom w:w="45" w:type="dxa"/>
              <w:right w:w="45" w:type="dxa"/>
            </w:tcMar>
            <w:vAlign w:val="center"/>
          </w:tcPr>
          <w:p>
            <w:pPr>
              <w:pStyle w:val="47"/>
              <w:bidi w:val="0"/>
              <w:rPr>
                <w:lang w:eastAsia="zh-CN"/>
              </w:rPr>
            </w:pPr>
            <w:r>
              <w:rPr>
                <w:lang w:eastAsia="zh-CN"/>
              </w:rPr>
              <w:t>表征生长期内有效热量条件，影响桑树萌芽、开花、果实发育、枝条成熟和休眠前物质积累，是判断区域热量资源能否满足果桑完整生育周期的重要指标。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最冷月气温</w:t>
            </w:r>
          </w:p>
        </w:tc>
        <w:tc>
          <w:tcPr>
            <w:tcW w:w="3475" w:type="pct"/>
            <w:tcMar>
              <w:top w:w="45" w:type="dxa"/>
              <w:left w:w="45" w:type="dxa"/>
              <w:bottom w:w="45" w:type="dxa"/>
              <w:right w:w="45" w:type="dxa"/>
            </w:tcMar>
            <w:vAlign w:val="center"/>
          </w:tcPr>
          <w:p>
            <w:pPr>
              <w:pStyle w:val="47"/>
              <w:bidi w:val="0"/>
              <w:rPr>
                <w:lang w:eastAsia="zh-CN"/>
              </w:rPr>
            </w:pPr>
            <w:r>
              <w:rPr>
                <w:lang w:eastAsia="zh-CN"/>
              </w:rPr>
              <w:t>反映冬季低温强度及越冬安全性。泊头1月多年平均气温约-2 ℃，低温条件影响桑树休眠、枝条冻害风险及翌年萌芽整齐度，应重点关注极端低温和冷空气过程。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最热月气温</w:t>
            </w:r>
          </w:p>
        </w:tc>
        <w:tc>
          <w:tcPr>
            <w:tcW w:w="3475" w:type="pct"/>
            <w:tcMar>
              <w:top w:w="45" w:type="dxa"/>
              <w:left w:w="45" w:type="dxa"/>
              <w:bottom w:w="45" w:type="dxa"/>
              <w:right w:w="45" w:type="dxa"/>
            </w:tcMar>
            <w:vAlign w:val="center"/>
          </w:tcPr>
          <w:p>
            <w:pPr>
              <w:pStyle w:val="47"/>
              <w:bidi w:val="0"/>
              <w:rPr>
                <w:lang w:eastAsia="zh-CN"/>
              </w:rPr>
            </w:pPr>
            <w:r>
              <w:rPr>
                <w:lang w:eastAsia="zh-CN"/>
              </w:rPr>
              <w:t>反映夏季热量和高温胁迫程度。泊头7月多年平均气温约28 ℃，适度高温有利于枝叶生长，但持续高温叠加干旱会提高蒸腾耗水并削弱树势。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restart"/>
            <w:tcMar>
              <w:top w:w="45" w:type="dxa"/>
              <w:left w:w="45" w:type="dxa"/>
              <w:bottom w:w="45" w:type="dxa"/>
              <w:right w:w="45" w:type="dxa"/>
            </w:tcMar>
            <w:vAlign w:val="center"/>
          </w:tcPr>
          <w:p>
            <w:pPr>
              <w:pStyle w:val="47"/>
              <w:bidi w:val="0"/>
            </w:pPr>
            <w:r>
              <w:t>地形指标</w:t>
            </w:r>
          </w:p>
        </w:tc>
        <w:tc>
          <w:tcPr>
            <w:tcW w:w="914" w:type="pct"/>
            <w:tcMar>
              <w:top w:w="45" w:type="dxa"/>
              <w:left w:w="45" w:type="dxa"/>
              <w:bottom w:w="45" w:type="dxa"/>
              <w:right w:w="45" w:type="dxa"/>
            </w:tcMar>
            <w:vAlign w:val="center"/>
          </w:tcPr>
          <w:p>
            <w:pPr>
              <w:pStyle w:val="47"/>
              <w:bidi w:val="0"/>
            </w:pPr>
            <w:r>
              <w:t>海拔</w:t>
            </w:r>
          </w:p>
        </w:tc>
        <w:tc>
          <w:tcPr>
            <w:tcW w:w="3475" w:type="pct"/>
            <w:tcMar>
              <w:top w:w="45" w:type="dxa"/>
              <w:left w:w="45" w:type="dxa"/>
              <w:bottom w:w="45" w:type="dxa"/>
              <w:right w:w="45" w:type="dxa"/>
            </w:tcMar>
            <w:vAlign w:val="center"/>
          </w:tcPr>
          <w:p>
            <w:pPr>
              <w:pStyle w:val="47"/>
              <w:bidi w:val="0"/>
              <w:rPr>
                <w:lang w:eastAsia="zh-CN"/>
              </w:rPr>
            </w:pPr>
            <w:r>
              <w:rPr>
                <w:lang w:eastAsia="zh-CN"/>
              </w:rPr>
              <w:t>通过影响温度、风环境、土壤水分和地下水条件间接影响桑树生长。泊头地处平原区，海拔整体较低、起伏小，因此该指标主要用于识别局部低洼易涝或排水条件较差地块。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坡度</w:t>
            </w:r>
          </w:p>
        </w:tc>
        <w:tc>
          <w:tcPr>
            <w:tcW w:w="3475" w:type="pct"/>
            <w:tcMar>
              <w:top w:w="45" w:type="dxa"/>
              <w:left w:w="45" w:type="dxa"/>
              <w:bottom w:w="45" w:type="dxa"/>
              <w:right w:w="45" w:type="dxa"/>
            </w:tcMar>
            <w:vAlign w:val="center"/>
          </w:tcPr>
          <w:p>
            <w:pPr>
              <w:pStyle w:val="47"/>
              <w:bidi w:val="0"/>
              <w:rPr>
                <w:lang w:eastAsia="zh-CN"/>
              </w:rPr>
            </w:pPr>
            <w:r>
              <w:rPr>
                <w:lang w:eastAsia="zh-CN"/>
              </w:rPr>
              <w:t>影响地表径流、土壤侵蚀、排水和机械化作业条件。泊头以平原为主，缓坡和平地更有利于桑园建设、水肥管理、采收运输和机械作业。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vMerge w:val="continue"/>
          </w:tcPr>
          <w:p>
            <w:pPr>
              <w:pStyle w:val="47"/>
              <w:bidi w:val="0"/>
              <w:rPr>
                <w:lang w:eastAsia="zh-CN"/>
              </w:rPr>
            </w:pPr>
          </w:p>
        </w:tc>
        <w:tc>
          <w:tcPr>
            <w:tcW w:w="914" w:type="pct"/>
            <w:tcMar>
              <w:top w:w="45" w:type="dxa"/>
              <w:left w:w="45" w:type="dxa"/>
              <w:bottom w:w="45" w:type="dxa"/>
              <w:right w:w="45" w:type="dxa"/>
            </w:tcMar>
            <w:vAlign w:val="center"/>
          </w:tcPr>
          <w:p>
            <w:pPr>
              <w:pStyle w:val="47"/>
              <w:bidi w:val="0"/>
            </w:pPr>
            <w:r>
              <w:t>坡向</w:t>
            </w:r>
          </w:p>
        </w:tc>
        <w:tc>
          <w:tcPr>
            <w:tcW w:w="3475" w:type="pct"/>
            <w:tcMar>
              <w:top w:w="45" w:type="dxa"/>
              <w:left w:w="45" w:type="dxa"/>
              <w:bottom w:w="45" w:type="dxa"/>
              <w:right w:w="45" w:type="dxa"/>
            </w:tcMar>
            <w:vAlign w:val="center"/>
          </w:tcPr>
          <w:p>
            <w:pPr>
              <w:pStyle w:val="47"/>
              <w:bidi w:val="0"/>
              <w:rPr>
                <w:lang w:eastAsia="zh-CN"/>
              </w:rPr>
            </w:pPr>
            <w:r>
              <w:rPr>
                <w:lang w:eastAsia="zh-CN"/>
              </w:rPr>
              <w:t>坡向可改变太阳辐射、地温、蒸发和风环境；在泊头平原区总体影响相对较弱，但在局部微地形条件下仍可作为补充评价因子。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9" w:type="pct"/>
            <w:tcMar>
              <w:top w:w="45" w:type="dxa"/>
              <w:left w:w="45" w:type="dxa"/>
              <w:bottom w:w="45" w:type="dxa"/>
              <w:right w:w="45" w:type="dxa"/>
            </w:tcMar>
            <w:vAlign w:val="center"/>
          </w:tcPr>
          <w:p>
            <w:pPr>
              <w:pStyle w:val="47"/>
              <w:bidi w:val="0"/>
            </w:pPr>
            <w:r>
              <w:t>其它指标</w:t>
            </w:r>
          </w:p>
        </w:tc>
        <w:tc>
          <w:tcPr>
            <w:tcW w:w="914" w:type="pct"/>
            <w:tcMar>
              <w:top w:w="45" w:type="dxa"/>
              <w:left w:w="45" w:type="dxa"/>
              <w:bottom w:w="45" w:type="dxa"/>
              <w:right w:w="45" w:type="dxa"/>
            </w:tcMar>
            <w:vAlign w:val="center"/>
          </w:tcPr>
          <w:p>
            <w:pPr>
              <w:pStyle w:val="47"/>
              <w:bidi w:val="0"/>
            </w:pPr>
            <w:r>
              <w:t>水源距离</w:t>
            </w:r>
          </w:p>
        </w:tc>
        <w:tc>
          <w:tcPr>
            <w:tcW w:w="3475" w:type="pct"/>
            <w:tcMar>
              <w:top w:w="45" w:type="dxa"/>
              <w:left w:w="45" w:type="dxa"/>
              <w:bottom w:w="45" w:type="dxa"/>
              <w:right w:w="45" w:type="dxa"/>
            </w:tcMar>
            <w:vAlign w:val="center"/>
          </w:tcPr>
          <w:p>
            <w:pPr>
              <w:pStyle w:val="47"/>
              <w:bidi w:val="0"/>
              <w:rPr>
                <w:lang w:eastAsia="zh-CN"/>
              </w:rPr>
            </w:pPr>
            <w:r>
              <w:rPr>
                <w:lang w:eastAsia="zh-CN"/>
              </w:rPr>
              <w:t>泊头自然降水量相对有限，且</w:t>
            </w:r>
            <w:r>
              <w:rPr>
                <w:rFonts w:hint="eastAsia"/>
                <w:lang w:eastAsia="zh-CN"/>
              </w:rPr>
              <w:t>桑椹</w:t>
            </w:r>
            <w:r>
              <w:rPr>
                <w:lang w:eastAsia="zh-CN"/>
              </w:rPr>
              <w:t>果实膨大和采收前后对水分供应较敏感。水源距离直接关系到灌溉保障能力、用水成本和抗旱稳定性，是评价</w:t>
            </w:r>
            <w:r>
              <w:rPr>
                <w:rFonts w:hint="eastAsia"/>
                <w:lang w:eastAsia="zh-CN"/>
              </w:rPr>
              <w:t>桑椹</w:t>
            </w:r>
            <w:r>
              <w:rPr>
                <w:lang w:eastAsia="zh-CN"/>
              </w:rPr>
              <w:t>适宜地块的重要生产条件。</w:t>
            </w:r>
          </w:p>
        </w:tc>
      </w:tr>
    </w:tbl>
    <w:p>
      <w:pPr>
        <w:kinsoku/>
        <w:spacing w:line="360" w:lineRule="auto"/>
        <w:ind w:firstLine="482"/>
        <w:jc w:val="both"/>
        <w:rPr>
          <w:b/>
          <w:bCs/>
          <w:lang w:eastAsia="zh-CN"/>
        </w:rPr>
      </w:pPr>
    </w:p>
    <w:p>
      <w:pPr>
        <w:pStyle w:val="3"/>
        <w:numPr>
          <w:ilvl w:val="0"/>
          <w:numId w:val="3"/>
        </w:numPr>
        <w:kinsoku/>
        <w:spacing w:before="120" w:after="120" w:line="360" w:lineRule="auto"/>
        <w:ind w:firstLineChars="0"/>
        <w:rPr>
          <w:rFonts w:hint="eastAsia" w:ascii="黑体" w:hAnsi="黑体" w:eastAsia="黑体"/>
          <w:color w:val="000000" w:themeColor="text1"/>
          <w:sz w:val="24"/>
          <w:szCs w:val="24"/>
          <w:lang w:eastAsia="zh-CN"/>
          <w14:textFill>
            <w14:solidFill>
              <w14:schemeClr w14:val="tx1"/>
            </w14:solidFill>
          </w14:textFill>
        </w:rPr>
      </w:pPr>
      <w:bookmarkStart w:id="44" w:name="_Toc241153623"/>
      <w:r>
        <w:rPr>
          <w:rFonts w:ascii="黑体" w:hAnsi="黑体" w:eastAsia="黑体"/>
          <w:color w:val="000000" w:themeColor="text1"/>
          <w:sz w:val="24"/>
          <w:szCs w:val="24"/>
          <w:lang w:eastAsia="zh-CN"/>
          <w14:textFill>
            <w14:solidFill>
              <w14:schemeClr w14:val="tx1"/>
            </w14:solidFill>
          </w14:textFill>
        </w:rPr>
        <w:t>基础数据与图件</w:t>
      </w:r>
      <w:bookmarkEnd w:id="44"/>
      <w:r>
        <w:commentReference w:id="8"/>
      </w:r>
    </w:p>
    <w:p>
      <w:pPr>
        <w:kinsoku/>
        <w:spacing w:line="360" w:lineRule="auto"/>
        <w:ind w:firstLine="482"/>
        <w:jc w:val="both"/>
        <w:rPr>
          <w:b/>
          <w:bCs/>
          <w:lang w:eastAsia="zh-CN"/>
        </w:rPr>
      </w:pPr>
      <w:r>
        <w:rPr>
          <w:b/>
          <w:bCs/>
          <w:lang w:eastAsia="zh-CN"/>
        </w:rPr>
        <w:t xml:space="preserve"> 1. 基础数据 </w:t>
      </w:r>
    </w:p>
    <w:p>
      <w:pPr>
        <w:kinsoku/>
        <w:spacing w:line="360" w:lineRule="auto"/>
        <w:ind w:firstLine="482"/>
        <w:jc w:val="both"/>
        <w:rPr>
          <w:lang w:eastAsia="zh-CN"/>
        </w:rPr>
      </w:pPr>
      <w:r>
        <w:rPr>
          <w:b/>
          <w:bCs/>
          <w:lang w:eastAsia="zh-CN"/>
        </w:rPr>
        <w:t>(1) 外业调查与测试数据</w:t>
      </w:r>
    </w:p>
    <w:p>
      <w:pPr>
        <w:kinsoku/>
        <w:spacing w:line="360" w:lineRule="auto"/>
        <w:ind w:firstLine="480"/>
        <w:jc w:val="both"/>
        <w:rPr>
          <w:rFonts w:cs="Times New Roman"/>
          <w:lang w:eastAsia="zh-CN"/>
        </w:rPr>
      </w:pPr>
      <w:bookmarkStart w:id="45" w:name="_Toc207303709"/>
      <w:r>
        <w:rPr>
          <w:rFonts w:cs="Times New Roman"/>
          <w:lang w:eastAsia="zh-CN"/>
        </w:rPr>
        <w:t>泊头市土壤调查与测试基础数据由总样点空间位置及对应的土壤检测属性组成。本次共整理样点636个，样点编号均唯一，636个样点均具有完整经纬度信息。样点分布范围为东经116.050646°—116.747962°、北纬37.910642°—38.217662°，样点数据统计情况见表3.2，空间分布见图3.1。</w:t>
      </w:r>
    </w:p>
    <w:p>
      <w:pPr>
        <w:kinsoku/>
        <w:spacing w:line="360" w:lineRule="auto"/>
        <w:ind w:firstLine="480"/>
        <w:jc w:val="both"/>
        <w:rPr>
          <w:rFonts w:cs="Times New Roman"/>
          <w:lang w:eastAsia="zh-CN"/>
        </w:rPr>
      </w:pPr>
      <w:r>
        <w:rPr>
          <w:rFonts w:cs="Times New Roman"/>
          <w:lang w:eastAsia="zh-CN"/>
        </w:rPr>
        <w:t>检测指标包括土壤pH、砂粒、粉粒、黏粒、阳离子交换量、全氮、全磷、全钾、有效磷、速效钾、交换性钠、交换性钾，以及有效硫、铁、锰、铜、锌、硼、钼，共19项。各指标按实际有效记录分别统计，以算术平均值表征样点总体水平。</w:t>
      </w:r>
    </w:p>
    <w:p>
      <w:pPr>
        <w:keepNext/>
        <w:spacing w:before="140" w:line="360" w:lineRule="auto"/>
        <w:ind w:firstLine="422"/>
        <w:jc w:val="center"/>
        <w:rPr>
          <w:lang w:eastAsia="zh-CN"/>
        </w:rPr>
      </w:pPr>
      <w:r>
        <w:rPr>
          <w:b/>
          <w:sz w:val="21"/>
          <w:lang w:eastAsia="zh-CN"/>
        </w:rPr>
        <w:t>表3.2 泊头市土壤调查样点及检测记录统计表</w:t>
      </w:r>
    </w:p>
    <w:tbl>
      <w:tblPr>
        <w:tblStyle w:val="32"/>
        <w:tblW w:w="9411" w:type="dxa"/>
        <w:jc w:val="center"/>
        <w:tblLayout w:type="fixed"/>
        <w:tblCellMar>
          <w:top w:w="0" w:type="dxa"/>
          <w:left w:w="108" w:type="dxa"/>
          <w:bottom w:w="0" w:type="dxa"/>
          <w:right w:w="108" w:type="dxa"/>
        </w:tblCellMar>
      </w:tblPr>
      <w:tblGrid>
        <w:gridCol w:w="5669"/>
        <w:gridCol w:w="1556"/>
        <w:gridCol w:w="2186"/>
      </w:tblGrid>
      <w:tr>
        <w:tblPrEx>
          <w:tblCellMar>
            <w:top w:w="0" w:type="dxa"/>
            <w:left w:w="108" w:type="dxa"/>
            <w:bottom w:w="0" w:type="dxa"/>
            <w:right w:w="108" w:type="dxa"/>
          </w:tblCellMar>
        </w:tblPrEx>
        <w:trPr>
          <w:cantSplit/>
          <w:tblHeader/>
          <w:jc w:val="center"/>
        </w:trPr>
        <w:tc>
          <w:tcPr>
            <w:tcW w:w="5669" w:type="dxa"/>
            <w:tcBorders>
              <w:top w:val="single" w:color="808080" w:sz="4" w:space="0"/>
              <w:left w:val="single" w:color="808080" w:sz="4" w:space="0"/>
              <w:bottom w:val="single" w:color="808080" w:sz="4" w:space="0"/>
              <w:right w:val="single" w:color="808080" w:sz="4" w:space="0"/>
            </w:tcBorders>
            <w:vAlign w:val="center"/>
          </w:tcPr>
          <w:p>
            <w:pPr>
              <w:pStyle w:val="47"/>
              <w:bidi w:val="0"/>
            </w:pPr>
            <w:r>
              <w:t>数据项目</w:t>
            </w:r>
          </w:p>
        </w:tc>
        <w:tc>
          <w:tcPr>
            <w:tcW w:w="1556" w:type="dxa"/>
            <w:tcBorders>
              <w:top w:val="single" w:color="808080" w:sz="4" w:space="0"/>
              <w:left w:val="single" w:color="808080" w:sz="4" w:space="0"/>
              <w:bottom w:val="single" w:color="808080" w:sz="4" w:space="0"/>
              <w:right w:val="single" w:color="808080" w:sz="4" w:space="0"/>
            </w:tcBorders>
            <w:vAlign w:val="center"/>
          </w:tcPr>
          <w:p>
            <w:pPr>
              <w:pStyle w:val="47"/>
              <w:bidi w:val="0"/>
            </w:pPr>
            <w:r>
              <w:t>有效记录/条</w:t>
            </w:r>
          </w:p>
        </w:tc>
        <w:tc>
          <w:tcPr>
            <w:tcW w:w="2186" w:type="dxa"/>
            <w:tcBorders>
              <w:top w:val="single" w:color="808080" w:sz="4" w:space="0"/>
              <w:left w:val="single" w:color="808080" w:sz="4" w:space="0"/>
              <w:bottom w:val="single" w:color="808080" w:sz="4" w:space="0"/>
              <w:right w:val="single" w:color="808080" w:sz="4" w:space="0"/>
            </w:tcBorders>
            <w:vAlign w:val="center"/>
          </w:tcPr>
          <w:p>
            <w:pPr>
              <w:pStyle w:val="47"/>
              <w:bidi w:val="0"/>
            </w:pPr>
            <w:r>
              <w:t>占总样点比例/%</w:t>
            </w:r>
          </w:p>
        </w:tc>
      </w:tr>
      <w:tr>
        <w:tblPrEx>
          <w:tblCellMar>
            <w:top w:w="0" w:type="dxa"/>
            <w:left w:w="108" w:type="dxa"/>
            <w:bottom w:w="0" w:type="dxa"/>
            <w:right w:w="108" w:type="dxa"/>
          </w:tblCellMar>
        </w:tblPrEx>
        <w:trPr>
          <w:cantSplit/>
          <w:jc w:val="center"/>
        </w:trPr>
        <w:tc>
          <w:tcPr>
            <w:tcW w:w="5669" w:type="dxa"/>
            <w:tcBorders>
              <w:top w:val="single" w:color="808080" w:sz="4" w:space="0"/>
              <w:left w:val="single" w:color="808080" w:sz="4" w:space="0"/>
              <w:bottom w:val="single" w:color="808080" w:sz="4" w:space="0"/>
              <w:right w:val="single" w:color="808080" w:sz="4" w:space="0"/>
            </w:tcBorders>
            <w:vAlign w:val="center"/>
          </w:tcPr>
          <w:p>
            <w:pPr>
              <w:pStyle w:val="47"/>
              <w:bidi w:val="0"/>
            </w:pPr>
            <w:r>
              <w:t>样点编号及经纬度</w:t>
            </w:r>
          </w:p>
        </w:tc>
        <w:tc>
          <w:tcPr>
            <w:tcW w:w="1556" w:type="dxa"/>
            <w:tcBorders>
              <w:top w:val="single" w:color="808080" w:sz="4" w:space="0"/>
              <w:left w:val="single" w:color="808080" w:sz="4" w:space="0"/>
              <w:bottom w:val="single" w:color="808080" w:sz="4" w:space="0"/>
              <w:right w:val="single" w:color="808080" w:sz="4" w:space="0"/>
            </w:tcBorders>
            <w:vAlign w:val="center"/>
          </w:tcPr>
          <w:p>
            <w:pPr>
              <w:pStyle w:val="47"/>
              <w:bidi w:val="0"/>
            </w:pPr>
            <w:r>
              <w:t>636</w:t>
            </w:r>
          </w:p>
        </w:tc>
        <w:tc>
          <w:tcPr>
            <w:tcW w:w="2186" w:type="dxa"/>
            <w:tcBorders>
              <w:top w:val="single" w:color="808080" w:sz="4" w:space="0"/>
              <w:left w:val="single" w:color="808080" w:sz="4" w:space="0"/>
              <w:bottom w:val="single" w:color="808080" w:sz="4" w:space="0"/>
              <w:right w:val="single" w:color="808080" w:sz="4" w:space="0"/>
            </w:tcBorders>
            <w:vAlign w:val="center"/>
          </w:tcPr>
          <w:p>
            <w:pPr>
              <w:pStyle w:val="47"/>
              <w:bidi w:val="0"/>
            </w:pPr>
            <w:r>
              <w:t>100.00</w:t>
            </w:r>
          </w:p>
        </w:tc>
      </w:tr>
      <w:tr>
        <w:tblPrEx>
          <w:tblCellMar>
            <w:top w:w="0" w:type="dxa"/>
            <w:left w:w="108" w:type="dxa"/>
            <w:bottom w:w="0" w:type="dxa"/>
            <w:right w:w="108" w:type="dxa"/>
          </w:tblCellMar>
        </w:tblPrEx>
        <w:trPr>
          <w:cantSplit/>
          <w:jc w:val="center"/>
        </w:trPr>
        <w:tc>
          <w:tcPr>
            <w:tcW w:w="5669" w:type="dxa"/>
            <w:tcBorders>
              <w:top w:val="single" w:color="808080" w:sz="4" w:space="0"/>
              <w:left w:val="single" w:color="808080" w:sz="4" w:space="0"/>
              <w:bottom w:val="single" w:color="808080" w:sz="4" w:space="0"/>
              <w:right w:val="single" w:color="808080" w:sz="4" w:space="0"/>
            </w:tcBorders>
            <w:vAlign w:val="center"/>
          </w:tcPr>
          <w:p>
            <w:pPr>
              <w:pStyle w:val="47"/>
              <w:bidi w:val="0"/>
              <w:rPr>
                <w:lang w:eastAsia="zh-CN"/>
              </w:rPr>
            </w:pPr>
            <w:r>
              <w:rPr>
                <w:lang w:eastAsia="zh-CN"/>
              </w:rPr>
              <w:t>pH、CEC、全氮、全磷、全钾、有效磷、速效钾</w:t>
            </w:r>
          </w:p>
        </w:tc>
        <w:tc>
          <w:tcPr>
            <w:tcW w:w="1556" w:type="dxa"/>
            <w:tcBorders>
              <w:top w:val="single" w:color="808080" w:sz="4" w:space="0"/>
              <w:left w:val="single" w:color="808080" w:sz="4" w:space="0"/>
              <w:bottom w:val="single" w:color="808080" w:sz="4" w:space="0"/>
              <w:right w:val="single" w:color="808080" w:sz="4" w:space="0"/>
            </w:tcBorders>
            <w:vAlign w:val="center"/>
          </w:tcPr>
          <w:p>
            <w:pPr>
              <w:pStyle w:val="47"/>
              <w:bidi w:val="0"/>
            </w:pPr>
            <w:r>
              <w:t>636</w:t>
            </w:r>
          </w:p>
        </w:tc>
        <w:tc>
          <w:tcPr>
            <w:tcW w:w="2186" w:type="dxa"/>
            <w:tcBorders>
              <w:top w:val="single" w:color="808080" w:sz="4" w:space="0"/>
              <w:left w:val="single" w:color="808080" w:sz="4" w:space="0"/>
              <w:bottom w:val="single" w:color="808080" w:sz="4" w:space="0"/>
              <w:right w:val="single" w:color="808080" w:sz="4" w:space="0"/>
            </w:tcBorders>
            <w:vAlign w:val="center"/>
          </w:tcPr>
          <w:p>
            <w:pPr>
              <w:pStyle w:val="47"/>
              <w:bidi w:val="0"/>
            </w:pPr>
            <w:r>
              <w:t>100.00</w:t>
            </w:r>
          </w:p>
        </w:tc>
      </w:tr>
      <w:tr>
        <w:tblPrEx>
          <w:tblCellMar>
            <w:top w:w="0" w:type="dxa"/>
            <w:left w:w="108" w:type="dxa"/>
            <w:bottom w:w="0" w:type="dxa"/>
            <w:right w:w="108" w:type="dxa"/>
          </w:tblCellMar>
        </w:tblPrEx>
        <w:trPr>
          <w:cantSplit/>
          <w:jc w:val="center"/>
        </w:trPr>
        <w:tc>
          <w:tcPr>
            <w:tcW w:w="5669" w:type="dxa"/>
            <w:tcBorders>
              <w:top w:val="single" w:color="808080" w:sz="4" w:space="0"/>
              <w:left w:val="single" w:color="808080" w:sz="4" w:space="0"/>
              <w:bottom w:val="single" w:color="808080" w:sz="4" w:space="0"/>
              <w:right w:val="single" w:color="808080" w:sz="4" w:space="0"/>
            </w:tcBorders>
            <w:vAlign w:val="center"/>
          </w:tcPr>
          <w:p>
            <w:pPr>
              <w:pStyle w:val="47"/>
              <w:bidi w:val="0"/>
            </w:pPr>
            <w:r>
              <w:t>交换性钠、交换性钾</w:t>
            </w:r>
          </w:p>
        </w:tc>
        <w:tc>
          <w:tcPr>
            <w:tcW w:w="1556" w:type="dxa"/>
            <w:tcBorders>
              <w:top w:val="single" w:color="808080" w:sz="4" w:space="0"/>
              <w:left w:val="single" w:color="808080" w:sz="4" w:space="0"/>
              <w:bottom w:val="single" w:color="808080" w:sz="4" w:space="0"/>
              <w:right w:val="single" w:color="808080" w:sz="4" w:space="0"/>
            </w:tcBorders>
            <w:vAlign w:val="center"/>
          </w:tcPr>
          <w:p>
            <w:pPr>
              <w:pStyle w:val="47"/>
              <w:bidi w:val="0"/>
            </w:pPr>
            <w:r>
              <w:t>635</w:t>
            </w:r>
          </w:p>
        </w:tc>
        <w:tc>
          <w:tcPr>
            <w:tcW w:w="2186" w:type="dxa"/>
            <w:tcBorders>
              <w:top w:val="single" w:color="808080" w:sz="4" w:space="0"/>
              <w:left w:val="single" w:color="808080" w:sz="4" w:space="0"/>
              <w:bottom w:val="single" w:color="808080" w:sz="4" w:space="0"/>
              <w:right w:val="single" w:color="808080" w:sz="4" w:space="0"/>
            </w:tcBorders>
            <w:vAlign w:val="center"/>
          </w:tcPr>
          <w:p>
            <w:pPr>
              <w:pStyle w:val="47"/>
              <w:bidi w:val="0"/>
            </w:pPr>
            <w:r>
              <w:t>99.84</w:t>
            </w:r>
          </w:p>
        </w:tc>
      </w:tr>
      <w:tr>
        <w:tblPrEx>
          <w:tblCellMar>
            <w:top w:w="0" w:type="dxa"/>
            <w:left w:w="108" w:type="dxa"/>
            <w:bottom w:w="0" w:type="dxa"/>
            <w:right w:w="108" w:type="dxa"/>
          </w:tblCellMar>
        </w:tblPrEx>
        <w:trPr>
          <w:cantSplit/>
          <w:jc w:val="center"/>
        </w:trPr>
        <w:tc>
          <w:tcPr>
            <w:tcW w:w="5669" w:type="dxa"/>
            <w:tcBorders>
              <w:top w:val="single" w:color="808080" w:sz="4" w:space="0"/>
              <w:left w:val="single" w:color="808080" w:sz="4" w:space="0"/>
              <w:bottom w:val="single" w:color="808080" w:sz="4" w:space="0"/>
              <w:right w:val="single" w:color="808080" w:sz="4" w:space="0"/>
            </w:tcBorders>
            <w:vAlign w:val="center"/>
          </w:tcPr>
          <w:p>
            <w:pPr>
              <w:pStyle w:val="47"/>
              <w:bidi w:val="0"/>
              <w:rPr>
                <w:lang w:eastAsia="zh-CN"/>
              </w:rPr>
            </w:pPr>
            <w:r>
              <w:rPr>
                <w:lang w:eastAsia="zh-CN"/>
              </w:rPr>
              <w:t>有效硫、铁、锰、铜、锌、硼、钼</w:t>
            </w:r>
          </w:p>
        </w:tc>
        <w:tc>
          <w:tcPr>
            <w:tcW w:w="1556" w:type="dxa"/>
            <w:tcBorders>
              <w:top w:val="single" w:color="808080" w:sz="4" w:space="0"/>
              <w:left w:val="single" w:color="808080" w:sz="4" w:space="0"/>
              <w:bottom w:val="single" w:color="808080" w:sz="4" w:space="0"/>
              <w:right w:val="single" w:color="808080" w:sz="4" w:space="0"/>
            </w:tcBorders>
            <w:vAlign w:val="center"/>
          </w:tcPr>
          <w:p>
            <w:pPr>
              <w:pStyle w:val="47"/>
              <w:bidi w:val="0"/>
            </w:pPr>
            <w:r>
              <w:t>626</w:t>
            </w:r>
          </w:p>
        </w:tc>
        <w:tc>
          <w:tcPr>
            <w:tcW w:w="2186" w:type="dxa"/>
            <w:tcBorders>
              <w:top w:val="single" w:color="808080" w:sz="4" w:space="0"/>
              <w:left w:val="single" w:color="808080" w:sz="4" w:space="0"/>
              <w:bottom w:val="single" w:color="808080" w:sz="4" w:space="0"/>
              <w:right w:val="single" w:color="808080" w:sz="4" w:space="0"/>
            </w:tcBorders>
            <w:vAlign w:val="center"/>
          </w:tcPr>
          <w:p>
            <w:pPr>
              <w:pStyle w:val="47"/>
              <w:bidi w:val="0"/>
            </w:pPr>
            <w:r>
              <w:t>98.43</w:t>
            </w:r>
          </w:p>
        </w:tc>
      </w:tr>
      <w:tr>
        <w:tblPrEx>
          <w:tblCellMar>
            <w:top w:w="0" w:type="dxa"/>
            <w:left w:w="108" w:type="dxa"/>
            <w:bottom w:w="0" w:type="dxa"/>
            <w:right w:w="108" w:type="dxa"/>
          </w:tblCellMar>
        </w:tblPrEx>
        <w:trPr>
          <w:cantSplit/>
          <w:jc w:val="center"/>
        </w:trPr>
        <w:tc>
          <w:tcPr>
            <w:tcW w:w="5669" w:type="dxa"/>
            <w:tcBorders>
              <w:top w:val="single" w:color="808080" w:sz="4" w:space="0"/>
              <w:left w:val="single" w:color="808080" w:sz="4" w:space="0"/>
              <w:bottom w:val="single" w:color="808080" w:sz="4" w:space="0"/>
              <w:right w:val="single" w:color="808080" w:sz="4" w:space="0"/>
            </w:tcBorders>
            <w:vAlign w:val="center"/>
          </w:tcPr>
          <w:p>
            <w:pPr>
              <w:pStyle w:val="47"/>
              <w:bidi w:val="0"/>
            </w:pPr>
            <w:r>
              <w:t>砂粒、粉粒、黏粒</w:t>
            </w:r>
          </w:p>
        </w:tc>
        <w:tc>
          <w:tcPr>
            <w:tcW w:w="1556" w:type="dxa"/>
            <w:tcBorders>
              <w:top w:val="single" w:color="808080" w:sz="4" w:space="0"/>
              <w:left w:val="single" w:color="808080" w:sz="4" w:space="0"/>
              <w:bottom w:val="single" w:color="808080" w:sz="4" w:space="0"/>
              <w:right w:val="single" w:color="808080" w:sz="4" w:space="0"/>
            </w:tcBorders>
            <w:vAlign w:val="center"/>
          </w:tcPr>
          <w:p>
            <w:pPr>
              <w:pStyle w:val="47"/>
              <w:bidi w:val="0"/>
            </w:pPr>
            <w:r>
              <w:t>318</w:t>
            </w:r>
          </w:p>
        </w:tc>
        <w:tc>
          <w:tcPr>
            <w:tcW w:w="2186" w:type="dxa"/>
            <w:tcBorders>
              <w:top w:val="single" w:color="808080" w:sz="4" w:space="0"/>
              <w:left w:val="single" w:color="808080" w:sz="4" w:space="0"/>
              <w:bottom w:val="single" w:color="808080" w:sz="4" w:space="0"/>
              <w:right w:val="single" w:color="808080" w:sz="4" w:space="0"/>
            </w:tcBorders>
            <w:vAlign w:val="center"/>
          </w:tcPr>
          <w:p>
            <w:pPr>
              <w:pStyle w:val="47"/>
              <w:bidi w:val="0"/>
            </w:pPr>
            <w:r>
              <w:t>50.00</w:t>
            </w:r>
          </w:p>
        </w:tc>
      </w:tr>
    </w:tbl>
    <w:p>
      <w:pPr>
        <w:spacing w:before="160" w:line="360" w:lineRule="auto"/>
        <w:ind w:firstLine="480"/>
        <w:jc w:val="center"/>
        <w:rPr>
          <w:lang w:eastAsia="zh-CN"/>
        </w:rPr>
      </w:pPr>
    </w:p>
    <w:p>
      <w:pPr>
        <w:spacing w:before="160" w:line="360" w:lineRule="auto"/>
        <w:ind w:left="0" w:leftChars="0" w:firstLine="0" w:firstLineChars="0"/>
        <w:jc w:val="center"/>
      </w:pPr>
      <w:r>
        <w:drawing>
          <wp:inline distT="0" distB="0" distL="0" distR="0">
            <wp:extent cx="5157470" cy="3641725"/>
            <wp:effectExtent l="0" t="0" r="5080" b="0"/>
            <wp:docPr id="555403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03686"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t="18574" r="16592" b="20182"/>
                    <a:stretch>
                      <a:fillRect/>
                    </a:stretch>
                  </pic:blipFill>
                  <pic:spPr>
                    <a:xfrm>
                      <a:off x="0" y="0"/>
                      <a:ext cx="5168268" cy="3649050"/>
                    </a:xfrm>
                    <a:prstGeom prst="rect">
                      <a:avLst/>
                    </a:prstGeom>
                    <a:noFill/>
                    <a:ln>
                      <a:noFill/>
                    </a:ln>
                  </pic:spPr>
                </pic:pic>
              </a:graphicData>
            </a:graphic>
          </wp:inline>
        </w:drawing>
      </w:r>
      <w:r>
        <w:commentReference w:id="9"/>
      </w:r>
    </w:p>
    <w:p>
      <w:pPr>
        <w:spacing w:line="360" w:lineRule="auto"/>
        <w:ind w:firstLine="480"/>
        <w:jc w:val="center"/>
        <w:rPr>
          <w:szCs w:val="28"/>
          <w:lang w:eastAsia="zh-CN"/>
        </w:rPr>
      </w:pPr>
      <w:r>
        <w:rPr>
          <w:szCs w:val="28"/>
          <w:lang w:eastAsia="zh-CN"/>
        </w:rPr>
        <w:t>图3.</w:t>
      </w:r>
      <w:r>
        <w:rPr>
          <w:rFonts w:hint="eastAsia"/>
          <w:szCs w:val="28"/>
          <w:lang w:eastAsia="zh-CN"/>
        </w:rPr>
        <w:t>2</w:t>
      </w:r>
      <w:r>
        <w:rPr>
          <w:szCs w:val="28"/>
          <w:lang w:eastAsia="zh-CN"/>
        </w:rPr>
        <w:t xml:space="preserve"> 泊头市土壤调查样点分布图</w:t>
      </w:r>
    </w:p>
    <w:p>
      <w:pPr>
        <w:spacing w:line="360" w:lineRule="auto"/>
        <w:ind w:firstLine="480"/>
        <w:jc w:val="both"/>
        <w:rPr>
          <w:lang w:eastAsia="zh-CN"/>
        </w:rPr>
      </w:pPr>
      <w:r>
        <w:rPr>
          <w:lang w:eastAsia="zh-CN"/>
        </w:rPr>
        <w:t>土壤样点全量成分、有效态养分、酸碱性及交换性能、颗粒组成统计结果分别见表3.3—表3.6。全氮、全磷、全钾平均值分别为1.06、0.75和13.43；有效磷和速效钾平均值分别为11.53和184.64。土壤pH范围为7.57—8.76，平均值为8.20；阳离子交换量平均值为12.56。各指标计量单位见表头。</w:t>
      </w:r>
    </w:p>
    <w:p>
      <w:pPr>
        <w:keepNext/>
        <w:spacing w:before="140" w:line="360" w:lineRule="auto"/>
        <w:ind w:firstLine="482"/>
        <w:jc w:val="center"/>
        <w:rPr>
          <w:rFonts w:cs="Times New Roman"/>
          <w:szCs w:val="24"/>
          <w:lang w:eastAsia="zh-CN"/>
        </w:rPr>
      </w:pPr>
      <w:r>
        <w:rPr>
          <w:rFonts w:cs="Times New Roman"/>
          <w:b/>
          <w:szCs w:val="24"/>
          <w:lang w:eastAsia="zh-CN"/>
        </w:rPr>
        <w:t>表3.3 泊头市土壤调查样点全量成分统计</w:t>
      </w:r>
    </w:p>
    <w:tbl>
      <w:tblPr>
        <w:tblStyle w:val="32"/>
        <w:tblW w:w="4998" w:type="pct"/>
        <w:jc w:val="center"/>
        <w:tblLayout w:type="autofit"/>
        <w:tblCellMar>
          <w:top w:w="0" w:type="dxa"/>
          <w:left w:w="108" w:type="dxa"/>
          <w:bottom w:w="0" w:type="dxa"/>
          <w:right w:w="108" w:type="dxa"/>
        </w:tblCellMar>
      </w:tblPr>
      <w:tblGrid>
        <w:gridCol w:w="1150"/>
        <w:gridCol w:w="2253"/>
        <w:gridCol w:w="2558"/>
        <w:gridCol w:w="2558"/>
      </w:tblGrid>
      <w:tr>
        <w:tblPrEx>
          <w:tblCellMar>
            <w:top w:w="0" w:type="dxa"/>
            <w:left w:w="108" w:type="dxa"/>
            <w:bottom w:w="0" w:type="dxa"/>
            <w:right w:w="108" w:type="dxa"/>
          </w:tblCellMar>
        </w:tblPrEx>
        <w:trPr>
          <w:cantSplit/>
          <w:tblHeader/>
          <w:jc w:val="center"/>
        </w:trPr>
        <w:tc>
          <w:tcPr>
            <w:tcW w:w="675" w:type="pct"/>
            <w:tcBorders>
              <w:top w:val="single" w:color="808080" w:sz="4" w:space="0"/>
              <w:left w:val="single" w:color="808080" w:sz="4" w:space="0"/>
              <w:bottom w:val="single" w:color="808080" w:sz="4" w:space="0"/>
              <w:right w:val="single" w:color="808080" w:sz="4" w:space="0"/>
            </w:tcBorders>
            <w:vAlign w:val="center"/>
          </w:tcPr>
          <w:p>
            <w:pPr>
              <w:pStyle w:val="47"/>
              <w:bidi w:val="0"/>
            </w:pPr>
            <w:r>
              <w:t>指标</w:t>
            </w:r>
          </w:p>
        </w:tc>
        <w:tc>
          <w:tcPr>
            <w:tcW w:w="1322" w:type="pct"/>
            <w:tcBorders>
              <w:top w:val="single" w:color="808080" w:sz="4" w:space="0"/>
              <w:left w:val="single" w:color="808080" w:sz="4" w:space="0"/>
              <w:bottom w:val="single" w:color="808080" w:sz="4" w:space="0"/>
              <w:right w:val="single" w:color="808080" w:sz="4" w:space="0"/>
            </w:tcBorders>
            <w:vAlign w:val="center"/>
          </w:tcPr>
          <w:p>
            <w:pPr>
              <w:pStyle w:val="47"/>
              <w:bidi w:val="0"/>
            </w:pPr>
            <w:r>
              <w:t>全氮（g/kg）</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全磷（g/kg）</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全钾（g/kg）</w:t>
            </w:r>
          </w:p>
        </w:tc>
      </w:tr>
      <w:tr>
        <w:tblPrEx>
          <w:tblCellMar>
            <w:top w:w="0" w:type="dxa"/>
            <w:left w:w="108" w:type="dxa"/>
            <w:bottom w:w="0" w:type="dxa"/>
            <w:right w:w="108" w:type="dxa"/>
          </w:tblCellMar>
        </w:tblPrEx>
        <w:trPr>
          <w:cantSplit/>
          <w:jc w:val="center"/>
        </w:trPr>
        <w:tc>
          <w:tcPr>
            <w:tcW w:w="675" w:type="pct"/>
            <w:tcBorders>
              <w:top w:val="single" w:color="808080" w:sz="4" w:space="0"/>
              <w:left w:val="single" w:color="808080" w:sz="4" w:space="0"/>
              <w:bottom w:val="single" w:color="808080" w:sz="4" w:space="0"/>
              <w:right w:val="single" w:color="808080" w:sz="4" w:space="0"/>
            </w:tcBorders>
            <w:vAlign w:val="center"/>
          </w:tcPr>
          <w:p>
            <w:pPr>
              <w:pStyle w:val="47"/>
              <w:bidi w:val="0"/>
            </w:pPr>
            <w:r>
              <w:t>平均值</w:t>
            </w:r>
          </w:p>
        </w:tc>
        <w:tc>
          <w:tcPr>
            <w:tcW w:w="1322" w:type="pct"/>
            <w:tcBorders>
              <w:top w:val="single" w:color="808080" w:sz="4" w:space="0"/>
              <w:left w:val="single" w:color="808080" w:sz="4" w:space="0"/>
              <w:bottom w:val="single" w:color="808080" w:sz="4" w:space="0"/>
              <w:right w:val="single" w:color="808080" w:sz="4" w:space="0"/>
            </w:tcBorders>
            <w:vAlign w:val="center"/>
          </w:tcPr>
          <w:p>
            <w:pPr>
              <w:pStyle w:val="47"/>
              <w:bidi w:val="0"/>
            </w:pPr>
            <w:r>
              <w:t>1.06</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0.75</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13.43</w:t>
            </w:r>
          </w:p>
        </w:tc>
      </w:tr>
      <w:tr>
        <w:tblPrEx>
          <w:tblCellMar>
            <w:top w:w="0" w:type="dxa"/>
            <w:left w:w="108" w:type="dxa"/>
            <w:bottom w:w="0" w:type="dxa"/>
            <w:right w:w="108" w:type="dxa"/>
          </w:tblCellMar>
        </w:tblPrEx>
        <w:trPr>
          <w:cantSplit/>
          <w:jc w:val="center"/>
        </w:trPr>
        <w:tc>
          <w:tcPr>
            <w:tcW w:w="675" w:type="pct"/>
            <w:tcBorders>
              <w:top w:val="single" w:color="808080" w:sz="4" w:space="0"/>
              <w:left w:val="single" w:color="808080" w:sz="4" w:space="0"/>
              <w:bottom w:val="single" w:color="808080" w:sz="4" w:space="0"/>
              <w:right w:val="single" w:color="808080" w:sz="4" w:space="0"/>
            </w:tcBorders>
            <w:vAlign w:val="center"/>
          </w:tcPr>
          <w:p>
            <w:pPr>
              <w:pStyle w:val="47"/>
              <w:bidi w:val="0"/>
            </w:pPr>
            <w:r>
              <w:t>样点数</w:t>
            </w:r>
          </w:p>
        </w:tc>
        <w:tc>
          <w:tcPr>
            <w:tcW w:w="1322" w:type="pct"/>
            <w:tcBorders>
              <w:top w:val="single" w:color="808080" w:sz="4" w:space="0"/>
              <w:left w:val="single" w:color="808080" w:sz="4" w:space="0"/>
              <w:bottom w:val="single" w:color="808080" w:sz="4" w:space="0"/>
              <w:right w:val="single" w:color="808080" w:sz="4" w:space="0"/>
            </w:tcBorders>
            <w:vAlign w:val="center"/>
          </w:tcPr>
          <w:p>
            <w:pPr>
              <w:pStyle w:val="47"/>
              <w:bidi w:val="0"/>
            </w:pPr>
            <w:r>
              <w:t>636</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636</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636</w:t>
            </w:r>
          </w:p>
        </w:tc>
      </w:tr>
    </w:tbl>
    <w:p>
      <w:pPr>
        <w:keepNext/>
        <w:spacing w:before="140" w:line="360" w:lineRule="auto"/>
        <w:ind w:firstLine="482"/>
        <w:jc w:val="center"/>
        <w:rPr>
          <w:rFonts w:cs="Times New Roman"/>
          <w:szCs w:val="24"/>
          <w:lang w:eastAsia="zh-CN"/>
        </w:rPr>
      </w:pPr>
      <w:r>
        <w:rPr>
          <w:rFonts w:cs="Times New Roman"/>
          <w:b/>
          <w:szCs w:val="24"/>
          <w:lang w:eastAsia="zh-CN"/>
        </w:rPr>
        <w:t>表3.4 泊头市土壤调查样点有效态养分统计</w:t>
      </w:r>
    </w:p>
    <w:tbl>
      <w:tblPr>
        <w:tblStyle w:val="32"/>
        <w:tblW w:w="4995" w:type="pct"/>
        <w:jc w:val="center"/>
        <w:tblLayout w:type="autofit"/>
        <w:tblCellMar>
          <w:top w:w="0" w:type="dxa"/>
          <w:left w:w="108" w:type="dxa"/>
          <w:bottom w:w="0" w:type="dxa"/>
          <w:right w:w="108" w:type="dxa"/>
        </w:tblCellMar>
      </w:tblPr>
      <w:tblGrid>
        <w:gridCol w:w="367"/>
        <w:gridCol w:w="906"/>
        <w:gridCol w:w="906"/>
        <w:gridCol w:w="906"/>
        <w:gridCol w:w="906"/>
        <w:gridCol w:w="906"/>
        <w:gridCol w:w="906"/>
        <w:gridCol w:w="906"/>
        <w:gridCol w:w="906"/>
        <w:gridCol w:w="907"/>
      </w:tblGrid>
      <w:tr>
        <w:tblPrEx>
          <w:tblCellMar>
            <w:top w:w="0" w:type="dxa"/>
            <w:left w:w="108" w:type="dxa"/>
            <w:bottom w:w="0" w:type="dxa"/>
            <w:right w:w="108" w:type="dxa"/>
          </w:tblCellMar>
        </w:tblPrEx>
        <w:trPr>
          <w:cantSplit/>
          <w:trHeight w:val="1263" w:hRule="atLeast"/>
          <w:tblHeader/>
          <w:jc w:val="center"/>
        </w:trPr>
        <w:tc>
          <w:tcPr>
            <w:tcW w:w="354" w:type="pct"/>
            <w:tcBorders>
              <w:top w:val="single" w:color="808080" w:sz="4" w:space="0"/>
              <w:left w:val="single" w:color="808080" w:sz="4" w:space="0"/>
              <w:bottom w:val="single" w:color="808080" w:sz="4" w:space="0"/>
              <w:right w:val="single" w:color="808080" w:sz="4" w:space="0"/>
            </w:tcBorders>
            <w:vAlign w:val="center"/>
          </w:tcPr>
          <w:p>
            <w:pPr>
              <w:pStyle w:val="47"/>
              <w:bidi w:val="0"/>
            </w:pPr>
            <w:r>
              <w:t>指标</w:t>
            </w:r>
          </w:p>
        </w:tc>
        <w:tc>
          <w:tcPr>
            <w:tcW w:w="469" w:type="pct"/>
            <w:tcBorders>
              <w:top w:val="single" w:color="808080" w:sz="4" w:space="0"/>
              <w:left w:val="single" w:color="808080" w:sz="4" w:space="0"/>
              <w:bottom w:val="single" w:color="808080" w:sz="4" w:space="0"/>
              <w:right w:val="single" w:color="808080" w:sz="4" w:space="0"/>
            </w:tcBorders>
            <w:vAlign w:val="center"/>
          </w:tcPr>
          <w:p>
            <w:pPr>
              <w:pStyle w:val="47"/>
              <w:bidi w:val="0"/>
              <w:rPr>
                <w:lang w:eastAsia="zh-CN"/>
              </w:rPr>
            </w:pPr>
            <w:r>
              <w:t>有效磷</w:t>
            </w:r>
          </w:p>
          <w:p>
            <w:pPr>
              <w:pStyle w:val="47"/>
              <w:bidi w:val="0"/>
            </w:pPr>
            <w:r>
              <w:t>（</w:t>
            </w:r>
            <w:r>
              <w:rPr>
                <w:rFonts w:hint="eastAsia"/>
                <w:lang w:eastAsia="zh-CN"/>
              </w:rPr>
              <w:t>m</w:t>
            </w:r>
            <w:r>
              <w:t>g/kg）</w:t>
            </w:r>
          </w:p>
        </w:tc>
        <w:tc>
          <w:tcPr>
            <w:tcW w:w="459" w:type="pct"/>
            <w:tcBorders>
              <w:top w:val="single" w:color="808080" w:sz="4" w:space="0"/>
              <w:left w:val="single" w:color="808080" w:sz="4" w:space="0"/>
              <w:bottom w:val="single" w:color="808080" w:sz="4" w:space="0"/>
              <w:right w:val="single" w:color="808080" w:sz="4" w:space="0"/>
            </w:tcBorders>
            <w:vAlign w:val="center"/>
          </w:tcPr>
          <w:p>
            <w:pPr>
              <w:pStyle w:val="47"/>
              <w:bidi w:val="0"/>
              <w:rPr>
                <w:lang w:eastAsia="zh-CN"/>
              </w:rPr>
            </w:pPr>
            <w:r>
              <w:t>速效钾</w:t>
            </w:r>
          </w:p>
          <w:p>
            <w:pPr>
              <w:pStyle w:val="47"/>
              <w:bidi w:val="0"/>
              <w:rPr>
                <w:lang w:eastAsia="zh-CN"/>
              </w:rPr>
            </w:pPr>
            <w:r>
              <w:t>（</w:t>
            </w:r>
            <w:r>
              <w:rPr>
                <w:rFonts w:hint="eastAsia"/>
                <w:lang w:eastAsia="zh-CN"/>
              </w:rPr>
              <w:t>m</w:t>
            </w:r>
            <w:r>
              <w:t>g/kg）</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rPr>
                <w:lang w:eastAsia="zh-CN"/>
              </w:rPr>
            </w:pPr>
            <w:r>
              <w:t>有效硫</w:t>
            </w:r>
          </w:p>
          <w:p>
            <w:pPr>
              <w:pStyle w:val="47"/>
              <w:bidi w:val="0"/>
              <w:rPr>
                <w:lang w:eastAsia="zh-CN"/>
              </w:rPr>
            </w:pPr>
            <w:r>
              <w:t>（</w:t>
            </w:r>
            <w:r>
              <w:rPr>
                <w:rFonts w:hint="eastAsia"/>
                <w:lang w:eastAsia="zh-CN"/>
              </w:rPr>
              <w:t>m</w:t>
            </w:r>
            <w:r>
              <w:t>g/kg）</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rPr>
                <w:lang w:eastAsia="zh-CN"/>
              </w:rPr>
            </w:pPr>
            <w:r>
              <w:t>有效铁</w:t>
            </w:r>
          </w:p>
          <w:p>
            <w:pPr>
              <w:pStyle w:val="47"/>
              <w:bidi w:val="0"/>
              <w:rPr>
                <w:lang w:eastAsia="zh-CN"/>
              </w:rPr>
            </w:pPr>
            <w:r>
              <w:t>（</w:t>
            </w:r>
            <w:r>
              <w:rPr>
                <w:rFonts w:hint="eastAsia"/>
                <w:lang w:eastAsia="zh-CN"/>
              </w:rPr>
              <w:t>m</w:t>
            </w:r>
            <w:r>
              <w:t>g/kg）</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rPr>
                <w:lang w:eastAsia="zh-CN"/>
              </w:rPr>
            </w:pPr>
            <w:r>
              <w:t>有效锰</w:t>
            </w:r>
          </w:p>
          <w:p>
            <w:pPr>
              <w:pStyle w:val="47"/>
              <w:bidi w:val="0"/>
              <w:rPr>
                <w:lang w:eastAsia="zh-CN"/>
              </w:rPr>
            </w:pPr>
            <w:r>
              <w:t>（</w:t>
            </w:r>
            <w:r>
              <w:rPr>
                <w:rFonts w:hint="eastAsia"/>
                <w:lang w:eastAsia="zh-CN"/>
              </w:rPr>
              <w:t>m</w:t>
            </w:r>
            <w:r>
              <w:t>g/kg）</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rPr>
                <w:lang w:eastAsia="zh-CN"/>
              </w:rPr>
            </w:pPr>
            <w:r>
              <w:t>有效铜</w:t>
            </w:r>
          </w:p>
          <w:p>
            <w:pPr>
              <w:pStyle w:val="47"/>
              <w:bidi w:val="0"/>
              <w:rPr>
                <w:lang w:eastAsia="zh-CN"/>
              </w:rPr>
            </w:pPr>
            <w:r>
              <w:t>（</w:t>
            </w:r>
            <w:r>
              <w:rPr>
                <w:rFonts w:hint="eastAsia"/>
                <w:lang w:eastAsia="zh-CN"/>
              </w:rPr>
              <w:t>m</w:t>
            </w:r>
            <w:r>
              <w:t>g/kg）</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rPr>
                <w:lang w:eastAsia="zh-CN"/>
              </w:rPr>
            </w:pPr>
            <w:r>
              <w:t>有效锌</w:t>
            </w:r>
          </w:p>
          <w:p>
            <w:pPr>
              <w:pStyle w:val="47"/>
              <w:bidi w:val="0"/>
              <w:rPr>
                <w:lang w:eastAsia="zh-CN"/>
              </w:rPr>
            </w:pPr>
            <w:r>
              <w:t>（</w:t>
            </w:r>
            <w:r>
              <w:rPr>
                <w:rFonts w:hint="eastAsia"/>
                <w:lang w:eastAsia="zh-CN"/>
              </w:rPr>
              <w:t>m</w:t>
            </w:r>
            <w:r>
              <w:t>g/kg）</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rPr>
                <w:lang w:eastAsia="zh-CN"/>
              </w:rPr>
            </w:pPr>
            <w:r>
              <w:t>有效硼</w:t>
            </w:r>
          </w:p>
          <w:p>
            <w:pPr>
              <w:pStyle w:val="47"/>
              <w:bidi w:val="0"/>
              <w:rPr>
                <w:lang w:eastAsia="zh-CN"/>
              </w:rPr>
            </w:pPr>
            <w:r>
              <w:t>（</w:t>
            </w:r>
            <w:r>
              <w:rPr>
                <w:rFonts w:hint="eastAsia"/>
                <w:lang w:eastAsia="zh-CN"/>
              </w:rPr>
              <w:t>m</w:t>
            </w:r>
            <w:r>
              <w:t>g/kg）</w:t>
            </w:r>
          </w:p>
        </w:tc>
        <w:tc>
          <w:tcPr>
            <w:tcW w:w="715" w:type="pct"/>
            <w:tcBorders>
              <w:top w:val="single" w:color="808080" w:sz="4" w:space="0"/>
              <w:left w:val="single" w:color="808080" w:sz="4" w:space="0"/>
              <w:bottom w:val="single" w:color="808080" w:sz="4" w:space="0"/>
              <w:right w:val="single" w:color="808080" w:sz="4" w:space="0"/>
            </w:tcBorders>
            <w:vAlign w:val="center"/>
          </w:tcPr>
          <w:p>
            <w:pPr>
              <w:pStyle w:val="47"/>
              <w:bidi w:val="0"/>
            </w:pPr>
            <w:r>
              <w:t>有效钼（</w:t>
            </w:r>
            <w:r>
              <w:rPr>
                <w:rFonts w:hint="eastAsia"/>
                <w:lang w:eastAsia="zh-CN"/>
              </w:rPr>
              <w:t>m</w:t>
            </w:r>
            <w:r>
              <w:t>g/kg）</w:t>
            </w:r>
          </w:p>
        </w:tc>
      </w:tr>
      <w:tr>
        <w:tblPrEx>
          <w:tblCellMar>
            <w:top w:w="0" w:type="dxa"/>
            <w:left w:w="108" w:type="dxa"/>
            <w:bottom w:w="0" w:type="dxa"/>
            <w:right w:w="108" w:type="dxa"/>
          </w:tblCellMar>
        </w:tblPrEx>
        <w:trPr>
          <w:cantSplit/>
          <w:trHeight w:val="753" w:hRule="atLeast"/>
          <w:jc w:val="center"/>
        </w:trPr>
        <w:tc>
          <w:tcPr>
            <w:tcW w:w="354" w:type="pct"/>
            <w:tcBorders>
              <w:top w:val="single" w:color="808080" w:sz="4" w:space="0"/>
              <w:left w:val="single" w:color="808080" w:sz="4" w:space="0"/>
              <w:bottom w:val="single" w:color="808080" w:sz="4" w:space="0"/>
              <w:right w:val="single" w:color="808080" w:sz="4" w:space="0"/>
            </w:tcBorders>
            <w:vAlign w:val="center"/>
          </w:tcPr>
          <w:p>
            <w:pPr>
              <w:pStyle w:val="47"/>
              <w:bidi w:val="0"/>
            </w:pPr>
            <w:r>
              <w:t>平均值</w:t>
            </w:r>
          </w:p>
        </w:tc>
        <w:tc>
          <w:tcPr>
            <w:tcW w:w="469" w:type="pct"/>
            <w:tcBorders>
              <w:top w:val="single" w:color="808080" w:sz="4" w:space="0"/>
              <w:left w:val="single" w:color="808080" w:sz="4" w:space="0"/>
              <w:bottom w:val="single" w:color="808080" w:sz="4" w:space="0"/>
              <w:right w:val="single" w:color="808080" w:sz="4" w:space="0"/>
            </w:tcBorders>
            <w:vAlign w:val="center"/>
          </w:tcPr>
          <w:p>
            <w:pPr>
              <w:pStyle w:val="47"/>
              <w:bidi w:val="0"/>
            </w:pPr>
            <w:r>
              <w:t>11.53</w:t>
            </w:r>
          </w:p>
        </w:tc>
        <w:tc>
          <w:tcPr>
            <w:tcW w:w="459" w:type="pct"/>
            <w:tcBorders>
              <w:top w:val="single" w:color="808080" w:sz="4" w:space="0"/>
              <w:left w:val="single" w:color="808080" w:sz="4" w:space="0"/>
              <w:bottom w:val="single" w:color="808080" w:sz="4" w:space="0"/>
              <w:right w:val="single" w:color="808080" w:sz="4" w:space="0"/>
            </w:tcBorders>
            <w:vAlign w:val="center"/>
          </w:tcPr>
          <w:p>
            <w:pPr>
              <w:pStyle w:val="47"/>
              <w:bidi w:val="0"/>
            </w:pPr>
            <w:r>
              <w:t>184.64</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pPr>
            <w:r>
              <w:t>15.12</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pPr>
            <w:r>
              <w:t>20.94</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pPr>
            <w:r>
              <w:t>50.36</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pPr>
            <w:r>
              <w:t>2.67</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pPr>
            <w:r>
              <w:t>1.35</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pPr>
            <w:r>
              <w:t>1.08</w:t>
            </w:r>
          </w:p>
        </w:tc>
        <w:tc>
          <w:tcPr>
            <w:tcW w:w="715" w:type="pct"/>
            <w:tcBorders>
              <w:top w:val="single" w:color="808080" w:sz="4" w:space="0"/>
              <w:left w:val="single" w:color="808080" w:sz="4" w:space="0"/>
              <w:bottom w:val="single" w:color="808080" w:sz="4" w:space="0"/>
              <w:right w:val="single" w:color="808080" w:sz="4" w:space="0"/>
            </w:tcBorders>
            <w:vAlign w:val="center"/>
          </w:tcPr>
          <w:p>
            <w:pPr>
              <w:pStyle w:val="47"/>
              <w:bidi w:val="0"/>
            </w:pPr>
            <w:r>
              <w:t>0.105</w:t>
            </w:r>
          </w:p>
        </w:tc>
      </w:tr>
      <w:tr>
        <w:tblPrEx>
          <w:tblCellMar>
            <w:top w:w="0" w:type="dxa"/>
            <w:left w:w="108" w:type="dxa"/>
            <w:bottom w:w="0" w:type="dxa"/>
            <w:right w:w="108" w:type="dxa"/>
          </w:tblCellMar>
        </w:tblPrEx>
        <w:trPr>
          <w:cantSplit/>
          <w:trHeight w:val="487" w:hRule="atLeast"/>
          <w:jc w:val="center"/>
        </w:trPr>
        <w:tc>
          <w:tcPr>
            <w:tcW w:w="354" w:type="pct"/>
            <w:tcBorders>
              <w:top w:val="single" w:color="808080" w:sz="4" w:space="0"/>
              <w:left w:val="single" w:color="808080" w:sz="4" w:space="0"/>
              <w:bottom w:val="single" w:color="808080" w:sz="4" w:space="0"/>
              <w:right w:val="single" w:color="808080" w:sz="4" w:space="0"/>
            </w:tcBorders>
            <w:vAlign w:val="center"/>
          </w:tcPr>
          <w:p>
            <w:pPr>
              <w:pStyle w:val="47"/>
              <w:bidi w:val="0"/>
            </w:pPr>
            <w:r>
              <w:t>样点数</w:t>
            </w:r>
          </w:p>
        </w:tc>
        <w:tc>
          <w:tcPr>
            <w:tcW w:w="469" w:type="pct"/>
            <w:tcBorders>
              <w:top w:val="single" w:color="808080" w:sz="4" w:space="0"/>
              <w:left w:val="single" w:color="808080" w:sz="4" w:space="0"/>
              <w:bottom w:val="single" w:color="808080" w:sz="4" w:space="0"/>
              <w:right w:val="single" w:color="808080" w:sz="4" w:space="0"/>
            </w:tcBorders>
            <w:vAlign w:val="center"/>
          </w:tcPr>
          <w:p>
            <w:pPr>
              <w:pStyle w:val="47"/>
              <w:bidi w:val="0"/>
            </w:pPr>
            <w:r>
              <w:t>636</w:t>
            </w:r>
          </w:p>
        </w:tc>
        <w:tc>
          <w:tcPr>
            <w:tcW w:w="459" w:type="pct"/>
            <w:tcBorders>
              <w:top w:val="single" w:color="808080" w:sz="4" w:space="0"/>
              <w:left w:val="single" w:color="808080" w:sz="4" w:space="0"/>
              <w:bottom w:val="single" w:color="808080" w:sz="4" w:space="0"/>
              <w:right w:val="single" w:color="808080" w:sz="4" w:space="0"/>
            </w:tcBorders>
            <w:vAlign w:val="center"/>
          </w:tcPr>
          <w:p>
            <w:pPr>
              <w:pStyle w:val="47"/>
              <w:bidi w:val="0"/>
            </w:pPr>
            <w:r>
              <w:t>636</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pPr>
            <w:r>
              <w:t>626</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pPr>
            <w:r>
              <w:t>626</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pPr>
            <w:r>
              <w:t>626</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pPr>
            <w:r>
              <w:t>626</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pPr>
            <w:r>
              <w:t>626</w:t>
            </w:r>
          </w:p>
        </w:tc>
        <w:tc>
          <w:tcPr>
            <w:tcW w:w="500" w:type="pct"/>
            <w:tcBorders>
              <w:top w:val="single" w:color="808080" w:sz="4" w:space="0"/>
              <w:left w:val="single" w:color="808080" w:sz="4" w:space="0"/>
              <w:bottom w:val="single" w:color="808080" w:sz="4" w:space="0"/>
              <w:right w:val="single" w:color="808080" w:sz="4" w:space="0"/>
            </w:tcBorders>
            <w:vAlign w:val="center"/>
          </w:tcPr>
          <w:p>
            <w:pPr>
              <w:pStyle w:val="47"/>
              <w:bidi w:val="0"/>
            </w:pPr>
            <w:r>
              <w:t>626</w:t>
            </w:r>
          </w:p>
        </w:tc>
        <w:tc>
          <w:tcPr>
            <w:tcW w:w="715" w:type="pct"/>
            <w:tcBorders>
              <w:top w:val="single" w:color="808080" w:sz="4" w:space="0"/>
              <w:left w:val="single" w:color="808080" w:sz="4" w:space="0"/>
              <w:bottom w:val="single" w:color="808080" w:sz="4" w:space="0"/>
              <w:right w:val="single" w:color="808080" w:sz="4" w:space="0"/>
            </w:tcBorders>
            <w:vAlign w:val="center"/>
          </w:tcPr>
          <w:p>
            <w:pPr>
              <w:pStyle w:val="47"/>
              <w:bidi w:val="0"/>
            </w:pPr>
            <w:r>
              <w:t>626</w:t>
            </w:r>
          </w:p>
        </w:tc>
      </w:tr>
    </w:tbl>
    <w:p>
      <w:pPr>
        <w:keepNext/>
        <w:spacing w:before="140" w:line="360" w:lineRule="auto"/>
        <w:ind w:firstLine="482"/>
        <w:jc w:val="center"/>
        <w:rPr>
          <w:rFonts w:cs="Times New Roman"/>
          <w:szCs w:val="24"/>
          <w:lang w:eastAsia="zh-CN"/>
        </w:rPr>
      </w:pPr>
      <w:r>
        <w:rPr>
          <w:rFonts w:cs="Times New Roman"/>
          <w:b/>
          <w:szCs w:val="24"/>
          <w:lang w:eastAsia="zh-CN"/>
        </w:rPr>
        <w:t>表3.5 泊头市土壤调查样点酸碱性及交换性能统计</w:t>
      </w:r>
    </w:p>
    <w:tbl>
      <w:tblPr>
        <w:tblStyle w:val="32"/>
        <w:tblW w:w="4998" w:type="pct"/>
        <w:jc w:val="center"/>
        <w:tblLayout w:type="autofit"/>
        <w:tblCellMar>
          <w:top w:w="0" w:type="dxa"/>
          <w:left w:w="108" w:type="dxa"/>
          <w:bottom w:w="0" w:type="dxa"/>
          <w:right w:w="108" w:type="dxa"/>
        </w:tblCellMar>
      </w:tblPr>
      <w:tblGrid>
        <w:gridCol w:w="1021"/>
        <w:gridCol w:w="1743"/>
        <w:gridCol w:w="1918"/>
        <w:gridCol w:w="1918"/>
        <w:gridCol w:w="1919"/>
      </w:tblGrid>
      <w:tr>
        <w:tblPrEx>
          <w:tblCellMar>
            <w:top w:w="0" w:type="dxa"/>
            <w:left w:w="108" w:type="dxa"/>
            <w:bottom w:w="0" w:type="dxa"/>
            <w:right w:w="108" w:type="dxa"/>
          </w:tblCellMar>
        </w:tblPrEx>
        <w:trPr>
          <w:cantSplit/>
          <w:tblHeader/>
          <w:jc w:val="center"/>
        </w:trPr>
        <w:tc>
          <w:tcPr>
            <w:tcW w:w="599" w:type="pct"/>
            <w:tcBorders>
              <w:top w:val="single" w:color="808080" w:sz="4" w:space="0"/>
              <w:left w:val="single" w:color="808080" w:sz="4" w:space="0"/>
              <w:bottom w:val="single" w:color="808080" w:sz="4" w:space="0"/>
              <w:right w:val="single" w:color="808080" w:sz="4" w:space="0"/>
            </w:tcBorders>
            <w:vAlign w:val="center"/>
          </w:tcPr>
          <w:p>
            <w:pPr>
              <w:pStyle w:val="47"/>
              <w:bidi w:val="0"/>
            </w:pPr>
            <w:r>
              <w:t>指标</w:t>
            </w:r>
          </w:p>
        </w:tc>
        <w:tc>
          <w:tcPr>
            <w:tcW w:w="1022" w:type="pct"/>
            <w:tcBorders>
              <w:top w:val="single" w:color="808080" w:sz="4" w:space="0"/>
              <w:left w:val="single" w:color="808080" w:sz="4" w:space="0"/>
              <w:bottom w:val="single" w:color="808080" w:sz="4" w:space="0"/>
              <w:right w:val="single" w:color="808080" w:sz="4" w:space="0"/>
            </w:tcBorders>
            <w:vAlign w:val="center"/>
          </w:tcPr>
          <w:p>
            <w:pPr>
              <w:pStyle w:val="47"/>
              <w:bidi w:val="0"/>
            </w:pPr>
            <w:r>
              <w:t>pH</w:t>
            </w:r>
            <w:r>
              <w:br w:type="textWrapping"/>
            </w:r>
            <w:r>
              <w:t>（无量纲）</w:t>
            </w:r>
          </w:p>
        </w:tc>
        <w:tc>
          <w:tcPr>
            <w:tcW w:w="1125" w:type="pct"/>
            <w:tcBorders>
              <w:top w:val="single" w:color="808080" w:sz="4" w:space="0"/>
              <w:left w:val="single" w:color="808080" w:sz="4" w:space="0"/>
              <w:bottom w:val="single" w:color="808080" w:sz="4" w:space="0"/>
              <w:right w:val="single" w:color="808080" w:sz="4" w:space="0"/>
            </w:tcBorders>
            <w:vAlign w:val="center"/>
          </w:tcPr>
          <w:p>
            <w:pPr>
              <w:pStyle w:val="47"/>
              <w:bidi w:val="0"/>
              <w:rPr>
                <w:lang w:eastAsia="zh-CN"/>
              </w:rPr>
            </w:pPr>
            <w:r>
              <w:rPr>
                <w:lang w:eastAsia="zh-CN"/>
              </w:rPr>
              <w:t>阳离子交换量</w:t>
            </w:r>
          </w:p>
          <w:p>
            <w:pPr>
              <w:pStyle w:val="47"/>
              <w:bidi w:val="0"/>
              <w:rPr>
                <w:lang w:eastAsia="zh-CN"/>
              </w:rPr>
            </w:pPr>
            <w:r>
              <w:rPr>
                <w:lang w:eastAsia="zh-CN"/>
              </w:rPr>
              <w:t>（cmol(+)/kg）</w:t>
            </w:r>
          </w:p>
        </w:tc>
        <w:tc>
          <w:tcPr>
            <w:tcW w:w="1125" w:type="pct"/>
            <w:tcBorders>
              <w:top w:val="single" w:color="808080" w:sz="4" w:space="0"/>
              <w:left w:val="single" w:color="808080" w:sz="4" w:space="0"/>
              <w:bottom w:val="single" w:color="808080" w:sz="4" w:space="0"/>
              <w:right w:val="single" w:color="808080" w:sz="4" w:space="0"/>
            </w:tcBorders>
            <w:vAlign w:val="center"/>
          </w:tcPr>
          <w:p>
            <w:pPr>
              <w:pStyle w:val="47"/>
              <w:bidi w:val="0"/>
              <w:rPr>
                <w:lang w:eastAsia="zh-CN"/>
              </w:rPr>
            </w:pPr>
            <w:r>
              <w:rPr>
                <w:lang w:eastAsia="zh-CN"/>
              </w:rPr>
              <w:t>交换性钠</w:t>
            </w:r>
          </w:p>
          <w:p>
            <w:pPr>
              <w:pStyle w:val="47"/>
              <w:bidi w:val="0"/>
              <w:rPr>
                <w:lang w:eastAsia="zh-CN"/>
              </w:rPr>
            </w:pPr>
            <w:r>
              <w:rPr>
                <w:lang w:eastAsia="zh-CN"/>
              </w:rPr>
              <w:t>（cmol(+)/kg）</w:t>
            </w:r>
          </w:p>
        </w:tc>
        <w:tc>
          <w:tcPr>
            <w:tcW w:w="1125" w:type="pct"/>
            <w:tcBorders>
              <w:top w:val="single" w:color="808080" w:sz="4" w:space="0"/>
              <w:left w:val="single" w:color="808080" w:sz="4" w:space="0"/>
              <w:bottom w:val="single" w:color="808080" w:sz="4" w:space="0"/>
              <w:right w:val="single" w:color="808080" w:sz="4" w:space="0"/>
            </w:tcBorders>
            <w:vAlign w:val="center"/>
          </w:tcPr>
          <w:p>
            <w:pPr>
              <w:pStyle w:val="47"/>
              <w:bidi w:val="0"/>
              <w:rPr>
                <w:lang w:eastAsia="zh-CN"/>
              </w:rPr>
            </w:pPr>
            <w:r>
              <w:rPr>
                <w:lang w:eastAsia="zh-CN"/>
              </w:rPr>
              <w:t>交换性钾</w:t>
            </w:r>
          </w:p>
          <w:p>
            <w:pPr>
              <w:pStyle w:val="47"/>
              <w:bidi w:val="0"/>
              <w:rPr>
                <w:lang w:eastAsia="zh-CN"/>
              </w:rPr>
            </w:pPr>
            <w:r>
              <w:rPr>
                <w:lang w:eastAsia="zh-CN"/>
              </w:rPr>
              <w:t>（cmol(+)/kg）</w:t>
            </w:r>
          </w:p>
        </w:tc>
      </w:tr>
      <w:tr>
        <w:tblPrEx>
          <w:tblCellMar>
            <w:top w:w="0" w:type="dxa"/>
            <w:left w:w="108" w:type="dxa"/>
            <w:bottom w:w="0" w:type="dxa"/>
            <w:right w:w="108" w:type="dxa"/>
          </w:tblCellMar>
        </w:tblPrEx>
        <w:trPr>
          <w:cantSplit/>
          <w:jc w:val="center"/>
        </w:trPr>
        <w:tc>
          <w:tcPr>
            <w:tcW w:w="599" w:type="pct"/>
            <w:tcBorders>
              <w:top w:val="single" w:color="808080" w:sz="4" w:space="0"/>
              <w:left w:val="single" w:color="808080" w:sz="4" w:space="0"/>
              <w:bottom w:val="single" w:color="808080" w:sz="4" w:space="0"/>
              <w:right w:val="single" w:color="808080" w:sz="4" w:space="0"/>
            </w:tcBorders>
            <w:vAlign w:val="center"/>
          </w:tcPr>
          <w:p>
            <w:pPr>
              <w:pStyle w:val="47"/>
              <w:bidi w:val="0"/>
            </w:pPr>
            <w:r>
              <w:t>平均值</w:t>
            </w:r>
          </w:p>
        </w:tc>
        <w:tc>
          <w:tcPr>
            <w:tcW w:w="1022" w:type="pct"/>
            <w:tcBorders>
              <w:top w:val="single" w:color="808080" w:sz="4" w:space="0"/>
              <w:left w:val="single" w:color="808080" w:sz="4" w:space="0"/>
              <w:bottom w:val="single" w:color="808080" w:sz="4" w:space="0"/>
              <w:right w:val="single" w:color="808080" w:sz="4" w:space="0"/>
            </w:tcBorders>
            <w:vAlign w:val="center"/>
          </w:tcPr>
          <w:p>
            <w:pPr>
              <w:pStyle w:val="47"/>
              <w:bidi w:val="0"/>
            </w:pPr>
            <w:r>
              <w:t>8.20</w:t>
            </w:r>
          </w:p>
        </w:tc>
        <w:tc>
          <w:tcPr>
            <w:tcW w:w="1125" w:type="pct"/>
            <w:tcBorders>
              <w:top w:val="single" w:color="808080" w:sz="4" w:space="0"/>
              <w:left w:val="single" w:color="808080" w:sz="4" w:space="0"/>
              <w:bottom w:val="single" w:color="808080" w:sz="4" w:space="0"/>
              <w:right w:val="single" w:color="808080" w:sz="4" w:space="0"/>
            </w:tcBorders>
            <w:vAlign w:val="center"/>
          </w:tcPr>
          <w:p>
            <w:pPr>
              <w:pStyle w:val="47"/>
              <w:bidi w:val="0"/>
            </w:pPr>
            <w:r>
              <w:t>12.56</w:t>
            </w:r>
          </w:p>
        </w:tc>
        <w:tc>
          <w:tcPr>
            <w:tcW w:w="1125" w:type="pct"/>
            <w:tcBorders>
              <w:top w:val="single" w:color="808080" w:sz="4" w:space="0"/>
              <w:left w:val="single" w:color="808080" w:sz="4" w:space="0"/>
              <w:bottom w:val="single" w:color="808080" w:sz="4" w:space="0"/>
              <w:right w:val="single" w:color="808080" w:sz="4" w:space="0"/>
            </w:tcBorders>
            <w:vAlign w:val="center"/>
          </w:tcPr>
          <w:p>
            <w:pPr>
              <w:pStyle w:val="47"/>
              <w:bidi w:val="0"/>
            </w:pPr>
            <w:r>
              <w:t>0.36</w:t>
            </w:r>
          </w:p>
        </w:tc>
        <w:tc>
          <w:tcPr>
            <w:tcW w:w="1125" w:type="pct"/>
            <w:tcBorders>
              <w:top w:val="single" w:color="808080" w:sz="4" w:space="0"/>
              <w:left w:val="single" w:color="808080" w:sz="4" w:space="0"/>
              <w:bottom w:val="single" w:color="808080" w:sz="4" w:space="0"/>
              <w:right w:val="single" w:color="808080" w:sz="4" w:space="0"/>
            </w:tcBorders>
            <w:vAlign w:val="center"/>
          </w:tcPr>
          <w:p>
            <w:pPr>
              <w:pStyle w:val="47"/>
              <w:bidi w:val="0"/>
            </w:pPr>
            <w:r>
              <w:t>0.29</w:t>
            </w:r>
          </w:p>
        </w:tc>
      </w:tr>
      <w:tr>
        <w:tblPrEx>
          <w:tblCellMar>
            <w:top w:w="0" w:type="dxa"/>
            <w:left w:w="108" w:type="dxa"/>
            <w:bottom w:w="0" w:type="dxa"/>
            <w:right w:w="108" w:type="dxa"/>
          </w:tblCellMar>
        </w:tblPrEx>
        <w:trPr>
          <w:cantSplit/>
          <w:jc w:val="center"/>
        </w:trPr>
        <w:tc>
          <w:tcPr>
            <w:tcW w:w="599" w:type="pct"/>
            <w:tcBorders>
              <w:top w:val="single" w:color="808080" w:sz="4" w:space="0"/>
              <w:left w:val="single" w:color="808080" w:sz="4" w:space="0"/>
              <w:bottom w:val="single" w:color="808080" w:sz="4" w:space="0"/>
              <w:right w:val="single" w:color="808080" w:sz="4" w:space="0"/>
            </w:tcBorders>
            <w:vAlign w:val="center"/>
          </w:tcPr>
          <w:p>
            <w:pPr>
              <w:pStyle w:val="47"/>
              <w:bidi w:val="0"/>
            </w:pPr>
            <w:r>
              <w:t>样点数</w:t>
            </w:r>
          </w:p>
        </w:tc>
        <w:tc>
          <w:tcPr>
            <w:tcW w:w="1022" w:type="pct"/>
            <w:tcBorders>
              <w:top w:val="single" w:color="808080" w:sz="4" w:space="0"/>
              <w:left w:val="single" w:color="808080" w:sz="4" w:space="0"/>
              <w:bottom w:val="single" w:color="808080" w:sz="4" w:space="0"/>
              <w:right w:val="single" w:color="808080" w:sz="4" w:space="0"/>
            </w:tcBorders>
            <w:vAlign w:val="center"/>
          </w:tcPr>
          <w:p>
            <w:pPr>
              <w:pStyle w:val="47"/>
              <w:bidi w:val="0"/>
            </w:pPr>
            <w:r>
              <w:t>636</w:t>
            </w:r>
          </w:p>
        </w:tc>
        <w:tc>
          <w:tcPr>
            <w:tcW w:w="1125" w:type="pct"/>
            <w:tcBorders>
              <w:top w:val="single" w:color="808080" w:sz="4" w:space="0"/>
              <w:left w:val="single" w:color="808080" w:sz="4" w:space="0"/>
              <w:bottom w:val="single" w:color="808080" w:sz="4" w:space="0"/>
              <w:right w:val="single" w:color="808080" w:sz="4" w:space="0"/>
            </w:tcBorders>
            <w:vAlign w:val="center"/>
          </w:tcPr>
          <w:p>
            <w:pPr>
              <w:pStyle w:val="47"/>
              <w:bidi w:val="0"/>
            </w:pPr>
            <w:r>
              <w:t>636</w:t>
            </w:r>
          </w:p>
        </w:tc>
        <w:tc>
          <w:tcPr>
            <w:tcW w:w="1125" w:type="pct"/>
            <w:tcBorders>
              <w:top w:val="single" w:color="808080" w:sz="4" w:space="0"/>
              <w:left w:val="single" w:color="808080" w:sz="4" w:space="0"/>
              <w:bottom w:val="single" w:color="808080" w:sz="4" w:space="0"/>
              <w:right w:val="single" w:color="808080" w:sz="4" w:space="0"/>
            </w:tcBorders>
            <w:vAlign w:val="center"/>
          </w:tcPr>
          <w:p>
            <w:pPr>
              <w:pStyle w:val="47"/>
              <w:bidi w:val="0"/>
            </w:pPr>
            <w:r>
              <w:t>635</w:t>
            </w:r>
          </w:p>
        </w:tc>
        <w:tc>
          <w:tcPr>
            <w:tcW w:w="1125" w:type="pct"/>
            <w:tcBorders>
              <w:top w:val="single" w:color="808080" w:sz="4" w:space="0"/>
              <w:left w:val="single" w:color="808080" w:sz="4" w:space="0"/>
              <w:bottom w:val="single" w:color="808080" w:sz="4" w:space="0"/>
              <w:right w:val="single" w:color="808080" w:sz="4" w:space="0"/>
            </w:tcBorders>
            <w:vAlign w:val="center"/>
          </w:tcPr>
          <w:p>
            <w:pPr>
              <w:pStyle w:val="47"/>
              <w:bidi w:val="0"/>
            </w:pPr>
            <w:r>
              <w:t>635</w:t>
            </w:r>
          </w:p>
        </w:tc>
      </w:tr>
    </w:tbl>
    <w:p>
      <w:pPr>
        <w:keepNext/>
        <w:spacing w:before="140" w:line="360" w:lineRule="auto"/>
        <w:ind w:firstLine="482"/>
        <w:jc w:val="center"/>
        <w:rPr>
          <w:rFonts w:cs="Times New Roman"/>
          <w:szCs w:val="24"/>
          <w:lang w:eastAsia="zh-CN"/>
        </w:rPr>
      </w:pPr>
      <w:r>
        <w:rPr>
          <w:rFonts w:cs="Times New Roman"/>
          <w:b/>
          <w:szCs w:val="24"/>
          <w:lang w:eastAsia="zh-CN"/>
        </w:rPr>
        <w:t>表3.6 泊头市土壤调查样点颗粒组成统计</w:t>
      </w:r>
    </w:p>
    <w:tbl>
      <w:tblPr>
        <w:tblStyle w:val="32"/>
        <w:tblW w:w="4998" w:type="pct"/>
        <w:jc w:val="center"/>
        <w:tblLayout w:type="autofit"/>
        <w:tblCellMar>
          <w:top w:w="0" w:type="dxa"/>
          <w:left w:w="108" w:type="dxa"/>
          <w:bottom w:w="0" w:type="dxa"/>
          <w:right w:w="108" w:type="dxa"/>
        </w:tblCellMar>
      </w:tblPr>
      <w:tblGrid>
        <w:gridCol w:w="845"/>
        <w:gridCol w:w="2558"/>
        <w:gridCol w:w="2558"/>
        <w:gridCol w:w="2558"/>
      </w:tblGrid>
      <w:tr>
        <w:tblPrEx>
          <w:tblCellMar>
            <w:top w:w="0" w:type="dxa"/>
            <w:left w:w="108" w:type="dxa"/>
            <w:bottom w:w="0" w:type="dxa"/>
            <w:right w:w="108" w:type="dxa"/>
          </w:tblCellMar>
        </w:tblPrEx>
        <w:trPr>
          <w:cantSplit/>
          <w:tblHeader/>
          <w:jc w:val="center"/>
        </w:trPr>
        <w:tc>
          <w:tcPr>
            <w:tcW w:w="496" w:type="pct"/>
            <w:tcBorders>
              <w:top w:val="single" w:color="808080" w:sz="4" w:space="0"/>
              <w:left w:val="single" w:color="808080" w:sz="4" w:space="0"/>
              <w:bottom w:val="single" w:color="808080" w:sz="4" w:space="0"/>
              <w:right w:val="single" w:color="808080" w:sz="4" w:space="0"/>
            </w:tcBorders>
            <w:vAlign w:val="center"/>
          </w:tcPr>
          <w:p>
            <w:pPr>
              <w:pStyle w:val="47"/>
              <w:bidi w:val="0"/>
            </w:pPr>
            <w:r>
              <w:t>指标</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砂粒（%）</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粉粒（%）</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黏粒（%）</w:t>
            </w:r>
          </w:p>
        </w:tc>
      </w:tr>
      <w:tr>
        <w:tblPrEx>
          <w:tblCellMar>
            <w:top w:w="0" w:type="dxa"/>
            <w:left w:w="108" w:type="dxa"/>
            <w:bottom w:w="0" w:type="dxa"/>
            <w:right w:w="108" w:type="dxa"/>
          </w:tblCellMar>
        </w:tblPrEx>
        <w:trPr>
          <w:cantSplit/>
          <w:jc w:val="center"/>
        </w:trPr>
        <w:tc>
          <w:tcPr>
            <w:tcW w:w="496" w:type="pct"/>
            <w:tcBorders>
              <w:top w:val="single" w:color="808080" w:sz="4" w:space="0"/>
              <w:left w:val="single" w:color="808080" w:sz="4" w:space="0"/>
              <w:bottom w:val="single" w:color="808080" w:sz="4" w:space="0"/>
              <w:right w:val="single" w:color="808080" w:sz="4" w:space="0"/>
            </w:tcBorders>
            <w:vAlign w:val="center"/>
          </w:tcPr>
          <w:p>
            <w:pPr>
              <w:pStyle w:val="47"/>
              <w:bidi w:val="0"/>
            </w:pPr>
            <w:r>
              <w:t>平均值</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88.93</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7.54</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3.53</w:t>
            </w:r>
          </w:p>
        </w:tc>
      </w:tr>
      <w:tr>
        <w:tblPrEx>
          <w:tblCellMar>
            <w:top w:w="0" w:type="dxa"/>
            <w:left w:w="108" w:type="dxa"/>
            <w:bottom w:w="0" w:type="dxa"/>
            <w:right w:w="108" w:type="dxa"/>
          </w:tblCellMar>
        </w:tblPrEx>
        <w:trPr>
          <w:cantSplit/>
          <w:jc w:val="center"/>
        </w:trPr>
        <w:tc>
          <w:tcPr>
            <w:tcW w:w="496" w:type="pct"/>
            <w:tcBorders>
              <w:top w:val="single" w:color="808080" w:sz="4" w:space="0"/>
              <w:left w:val="single" w:color="808080" w:sz="4" w:space="0"/>
              <w:bottom w:val="single" w:color="808080" w:sz="4" w:space="0"/>
              <w:right w:val="single" w:color="808080" w:sz="4" w:space="0"/>
            </w:tcBorders>
            <w:vAlign w:val="center"/>
          </w:tcPr>
          <w:p>
            <w:pPr>
              <w:pStyle w:val="47"/>
              <w:bidi w:val="0"/>
            </w:pPr>
            <w:r>
              <w:t>样点数</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318</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t>318</w:t>
            </w:r>
          </w:p>
        </w:tc>
        <w:tc>
          <w:tcPr>
            <w:tcW w:w="1501" w:type="pct"/>
            <w:tcBorders>
              <w:top w:val="single" w:color="808080" w:sz="4" w:space="0"/>
              <w:left w:val="single" w:color="808080" w:sz="4" w:space="0"/>
              <w:bottom w:val="single" w:color="808080" w:sz="4" w:space="0"/>
              <w:right w:val="single" w:color="808080" w:sz="4" w:space="0"/>
            </w:tcBorders>
            <w:vAlign w:val="center"/>
          </w:tcPr>
          <w:p>
            <w:pPr>
              <w:pStyle w:val="47"/>
              <w:bidi w:val="0"/>
            </w:pPr>
            <w:r>
              <w:rPr>
                <w:rFonts w:hint="eastAsia"/>
                <w:lang w:eastAsia="zh-CN"/>
              </w:rPr>
              <w:t>3</w:t>
            </w:r>
            <w:r>
              <w:t>18</w:t>
            </w:r>
          </w:p>
        </w:tc>
      </w:tr>
    </w:tbl>
    <w:p>
      <w:pPr>
        <w:kinsoku/>
        <w:spacing w:line="360" w:lineRule="auto"/>
        <w:ind w:firstLine="482"/>
        <w:jc w:val="both"/>
        <w:rPr>
          <w:b/>
          <w:bCs/>
          <w:lang w:eastAsia="zh-CN"/>
        </w:rPr>
      </w:pPr>
      <w:r>
        <w:rPr>
          <w:b/>
          <w:bCs/>
          <w:lang w:eastAsia="zh-CN"/>
        </w:rPr>
        <w:t>（2）泊头</w:t>
      </w:r>
      <w:r>
        <w:rPr>
          <w:rFonts w:hint="eastAsia"/>
          <w:b/>
          <w:bCs/>
          <w:lang w:eastAsia="zh-CN"/>
        </w:rPr>
        <w:t>桑椹</w:t>
      </w:r>
      <w:r>
        <w:rPr>
          <w:b/>
          <w:bCs/>
          <w:lang w:eastAsia="zh-CN"/>
        </w:rPr>
        <w:t>相关研究成果</w:t>
      </w:r>
    </w:p>
    <w:p>
      <w:pPr>
        <w:kinsoku/>
        <w:spacing w:line="360" w:lineRule="auto"/>
        <w:ind w:firstLine="480"/>
        <w:jc w:val="both"/>
        <w:rPr>
          <w:rFonts w:cs="Times New Roman"/>
          <w:lang w:eastAsia="zh-CN"/>
        </w:rPr>
      </w:pPr>
      <w:r>
        <w:rPr>
          <w:rFonts w:cs="Times New Roman"/>
          <w:lang w:eastAsia="zh-CN"/>
        </w:rPr>
        <w:t>根据《泊头</w:t>
      </w:r>
      <w:r>
        <w:rPr>
          <w:rFonts w:hint="eastAsia" w:cs="Times New Roman"/>
          <w:lang w:eastAsia="zh-CN"/>
        </w:rPr>
        <w:t>桑椹</w:t>
      </w:r>
      <w:r>
        <w:rPr>
          <w:rFonts w:cs="Times New Roman"/>
          <w:lang w:eastAsia="zh-CN"/>
        </w:rPr>
        <w:t>栽培技术规程》等地方标准及泊头</w:t>
      </w:r>
      <w:r>
        <w:rPr>
          <w:rFonts w:hint="eastAsia" w:cs="Times New Roman"/>
          <w:lang w:eastAsia="zh-CN"/>
        </w:rPr>
        <w:t>桑椹</w:t>
      </w:r>
      <w:r>
        <w:rPr>
          <w:rFonts w:cs="Times New Roman"/>
          <w:lang w:eastAsia="zh-CN"/>
        </w:rPr>
        <w:t>产业发展相关资料，泊头</w:t>
      </w:r>
      <w:r>
        <w:rPr>
          <w:rFonts w:hint="eastAsia" w:cs="Times New Roman"/>
          <w:lang w:eastAsia="zh-CN"/>
        </w:rPr>
        <w:t>桑椹</w:t>
      </w:r>
      <w:r>
        <w:rPr>
          <w:rFonts w:cs="Times New Roman"/>
          <w:lang w:eastAsia="zh-CN"/>
        </w:rPr>
        <w:t>产区具有悠久的种植历史和独特的生态环境条件。泊头桑树种植已有2200年历史，目前桑树种植面积约3.4万～3.5万亩，年产</w:t>
      </w:r>
      <w:r>
        <w:rPr>
          <w:rFonts w:hint="eastAsia" w:cs="Times New Roman"/>
          <w:lang w:eastAsia="zh-CN"/>
        </w:rPr>
        <w:t>桑椹</w:t>
      </w:r>
      <w:r>
        <w:rPr>
          <w:rFonts w:cs="Times New Roman"/>
          <w:lang w:eastAsia="zh-CN"/>
        </w:rPr>
        <w:t>超过5万吨，形成了集种植、加工、销售、休闲旅游于一体的特色农业产业体系。泊头</w:t>
      </w:r>
      <w:r>
        <w:rPr>
          <w:rFonts w:hint="eastAsia" w:cs="Times New Roman"/>
          <w:lang w:eastAsia="zh-CN"/>
        </w:rPr>
        <w:t>桑椹</w:t>
      </w:r>
      <w:r>
        <w:rPr>
          <w:rFonts w:cs="Times New Roman"/>
          <w:lang w:eastAsia="zh-CN"/>
        </w:rPr>
        <w:t>以当地传统品种“黑珍珠”为主，果实呈黑紫色，外形似肾，具有入口甘甜、回味醇香等品质特点，先后获得国家地理标志证明商标、国家农产品地理标志登记证书，并于2023年入选第七批中国重要农业文化遗产“河北泊头古桑林系统”。</w:t>
      </w:r>
    </w:p>
    <w:p>
      <w:pPr>
        <w:kinsoku/>
        <w:spacing w:line="360" w:lineRule="auto"/>
        <w:ind w:firstLine="480"/>
        <w:jc w:val="both"/>
        <w:rPr>
          <w:rFonts w:cs="Times New Roman"/>
          <w:lang w:eastAsia="zh-CN"/>
        </w:rPr>
      </w:pPr>
      <w:r>
        <w:rPr>
          <w:rFonts w:cs="Times New Roman"/>
          <w:lang w:eastAsia="zh-CN"/>
        </w:rPr>
        <w:t>根据相关产业规划，泊头</w:t>
      </w:r>
      <w:r>
        <w:rPr>
          <w:rFonts w:hint="eastAsia" w:cs="Times New Roman"/>
          <w:lang w:eastAsia="zh-CN"/>
        </w:rPr>
        <w:t>桑椹</w:t>
      </w:r>
      <w:r>
        <w:rPr>
          <w:rFonts w:cs="Times New Roman"/>
          <w:lang w:eastAsia="zh-CN"/>
        </w:rPr>
        <w:t>生产区域主要集中于泊头市东部和北部乡镇，其中营子镇为核心产区，种植面积约2.1万亩，占全市</w:t>
      </w:r>
      <w:r>
        <w:rPr>
          <w:rFonts w:hint="eastAsia" w:cs="Times New Roman"/>
          <w:lang w:eastAsia="zh-CN"/>
        </w:rPr>
        <w:t>桑椹</w:t>
      </w:r>
      <w:r>
        <w:rPr>
          <w:rFonts w:cs="Times New Roman"/>
          <w:lang w:eastAsia="zh-CN"/>
        </w:rPr>
        <w:t>种植面积的60%左右，其次分布于齐桥镇、文庙镇、寺门村镇、洼里王镇和王武镇等区域。 其中，营子镇位于泊头市西北部，为黄河故道堆积平原，境内有滹沱河故道、老盐河等水系分布，形成了独特的区域水土环境。当地土壤类型以蒙金砂土为主，良好的生态环境条件为桑树生长及特色品质形成提供了基础。</w:t>
      </w:r>
    </w:p>
    <w:p>
      <w:pPr>
        <w:kinsoku/>
        <w:spacing w:line="360" w:lineRule="auto"/>
        <w:ind w:firstLine="480"/>
        <w:jc w:val="both"/>
        <w:rPr>
          <w:rFonts w:cs="Times New Roman"/>
          <w:lang w:eastAsia="zh-CN"/>
        </w:rPr>
      </w:pPr>
      <w:r>
        <w:rPr>
          <w:rFonts w:cs="Times New Roman"/>
          <w:lang w:eastAsia="zh-CN"/>
        </w:rPr>
        <w:t>泊头</w:t>
      </w:r>
      <w:r>
        <w:rPr>
          <w:rFonts w:hint="eastAsia" w:cs="Times New Roman"/>
          <w:lang w:eastAsia="zh-CN"/>
        </w:rPr>
        <w:t>桑椹</w:t>
      </w:r>
      <w:r>
        <w:rPr>
          <w:rFonts w:cs="Times New Roman"/>
          <w:lang w:eastAsia="zh-CN"/>
        </w:rPr>
        <w:t>核心生产区域主要集中于营子镇桑树种植集中区。该区域涉及22个行政村，包括刘辛庄、大鲁道第一至第四、李鲁道第五、苟鲁道、庄头第一至第三、尚古庄、王鲁道、曹鲁道、石桥鲁道、沙鲁道、段鲁道、玉皇庙西、中、东、袁村、金庄和来庄村等，桑树种植面积达到16210亩，占营子镇桑树种植面积的77.2%，占泊头市桑树种植总面积的46.3%，被划定为河北泊头古桑林系统核心保护区。</w:t>
      </w:r>
    </w:p>
    <w:p>
      <w:pPr>
        <w:kinsoku/>
        <w:spacing w:line="360" w:lineRule="auto"/>
        <w:ind w:firstLine="480"/>
        <w:jc w:val="both"/>
        <w:rPr>
          <w:rFonts w:cs="Times New Roman"/>
          <w:lang w:eastAsia="zh-CN"/>
        </w:rPr>
      </w:pPr>
      <w:r>
        <w:rPr>
          <w:rFonts w:cs="Times New Roman"/>
          <w:lang w:eastAsia="zh-CN"/>
        </w:rPr>
        <w:t>泊头</w:t>
      </w:r>
      <w:r>
        <w:rPr>
          <w:rFonts w:hint="eastAsia" w:cs="Times New Roman"/>
          <w:lang w:eastAsia="zh-CN"/>
        </w:rPr>
        <w:t>桑椹</w:t>
      </w:r>
      <w:r>
        <w:rPr>
          <w:rFonts w:cs="Times New Roman"/>
          <w:lang w:eastAsia="zh-CN"/>
        </w:rPr>
        <w:t>品质形成与当地独特的生态环境密切相关。营子镇位于黄河故道冲积平原，土壤类型为蒙金砂土，老盐河等水系为区域农业生产提供了重要水资源条件。长期的桑树栽培历史以及区域自然环境共同促进了“黑珍珠”</w:t>
      </w:r>
      <w:r>
        <w:rPr>
          <w:rFonts w:hint="eastAsia" w:cs="Times New Roman"/>
          <w:lang w:eastAsia="zh-CN"/>
        </w:rPr>
        <w:t>桑椹</w:t>
      </w:r>
      <w:r>
        <w:rPr>
          <w:rFonts w:cs="Times New Roman"/>
          <w:lang w:eastAsia="zh-CN"/>
        </w:rPr>
        <w:t>品种特色品质的形成，使其具有果实颜色深、糖酸协调、香味浓郁等特点。相关品质评价鉴定结果显示，泊头</w:t>
      </w:r>
      <w:r>
        <w:rPr>
          <w:rFonts w:hint="eastAsia" w:cs="Times New Roman"/>
          <w:lang w:eastAsia="zh-CN"/>
        </w:rPr>
        <w:t>桑椹</w:t>
      </w:r>
      <w:r>
        <w:rPr>
          <w:rFonts w:cs="Times New Roman"/>
          <w:lang w:eastAsia="zh-CN"/>
        </w:rPr>
        <w:t>“黑珍珠”样品果肉柔软细腻、清甜多汁，并具有清新果香；其可溶性固形物、维生素C、花青素和铁等营养指标均表现出较好的品质特征，其中可溶性固形物达到14.6%，维生素C含量为25.9 mg/100 g，花青素含量达到3280 mg/kg。</w:t>
      </w:r>
    </w:p>
    <w:p>
      <w:pPr>
        <w:kinsoku/>
        <w:spacing w:line="360" w:lineRule="auto"/>
        <w:ind w:firstLine="480"/>
        <w:jc w:val="both"/>
        <w:rPr>
          <w:rFonts w:cs="Times New Roman"/>
          <w:lang w:eastAsia="zh-CN"/>
        </w:rPr>
      </w:pPr>
      <w:r>
        <w:rPr>
          <w:rFonts w:cs="Times New Roman"/>
          <w:lang w:eastAsia="zh-CN"/>
        </w:rPr>
        <w:t>目前，泊头</w:t>
      </w:r>
      <w:r>
        <w:rPr>
          <w:rFonts w:hint="eastAsia" w:cs="Times New Roman"/>
          <w:lang w:eastAsia="zh-CN"/>
        </w:rPr>
        <w:t>桑椹</w:t>
      </w:r>
      <w:r>
        <w:rPr>
          <w:rFonts w:cs="Times New Roman"/>
          <w:lang w:eastAsia="zh-CN"/>
        </w:rPr>
        <w:t>已形成规模化、标准化发展的产业基础。营子镇</w:t>
      </w:r>
      <w:r>
        <w:rPr>
          <w:rFonts w:hint="eastAsia" w:cs="Times New Roman"/>
          <w:lang w:eastAsia="zh-CN"/>
        </w:rPr>
        <w:t>桑椹</w:t>
      </w:r>
      <w:r>
        <w:rPr>
          <w:rFonts w:cs="Times New Roman"/>
          <w:lang w:eastAsia="zh-CN"/>
        </w:rPr>
        <w:t>现代农业园区以</w:t>
      </w:r>
      <w:r>
        <w:rPr>
          <w:rFonts w:hint="eastAsia" w:cs="Times New Roman"/>
          <w:lang w:eastAsia="zh-CN"/>
        </w:rPr>
        <w:t>桑椹</w:t>
      </w:r>
      <w:r>
        <w:rPr>
          <w:rFonts w:cs="Times New Roman"/>
          <w:lang w:eastAsia="zh-CN"/>
        </w:rPr>
        <w:t>种植、加工和产业融合发展为重点，现有桑树种植面积约2万亩，年产</w:t>
      </w:r>
      <w:r>
        <w:rPr>
          <w:rFonts w:hint="eastAsia" w:cs="Times New Roman"/>
          <w:lang w:eastAsia="zh-CN"/>
        </w:rPr>
        <w:t>桑椹</w:t>
      </w:r>
      <w:r>
        <w:rPr>
          <w:rFonts w:cs="Times New Roman"/>
          <w:lang w:eastAsia="zh-CN"/>
        </w:rPr>
        <w:t>约2万吨，规划建设涉及22个行政村，总面积约5.13万亩。 园区通过推广水肥一体化、绿色防控、老桑树精细修剪等技术，提高桑园生产管理水平，并建设绿色高质高效示范区。</w:t>
      </w:r>
    </w:p>
    <w:p>
      <w:pPr>
        <w:kinsoku/>
        <w:spacing w:line="360" w:lineRule="auto"/>
        <w:ind w:firstLine="480"/>
        <w:jc w:val="both"/>
        <w:rPr>
          <w:b/>
          <w:bCs/>
          <w:lang w:eastAsia="zh-CN"/>
        </w:rPr>
      </w:pPr>
      <w:r>
        <w:rPr>
          <w:rFonts w:cs="Times New Roman"/>
          <w:lang w:eastAsia="zh-CN"/>
        </w:rPr>
        <w:t>综上，泊头</w:t>
      </w:r>
      <w:r>
        <w:rPr>
          <w:rFonts w:hint="eastAsia" w:cs="Times New Roman"/>
          <w:lang w:eastAsia="zh-CN"/>
        </w:rPr>
        <w:t>桑椹</w:t>
      </w:r>
      <w:r>
        <w:rPr>
          <w:rFonts w:cs="Times New Roman"/>
          <w:lang w:eastAsia="zh-CN"/>
        </w:rPr>
        <w:t>产区依托黄河故道平原地貌、特色土壤环境、悠久桑树栽培历史以及传统“黑珍珠”品种资源，形成了具有区域特色的</w:t>
      </w:r>
      <w:r>
        <w:rPr>
          <w:rFonts w:hint="eastAsia" w:cs="Times New Roman"/>
          <w:lang w:eastAsia="zh-CN"/>
        </w:rPr>
        <w:t>桑椹</w:t>
      </w:r>
      <w:r>
        <w:rPr>
          <w:rFonts w:cs="Times New Roman"/>
          <w:lang w:eastAsia="zh-CN"/>
        </w:rPr>
        <w:t>品质和产业优势，是我国北方重要的</w:t>
      </w:r>
      <w:r>
        <w:rPr>
          <w:rFonts w:hint="eastAsia" w:cs="Times New Roman"/>
          <w:lang w:eastAsia="zh-CN"/>
        </w:rPr>
        <w:t>桑椹</w:t>
      </w:r>
      <w:r>
        <w:rPr>
          <w:rFonts w:cs="Times New Roman"/>
          <w:lang w:eastAsia="zh-CN"/>
        </w:rPr>
        <w:t>特色产区之一。</w:t>
      </w:r>
    </w:p>
    <w:p>
      <w:pPr>
        <w:kinsoku/>
        <w:spacing w:line="360" w:lineRule="auto"/>
        <w:ind w:firstLine="482"/>
        <w:jc w:val="both"/>
        <w:rPr>
          <w:b/>
          <w:bCs/>
          <w:lang w:eastAsia="zh-CN"/>
        </w:rPr>
      </w:pPr>
      <w:r>
        <w:rPr>
          <w:b/>
          <w:bCs/>
          <w:lang w:eastAsia="zh-CN"/>
        </w:rPr>
        <w:t>2. 图件资料</w:t>
      </w:r>
    </w:p>
    <w:p>
      <w:pPr>
        <w:kinsoku/>
        <w:spacing w:line="360" w:lineRule="auto"/>
        <w:ind w:firstLine="480"/>
        <w:jc w:val="both"/>
        <w:rPr>
          <w:sz w:val="18"/>
          <w:lang w:eastAsia="zh-CN"/>
        </w:rPr>
      </w:pPr>
      <w:r>
        <w:rPr>
          <w:rFonts w:cs="Times New Roman"/>
          <w:lang w:eastAsia="zh-CN"/>
        </w:rPr>
        <w:t>泊头市</w:t>
      </w:r>
      <w:r>
        <w:rPr>
          <w:rFonts w:hint="eastAsia" w:cs="Times New Roman"/>
          <w:lang w:eastAsia="zh-CN"/>
        </w:rPr>
        <w:t>桑椹</w:t>
      </w:r>
      <w:r>
        <w:rPr>
          <w:rFonts w:cs="Times New Roman"/>
          <w:lang w:eastAsia="zh-CN"/>
        </w:rPr>
        <w:t>生态适宜性评价数据主要来源于第三次全国土壤普查成果资料、土壤类型及土壤属性空间数据、气候环境数据、地形因子数据、遥感影像数据、地质环境资料、土地利用现状数据以及泊头市</w:t>
      </w:r>
      <w:r>
        <w:rPr>
          <w:rFonts w:hint="eastAsia" w:cs="Times New Roman"/>
          <w:lang w:eastAsia="zh-CN"/>
        </w:rPr>
        <w:t>桑椹</w:t>
      </w:r>
      <w:r>
        <w:rPr>
          <w:rFonts w:cs="Times New Roman"/>
          <w:lang w:eastAsia="zh-CN"/>
        </w:rPr>
        <w:t>种植分布数据等相关图件资料。其中，土壤类型及属性数据用于分析</w:t>
      </w:r>
      <w:r>
        <w:rPr>
          <w:rFonts w:hint="eastAsia" w:cs="Times New Roman"/>
          <w:lang w:eastAsia="zh-CN"/>
        </w:rPr>
        <w:t>桑椹</w:t>
      </w:r>
      <w:r>
        <w:rPr>
          <w:rFonts w:cs="Times New Roman"/>
          <w:lang w:eastAsia="zh-CN"/>
        </w:rPr>
        <w:t>生长的土壤环境基础，气候数据用于评价区域热量和水分条件，地形和土地利用数据用于反映种植空间适宜性，</w:t>
      </w:r>
      <w:r>
        <w:rPr>
          <w:rFonts w:hint="eastAsia" w:cs="Times New Roman"/>
          <w:lang w:eastAsia="zh-CN"/>
        </w:rPr>
        <w:t>桑椹</w:t>
      </w:r>
      <w:r>
        <w:rPr>
          <w:rFonts w:cs="Times New Roman"/>
          <w:lang w:eastAsia="zh-CN"/>
        </w:rPr>
        <w:t>种植分布数据用于构建适宜性评价模型。</w:t>
      </w:r>
    </w:p>
    <w:p>
      <w:pPr>
        <w:spacing w:line="360" w:lineRule="auto"/>
        <w:ind w:firstLine="360"/>
        <w:rPr>
          <w:sz w:val="18"/>
          <w:lang w:eastAsia="zh-CN"/>
        </w:rPr>
      </w:pPr>
    </w:p>
    <w:p>
      <w:pPr>
        <w:kinsoku/>
        <w:spacing w:line="360" w:lineRule="auto"/>
        <w:ind w:firstLine="482"/>
        <w:jc w:val="both"/>
        <w:rPr>
          <w:lang w:eastAsia="zh-CN"/>
        </w:rPr>
      </w:pPr>
      <w:r>
        <w:rPr>
          <w:b/>
          <w:bCs/>
          <w:lang w:eastAsia="zh-CN"/>
        </w:rPr>
        <w:t>(</w:t>
      </w:r>
      <w:r>
        <w:rPr>
          <w:rFonts w:hint="eastAsia"/>
          <w:b/>
          <w:bCs/>
          <w:lang w:eastAsia="zh-CN"/>
        </w:rPr>
        <w:t>1</w:t>
      </w:r>
      <w:r>
        <w:rPr>
          <w:b/>
          <w:bCs/>
          <w:lang w:eastAsia="zh-CN"/>
        </w:rPr>
        <w:t>) 土地利用现状</w:t>
      </w:r>
    </w:p>
    <w:p>
      <w:pPr>
        <w:spacing w:line="360" w:lineRule="auto"/>
        <w:ind w:firstLine="480"/>
        <w:rPr>
          <w:lang w:eastAsia="zh-CN"/>
        </w:rPr>
      </w:pPr>
      <w:r>
        <w:rPr>
          <w:lang w:eastAsia="zh-CN"/>
        </w:rPr>
        <w:t>根据土地利用类型数据统计，泊头市本次制图范围土地总面积约151.35万亩，共涉及35种具体地类，整体呈现以耕地为主体、林地和园地为重要组成，城乡居住、工矿、交通及水域等用地相互镶嵌的土地利用格局</w:t>
      </w:r>
      <w:r>
        <w:rPr>
          <w:rFonts w:hint="eastAsia"/>
          <w:lang w:eastAsia="zh-CN"/>
        </w:rPr>
        <w:t>（图3.3）</w:t>
      </w:r>
      <w:r>
        <w:rPr>
          <w:lang w:eastAsia="zh-CN"/>
        </w:rPr>
        <w:t>。耕地面积75.88万亩，占土地利用图层总面积的50.14%，其中水浇地63.39万亩，占41.88%；旱地12.49万亩，占8.25%。水浇地面积明显高于旱地，是本区域耕地的主要组成类型。林地面积26.80万亩，占17.71%，其中其他林地14.92万亩、乔木林地11.88万亩，分别占9.86%和7.85%。园地面积15.90万亩，占10.51%，以果园为主，其他园地仅50.22亩。耕地、林地和园地合计占78.35%，构成区域土地利用的主体。</w:t>
      </w:r>
    </w:p>
    <w:p>
      <w:pPr>
        <w:spacing w:line="360" w:lineRule="auto"/>
        <w:ind w:firstLine="480"/>
        <w:rPr>
          <w:lang w:eastAsia="zh-CN"/>
        </w:rPr>
      </w:pPr>
      <w:r>
        <w:rPr>
          <w:lang w:eastAsia="zh-CN"/>
        </w:rPr>
        <w:t>居住和工业用地在非耕作地类中占有一定比重。其中，农村宅基地面积11.32万亩，占7.48%；城镇住宅用地1.67万亩，占1.11%；工业用地4.09万亩，占2.70%。交通运输用地面积4.90万亩，占3.24%，包括农村道路、公路、城镇村道路、铁路及交通服务场站等类型。水域及水利设施用地面积6.12万亩，占4.04%，主要包括河流水面2.73万亩、沟渠1.65万亩和坑塘水面1.23万亩。此外，区域内还分布有商业服务业设施、物流仓储、公共管理与公共服务、设施农用地及其他草地等地类。从土地利用图看，耕地构成大面积分布的基础，林地、园地、村庄及道路等地类与其交错分布，形成农业生产用地与城乡生活、生产设施并存的空间格局。</w:t>
      </w:r>
    </w:p>
    <w:p>
      <w:pPr>
        <w:spacing w:line="360" w:lineRule="auto"/>
        <w:ind w:left="0" w:leftChars="0" w:firstLine="0" w:firstLineChars="0"/>
        <w:jc w:val="center"/>
        <w:rPr>
          <w:lang w:eastAsia="zh-CN"/>
        </w:rPr>
      </w:pPr>
      <w:r>
        <w:drawing>
          <wp:inline distT="0" distB="0" distL="0" distR="0">
            <wp:extent cx="5212715" cy="4117975"/>
            <wp:effectExtent l="0" t="0" r="6985" b="0"/>
            <wp:docPr id="9333562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56221" name="图片 5"/>
                    <pic:cNvPicPr>
                      <a:picLocks noChangeAspect="1" noChangeArrowheads="1"/>
                    </pic:cNvPicPr>
                  </pic:nvPicPr>
                  <pic:blipFill>
                    <a:blip r:embed="rId21" cstate="print">
                      <a:extLst>
                        <a:ext uri="{28A0092B-C50C-407E-A947-70E740481C1C}">
                          <a14:useLocalDpi xmlns:a14="http://schemas.microsoft.com/office/drawing/2010/main" val="0"/>
                        </a:ext>
                      </a:extLst>
                    </a:blip>
                    <a:srcRect l="4469" t="7859" r="4770" b="9940"/>
                    <a:stretch>
                      <a:fillRect/>
                    </a:stretch>
                  </pic:blipFill>
                  <pic:spPr>
                    <a:xfrm>
                      <a:off x="0" y="0"/>
                      <a:ext cx="5212800" cy="4118400"/>
                    </a:xfrm>
                    <a:prstGeom prst="rect">
                      <a:avLst/>
                    </a:prstGeom>
                    <a:noFill/>
                    <a:ln>
                      <a:noFill/>
                    </a:ln>
                  </pic:spPr>
                </pic:pic>
              </a:graphicData>
            </a:graphic>
          </wp:inline>
        </w:drawing>
      </w:r>
    </w:p>
    <w:p>
      <w:pPr>
        <w:spacing w:line="360" w:lineRule="auto"/>
        <w:ind w:firstLine="480"/>
        <w:jc w:val="center"/>
        <w:rPr>
          <w:lang w:eastAsia="zh-CN"/>
        </w:rPr>
      </w:pPr>
      <w:r>
        <w:rPr>
          <w:lang w:eastAsia="zh-CN"/>
        </w:rPr>
        <w:t>图</w:t>
      </w:r>
      <w:r>
        <w:rPr>
          <w:rFonts w:hint="eastAsia"/>
          <w:lang w:eastAsia="zh-CN"/>
        </w:rPr>
        <w:t>3.3</w:t>
      </w:r>
      <w:r>
        <w:rPr>
          <w:lang w:eastAsia="zh-CN"/>
        </w:rPr>
        <w:t xml:space="preserve"> 泊头市土地利用类型分布图</w:t>
      </w:r>
      <w:r>
        <w:commentReference w:id="10"/>
      </w:r>
    </w:p>
    <w:p>
      <w:pPr>
        <w:kinsoku/>
        <w:spacing w:line="360" w:lineRule="auto"/>
        <w:ind w:firstLine="482"/>
        <w:jc w:val="both"/>
        <w:rPr>
          <w:b/>
          <w:bCs/>
          <w:lang w:eastAsia="zh-CN"/>
        </w:rPr>
      </w:pPr>
      <w:r>
        <w:rPr>
          <w:b/>
          <w:bCs/>
          <w:lang w:eastAsia="zh-CN"/>
        </w:rPr>
        <w:t xml:space="preserve"> (</w:t>
      </w:r>
      <w:r>
        <w:rPr>
          <w:rFonts w:hint="eastAsia"/>
          <w:b/>
          <w:bCs/>
          <w:lang w:eastAsia="zh-CN"/>
        </w:rPr>
        <w:t>2</w:t>
      </w:r>
      <w:r>
        <w:rPr>
          <w:b/>
          <w:bCs/>
          <w:lang w:eastAsia="zh-CN"/>
        </w:rPr>
        <w:t>) 土壤类型</w:t>
      </w:r>
    </w:p>
    <w:p>
      <w:pPr>
        <w:kinsoku/>
        <w:spacing w:line="360" w:lineRule="auto"/>
        <w:ind w:firstLine="480"/>
        <w:jc w:val="both"/>
        <w:rPr>
          <w:lang w:eastAsia="zh-CN"/>
        </w:rPr>
      </w:pPr>
      <w:r>
        <w:rPr>
          <w:lang w:eastAsia="zh-CN"/>
        </w:rPr>
        <w:t>根据所提供土壤类型图层的分类属性，泊头市本次制图范围共涉及1个土类、3个亚类、7个土属和32个土种，土类均为潮土，形成以典型潮土为主体、盐化潮土为补充、脱潮土零星分布的土壤类型格局</w:t>
      </w:r>
      <w:r>
        <w:rPr>
          <w:rFonts w:hint="eastAsia"/>
          <w:lang w:eastAsia="zh-CN"/>
        </w:rPr>
        <w:t>（图3.4）</w:t>
      </w:r>
      <w:r>
        <w:rPr>
          <w:lang w:eastAsia="zh-CN"/>
        </w:rPr>
        <w:t>。土壤图层图斑总面积约151.35万亩，其中典型潮土面积142.23万亩，占土壤图层总面积的93.98%；盐化潮土8.98万亩，占5.93%；脱潮土0.14万亩，占0.09%。典型潮土分布广泛，在图面上构成连续分布的主体，其他亚类以局部斑块或条带形式与其交错分布。</w:t>
      </w:r>
    </w:p>
    <w:p>
      <w:pPr>
        <w:spacing w:line="360" w:lineRule="auto"/>
        <w:ind w:firstLine="480"/>
        <w:rPr>
          <w:lang w:eastAsia="zh-CN"/>
        </w:rPr>
      </w:pPr>
      <w:r>
        <w:rPr>
          <w:lang w:eastAsia="zh-CN"/>
        </w:rPr>
        <w:t>在土属层次上，石灰性潮壤土具有明显优势，面积141.58万亩，占93.55%；其次为氯化物盐化潮土，面积8.77万亩，占5.80%。其余土属面积较小，其中石灰性潮黏土0.30万亩，占0.20%；潮壤土0.26万亩，占0.17%；硫酸盐盐化潮土0.20万亩，占0.14%；脱潮壤土0.14万亩，占0.09%；潮黏土0.10万亩，占0.06%。上述分类显示，石灰性潮壤土与氯化物盐化潮土构成了本区域土属组成的主要部分。</w:t>
      </w:r>
    </w:p>
    <w:p>
      <w:pPr>
        <w:spacing w:line="360" w:lineRule="auto"/>
        <w:ind w:firstLine="480"/>
        <w:rPr>
          <w:lang w:eastAsia="zh-CN"/>
        </w:rPr>
      </w:pPr>
      <w:r>
        <w:rPr>
          <w:lang w:eastAsia="zh-CN"/>
        </w:rPr>
        <w:t>在土种层次上，以中壤质身黏石灰性潮土、中壤质石灰性潮土、轻壤质底黏石灰性潮土和轻壤质石灰性潮土为主，面积分别为45.46万亩、36.93万亩、26.56万亩和20.46万亩，占比分别为30.04%、24.40%、17.55%和13.52%，四者合计占85.50%。盐化潮土中，以轻壤质轻度氯化物盐化潮土和轻壤质中度氯化物盐化潮土面积较大，分别为3.64万亩和2.50万亩，占土壤图层总面积的2.40%和1.65%。总体而言，图层所反映的土壤差异主要体现在轻壤质、中壤质等质地类别，身黏、底黏、底砂等剖面构型，以及盐化类型和程度等方面。这些分类信息可为后续土特产适宜性评价的分区提供依据，具体评价还需结合土壤理化性质、盐分和排灌条件等指标开展。</w:t>
      </w:r>
    </w:p>
    <w:p>
      <w:pPr>
        <w:spacing w:line="360" w:lineRule="auto"/>
        <w:ind w:left="0" w:leftChars="0" w:firstLine="0" w:firstLineChars="0"/>
        <w:jc w:val="center"/>
        <w:rPr>
          <w:i/>
          <w:iCs/>
          <w:lang w:eastAsia="zh-CN"/>
        </w:rPr>
      </w:pPr>
      <w:r>
        <w:drawing>
          <wp:inline distT="0" distB="0" distL="0" distR="0">
            <wp:extent cx="5323840" cy="3927475"/>
            <wp:effectExtent l="0" t="0" r="0" b="0"/>
            <wp:docPr id="15881564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56409" name="图片 6"/>
                    <pic:cNvPicPr>
                      <a:picLocks noChangeAspect="1" noChangeArrowheads="1"/>
                    </pic:cNvPicPr>
                  </pic:nvPicPr>
                  <pic:blipFill>
                    <a:blip r:embed="rId22" cstate="print">
                      <a:extLst>
                        <a:ext uri="{28A0092B-C50C-407E-A947-70E740481C1C}">
                          <a14:useLocalDpi xmlns:a14="http://schemas.microsoft.com/office/drawing/2010/main" val="0"/>
                        </a:ext>
                      </a:extLst>
                    </a:blip>
                    <a:srcRect l="5000" t="8902" r="7647" b="10501"/>
                    <a:stretch>
                      <a:fillRect/>
                    </a:stretch>
                  </pic:blipFill>
                  <pic:spPr>
                    <a:xfrm>
                      <a:off x="0" y="0"/>
                      <a:ext cx="5324400" cy="3927600"/>
                    </a:xfrm>
                    <a:prstGeom prst="rect">
                      <a:avLst/>
                    </a:prstGeom>
                    <a:noFill/>
                    <a:ln>
                      <a:noFill/>
                    </a:ln>
                  </pic:spPr>
                </pic:pic>
              </a:graphicData>
            </a:graphic>
          </wp:inline>
        </w:drawing>
      </w:r>
    </w:p>
    <w:p>
      <w:pPr>
        <w:spacing w:line="360" w:lineRule="auto"/>
        <w:ind w:firstLine="480"/>
        <w:jc w:val="center"/>
        <w:rPr>
          <w:lang w:eastAsia="zh-CN"/>
        </w:rPr>
      </w:pPr>
      <w:r>
        <w:rPr>
          <w:lang w:eastAsia="zh-CN"/>
        </w:rPr>
        <w:t>图</w:t>
      </w:r>
      <w:r>
        <w:rPr>
          <w:rFonts w:hint="eastAsia"/>
          <w:lang w:eastAsia="zh-CN"/>
        </w:rPr>
        <w:t>3.4</w:t>
      </w:r>
      <w:r>
        <w:rPr>
          <w:lang w:eastAsia="zh-CN"/>
        </w:rPr>
        <w:t xml:space="preserve"> 泊头市土壤类型分布图</w:t>
      </w:r>
    </w:p>
    <w:p>
      <w:pPr>
        <w:spacing w:line="360" w:lineRule="auto"/>
        <w:ind w:firstLine="480"/>
        <w:jc w:val="center"/>
        <w:rPr>
          <w:lang w:eastAsia="zh-CN"/>
        </w:rPr>
      </w:pPr>
    </w:p>
    <w:p>
      <w:pPr>
        <w:kinsoku/>
        <w:spacing w:line="360" w:lineRule="auto"/>
        <w:ind w:firstLine="482"/>
        <w:jc w:val="both"/>
        <w:rPr>
          <w:rFonts w:cs="Times New Roman"/>
          <w:lang w:eastAsia="zh-CN"/>
        </w:rPr>
      </w:pPr>
      <w:r>
        <w:rPr>
          <w:b/>
          <w:bCs/>
          <w:lang w:eastAsia="zh-CN"/>
        </w:rPr>
        <w:t>(</w:t>
      </w:r>
      <w:r>
        <w:rPr>
          <w:rFonts w:hint="eastAsia"/>
          <w:b/>
          <w:bCs/>
          <w:lang w:eastAsia="zh-CN"/>
        </w:rPr>
        <w:t>3</w:t>
      </w:r>
      <w:r>
        <w:rPr>
          <w:b/>
          <w:bCs/>
          <w:lang w:eastAsia="zh-CN"/>
        </w:rPr>
        <w:t>) 土壤</w:t>
      </w:r>
      <w:r>
        <w:rPr>
          <w:rFonts w:hint="eastAsia"/>
          <w:b/>
          <w:bCs/>
          <w:lang w:eastAsia="zh-CN"/>
        </w:rPr>
        <w:t>属性图</w:t>
      </w:r>
    </w:p>
    <w:p>
      <w:pPr>
        <w:kinsoku/>
        <w:spacing w:line="360" w:lineRule="auto"/>
        <w:ind w:left="0" w:leftChars="0" w:firstLine="0" w:firstLineChars="0"/>
        <w:jc w:val="center"/>
        <w:rPr>
          <w:rFonts w:cs="Times New Roman"/>
          <w:lang w:eastAsia="zh-CN"/>
        </w:rPr>
      </w:pPr>
      <w:r>
        <w:rPr>
          <w:rFonts w:cs="Times New Roman"/>
          <w:lang w:eastAsia="zh-CN"/>
        </w:rPr>
        <w:drawing>
          <wp:inline distT="0" distB="0" distL="0" distR="0">
            <wp:extent cx="5323840" cy="3659505"/>
            <wp:effectExtent l="0" t="0" r="0" b="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3" cstate="print">
                      <a:extLst>
                        <a:ext uri="{28A0092B-C50C-407E-A947-70E740481C1C}">
                          <a14:useLocalDpi xmlns:a14="http://schemas.microsoft.com/office/drawing/2010/main" val="0"/>
                        </a:ext>
                      </a:extLst>
                    </a:blip>
                    <a:srcRect t="3080"/>
                    <a:stretch>
                      <a:fillRect/>
                    </a:stretch>
                  </pic:blipFill>
                  <pic:spPr>
                    <a:xfrm>
                      <a:off x="0" y="0"/>
                      <a:ext cx="5324400" cy="3660106"/>
                    </a:xfrm>
                    <a:prstGeom prst="rect">
                      <a:avLst/>
                    </a:prstGeom>
                    <a:ln>
                      <a:noFill/>
                    </a:ln>
                  </pic:spPr>
                </pic:pic>
              </a:graphicData>
            </a:graphic>
          </wp:inline>
        </w:drawing>
      </w:r>
    </w:p>
    <w:p>
      <w:pPr>
        <w:kinsoku/>
        <w:spacing w:line="360" w:lineRule="auto"/>
        <w:ind w:firstLine="480"/>
        <w:jc w:val="center"/>
        <w:rPr>
          <w:rFonts w:cs="Times New Roman"/>
          <w:lang w:eastAsia="zh-CN"/>
        </w:rPr>
      </w:pPr>
      <w:r>
        <w:rPr>
          <w:rFonts w:cs="Times New Roman"/>
          <w:lang w:eastAsia="zh-CN"/>
        </w:rPr>
        <w:t xml:space="preserve">图 </w:t>
      </w:r>
      <w:r>
        <w:rPr>
          <w:rFonts w:hint="eastAsia" w:cs="Times New Roman"/>
          <w:lang w:eastAsia="zh-CN"/>
        </w:rPr>
        <w:t>3.5 泊头市</w:t>
      </w:r>
      <w:r>
        <w:rPr>
          <w:rFonts w:cs="Times New Roman"/>
          <w:lang w:eastAsia="zh-CN"/>
        </w:rPr>
        <w:t>土壤</w:t>
      </w:r>
      <w:r>
        <w:rPr>
          <w:rFonts w:hint="eastAsia" w:cs="Times New Roman"/>
          <w:lang w:eastAsia="zh-CN"/>
        </w:rPr>
        <w:t>有效磷</w:t>
      </w:r>
      <w:r>
        <w:rPr>
          <w:rFonts w:cs="Times New Roman"/>
          <w:lang w:eastAsia="zh-CN"/>
        </w:rPr>
        <w:t>空间分布图</w:t>
      </w:r>
    </w:p>
    <w:p>
      <w:pPr>
        <w:spacing w:line="360" w:lineRule="auto"/>
        <w:ind w:firstLine="480"/>
        <w:rPr>
          <w:lang w:eastAsia="zh-CN"/>
        </w:rPr>
      </w:pPr>
      <w:r>
        <w:rPr>
          <w:rFonts w:hint="eastAsia"/>
          <w:lang w:eastAsia="zh-CN"/>
        </w:rPr>
        <w:t>泊头市</w:t>
      </w:r>
      <w:r>
        <w:rPr>
          <w:lang w:eastAsia="zh-CN"/>
        </w:rPr>
        <w:t>土壤</w:t>
      </w:r>
      <w:r>
        <w:rPr>
          <w:rFonts w:hint="eastAsia"/>
          <w:lang w:eastAsia="zh-CN"/>
        </w:rPr>
        <w:t>有效磷</w:t>
      </w:r>
      <w:r>
        <w:rPr>
          <w:lang w:eastAsia="zh-CN"/>
        </w:rPr>
        <w:t>空间分布特征如图 3.</w:t>
      </w:r>
      <w:r>
        <w:rPr>
          <w:rFonts w:hint="eastAsia"/>
          <w:lang w:eastAsia="zh-CN"/>
        </w:rPr>
        <w:t>5</w:t>
      </w:r>
      <w:r>
        <w:rPr>
          <w:lang w:eastAsia="zh-CN"/>
        </w:rPr>
        <w:t xml:space="preserve"> 所示，数据来源于</w:t>
      </w:r>
      <w:r>
        <w:rPr>
          <w:rFonts w:hint="eastAsia"/>
          <w:lang w:eastAsia="zh-CN"/>
        </w:rPr>
        <w:t>泊头市</w:t>
      </w:r>
      <w:r>
        <w:rPr>
          <w:lang w:eastAsia="zh-CN"/>
        </w:rPr>
        <w:t>第三次 全国土壤普查土壤属性图成果。</w:t>
      </w:r>
    </w:p>
    <w:p>
      <w:pPr>
        <w:kinsoku/>
        <w:spacing w:line="360" w:lineRule="auto"/>
        <w:ind w:left="0" w:leftChars="0" w:firstLine="0" w:firstLineChars="0"/>
        <w:jc w:val="center"/>
        <w:rPr>
          <w:rFonts w:cs="Times New Roman"/>
          <w:lang w:eastAsia="zh-CN"/>
        </w:rPr>
      </w:pPr>
      <w:r>
        <w:rPr>
          <w:rFonts w:cs="Times New Roman"/>
          <w:lang w:eastAsia="zh-CN"/>
        </w:rPr>
        <w:drawing>
          <wp:inline distT="0" distB="0" distL="0" distR="0">
            <wp:extent cx="5323840" cy="3648710"/>
            <wp:effectExtent l="0" t="0" r="0" b="889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4" cstate="print">
                      <a:extLst>
                        <a:ext uri="{28A0092B-C50C-407E-A947-70E740481C1C}">
                          <a14:useLocalDpi xmlns:a14="http://schemas.microsoft.com/office/drawing/2010/main" val="0"/>
                        </a:ext>
                      </a:extLst>
                    </a:blip>
                    <a:srcRect t="3359"/>
                    <a:stretch>
                      <a:fillRect/>
                    </a:stretch>
                  </pic:blipFill>
                  <pic:spPr>
                    <a:xfrm>
                      <a:off x="0" y="0"/>
                      <a:ext cx="5324400" cy="3649534"/>
                    </a:xfrm>
                    <a:prstGeom prst="rect">
                      <a:avLst/>
                    </a:prstGeom>
                    <a:ln>
                      <a:noFill/>
                    </a:ln>
                  </pic:spPr>
                </pic:pic>
              </a:graphicData>
            </a:graphic>
          </wp:inline>
        </w:drawing>
      </w:r>
    </w:p>
    <w:p>
      <w:pPr>
        <w:kinsoku/>
        <w:spacing w:line="360" w:lineRule="auto"/>
        <w:ind w:firstLine="480"/>
        <w:jc w:val="center"/>
        <w:rPr>
          <w:rFonts w:cs="Times New Roman"/>
          <w:lang w:eastAsia="zh-CN"/>
        </w:rPr>
      </w:pPr>
      <w:r>
        <w:rPr>
          <w:rFonts w:cs="Times New Roman"/>
          <w:lang w:eastAsia="zh-CN"/>
        </w:rPr>
        <w:t xml:space="preserve">图 </w:t>
      </w:r>
      <w:r>
        <w:rPr>
          <w:rFonts w:hint="eastAsia" w:cs="Times New Roman"/>
          <w:lang w:eastAsia="zh-CN"/>
        </w:rPr>
        <w:t>3.6</w:t>
      </w:r>
      <w:r>
        <w:rPr>
          <w:rFonts w:cs="Times New Roman"/>
          <w:lang w:eastAsia="zh-CN"/>
        </w:rPr>
        <w:t xml:space="preserve"> </w:t>
      </w:r>
      <w:r>
        <w:rPr>
          <w:rFonts w:hint="eastAsia" w:cs="Times New Roman"/>
          <w:lang w:eastAsia="zh-CN"/>
        </w:rPr>
        <w:t>泊头市</w:t>
      </w:r>
      <w:r>
        <w:rPr>
          <w:rFonts w:cs="Times New Roman"/>
          <w:lang w:eastAsia="zh-CN"/>
        </w:rPr>
        <w:t>土壤</w:t>
      </w:r>
      <w:r>
        <w:rPr>
          <w:rFonts w:hint="eastAsia" w:cs="Times New Roman"/>
          <w:lang w:eastAsia="zh-CN"/>
        </w:rPr>
        <w:t>有机质</w:t>
      </w:r>
      <w:r>
        <w:rPr>
          <w:rFonts w:cs="Times New Roman"/>
          <w:lang w:eastAsia="zh-CN"/>
        </w:rPr>
        <w:t>空间分布图</w:t>
      </w:r>
    </w:p>
    <w:p>
      <w:pPr>
        <w:spacing w:line="360" w:lineRule="auto"/>
        <w:ind w:firstLine="480"/>
        <w:rPr>
          <w:lang w:eastAsia="zh-CN"/>
        </w:rPr>
      </w:pPr>
      <w:r>
        <w:rPr>
          <w:rFonts w:hint="eastAsia"/>
          <w:lang w:eastAsia="zh-CN"/>
        </w:rPr>
        <w:t>泊头市</w:t>
      </w:r>
      <w:r>
        <w:rPr>
          <w:lang w:eastAsia="zh-CN"/>
        </w:rPr>
        <w:t>土壤</w:t>
      </w:r>
      <w:r>
        <w:rPr>
          <w:rFonts w:hint="eastAsia"/>
          <w:lang w:eastAsia="zh-CN"/>
        </w:rPr>
        <w:t>有机质</w:t>
      </w:r>
      <w:r>
        <w:rPr>
          <w:lang w:eastAsia="zh-CN"/>
        </w:rPr>
        <w:t>空间分布特征如图 3.</w:t>
      </w:r>
      <w:r>
        <w:rPr>
          <w:rFonts w:hint="eastAsia"/>
          <w:lang w:eastAsia="zh-CN"/>
        </w:rPr>
        <w:t>6</w:t>
      </w:r>
      <w:r>
        <w:rPr>
          <w:lang w:eastAsia="zh-CN"/>
        </w:rPr>
        <w:t xml:space="preserve"> 所示，数据来源于</w:t>
      </w:r>
      <w:r>
        <w:rPr>
          <w:rFonts w:hint="eastAsia"/>
          <w:lang w:eastAsia="zh-CN"/>
        </w:rPr>
        <w:t>泊头市</w:t>
      </w:r>
      <w:r>
        <w:rPr>
          <w:lang w:eastAsia="zh-CN"/>
        </w:rPr>
        <w:t>第三次 全国土壤普查土壤属性图成果。</w:t>
      </w:r>
    </w:p>
    <w:p>
      <w:pPr>
        <w:kinsoku/>
        <w:spacing w:line="360" w:lineRule="auto"/>
        <w:ind w:firstLine="480"/>
        <w:jc w:val="center"/>
        <w:rPr>
          <w:rFonts w:cs="Times New Roman"/>
          <w:lang w:eastAsia="zh-CN"/>
        </w:rPr>
      </w:pPr>
    </w:p>
    <w:p>
      <w:pPr>
        <w:kinsoku/>
        <w:spacing w:line="360" w:lineRule="auto"/>
        <w:ind w:firstLine="480"/>
        <w:jc w:val="center"/>
        <w:rPr>
          <w:rFonts w:cs="Times New Roman"/>
          <w:lang w:eastAsia="zh-CN"/>
        </w:rPr>
      </w:pPr>
      <w:r>
        <w:rPr>
          <w:rFonts w:cs="Times New Roman"/>
          <w:lang w:eastAsia="zh-CN"/>
        </w:rPr>
        <w:drawing>
          <wp:inline distT="0" distB="0" distL="0" distR="0">
            <wp:extent cx="5323840" cy="3660775"/>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5" cstate="print">
                      <a:extLst>
                        <a:ext uri="{28A0092B-C50C-407E-A947-70E740481C1C}">
                          <a14:useLocalDpi xmlns:a14="http://schemas.microsoft.com/office/drawing/2010/main" val="0"/>
                        </a:ext>
                      </a:extLst>
                    </a:blip>
                    <a:srcRect t="3114"/>
                    <a:stretch>
                      <a:fillRect/>
                    </a:stretch>
                  </pic:blipFill>
                  <pic:spPr>
                    <a:xfrm>
                      <a:off x="0" y="0"/>
                      <a:ext cx="5324400" cy="3661200"/>
                    </a:xfrm>
                    <a:prstGeom prst="rect">
                      <a:avLst/>
                    </a:prstGeom>
                    <a:ln>
                      <a:noFill/>
                    </a:ln>
                  </pic:spPr>
                </pic:pic>
              </a:graphicData>
            </a:graphic>
          </wp:inline>
        </w:drawing>
      </w:r>
    </w:p>
    <w:p>
      <w:pPr>
        <w:kinsoku/>
        <w:spacing w:line="360" w:lineRule="auto"/>
        <w:ind w:firstLine="480"/>
        <w:jc w:val="center"/>
        <w:rPr>
          <w:rFonts w:cs="Times New Roman"/>
          <w:lang w:eastAsia="zh-CN"/>
        </w:rPr>
      </w:pPr>
      <w:r>
        <w:rPr>
          <w:rFonts w:cs="Times New Roman"/>
          <w:lang w:eastAsia="zh-CN"/>
        </w:rPr>
        <w:t xml:space="preserve">图 </w:t>
      </w:r>
      <w:r>
        <w:rPr>
          <w:rFonts w:hint="eastAsia" w:cs="Times New Roman"/>
          <w:lang w:eastAsia="zh-CN"/>
        </w:rPr>
        <w:t>3.7</w:t>
      </w:r>
      <w:r>
        <w:rPr>
          <w:rFonts w:cs="Times New Roman"/>
          <w:lang w:eastAsia="zh-CN"/>
        </w:rPr>
        <w:t xml:space="preserve"> </w:t>
      </w:r>
      <w:r>
        <w:rPr>
          <w:rFonts w:hint="eastAsia" w:cs="Times New Roman"/>
          <w:lang w:eastAsia="zh-CN"/>
        </w:rPr>
        <w:t>泊头市</w:t>
      </w:r>
      <w:r>
        <w:rPr>
          <w:rFonts w:cs="Times New Roman"/>
          <w:lang w:eastAsia="zh-CN"/>
        </w:rPr>
        <w:t>土壤</w:t>
      </w:r>
      <w:r>
        <w:rPr>
          <w:rFonts w:hint="eastAsia" w:cs="Times New Roman"/>
          <w:lang w:eastAsia="zh-CN"/>
        </w:rPr>
        <w:t>pH值</w:t>
      </w:r>
      <w:r>
        <w:rPr>
          <w:rFonts w:cs="Times New Roman"/>
          <w:lang w:eastAsia="zh-CN"/>
        </w:rPr>
        <w:t>空间分布图</w:t>
      </w:r>
    </w:p>
    <w:p>
      <w:pPr>
        <w:spacing w:line="360" w:lineRule="auto"/>
        <w:ind w:firstLine="480"/>
        <w:rPr>
          <w:rFonts w:cs="Times New Roman"/>
          <w:lang w:eastAsia="zh-CN"/>
        </w:rPr>
      </w:pPr>
      <w:r>
        <w:rPr>
          <w:rFonts w:hint="eastAsia"/>
          <w:lang w:eastAsia="zh-CN"/>
        </w:rPr>
        <w:t>泊头市</w:t>
      </w:r>
      <w:r>
        <w:rPr>
          <w:lang w:eastAsia="zh-CN"/>
        </w:rPr>
        <w:t>土壤</w:t>
      </w:r>
      <w:r>
        <w:rPr>
          <w:rFonts w:hint="eastAsia" w:cs="Times New Roman"/>
          <w:lang w:eastAsia="zh-CN"/>
        </w:rPr>
        <w:t>pH值</w:t>
      </w:r>
      <w:r>
        <w:rPr>
          <w:lang w:eastAsia="zh-CN"/>
        </w:rPr>
        <w:t>空间分布特征如图 3.</w:t>
      </w:r>
      <w:r>
        <w:rPr>
          <w:rFonts w:hint="eastAsia"/>
          <w:lang w:eastAsia="zh-CN"/>
        </w:rPr>
        <w:t>7</w:t>
      </w:r>
      <w:r>
        <w:rPr>
          <w:lang w:eastAsia="zh-CN"/>
        </w:rPr>
        <w:t xml:space="preserve"> 所示，数据来源于</w:t>
      </w:r>
      <w:r>
        <w:rPr>
          <w:rFonts w:hint="eastAsia"/>
          <w:lang w:eastAsia="zh-CN"/>
        </w:rPr>
        <w:t>泊头市</w:t>
      </w:r>
      <w:r>
        <w:rPr>
          <w:lang w:eastAsia="zh-CN"/>
        </w:rPr>
        <w:t>第三次 全国土壤普查土壤属性图成果。</w:t>
      </w:r>
    </w:p>
    <w:p>
      <w:pPr>
        <w:kinsoku/>
        <w:spacing w:line="360" w:lineRule="auto"/>
        <w:ind w:left="0" w:leftChars="0" w:firstLine="0" w:firstLineChars="0"/>
        <w:jc w:val="center"/>
        <w:rPr>
          <w:rFonts w:cs="Times New Roman"/>
          <w:lang w:eastAsia="zh-CN"/>
        </w:rPr>
      </w:pPr>
      <w:r>
        <w:rPr>
          <w:rFonts w:cs="Times New Roman"/>
          <w:lang w:eastAsia="zh-CN"/>
        </w:rPr>
        <w:drawing>
          <wp:inline distT="0" distB="0" distL="0" distR="0">
            <wp:extent cx="5323840" cy="3776345"/>
            <wp:effectExtent l="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24400" cy="3776400"/>
                    </a:xfrm>
                    <a:prstGeom prst="rect">
                      <a:avLst/>
                    </a:prstGeom>
                  </pic:spPr>
                </pic:pic>
              </a:graphicData>
            </a:graphic>
          </wp:inline>
        </w:drawing>
      </w:r>
    </w:p>
    <w:p>
      <w:pPr>
        <w:kinsoku/>
        <w:spacing w:line="360" w:lineRule="auto"/>
        <w:ind w:firstLine="480"/>
        <w:jc w:val="center"/>
        <w:rPr>
          <w:rFonts w:cs="Times New Roman"/>
          <w:lang w:eastAsia="zh-CN"/>
        </w:rPr>
      </w:pPr>
      <w:r>
        <w:rPr>
          <w:rFonts w:cs="Times New Roman"/>
          <w:lang w:eastAsia="zh-CN"/>
        </w:rPr>
        <w:t xml:space="preserve">图 </w:t>
      </w:r>
      <w:r>
        <w:rPr>
          <w:rFonts w:hint="eastAsia" w:cs="Times New Roman"/>
          <w:lang w:eastAsia="zh-CN"/>
        </w:rPr>
        <w:t>3.8</w:t>
      </w:r>
      <w:r>
        <w:rPr>
          <w:rFonts w:cs="Times New Roman"/>
          <w:lang w:eastAsia="zh-CN"/>
        </w:rPr>
        <w:t xml:space="preserve"> </w:t>
      </w:r>
      <w:r>
        <w:rPr>
          <w:rFonts w:hint="eastAsia" w:cs="Times New Roman"/>
          <w:lang w:eastAsia="zh-CN"/>
        </w:rPr>
        <w:t>泊头市</w:t>
      </w:r>
      <w:r>
        <w:rPr>
          <w:rFonts w:cs="Times New Roman"/>
          <w:lang w:eastAsia="zh-CN"/>
        </w:rPr>
        <w:t>土壤</w:t>
      </w:r>
      <w:r>
        <w:rPr>
          <w:rFonts w:hint="eastAsia" w:cs="Times New Roman"/>
          <w:lang w:eastAsia="zh-CN"/>
        </w:rPr>
        <w:t>速效钾</w:t>
      </w:r>
      <w:r>
        <w:rPr>
          <w:rFonts w:cs="Times New Roman"/>
          <w:lang w:eastAsia="zh-CN"/>
        </w:rPr>
        <w:t>空间分布图</w:t>
      </w:r>
    </w:p>
    <w:p>
      <w:pPr>
        <w:spacing w:line="360" w:lineRule="auto"/>
        <w:ind w:firstLine="480"/>
        <w:rPr>
          <w:lang w:eastAsia="zh-CN"/>
        </w:rPr>
      </w:pPr>
      <w:r>
        <w:rPr>
          <w:rFonts w:hint="eastAsia"/>
          <w:lang w:eastAsia="zh-CN"/>
        </w:rPr>
        <w:t>泊头市</w:t>
      </w:r>
      <w:r>
        <w:rPr>
          <w:rFonts w:cs="Times New Roman"/>
          <w:lang w:eastAsia="zh-CN"/>
        </w:rPr>
        <w:t>土壤</w:t>
      </w:r>
      <w:r>
        <w:rPr>
          <w:rFonts w:hint="eastAsia" w:cs="Times New Roman"/>
          <w:lang w:eastAsia="zh-CN"/>
        </w:rPr>
        <w:t>速效钾</w:t>
      </w:r>
      <w:r>
        <w:rPr>
          <w:lang w:eastAsia="zh-CN"/>
        </w:rPr>
        <w:t>空间分布特征如图 3.</w:t>
      </w:r>
      <w:r>
        <w:rPr>
          <w:rFonts w:hint="eastAsia"/>
          <w:lang w:eastAsia="zh-CN"/>
        </w:rPr>
        <w:t>8</w:t>
      </w:r>
      <w:r>
        <w:rPr>
          <w:lang w:eastAsia="zh-CN"/>
        </w:rPr>
        <w:t xml:space="preserve"> 所示，数据来源于</w:t>
      </w:r>
      <w:r>
        <w:rPr>
          <w:rFonts w:hint="eastAsia"/>
          <w:lang w:eastAsia="zh-CN"/>
        </w:rPr>
        <w:t>泊头市</w:t>
      </w:r>
      <w:r>
        <w:rPr>
          <w:lang w:eastAsia="zh-CN"/>
        </w:rPr>
        <w:t>第三次 全国土壤普查土壤属性图成果。</w:t>
      </w:r>
    </w:p>
    <w:p>
      <w:pPr>
        <w:kinsoku/>
        <w:spacing w:line="360" w:lineRule="auto"/>
        <w:ind w:left="0" w:leftChars="0" w:firstLine="0" w:firstLineChars="0"/>
        <w:jc w:val="center"/>
        <w:rPr>
          <w:rFonts w:cs="Times New Roman"/>
          <w:lang w:eastAsia="zh-CN"/>
        </w:rPr>
      </w:pPr>
      <w:r>
        <w:rPr>
          <w:rFonts w:cs="Times New Roman"/>
          <w:lang w:eastAsia="zh-CN"/>
        </w:rPr>
        <w:drawing>
          <wp:inline distT="0" distB="0" distL="0" distR="0">
            <wp:extent cx="5323840" cy="3776345"/>
            <wp:effectExtent l="0" t="0" r="0" b="0"/>
            <wp:docPr id="15922400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0002" name="图片 4"/>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24400" cy="3776400"/>
                    </a:xfrm>
                    <a:prstGeom prst="rect">
                      <a:avLst/>
                    </a:prstGeom>
                  </pic:spPr>
                </pic:pic>
              </a:graphicData>
            </a:graphic>
          </wp:inline>
        </w:drawing>
      </w:r>
    </w:p>
    <w:p>
      <w:pPr>
        <w:kinsoku/>
        <w:spacing w:line="360" w:lineRule="auto"/>
        <w:ind w:firstLine="480"/>
        <w:jc w:val="center"/>
        <w:rPr>
          <w:rFonts w:cs="Times New Roman"/>
          <w:lang w:eastAsia="zh-CN"/>
        </w:rPr>
      </w:pPr>
      <w:r>
        <w:rPr>
          <w:rFonts w:cs="Times New Roman"/>
          <w:lang w:eastAsia="zh-CN"/>
        </w:rPr>
        <w:t xml:space="preserve">图 </w:t>
      </w:r>
      <w:r>
        <w:rPr>
          <w:rFonts w:hint="eastAsia" w:cs="Times New Roman"/>
          <w:lang w:eastAsia="zh-CN"/>
        </w:rPr>
        <w:t>3.9 泊头市</w:t>
      </w:r>
      <w:r>
        <w:rPr>
          <w:rFonts w:cs="Times New Roman"/>
          <w:lang w:eastAsia="zh-CN"/>
        </w:rPr>
        <w:t>土壤</w:t>
      </w:r>
      <w:r>
        <w:rPr>
          <w:rFonts w:hint="eastAsia" w:cs="Times New Roman"/>
          <w:lang w:eastAsia="zh-CN"/>
        </w:rPr>
        <w:t>质地</w:t>
      </w:r>
      <w:r>
        <w:rPr>
          <w:rFonts w:cs="Times New Roman"/>
          <w:lang w:eastAsia="zh-CN"/>
        </w:rPr>
        <w:t>空间分布图</w:t>
      </w:r>
    </w:p>
    <w:p>
      <w:pPr>
        <w:spacing w:line="360" w:lineRule="auto"/>
        <w:ind w:firstLine="480"/>
        <w:rPr>
          <w:lang w:eastAsia="zh-CN"/>
        </w:rPr>
      </w:pPr>
      <w:r>
        <w:rPr>
          <w:rFonts w:hint="eastAsia"/>
          <w:lang w:eastAsia="zh-CN"/>
        </w:rPr>
        <w:t>泊头市</w:t>
      </w:r>
      <w:r>
        <w:rPr>
          <w:rFonts w:cs="Times New Roman"/>
          <w:lang w:eastAsia="zh-CN"/>
        </w:rPr>
        <w:t>土壤</w:t>
      </w:r>
      <w:r>
        <w:rPr>
          <w:rFonts w:hint="eastAsia" w:cs="Times New Roman"/>
          <w:lang w:eastAsia="zh-CN"/>
        </w:rPr>
        <w:t>质地</w:t>
      </w:r>
      <w:r>
        <w:rPr>
          <w:lang w:eastAsia="zh-CN"/>
        </w:rPr>
        <w:t>空间分布特征如图 3.</w:t>
      </w:r>
      <w:r>
        <w:rPr>
          <w:rFonts w:hint="eastAsia"/>
          <w:lang w:eastAsia="zh-CN"/>
        </w:rPr>
        <w:t>9</w:t>
      </w:r>
      <w:r>
        <w:rPr>
          <w:lang w:eastAsia="zh-CN"/>
        </w:rPr>
        <w:t xml:space="preserve"> 所示，数据来源于</w:t>
      </w:r>
      <w:r>
        <w:rPr>
          <w:rFonts w:hint="eastAsia"/>
          <w:lang w:eastAsia="zh-CN"/>
        </w:rPr>
        <w:t>泊头市</w:t>
      </w:r>
      <w:r>
        <w:rPr>
          <w:lang w:eastAsia="zh-CN"/>
        </w:rPr>
        <w:t>第三次 全国土壤普查土壤属性图成果。</w:t>
      </w:r>
    </w:p>
    <w:p>
      <w:pPr>
        <w:kinsoku/>
        <w:spacing w:line="360" w:lineRule="auto"/>
        <w:ind w:firstLine="480"/>
        <w:jc w:val="center"/>
        <w:rPr>
          <w:rFonts w:cs="Times New Roman"/>
          <w:lang w:eastAsia="zh-CN"/>
        </w:rPr>
      </w:pPr>
    </w:p>
    <w:p>
      <w:pPr>
        <w:kinsoku/>
        <w:spacing w:line="360" w:lineRule="auto"/>
        <w:ind w:left="0" w:leftChars="0" w:firstLine="0" w:firstLineChars="0"/>
        <w:jc w:val="center"/>
        <w:rPr>
          <w:rFonts w:cs="Times New Roman"/>
          <w:lang w:eastAsia="zh-CN"/>
        </w:rPr>
      </w:pPr>
      <w:r>
        <w:rPr>
          <w:rFonts w:cs="Times New Roman"/>
          <w:lang w:eastAsia="zh-CN"/>
        </w:rPr>
        <w:drawing>
          <wp:inline distT="0" distB="0" distL="0" distR="0">
            <wp:extent cx="5323840" cy="3776345"/>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24400" cy="3776400"/>
                    </a:xfrm>
                    <a:prstGeom prst="rect">
                      <a:avLst/>
                    </a:prstGeom>
                  </pic:spPr>
                </pic:pic>
              </a:graphicData>
            </a:graphic>
          </wp:inline>
        </w:drawing>
      </w:r>
    </w:p>
    <w:p>
      <w:pPr>
        <w:kinsoku/>
        <w:spacing w:line="360" w:lineRule="auto"/>
        <w:ind w:firstLine="480"/>
        <w:jc w:val="center"/>
        <w:rPr>
          <w:rFonts w:cs="Times New Roman"/>
          <w:lang w:eastAsia="zh-CN"/>
        </w:rPr>
      </w:pPr>
      <w:r>
        <w:rPr>
          <w:rFonts w:cs="Times New Roman"/>
          <w:lang w:eastAsia="zh-CN"/>
        </w:rPr>
        <w:t xml:space="preserve">图 </w:t>
      </w:r>
      <w:r>
        <w:rPr>
          <w:rFonts w:hint="eastAsia" w:cs="Times New Roman"/>
          <w:lang w:eastAsia="zh-CN"/>
        </w:rPr>
        <w:t>3.10</w:t>
      </w:r>
      <w:r>
        <w:rPr>
          <w:rFonts w:cs="Times New Roman"/>
          <w:lang w:eastAsia="zh-CN"/>
        </w:rPr>
        <w:t xml:space="preserve"> </w:t>
      </w:r>
      <w:r>
        <w:rPr>
          <w:rFonts w:hint="eastAsia" w:cs="Times New Roman"/>
          <w:lang w:eastAsia="zh-CN"/>
        </w:rPr>
        <w:t>泊头市</w:t>
      </w:r>
      <w:r>
        <w:rPr>
          <w:rFonts w:cs="Times New Roman"/>
          <w:lang w:eastAsia="zh-CN"/>
        </w:rPr>
        <w:t>土壤</w:t>
      </w:r>
      <w:r>
        <w:rPr>
          <w:rFonts w:hint="eastAsia" w:cs="Times New Roman"/>
          <w:lang w:eastAsia="zh-CN"/>
        </w:rPr>
        <w:t>容重</w:t>
      </w:r>
      <w:r>
        <w:rPr>
          <w:rFonts w:cs="Times New Roman"/>
          <w:lang w:eastAsia="zh-CN"/>
        </w:rPr>
        <w:t>空间分布图</w:t>
      </w:r>
    </w:p>
    <w:p>
      <w:pPr>
        <w:spacing w:line="360" w:lineRule="auto"/>
        <w:ind w:firstLine="480"/>
        <w:rPr>
          <w:lang w:eastAsia="zh-CN"/>
        </w:rPr>
      </w:pPr>
      <w:r>
        <w:rPr>
          <w:rFonts w:hint="eastAsia"/>
          <w:lang w:eastAsia="zh-CN"/>
        </w:rPr>
        <w:t>泊头市</w:t>
      </w:r>
      <w:r>
        <w:rPr>
          <w:rFonts w:cs="Times New Roman"/>
          <w:lang w:eastAsia="zh-CN"/>
        </w:rPr>
        <w:t>土壤</w:t>
      </w:r>
      <w:r>
        <w:rPr>
          <w:rFonts w:hint="eastAsia" w:cs="Times New Roman"/>
          <w:lang w:eastAsia="zh-CN"/>
        </w:rPr>
        <w:t>容重</w:t>
      </w:r>
      <w:r>
        <w:rPr>
          <w:lang w:eastAsia="zh-CN"/>
        </w:rPr>
        <w:t>空间分布特征如图 3.</w:t>
      </w:r>
      <w:r>
        <w:rPr>
          <w:rFonts w:hint="eastAsia"/>
          <w:lang w:eastAsia="zh-CN"/>
        </w:rPr>
        <w:t>10</w:t>
      </w:r>
      <w:r>
        <w:rPr>
          <w:lang w:eastAsia="zh-CN"/>
        </w:rPr>
        <w:t xml:space="preserve"> 所示，数据来源于</w:t>
      </w:r>
      <w:r>
        <w:rPr>
          <w:rFonts w:hint="eastAsia"/>
          <w:lang w:eastAsia="zh-CN"/>
        </w:rPr>
        <w:t>泊头市</w:t>
      </w:r>
      <w:r>
        <w:rPr>
          <w:lang w:eastAsia="zh-CN"/>
        </w:rPr>
        <w:t>第三次 全国土壤普查土壤属性图成果。</w:t>
      </w:r>
    </w:p>
    <w:p>
      <w:pPr>
        <w:kinsoku/>
        <w:spacing w:line="360" w:lineRule="auto"/>
        <w:ind w:firstLine="482"/>
        <w:jc w:val="both"/>
        <w:rPr>
          <w:b/>
          <w:bCs/>
          <w:lang w:eastAsia="zh-CN"/>
        </w:rPr>
      </w:pPr>
      <w:r>
        <w:rPr>
          <w:b/>
          <w:bCs/>
          <w:lang w:eastAsia="zh-CN"/>
        </w:rPr>
        <w:t>3. 划分评价单元</w:t>
      </w:r>
    </w:p>
    <w:p>
      <w:pPr>
        <w:spacing w:line="360" w:lineRule="auto"/>
        <w:ind w:firstLine="480"/>
        <w:rPr>
          <w:lang w:eastAsia="zh-CN"/>
        </w:rPr>
      </w:pPr>
      <w:r>
        <w:rPr>
          <w:lang w:eastAsia="zh-CN"/>
        </w:rPr>
        <w:t>泊头市</w:t>
      </w:r>
      <w:r>
        <w:rPr>
          <w:rFonts w:hint="eastAsia"/>
          <w:lang w:eastAsia="zh-CN"/>
        </w:rPr>
        <w:t>桑椹</w:t>
      </w:r>
      <w:r>
        <w:rPr>
          <w:lang w:eastAsia="zh-CN"/>
        </w:rPr>
        <w:t>评价单元采用第三次全国土壤普查成果土壤类型图作为基础底图，</w:t>
      </w:r>
      <w:commentRangeStart w:id="11"/>
      <w:r>
        <w:rPr>
          <w:lang w:eastAsia="zh-CN"/>
        </w:rPr>
        <w:t>将土壤类型图与泊头市2023年土地利用现状图进行空间叠加分析，选取适宜</w:t>
      </w:r>
      <w:r>
        <w:rPr>
          <w:rFonts w:hint="eastAsia"/>
          <w:lang w:eastAsia="zh-CN"/>
        </w:rPr>
        <w:t>桑椹</w:t>
      </w:r>
      <w:r>
        <w:rPr>
          <w:lang w:eastAsia="zh-CN"/>
        </w:rPr>
        <w:t>种植的农业生产空间，包括园地、耕地、林地等土地利用类型，并结合区域实际情况保留部分具有潜在开发价值的农业利用空间。</w:t>
      </w:r>
      <w:commentRangeEnd w:id="11"/>
      <w:r>
        <w:commentReference w:id="11"/>
      </w:r>
      <w:r>
        <w:rPr>
          <w:lang w:eastAsia="zh-CN"/>
        </w:rPr>
        <w:t>通过空间叠加处理，将土壤类型、土地利用类型等空间信息进行融合，对叠加过程中产生的细碎图斑进行合并优化，消除面积过小、空间破碎的评价单元，提高评价结果的空间连续性和实际应用价值。</w:t>
      </w:r>
    </w:p>
    <w:p>
      <w:pPr>
        <w:spacing w:line="360" w:lineRule="auto"/>
        <w:ind w:firstLine="480"/>
        <w:rPr>
          <w:lang w:eastAsia="zh-CN"/>
        </w:rPr>
      </w:pPr>
      <w:r>
        <w:rPr>
          <w:lang w:eastAsia="zh-CN"/>
        </w:rPr>
        <w:t>泊头</w:t>
      </w:r>
      <w:r>
        <w:rPr>
          <w:rFonts w:hint="eastAsia"/>
          <w:lang w:eastAsia="zh-CN"/>
        </w:rPr>
        <w:t>桑椹</w:t>
      </w:r>
      <w:r>
        <w:rPr>
          <w:lang w:eastAsia="zh-CN"/>
        </w:rPr>
        <w:t>属于多年生木本经济作物，具有较强的生态适应性，但优质</w:t>
      </w:r>
      <w:r>
        <w:rPr>
          <w:rFonts w:hint="eastAsia"/>
          <w:lang w:eastAsia="zh-CN"/>
        </w:rPr>
        <w:t>桑椹</w:t>
      </w:r>
      <w:r>
        <w:rPr>
          <w:lang w:eastAsia="zh-CN"/>
        </w:rPr>
        <w:t>生产对土壤环境、水分条件和立地条件具有一定要求。泊头</w:t>
      </w:r>
      <w:r>
        <w:rPr>
          <w:rFonts w:hint="eastAsia"/>
          <w:lang w:eastAsia="zh-CN"/>
        </w:rPr>
        <w:t>桑椹</w:t>
      </w:r>
      <w:r>
        <w:rPr>
          <w:lang w:eastAsia="zh-CN"/>
        </w:rPr>
        <w:t>核心产区主要位于黄河故道冲积平原，营子镇区域土壤类型以蒙金砂土为主，土壤结构和水分条件为桑树生长提供了良好基础。 同时，泊头</w:t>
      </w:r>
      <w:r>
        <w:rPr>
          <w:rFonts w:hint="eastAsia"/>
          <w:lang w:eastAsia="zh-CN"/>
        </w:rPr>
        <w:t>桑椹</w:t>
      </w:r>
      <w:r>
        <w:rPr>
          <w:lang w:eastAsia="zh-CN"/>
        </w:rPr>
        <w:t>种植主要集中于营子镇及周边乡镇，其中营子镇为核心生产区域，形成较为集中的桑树种植分布格局。</w:t>
      </w:r>
    </w:p>
    <w:p>
      <w:pPr>
        <w:spacing w:line="360" w:lineRule="auto"/>
        <w:ind w:firstLine="480"/>
        <w:rPr>
          <w:lang w:eastAsia="zh-CN"/>
        </w:rPr>
      </w:pPr>
      <w:r>
        <w:rPr>
          <w:lang w:eastAsia="zh-CN"/>
        </w:rPr>
        <w:t>考虑到</w:t>
      </w:r>
      <w:r>
        <w:rPr>
          <w:rFonts w:hint="eastAsia"/>
          <w:lang w:eastAsia="zh-CN"/>
        </w:rPr>
        <w:t>桑椹</w:t>
      </w:r>
      <w:r>
        <w:rPr>
          <w:lang w:eastAsia="zh-CN"/>
        </w:rPr>
        <w:t>生产以规模化果桑种植为主要利用方式，评价范围需兼顾现有种植基础和未来产业发展空间。因此，本研究未将城镇建设用地、交通用地、水域等不具备农业生产条件的土地类型纳入评价范围，同时结合土地利用现状和</w:t>
      </w:r>
      <w:r>
        <w:rPr>
          <w:rFonts w:hint="eastAsia"/>
          <w:lang w:eastAsia="zh-CN"/>
        </w:rPr>
        <w:t>桑椹</w:t>
      </w:r>
      <w:r>
        <w:rPr>
          <w:lang w:eastAsia="zh-CN"/>
        </w:rPr>
        <w:t>种植需求，对评价空间进行筛选和优化。最终划分泊头市</w:t>
      </w:r>
      <w:r>
        <w:rPr>
          <w:rFonts w:hint="eastAsia"/>
          <w:lang w:eastAsia="zh-CN"/>
        </w:rPr>
        <w:t>桑椹</w:t>
      </w:r>
      <w:r>
        <w:rPr>
          <w:lang w:eastAsia="zh-CN"/>
        </w:rPr>
        <w:t>生态适宜性评价单元</w:t>
      </w:r>
      <w:r>
        <w:rPr>
          <w:rFonts w:hint="eastAsia"/>
          <w:lang w:eastAsia="zh-CN"/>
        </w:rPr>
        <w:t>138805个</w:t>
      </w:r>
      <w:r>
        <w:rPr>
          <w:lang w:eastAsia="zh-CN"/>
        </w:rPr>
        <w:t>。</w:t>
      </w:r>
    </w:p>
    <w:p>
      <w:pPr>
        <w:kinsoku/>
        <w:spacing w:line="360" w:lineRule="auto"/>
        <w:ind w:firstLine="482"/>
        <w:jc w:val="both"/>
        <w:rPr>
          <w:b/>
          <w:bCs/>
          <w:lang w:eastAsia="zh-CN"/>
        </w:rPr>
      </w:pPr>
      <w:r>
        <w:rPr>
          <w:b/>
          <w:bCs/>
          <w:lang w:eastAsia="zh-CN"/>
        </w:rPr>
        <w:t>4. 构建评价指标体系</w:t>
      </w:r>
    </w:p>
    <w:p>
      <w:pPr>
        <w:spacing w:line="360" w:lineRule="auto"/>
        <w:ind w:firstLine="480"/>
        <w:rPr>
          <w:lang w:eastAsia="zh-CN"/>
        </w:rPr>
      </w:pPr>
      <w:r>
        <w:rPr>
          <w:rFonts w:hint="eastAsia"/>
          <w:lang w:eastAsia="zh-CN"/>
        </w:rPr>
        <w:t>评价指标体系的构建以能够反映泊头桑椹生长发育、产量形成和品质特征的土壤及气候环境因子为基础，并充分考虑指标数据的代表性、区域差异性、可获取性及指标间的独立性。结合泊头桑椹长期种植实践、现有优势产区环境特征以及第三次全国土壤普查成果，初步选取土壤、气候、地形地貌等相关环境因子作为适宜性评价预选指标。</w:t>
      </w:r>
    </w:p>
    <w:p>
      <w:pPr>
        <w:spacing w:line="360" w:lineRule="auto"/>
        <w:ind w:firstLine="480"/>
        <w:rPr>
          <w:lang w:eastAsia="zh-CN"/>
        </w:rPr>
      </w:pPr>
      <w:r>
        <w:rPr>
          <w:rFonts w:hint="eastAsia"/>
          <w:lang w:eastAsia="zh-CN"/>
        </w:rPr>
        <w:t>为客观识别影响泊头桑椹适宜性空间分布的主要环境因子，以现有桑椹种植区域样点作为物种存在点，以研究区内随机生成的背景点作为对照样本，将桑椹分布样点及预选环境变量导入最大熵模型（MaxEnt）进行分析。模型训练过程中，将75%的桑椹分布样点作为训练集，其余25%作为测试集，重复运行10次，并采用刀切法（Jackknife）分析各环境变量对模型预测结果的贡献程度和重要性。</w:t>
      </w:r>
      <w:r>
        <w:commentReference w:id="12"/>
      </w:r>
    </w:p>
    <w:p>
      <w:pPr>
        <w:spacing w:line="360" w:lineRule="auto"/>
        <w:ind w:firstLine="480"/>
        <w:rPr>
          <w:lang w:eastAsia="zh-CN"/>
        </w:rPr>
      </w:pPr>
      <w:r>
        <w:rPr>
          <w:rFonts w:hint="eastAsia"/>
          <w:lang w:eastAsia="zh-CN"/>
        </w:rPr>
        <w:t>在MaxEnt模型分析基础上，根据各环境变量的贡献率和置换重要性，初步剔除贡献率较低、对桑椹适宜性空间分布解释能力较弱的环境变量；同时考虑部分环境因子之间可能存在较强相关性，为避免变量共线性造成信息重复及模型过度拟合，进一步开展环境变量相关性分析，对生态意义相近且相关程度较高的指标进行筛选和取舍。</w:t>
      </w:r>
    </w:p>
    <w:p>
      <w:pPr>
        <w:spacing w:line="360" w:lineRule="auto"/>
        <w:ind w:firstLine="480"/>
        <w:rPr>
          <w:lang w:eastAsia="zh-CN"/>
        </w:rPr>
      </w:pPr>
      <w:r>
        <w:rPr>
          <w:rFonts w:hint="eastAsia"/>
          <w:lang w:eastAsia="zh-CN"/>
        </w:rPr>
        <w:t>在统计筛选结果基础上，结合桑树生物学特性、泊头桑椹优质生产对环境条件的实际需求，以及营子镇、齐桥镇等现有桑椹优势产区长期种植形成的环境特征，采用专家经验法对评价指标进行进一步校正。指标筛选过程中既考虑环境因子对桑椹空间分布的统计解释能力，也注重评价结果与泊头桑椹实际生产格局之间的协调性，避免单纯依赖模型筛选导致具有明确生态意义和生产意义的指标被遗漏。</w:t>
      </w:r>
    </w:p>
    <w:p>
      <w:pPr>
        <w:spacing w:line="360" w:lineRule="auto"/>
        <w:ind w:firstLine="480"/>
        <w:rPr>
          <w:lang w:eastAsia="zh-CN"/>
        </w:rPr>
      </w:pPr>
      <w:r>
        <w:rPr>
          <w:rFonts w:hint="eastAsia"/>
          <w:lang w:eastAsia="zh-CN"/>
        </w:rPr>
        <w:t>最终确定12项泊头桑椹土壤适宜性评价指标，包括6项土壤指标和6项气候指标。其中，土壤指标包括耕地质地、土壤有机质、土壤pH、土壤容重、有效磷和速效钾；气候指标包括5-6月采摘期降雨量、年日照时数、年平均气温、无霜期天数、3月份低于0℃天数和年降水量（见表3.7）。上述指标从土壤物理性质、土壤肥力、土壤酸碱环境以及区域光、温、水和早春低温风险等方面综合反映泊头桑椹生长发育及优质生产的环境适宜程度，最终形成泊头桑椹土壤适宜性评价指标体系。</w:t>
      </w:r>
    </w:p>
    <w:p>
      <w:pPr>
        <w:pStyle w:val="155"/>
        <w:ind w:left="240" w:right="240"/>
        <w:rPr>
          <w:lang w:eastAsia="zh-CN"/>
        </w:rPr>
      </w:pPr>
      <w:r>
        <w:rPr>
          <w:rFonts w:hint="eastAsia"/>
          <w:lang w:eastAsia="zh-CN"/>
        </w:rPr>
        <w:t>表3.7</w:t>
      </w:r>
      <w:r>
        <w:rPr>
          <w:rFonts w:hint="eastAsia"/>
          <w:b/>
          <w:bCs w:val="0"/>
          <w:color w:val="000000" w:themeColor="text1"/>
          <w:lang w:eastAsia="zh-CN"/>
          <w14:textFill>
            <w14:solidFill>
              <w14:schemeClr w14:val="tx1"/>
            </w14:solidFill>
          </w14:textFill>
        </w:rPr>
        <w:t>泊头市</w:t>
      </w:r>
      <w:r>
        <w:rPr>
          <w:b/>
          <w:bCs w:val="0"/>
          <w:lang w:eastAsia="zh-CN"/>
        </w:rPr>
        <w:t>土壤适宜性评价指标集</w:t>
      </w:r>
      <w:r>
        <w:commentReference w:id="13"/>
      </w:r>
    </w:p>
    <w:tbl>
      <w:tblPr>
        <w:tblStyle w:val="32"/>
        <w:tblW w:w="5000" w:type="pct"/>
        <w:jc w:val="center"/>
        <w:tblLayout w:type="fixed"/>
        <w:tblCellMar>
          <w:top w:w="0" w:type="dxa"/>
          <w:left w:w="108" w:type="dxa"/>
          <w:bottom w:w="0" w:type="dxa"/>
          <w:right w:w="108" w:type="dxa"/>
        </w:tblCellMar>
      </w:tblPr>
      <w:tblGrid>
        <w:gridCol w:w="579"/>
        <w:gridCol w:w="962"/>
        <w:gridCol w:w="1140"/>
        <w:gridCol w:w="4981"/>
        <w:gridCol w:w="860"/>
      </w:tblGrid>
      <w:tr>
        <w:tblPrEx>
          <w:tblCellMar>
            <w:top w:w="0" w:type="dxa"/>
            <w:left w:w="108" w:type="dxa"/>
            <w:bottom w:w="0" w:type="dxa"/>
            <w:right w:w="108" w:type="dxa"/>
          </w:tblCellMar>
        </w:tblPrEx>
        <w:trPr>
          <w:trHeight w:val="280" w:hRule="atLeast"/>
          <w:jc w:val="center"/>
        </w:trPr>
        <w:tc>
          <w:tcPr>
            <w:tcW w:w="339" w:type="pct"/>
            <w:tcBorders>
              <w:top w:val="single" w:color="000000" w:sz="4" w:space="0"/>
              <w:left w:val="single" w:color="000000" w:sz="4" w:space="0"/>
              <w:bottom w:val="single" w:color="000000" w:sz="4" w:space="0"/>
              <w:right w:val="single" w:color="000000" w:sz="4" w:space="0"/>
            </w:tcBorders>
            <w:noWrap/>
            <w:vAlign w:val="center"/>
          </w:tcPr>
          <w:p>
            <w:pPr>
              <w:pStyle w:val="47"/>
              <w:bidi w:val="0"/>
              <w:rPr>
                <w:lang w:eastAsia="zh-CN"/>
              </w:rPr>
            </w:pPr>
            <w:r>
              <w:rPr>
                <w:lang w:eastAsia="zh-CN"/>
              </w:rPr>
              <w:t>序号</w:t>
            </w:r>
          </w:p>
        </w:tc>
        <w:tc>
          <w:tcPr>
            <w:tcW w:w="56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指标类别</w:t>
            </w:r>
          </w:p>
        </w:tc>
        <w:tc>
          <w:tcPr>
            <w:tcW w:w="668"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指标</w:t>
            </w:r>
          </w:p>
        </w:tc>
        <w:tc>
          <w:tcPr>
            <w:tcW w:w="2922"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隶属度</w:t>
            </w:r>
          </w:p>
        </w:tc>
        <w:tc>
          <w:tcPr>
            <w:tcW w:w="50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commentRangeStart w:id="14"/>
            <w:r>
              <w:rPr>
                <w:lang w:eastAsia="zh-CN"/>
              </w:rPr>
              <w:t>权重</w:t>
            </w:r>
            <w:commentRangeEnd w:id="14"/>
            <w:r>
              <w:commentReference w:id="14"/>
            </w:r>
          </w:p>
        </w:tc>
      </w:tr>
      <w:tr>
        <w:tblPrEx>
          <w:tblCellMar>
            <w:top w:w="0" w:type="dxa"/>
            <w:left w:w="108" w:type="dxa"/>
            <w:bottom w:w="0" w:type="dxa"/>
            <w:right w:w="108" w:type="dxa"/>
          </w:tblCellMar>
        </w:tblPrEx>
        <w:trPr>
          <w:trHeight w:val="300" w:hRule="atLeast"/>
          <w:jc w:val="center"/>
        </w:trPr>
        <w:tc>
          <w:tcPr>
            <w:tcW w:w="339" w:type="pct"/>
            <w:tcBorders>
              <w:top w:val="single" w:color="000000" w:sz="4" w:space="0"/>
              <w:left w:val="single" w:color="000000" w:sz="4" w:space="0"/>
              <w:bottom w:val="single" w:color="000000" w:sz="4" w:space="0"/>
              <w:right w:val="single" w:color="000000" w:sz="4" w:space="0"/>
            </w:tcBorders>
            <w:noWrap/>
            <w:vAlign w:val="center"/>
          </w:tcPr>
          <w:p>
            <w:pPr>
              <w:pStyle w:val="47"/>
              <w:bidi w:val="0"/>
              <w:rPr>
                <w:lang w:eastAsia="zh-CN"/>
              </w:rPr>
            </w:pPr>
            <w:r>
              <w:rPr>
                <w:lang w:eastAsia="zh-CN"/>
              </w:rPr>
              <w:t>1</w:t>
            </w:r>
          </w:p>
        </w:tc>
        <w:tc>
          <w:tcPr>
            <w:tcW w:w="56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土壤指标</w:t>
            </w:r>
          </w:p>
        </w:tc>
        <w:tc>
          <w:tcPr>
            <w:tcW w:w="668"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耕地质地</w:t>
            </w:r>
          </w:p>
        </w:tc>
        <w:tc>
          <w:tcPr>
            <w:tcW w:w="2922"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砂壤土:1.0; 壤土:0.8; 黏壤土:0.5; 黏土:0.2</w:t>
            </w:r>
          </w:p>
        </w:tc>
        <w:tc>
          <w:tcPr>
            <w:tcW w:w="50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 xml:space="preserve">0.16 </w:t>
            </w:r>
          </w:p>
        </w:tc>
      </w:tr>
      <w:tr>
        <w:tblPrEx>
          <w:tblCellMar>
            <w:top w:w="0" w:type="dxa"/>
            <w:left w:w="108" w:type="dxa"/>
            <w:bottom w:w="0" w:type="dxa"/>
            <w:right w:w="108" w:type="dxa"/>
          </w:tblCellMar>
        </w:tblPrEx>
        <w:trPr>
          <w:trHeight w:val="300" w:hRule="atLeast"/>
          <w:jc w:val="center"/>
        </w:trPr>
        <w:tc>
          <w:tcPr>
            <w:tcW w:w="339" w:type="pct"/>
            <w:tcBorders>
              <w:top w:val="single" w:color="000000" w:sz="4" w:space="0"/>
              <w:left w:val="single" w:color="000000" w:sz="4" w:space="0"/>
              <w:bottom w:val="single" w:color="000000" w:sz="4" w:space="0"/>
              <w:right w:val="single" w:color="000000" w:sz="4" w:space="0"/>
            </w:tcBorders>
            <w:noWrap/>
            <w:vAlign w:val="center"/>
          </w:tcPr>
          <w:p>
            <w:pPr>
              <w:pStyle w:val="47"/>
              <w:bidi w:val="0"/>
              <w:rPr>
                <w:lang w:eastAsia="zh-CN"/>
              </w:rPr>
            </w:pPr>
            <w:r>
              <w:rPr>
                <w:lang w:eastAsia="zh-CN"/>
              </w:rPr>
              <w:t>2</w:t>
            </w:r>
          </w:p>
        </w:tc>
        <w:tc>
          <w:tcPr>
            <w:tcW w:w="56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土壤指标</w:t>
            </w:r>
          </w:p>
        </w:tc>
        <w:tc>
          <w:tcPr>
            <w:tcW w:w="668"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有机质(g/kg)</w:t>
            </w:r>
          </w:p>
        </w:tc>
        <w:tc>
          <w:tcPr>
            <w:tcW w:w="2922"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≥10:1.0; [6,10):0.8; [4,6):0.5; &lt;4:0.2</w:t>
            </w:r>
          </w:p>
        </w:tc>
        <w:tc>
          <w:tcPr>
            <w:tcW w:w="50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 xml:space="preserve">0.15 </w:t>
            </w:r>
          </w:p>
        </w:tc>
      </w:tr>
      <w:tr>
        <w:tblPrEx>
          <w:tblCellMar>
            <w:top w:w="0" w:type="dxa"/>
            <w:left w:w="108" w:type="dxa"/>
            <w:bottom w:w="0" w:type="dxa"/>
            <w:right w:w="108" w:type="dxa"/>
          </w:tblCellMar>
        </w:tblPrEx>
        <w:trPr>
          <w:trHeight w:val="300" w:hRule="atLeast"/>
          <w:jc w:val="center"/>
        </w:trPr>
        <w:tc>
          <w:tcPr>
            <w:tcW w:w="339" w:type="pct"/>
            <w:tcBorders>
              <w:top w:val="single" w:color="000000" w:sz="4" w:space="0"/>
              <w:left w:val="single" w:color="000000" w:sz="4" w:space="0"/>
              <w:bottom w:val="single" w:color="000000" w:sz="4" w:space="0"/>
              <w:right w:val="single" w:color="000000" w:sz="4" w:space="0"/>
            </w:tcBorders>
            <w:noWrap/>
            <w:vAlign w:val="center"/>
          </w:tcPr>
          <w:p>
            <w:pPr>
              <w:pStyle w:val="47"/>
              <w:bidi w:val="0"/>
              <w:rPr>
                <w:lang w:eastAsia="zh-CN"/>
              </w:rPr>
            </w:pPr>
            <w:r>
              <w:rPr>
                <w:lang w:eastAsia="zh-CN"/>
              </w:rPr>
              <w:t>3</w:t>
            </w:r>
          </w:p>
        </w:tc>
        <w:tc>
          <w:tcPr>
            <w:tcW w:w="56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土壤指标</w:t>
            </w:r>
          </w:p>
        </w:tc>
        <w:tc>
          <w:tcPr>
            <w:tcW w:w="668"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pH</w:t>
            </w:r>
          </w:p>
        </w:tc>
        <w:tc>
          <w:tcPr>
            <w:tcW w:w="2922"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[7.5,8.5]:1.0；[7.0,7.5)或(8.5,9.0]:0.7；[6.5,7.0):0.4；&lt;6.5或&gt;9.0:0.2</w:t>
            </w:r>
          </w:p>
        </w:tc>
        <w:tc>
          <w:tcPr>
            <w:tcW w:w="50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 xml:space="preserve">0.10 </w:t>
            </w:r>
          </w:p>
        </w:tc>
      </w:tr>
      <w:tr>
        <w:tblPrEx>
          <w:tblCellMar>
            <w:top w:w="0" w:type="dxa"/>
            <w:left w:w="108" w:type="dxa"/>
            <w:bottom w:w="0" w:type="dxa"/>
            <w:right w:w="108" w:type="dxa"/>
          </w:tblCellMar>
        </w:tblPrEx>
        <w:trPr>
          <w:trHeight w:val="600" w:hRule="atLeast"/>
          <w:jc w:val="center"/>
        </w:trPr>
        <w:tc>
          <w:tcPr>
            <w:tcW w:w="339" w:type="pct"/>
            <w:tcBorders>
              <w:top w:val="single" w:color="000000" w:sz="4" w:space="0"/>
              <w:left w:val="single" w:color="000000" w:sz="4" w:space="0"/>
              <w:bottom w:val="single" w:color="000000" w:sz="4" w:space="0"/>
              <w:right w:val="single" w:color="000000" w:sz="4" w:space="0"/>
            </w:tcBorders>
            <w:noWrap/>
            <w:vAlign w:val="center"/>
          </w:tcPr>
          <w:p>
            <w:pPr>
              <w:pStyle w:val="47"/>
              <w:bidi w:val="0"/>
              <w:rPr>
                <w:lang w:eastAsia="zh-CN"/>
              </w:rPr>
            </w:pPr>
            <w:r>
              <w:rPr>
                <w:lang w:eastAsia="zh-CN"/>
              </w:rPr>
              <w:t>4</w:t>
            </w:r>
          </w:p>
        </w:tc>
        <w:tc>
          <w:tcPr>
            <w:tcW w:w="56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气候指标</w:t>
            </w:r>
          </w:p>
        </w:tc>
        <w:tc>
          <w:tcPr>
            <w:tcW w:w="668"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采摘期的降雨量（mm）5-6月</w:t>
            </w:r>
          </w:p>
        </w:tc>
        <w:tc>
          <w:tcPr>
            <w:tcW w:w="2922"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[80,120]:1.0;[60,80):0.8;(120,150]:0.8;[40,60):0.5;(150,180]:0.5;&lt;40:0.2;&gt;180:0.2</w:t>
            </w:r>
          </w:p>
        </w:tc>
        <w:tc>
          <w:tcPr>
            <w:tcW w:w="50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 xml:space="preserve">0.10 </w:t>
            </w:r>
          </w:p>
        </w:tc>
      </w:tr>
      <w:tr>
        <w:tblPrEx>
          <w:tblCellMar>
            <w:top w:w="0" w:type="dxa"/>
            <w:left w:w="108" w:type="dxa"/>
            <w:bottom w:w="0" w:type="dxa"/>
            <w:right w:w="108" w:type="dxa"/>
          </w:tblCellMar>
        </w:tblPrEx>
        <w:trPr>
          <w:trHeight w:val="300" w:hRule="atLeast"/>
          <w:jc w:val="center"/>
        </w:trPr>
        <w:tc>
          <w:tcPr>
            <w:tcW w:w="339" w:type="pct"/>
            <w:tcBorders>
              <w:top w:val="single" w:color="000000" w:sz="4" w:space="0"/>
              <w:left w:val="single" w:color="000000" w:sz="4" w:space="0"/>
              <w:bottom w:val="single" w:color="000000" w:sz="4" w:space="0"/>
              <w:right w:val="single" w:color="000000" w:sz="4" w:space="0"/>
            </w:tcBorders>
            <w:noWrap/>
            <w:vAlign w:val="center"/>
          </w:tcPr>
          <w:p>
            <w:pPr>
              <w:pStyle w:val="47"/>
              <w:bidi w:val="0"/>
              <w:rPr>
                <w:lang w:eastAsia="zh-CN"/>
              </w:rPr>
            </w:pPr>
            <w:r>
              <w:rPr>
                <w:lang w:eastAsia="zh-CN"/>
              </w:rPr>
              <w:t>5</w:t>
            </w:r>
          </w:p>
        </w:tc>
        <w:tc>
          <w:tcPr>
            <w:tcW w:w="56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土壤指标</w:t>
            </w:r>
          </w:p>
        </w:tc>
        <w:tc>
          <w:tcPr>
            <w:tcW w:w="668"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土壤容重(g/cm³)</w:t>
            </w:r>
          </w:p>
        </w:tc>
        <w:tc>
          <w:tcPr>
            <w:tcW w:w="2922"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[1.2,1.4]:1.0; [1.4,1.5):0.8; [1.0,1.2):0.5</w:t>
            </w:r>
          </w:p>
        </w:tc>
        <w:tc>
          <w:tcPr>
            <w:tcW w:w="50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 xml:space="preserve">0.08 </w:t>
            </w:r>
          </w:p>
        </w:tc>
      </w:tr>
      <w:tr>
        <w:tblPrEx>
          <w:tblCellMar>
            <w:top w:w="0" w:type="dxa"/>
            <w:left w:w="108" w:type="dxa"/>
            <w:bottom w:w="0" w:type="dxa"/>
            <w:right w:w="108" w:type="dxa"/>
          </w:tblCellMar>
        </w:tblPrEx>
        <w:trPr>
          <w:trHeight w:val="300" w:hRule="atLeast"/>
          <w:jc w:val="center"/>
        </w:trPr>
        <w:tc>
          <w:tcPr>
            <w:tcW w:w="339" w:type="pct"/>
            <w:tcBorders>
              <w:top w:val="single" w:color="000000" w:sz="4" w:space="0"/>
              <w:left w:val="single" w:color="000000" w:sz="4" w:space="0"/>
              <w:bottom w:val="single" w:color="000000" w:sz="4" w:space="0"/>
              <w:right w:val="single" w:color="000000" w:sz="4" w:space="0"/>
            </w:tcBorders>
            <w:noWrap/>
            <w:vAlign w:val="center"/>
          </w:tcPr>
          <w:p>
            <w:pPr>
              <w:pStyle w:val="47"/>
              <w:bidi w:val="0"/>
              <w:rPr>
                <w:lang w:eastAsia="zh-CN"/>
              </w:rPr>
            </w:pPr>
            <w:r>
              <w:rPr>
                <w:lang w:eastAsia="zh-CN"/>
              </w:rPr>
              <w:t>6</w:t>
            </w:r>
          </w:p>
        </w:tc>
        <w:tc>
          <w:tcPr>
            <w:tcW w:w="56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土壤指标</w:t>
            </w:r>
          </w:p>
        </w:tc>
        <w:tc>
          <w:tcPr>
            <w:tcW w:w="668"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有效磷(mg/kg)</w:t>
            </w:r>
          </w:p>
        </w:tc>
        <w:tc>
          <w:tcPr>
            <w:tcW w:w="2922"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≥15:1.0; [10,15):0.8; [5,10):0.5; &lt;5:0.2</w:t>
            </w:r>
          </w:p>
        </w:tc>
        <w:tc>
          <w:tcPr>
            <w:tcW w:w="50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 xml:space="preserve">0.08 </w:t>
            </w:r>
          </w:p>
        </w:tc>
      </w:tr>
      <w:tr>
        <w:tblPrEx>
          <w:tblCellMar>
            <w:top w:w="0" w:type="dxa"/>
            <w:left w:w="108" w:type="dxa"/>
            <w:bottom w:w="0" w:type="dxa"/>
            <w:right w:w="108" w:type="dxa"/>
          </w:tblCellMar>
        </w:tblPrEx>
        <w:trPr>
          <w:trHeight w:val="300" w:hRule="atLeast"/>
          <w:jc w:val="center"/>
        </w:trPr>
        <w:tc>
          <w:tcPr>
            <w:tcW w:w="339" w:type="pct"/>
            <w:tcBorders>
              <w:top w:val="single" w:color="000000" w:sz="4" w:space="0"/>
              <w:left w:val="single" w:color="000000" w:sz="4" w:space="0"/>
              <w:bottom w:val="single" w:color="000000" w:sz="4" w:space="0"/>
              <w:right w:val="single" w:color="000000" w:sz="4" w:space="0"/>
            </w:tcBorders>
            <w:noWrap/>
            <w:vAlign w:val="center"/>
          </w:tcPr>
          <w:p>
            <w:pPr>
              <w:pStyle w:val="47"/>
              <w:bidi w:val="0"/>
              <w:rPr>
                <w:lang w:eastAsia="zh-CN"/>
              </w:rPr>
            </w:pPr>
            <w:r>
              <w:rPr>
                <w:lang w:eastAsia="zh-CN"/>
              </w:rPr>
              <w:t>7</w:t>
            </w:r>
          </w:p>
        </w:tc>
        <w:tc>
          <w:tcPr>
            <w:tcW w:w="56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土壤指标</w:t>
            </w:r>
          </w:p>
        </w:tc>
        <w:tc>
          <w:tcPr>
            <w:tcW w:w="668"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速效钾(mg/kg)</w:t>
            </w:r>
          </w:p>
        </w:tc>
        <w:tc>
          <w:tcPr>
            <w:tcW w:w="2922"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≥120:1.0; [80,120):0.8; [50,80):0.5; &lt;50:0.2</w:t>
            </w:r>
          </w:p>
        </w:tc>
        <w:tc>
          <w:tcPr>
            <w:tcW w:w="50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 xml:space="preserve">0.07 </w:t>
            </w:r>
          </w:p>
        </w:tc>
      </w:tr>
      <w:tr>
        <w:tblPrEx>
          <w:tblCellMar>
            <w:top w:w="0" w:type="dxa"/>
            <w:left w:w="108" w:type="dxa"/>
            <w:bottom w:w="0" w:type="dxa"/>
            <w:right w:w="108" w:type="dxa"/>
          </w:tblCellMar>
        </w:tblPrEx>
        <w:trPr>
          <w:trHeight w:val="300" w:hRule="atLeast"/>
          <w:jc w:val="center"/>
        </w:trPr>
        <w:tc>
          <w:tcPr>
            <w:tcW w:w="339" w:type="pct"/>
            <w:tcBorders>
              <w:top w:val="single" w:color="000000" w:sz="4" w:space="0"/>
              <w:left w:val="single" w:color="000000" w:sz="4" w:space="0"/>
              <w:bottom w:val="single" w:color="000000" w:sz="4" w:space="0"/>
              <w:right w:val="single" w:color="000000" w:sz="4" w:space="0"/>
            </w:tcBorders>
            <w:noWrap/>
            <w:vAlign w:val="center"/>
          </w:tcPr>
          <w:p>
            <w:pPr>
              <w:pStyle w:val="47"/>
              <w:bidi w:val="0"/>
              <w:rPr>
                <w:lang w:eastAsia="zh-CN"/>
              </w:rPr>
            </w:pPr>
            <w:r>
              <w:rPr>
                <w:lang w:eastAsia="zh-CN"/>
              </w:rPr>
              <w:t>8</w:t>
            </w:r>
          </w:p>
        </w:tc>
        <w:tc>
          <w:tcPr>
            <w:tcW w:w="56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气候指标</w:t>
            </w:r>
          </w:p>
        </w:tc>
        <w:tc>
          <w:tcPr>
            <w:tcW w:w="668"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年日照时数(h)</w:t>
            </w:r>
          </w:p>
        </w:tc>
        <w:tc>
          <w:tcPr>
            <w:tcW w:w="2922"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≥2600:1.0; [2300,2600):0.8; [2000,2300):0.5</w:t>
            </w:r>
          </w:p>
        </w:tc>
        <w:tc>
          <w:tcPr>
            <w:tcW w:w="50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 xml:space="preserve">0.06 </w:t>
            </w:r>
          </w:p>
        </w:tc>
      </w:tr>
      <w:tr>
        <w:tblPrEx>
          <w:tblCellMar>
            <w:top w:w="0" w:type="dxa"/>
            <w:left w:w="108" w:type="dxa"/>
            <w:bottom w:w="0" w:type="dxa"/>
            <w:right w:w="108" w:type="dxa"/>
          </w:tblCellMar>
        </w:tblPrEx>
        <w:trPr>
          <w:trHeight w:val="300" w:hRule="atLeast"/>
          <w:jc w:val="center"/>
        </w:trPr>
        <w:tc>
          <w:tcPr>
            <w:tcW w:w="339" w:type="pct"/>
            <w:tcBorders>
              <w:top w:val="single" w:color="000000" w:sz="4" w:space="0"/>
              <w:left w:val="single" w:color="000000" w:sz="4" w:space="0"/>
              <w:bottom w:val="single" w:color="000000" w:sz="4" w:space="0"/>
              <w:right w:val="single" w:color="000000" w:sz="4" w:space="0"/>
            </w:tcBorders>
            <w:noWrap/>
            <w:vAlign w:val="center"/>
          </w:tcPr>
          <w:p>
            <w:pPr>
              <w:pStyle w:val="47"/>
              <w:bidi w:val="0"/>
              <w:rPr>
                <w:lang w:eastAsia="zh-CN"/>
              </w:rPr>
            </w:pPr>
            <w:r>
              <w:rPr>
                <w:lang w:eastAsia="zh-CN"/>
              </w:rPr>
              <w:t>9</w:t>
            </w:r>
          </w:p>
        </w:tc>
        <w:tc>
          <w:tcPr>
            <w:tcW w:w="56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气候指标</w:t>
            </w:r>
          </w:p>
        </w:tc>
        <w:tc>
          <w:tcPr>
            <w:tcW w:w="668"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年均温(℃)</w:t>
            </w:r>
          </w:p>
        </w:tc>
        <w:tc>
          <w:tcPr>
            <w:tcW w:w="2922"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[11,14]:1.0; [10,11)或(14,15]:0.7; &lt;10或&gt;15:0.3</w:t>
            </w:r>
          </w:p>
        </w:tc>
        <w:tc>
          <w:tcPr>
            <w:tcW w:w="50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 xml:space="preserve">0.06 </w:t>
            </w:r>
          </w:p>
        </w:tc>
      </w:tr>
      <w:tr>
        <w:tblPrEx>
          <w:tblCellMar>
            <w:top w:w="0" w:type="dxa"/>
            <w:left w:w="108" w:type="dxa"/>
            <w:bottom w:w="0" w:type="dxa"/>
            <w:right w:w="108" w:type="dxa"/>
          </w:tblCellMar>
        </w:tblPrEx>
        <w:trPr>
          <w:trHeight w:val="300" w:hRule="atLeast"/>
          <w:jc w:val="center"/>
        </w:trPr>
        <w:tc>
          <w:tcPr>
            <w:tcW w:w="339" w:type="pct"/>
            <w:tcBorders>
              <w:top w:val="single" w:color="000000" w:sz="4" w:space="0"/>
              <w:left w:val="single" w:color="000000" w:sz="4" w:space="0"/>
              <w:bottom w:val="single" w:color="000000" w:sz="4" w:space="0"/>
              <w:right w:val="single" w:color="000000" w:sz="4" w:space="0"/>
            </w:tcBorders>
            <w:noWrap/>
            <w:vAlign w:val="center"/>
          </w:tcPr>
          <w:p>
            <w:pPr>
              <w:pStyle w:val="47"/>
              <w:bidi w:val="0"/>
              <w:rPr>
                <w:lang w:eastAsia="zh-CN"/>
              </w:rPr>
            </w:pPr>
            <w:r>
              <w:rPr>
                <w:lang w:eastAsia="zh-CN"/>
              </w:rPr>
              <w:t>10</w:t>
            </w:r>
          </w:p>
        </w:tc>
        <w:tc>
          <w:tcPr>
            <w:tcW w:w="56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气候指标</w:t>
            </w:r>
          </w:p>
        </w:tc>
        <w:tc>
          <w:tcPr>
            <w:tcW w:w="668"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无霜期天数</w:t>
            </w:r>
          </w:p>
        </w:tc>
        <w:tc>
          <w:tcPr>
            <w:tcW w:w="2922"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≥185:1.0; [170,185):0.8; [160,170):0.5; &lt;160:0.2</w:t>
            </w:r>
          </w:p>
        </w:tc>
        <w:tc>
          <w:tcPr>
            <w:tcW w:w="50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 xml:space="preserve">0.05 </w:t>
            </w:r>
          </w:p>
        </w:tc>
      </w:tr>
      <w:tr>
        <w:tblPrEx>
          <w:tblCellMar>
            <w:top w:w="0" w:type="dxa"/>
            <w:left w:w="108" w:type="dxa"/>
            <w:bottom w:w="0" w:type="dxa"/>
            <w:right w:w="108" w:type="dxa"/>
          </w:tblCellMar>
        </w:tblPrEx>
        <w:trPr>
          <w:trHeight w:val="300" w:hRule="atLeast"/>
          <w:jc w:val="center"/>
        </w:trPr>
        <w:tc>
          <w:tcPr>
            <w:tcW w:w="339" w:type="pct"/>
            <w:tcBorders>
              <w:top w:val="single" w:color="000000" w:sz="4" w:space="0"/>
              <w:left w:val="single" w:color="000000" w:sz="4" w:space="0"/>
              <w:bottom w:val="single" w:color="000000" w:sz="4" w:space="0"/>
              <w:right w:val="single" w:color="000000" w:sz="4" w:space="0"/>
            </w:tcBorders>
            <w:noWrap/>
            <w:vAlign w:val="center"/>
          </w:tcPr>
          <w:p>
            <w:pPr>
              <w:pStyle w:val="47"/>
              <w:bidi w:val="0"/>
              <w:rPr>
                <w:lang w:eastAsia="zh-CN"/>
              </w:rPr>
            </w:pPr>
            <w:r>
              <w:rPr>
                <w:lang w:eastAsia="zh-CN"/>
              </w:rPr>
              <w:t>11</w:t>
            </w:r>
          </w:p>
        </w:tc>
        <w:tc>
          <w:tcPr>
            <w:tcW w:w="56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气候指标</w:t>
            </w:r>
          </w:p>
        </w:tc>
        <w:tc>
          <w:tcPr>
            <w:tcW w:w="668"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3月份低于0度天数</w:t>
            </w:r>
          </w:p>
        </w:tc>
        <w:tc>
          <w:tcPr>
            <w:tcW w:w="2922"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0:1.0;[1,2]:0.8;[3,5]:0.5;&gt;5:0.2</w:t>
            </w:r>
          </w:p>
        </w:tc>
        <w:tc>
          <w:tcPr>
            <w:tcW w:w="50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 xml:space="preserve">0.05 </w:t>
            </w:r>
          </w:p>
        </w:tc>
      </w:tr>
      <w:tr>
        <w:tblPrEx>
          <w:tblCellMar>
            <w:top w:w="0" w:type="dxa"/>
            <w:left w:w="108" w:type="dxa"/>
            <w:bottom w:w="0" w:type="dxa"/>
            <w:right w:w="108" w:type="dxa"/>
          </w:tblCellMar>
        </w:tblPrEx>
        <w:trPr>
          <w:trHeight w:val="300" w:hRule="atLeast"/>
          <w:jc w:val="center"/>
        </w:trPr>
        <w:tc>
          <w:tcPr>
            <w:tcW w:w="339" w:type="pct"/>
            <w:tcBorders>
              <w:top w:val="single" w:color="000000" w:sz="4" w:space="0"/>
              <w:left w:val="single" w:color="000000" w:sz="4" w:space="0"/>
              <w:bottom w:val="single" w:color="000000" w:sz="4" w:space="0"/>
              <w:right w:val="single" w:color="000000" w:sz="4" w:space="0"/>
            </w:tcBorders>
            <w:noWrap/>
            <w:vAlign w:val="center"/>
          </w:tcPr>
          <w:p>
            <w:pPr>
              <w:pStyle w:val="47"/>
              <w:bidi w:val="0"/>
              <w:rPr>
                <w:lang w:eastAsia="zh-CN"/>
              </w:rPr>
            </w:pPr>
            <w:r>
              <w:rPr>
                <w:lang w:eastAsia="zh-CN"/>
              </w:rPr>
              <w:t>12</w:t>
            </w:r>
          </w:p>
        </w:tc>
        <w:tc>
          <w:tcPr>
            <w:tcW w:w="56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气候指标</w:t>
            </w:r>
          </w:p>
        </w:tc>
        <w:tc>
          <w:tcPr>
            <w:tcW w:w="668"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年降水量(mm)</w:t>
            </w:r>
          </w:p>
        </w:tc>
        <w:tc>
          <w:tcPr>
            <w:tcW w:w="2922"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[450,650]:1.0; [350,450)或(650,800]:0.7; &lt;350或&gt;800:0.3</w:t>
            </w:r>
          </w:p>
        </w:tc>
        <w:tc>
          <w:tcPr>
            <w:tcW w:w="504" w:type="pct"/>
            <w:tcBorders>
              <w:top w:val="single" w:color="000000" w:sz="4" w:space="0"/>
              <w:left w:val="single" w:color="000000" w:sz="4" w:space="0"/>
              <w:bottom w:val="single" w:color="000000" w:sz="4" w:space="0"/>
              <w:right w:val="single" w:color="000000" w:sz="4" w:space="0"/>
            </w:tcBorders>
            <w:vAlign w:val="center"/>
          </w:tcPr>
          <w:p>
            <w:pPr>
              <w:pStyle w:val="47"/>
              <w:bidi w:val="0"/>
              <w:rPr>
                <w:lang w:eastAsia="zh-CN"/>
              </w:rPr>
            </w:pPr>
            <w:r>
              <w:rPr>
                <w:lang w:eastAsia="zh-CN"/>
              </w:rPr>
              <w:t xml:space="preserve">0.04 </w:t>
            </w:r>
          </w:p>
        </w:tc>
      </w:tr>
    </w:tbl>
    <w:p>
      <w:pPr>
        <w:spacing w:line="360" w:lineRule="auto"/>
        <w:ind w:firstLine="402"/>
        <w:rPr>
          <w:b/>
          <w:bCs/>
          <w:sz w:val="20"/>
          <w:szCs w:val="16"/>
          <w:lang w:eastAsia="zh-CN"/>
        </w:rPr>
      </w:pPr>
      <w:r>
        <w:rPr>
          <w:rFonts w:hint="eastAsia"/>
          <w:b/>
          <w:sz w:val="20"/>
          <w:szCs w:val="16"/>
          <w:lang w:eastAsia="zh-CN"/>
        </w:rPr>
        <w:t>注：数据来源：</w:t>
      </w:r>
      <w:r>
        <w:rPr>
          <w:rFonts w:hint="eastAsia"/>
          <w:b/>
          <w:bCs/>
          <w:sz w:val="20"/>
          <w:szCs w:val="16"/>
          <w:lang w:eastAsia="zh-CN"/>
        </w:rPr>
        <w:t>泊头市第三次土壤普查</w:t>
      </w:r>
    </w:p>
    <w:p>
      <w:pPr>
        <w:kinsoku/>
        <w:spacing w:line="360" w:lineRule="auto"/>
        <w:ind w:firstLine="482"/>
        <w:jc w:val="both"/>
        <w:rPr>
          <w:b/>
          <w:bCs/>
          <w:lang w:eastAsia="zh-CN"/>
        </w:rPr>
      </w:pPr>
      <w:r>
        <w:rPr>
          <w:b/>
          <w:bCs/>
          <w:lang w:eastAsia="zh-CN"/>
        </w:rPr>
        <w:t>5. 适宜类别划分</w:t>
      </w:r>
    </w:p>
    <w:p>
      <w:pPr>
        <w:kinsoku/>
        <w:spacing w:line="360" w:lineRule="auto"/>
        <w:ind w:firstLine="480"/>
        <w:jc w:val="both"/>
        <w:rPr>
          <w:rFonts w:cs="Times New Roman"/>
          <w:lang w:eastAsia="zh-CN"/>
        </w:rPr>
      </w:pPr>
      <w:r>
        <w:rPr>
          <w:rFonts w:cs="Times New Roman"/>
          <w:lang w:eastAsia="zh-CN"/>
        </w:rPr>
        <w:t>基于上述最优的各评价指标隶属度与权重，遍历评价区域评价单元，采用累加法按照式(1)计算各评价单元的适宜性评价综合指数：</w:t>
      </w:r>
    </w:p>
    <w:p>
      <w:pPr>
        <w:kinsoku/>
        <w:spacing w:line="360" w:lineRule="auto"/>
        <w:ind w:firstLine="480"/>
        <w:rPr>
          <w:rFonts w:cs="Times New Roman"/>
          <w:lang w:val="it-IT"/>
        </w:rPr>
      </w:pPr>
      <m:oMathPara>
        <m:oMath>
          <m:eqArr>
            <m:eqArrPr>
              <m:maxDist m:val="1"/>
              <m:ctrlPr>
                <w:rPr>
                  <w:rFonts w:ascii="Cambria Math" w:hAnsi="Cambria Math" w:cs="Times New Roman"/>
                  <w:i/>
                </w:rPr>
              </m:ctrlPr>
            </m:eqArrPr>
            <m:e>
              <m:r>
                <m:rPr>
                  <m:nor/>
                </m:rPr>
                <w:rPr>
                  <w:rFonts w:cs="Times New Roman"/>
                  <w:i/>
                  <w:lang w:val="it-IT"/>
                </w:rPr>
                <m:t>P</m:t>
              </m:r>
              <m:r>
                <m:rPr>
                  <m:nor/>
                  <m:sty m:val="p"/>
                </m:rPr>
                <w:rPr>
                  <w:rFonts w:cs="Times New Roman"/>
                  <w:b w:val="0"/>
                  <w:i w:val="0"/>
                  <w:lang w:val="it-IT"/>
                </w:rPr>
                <m:t>=</m:t>
              </m:r>
              <m:nary>
                <m:naryPr>
                  <m:chr m:val="∑"/>
                  <m:limLoc m:val="undOvr"/>
                  <m:subHide m:val="1"/>
                  <m:supHide m:val="1"/>
                  <m:ctrlPr>
                    <w:rPr>
                      <w:rFonts w:ascii="Cambria Math" w:hAnsi="Cambria Math" w:cs="Times New Roman"/>
                    </w:rPr>
                  </m:ctrlPr>
                </m:naryPr>
                <m:sub>
                  <m:ctrlPr>
                    <w:rPr>
                      <w:rFonts w:ascii="Cambria Math" w:hAnsi="Cambria Math" w:cs="Times New Roman"/>
                    </w:rPr>
                  </m:ctrlPr>
                </m:sub>
                <m:sup>
                  <m:ctrlPr>
                    <w:rPr>
                      <w:rFonts w:ascii="Cambria Math" w:hAnsi="Cambria Math" w:cs="Times New Roman"/>
                    </w:rPr>
                  </m:ctrlPr>
                </m:sup>
                <m:e>
                  <m:d>
                    <m:dPr>
                      <m:ctrlPr>
                        <w:rPr>
                          <w:rFonts w:ascii="Cambria Math" w:hAnsi="Cambria Math" w:cs="Times New Roman"/>
                        </w:rPr>
                      </m:ctrlPr>
                    </m:dPr>
                    <m:e>
                      <m:sSub>
                        <m:sSubPr>
                          <m:ctrlPr>
                            <w:rPr>
                              <w:rFonts w:ascii="Cambria Math" w:hAnsi="Cambria Math" w:cs="Times New Roman"/>
                            </w:rPr>
                          </m:ctrlPr>
                        </m:sSubPr>
                        <m:e>
                          <m:r>
                            <m:rPr>
                              <m:nor/>
                            </m:rPr>
                            <w:rPr>
                              <w:rFonts w:cs="Times New Roman"/>
                              <w:i/>
                              <w:lang w:val="it-IT"/>
                            </w:rPr>
                            <m:t>C</m:t>
                          </m:r>
                          <m:ctrlPr>
                            <w:rPr>
                              <w:rFonts w:ascii="Cambria Math" w:hAnsi="Cambria Math" w:cs="Times New Roman"/>
                            </w:rPr>
                          </m:ctrlPr>
                        </m:e>
                        <m:sub>
                          <m:r>
                            <m:rPr>
                              <m:nor/>
                            </m:rPr>
                            <w:rPr>
                              <w:rFonts w:cs="Times New Roman"/>
                              <w:i/>
                              <w:lang w:val="it-IT"/>
                            </w:rPr>
                            <m:t>i</m:t>
                          </m:r>
                          <m:ctrlPr>
                            <w:rPr>
                              <w:rFonts w:ascii="Cambria Math" w:hAnsi="Cambria Math" w:cs="Times New Roman"/>
                            </w:rPr>
                          </m:ctrlPr>
                        </m:sub>
                      </m:sSub>
                      <m:r>
                        <m:rPr>
                          <m:nor/>
                          <m:sty m:val="p"/>
                        </m:rPr>
                        <w:rPr>
                          <w:rFonts w:cs="Times New Roman"/>
                          <w:b w:val="0"/>
                          <w:i w:val="0"/>
                          <w:lang w:val="it-IT"/>
                        </w:rPr>
                        <m:t>×</m:t>
                      </m:r>
                      <m:sSub>
                        <m:sSubPr>
                          <m:ctrlPr>
                            <w:rPr>
                              <w:rFonts w:ascii="Cambria Math" w:hAnsi="Cambria Math" w:cs="Times New Roman"/>
                            </w:rPr>
                          </m:ctrlPr>
                        </m:sSubPr>
                        <m:e>
                          <m:r>
                            <m:rPr>
                              <m:nor/>
                            </m:rPr>
                            <w:rPr>
                              <w:rFonts w:cs="Times New Roman"/>
                              <w:i/>
                              <w:lang w:val="it-IT"/>
                            </w:rPr>
                            <m:t>F</m:t>
                          </m:r>
                          <m:ctrlPr>
                            <w:rPr>
                              <w:rFonts w:ascii="Cambria Math" w:hAnsi="Cambria Math" w:cs="Times New Roman"/>
                            </w:rPr>
                          </m:ctrlPr>
                        </m:e>
                        <m:sub>
                          <m:r>
                            <m:rPr>
                              <m:nor/>
                            </m:rPr>
                            <w:rPr>
                              <w:rFonts w:cs="Times New Roman"/>
                              <w:i/>
                              <w:lang w:val="it-IT"/>
                            </w:rPr>
                            <m:t>i</m:t>
                          </m:r>
                          <m:ctrlPr>
                            <w:rPr>
                              <w:rFonts w:ascii="Cambria Math" w:hAnsi="Cambria Math" w:cs="Times New Roman"/>
                            </w:rPr>
                          </m:ctrlPr>
                        </m:sub>
                      </m:sSub>
                      <m:ctrlPr>
                        <w:rPr>
                          <w:rFonts w:ascii="Cambria Math" w:hAnsi="Cambria Math" w:cs="Times New Roman"/>
                        </w:rPr>
                      </m:ctrlPr>
                    </m:e>
                  </m:d>
                  <m:ctrlPr>
                    <w:rPr>
                      <w:rFonts w:ascii="Cambria Math" w:hAnsi="Cambria Math" w:cs="Times New Roman"/>
                    </w:rPr>
                  </m:ctrlPr>
                </m:e>
              </m:nary>
              <m:r>
                <m:rPr>
                  <m:sty m:val="p"/>
                </m:rPr>
                <w:rPr>
                  <w:rFonts w:ascii="Cambria Math" w:hAnsi="Cambria Math" w:cs="Times New Roman"/>
                  <w:lang w:val="it-IT"/>
                </w:rPr>
                <m:t>#</m:t>
              </m:r>
              <m:r>
                <m:rPr>
                  <m:nor/>
                  <m:sty m:val="p"/>
                </m:rPr>
                <w:rPr>
                  <w:rFonts w:cs="Times New Roman"/>
                  <w:b w:val="0"/>
                  <w:i w:val="0"/>
                  <w:lang w:val="it-IT"/>
                </w:rPr>
                <m:t>（1）</m:t>
              </m:r>
              <m:ctrlPr>
                <w:rPr>
                  <w:rFonts w:ascii="Cambria Math" w:hAnsi="Cambria Math" w:cs="Times New Roman"/>
                  <w:i/>
                </w:rPr>
              </m:ctrlPr>
            </m:e>
          </m:eqArr>
        </m:oMath>
      </m:oMathPara>
    </w:p>
    <w:p>
      <w:pPr>
        <w:kinsoku/>
        <w:spacing w:line="360" w:lineRule="auto"/>
        <w:ind w:firstLine="480"/>
        <w:rPr>
          <w:rFonts w:cs="Times New Roman"/>
          <w:lang w:val="it-IT" w:eastAsia="zh-CN"/>
        </w:rPr>
      </w:pPr>
      <w:r>
        <w:rPr>
          <w:rFonts w:cs="Times New Roman"/>
          <w:lang w:eastAsia="zh-CN"/>
        </w:rPr>
        <w:t>式中</w:t>
      </w:r>
      <w:r>
        <w:rPr>
          <w:rFonts w:cs="Times New Roman"/>
          <w:lang w:val="it-IT" w:eastAsia="zh-CN"/>
        </w:rPr>
        <w:t>：</w:t>
      </w:r>
    </w:p>
    <w:p>
      <w:pPr>
        <w:kinsoku/>
        <w:spacing w:line="360" w:lineRule="auto"/>
        <w:ind w:firstLine="480"/>
        <w:rPr>
          <w:rFonts w:cs="Times New Roman"/>
          <w:lang w:eastAsia="zh-CN"/>
        </w:rPr>
      </w:pPr>
      <m:oMath>
        <m:r>
          <m:rPr>
            <m:nor/>
            <m:sty m:val="p"/>
          </m:rPr>
          <w:rPr>
            <w:rFonts w:cs="Times New Roman"/>
            <w:b w:val="0"/>
            <w:i w:val="0"/>
            <w:lang w:eastAsia="zh-CN"/>
          </w:rPr>
          <m:t>P</m:t>
        </m:r>
      </m:oMath>
      <w:r>
        <w:rPr>
          <w:rFonts w:cs="Times New Roman"/>
          <w:lang w:eastAsia="zh-CN"/>
        </w:rPr>
        <w:t>——适宜性评价综合指数；</w:t>
      </w:r>
    </w:p>
    <w:p>
      <w:pPr>
        <w:kinsoku/>
        <w:spacing w:line="360" w:lineRule="auto"/>
        <w:ind w:firstLine="480"/>
        <w:rPr>
          <w:rFonts w:cs="Times New Roman"/>
          <w:lang w:eastAsia="zh-CN"/>
        </w:rPr>
      </w:pPr>
      <m:oMath>
        <m:sSub>
          <m:sSubPr>
            <m:ctrlPr>
              <w:rPr>
                <w:rFonts w:ascii="Cambria Math" w:hAnsi="Cambria Math" w:cs="Times New Roman"/>
              </w:rPr>
            </m:ctrlPr>
          </m:sSubPr>
          <m:e>
            <m:r>
              <m:rPr>
                <m:nor/>
                <m:sty m:val="p"/>
              </m:rPr>
              <w:rPr>
                <w:rFonts w:cs="Times New Roman"/>
                <w:b w:val="0"/>
                <w:i w:val="0"/>
                <w:lang w:eastAsia="zh-CN"/>
              </w:rPr>
              <m:t>C</m:t>
            </m:r>
            <m:ctrlPr>
              <w:rPr>
                <w:rFonts w:ascii="Cambria Math" w:hAnsi="Cambria Math" w:cs="Times New Roman"/>
              </w:rPr>
            </m:ctrlPr>
          </m:e>
          <m:sub>
            <m:r>
              <m:rPr>
                <m:nor/>
                <m:sty m:val="p"/>
              </m:rPr>
              <w:rPr>
                <w:rFonts w:cs="Times New Roman"/>
                <w:b w:val="0"/>
                <w:i w:val="0"/>
                <w:lang w:eastAsia="zh-CN"/>
              </w:rPr>
              <m:t>i</m:t>
            </m:r>
            <m:ctrlPr>
              <w:rPr>
                <w:rFonts w:ascii="Cambria Math" w:hAnsi="Cambria Math" w:cs="Times New Roman"/>
              </w:rPr>
            </m:ctrlPr>
          </m:sub>
        </m:sSub>
      </m:oMath>
      <w:r>
        <w:rPr>
          <w:rFonts w:cs="Times New Roman"/>
          <w:lang w:eastAsia="zh-CN"/>
        </w:rPr>
        <w:t>——第</w:t>
      </w:r>
      <w:r>
        <w:rPr>
          <w:rFonts w:cs="Times New Roman"/>
          <w:i/>
          <w:iCs/>
          <w:lang w:eastAsia="zh-CN"/>
        </w:rPr>
        <w:t>i</w:t>
      </w:r>
      <w:r>
        <w:rPr>
          <w:rFonts w:cs="Times New Roman"/>
          <w:lang w:eastAsia="zh-CN"/>
        </w:rPr>
        <w:t>个评价指标权重；</w:t>
      </w:r>
    </w:p>
    <w:p>
      <w:pPr>
        <w:kinsoku/>
        <w:spacing w:line="360" w:lineRule="auto"/>
        <w:ind w:firstLine="480"/>
        <w:rPr>
          <w:rFonts w:cs="Times New Roman"/>
          <w:lang w:eastAsia="zh-CN"/>
        </w:rPr>
      </w:pPr>
      <m:oMath>
        <m:sSub>
          <m:sSubPr>
            <m:ctrlPr>
              <w:rPr>
                <w:rFonts w:ascii="Cambria Math" w:hAnsi="Cambria Math" w:cs="Times New Roman"/>
              </w:rPr>
            </m:ctrlPr>
          </m:sSubPr>
          <m:e>
            <m:r>
              <m:rPr>
                <m:nor/>
                <m:sty m:val="p"/>
              </m:rPr>
              <w:rPr>
                <w:rFonts w:cs="Times New Roman"/>
                <w:b w:val="0"/>
                <w:i w:val="0"/>
                <w:lang w:eastAsia="zh-CN"/>
              </w:rPr>
              <m:t>F</m:t>
            </m:r>
            <m:ctrlPr>
              <w:rPr>
                <w:rFonts w:ascii="Cambria Math" w:hAnsi="Cambria Math" w:cs="Times New Roman"/>
              </w:rPr>
            </m:ctrlPr>
          </m:e>
          <m:sub>
            <m:r>
              <m:rPr>
                <m:nor/>
                <m:sty m:val="p"/>
              </m:rPr>
              <w:rPr>
                <w:rFonts w:cs="Times New Roman"/>
                <w:b w:val="0"/>
                <w:i w:val="0"/>
                <w:lang w:eastAsia="zh-CN"/>
              </w:rPr>
              <m:t>i</m:t>
            </m:r>
            <m:ctrlPr>
              <w:rPr>
                <w:rFonts w:ascii="Cambria Math" w:hAnsi="Cambria Math" w:cs="Times New Roman"/>
              </w:rPr>
            </m:ctrlPr>
          </m:sub>
        </m:sSub>
      </m:oMath>
      <w:r>
        <w:rPr>
          <w:rFonts w:cs="Times New Roman"/>
          <w:lang w:eastAsia="zh-CN"/>
        </w:rPr>
        <w:t>——第</w:t>
      </w:r>
      <w:r>
        <w:rPr>
          <w:rFonts w:cs="Times New Roman"/>
          <w:i/>
          <w:iCs/>
          <w:lang w:eastAsia="zh-CN"/>
        </w:rPr>
        <w:t>i</w:t>
      </w:r>
      <w:r>
        <w:rPr>
          <w:rFonts w:cs="Times New Roman"/>
          <w:lang w:eastAsia="zh-CN"/>
        </w:rPr>
        <w:t>个评价指标的隶属度。</w:t>
      </w:r>
    </w:p>
    <w:p>
      <w:pPr>
        <w:kinsoku/>
        <w:spacing w:line="360" w:lineRule="auto"/>
        <w:ind w:firstLine="480"/>
        <w:jc w:val="both"/>
        <w:rPr>
          <w:rFonts w:cs="Times New Roman"/>
          <w:lang w:eastAsia="zh-CN"/>
        </w:rPr>
      </w:pPr>
      <w:r>
        <w:rPr>
          <w:rFonts w:cs="Times New Roman"/>
          <w:lang w:eastAsia="zh-CN"/>
        </w:rPr>
        <w:t>在上述基础上，结合现有土特产品优势区及其适宜性评价综合指数，以现有优势区平均综合指数0.689为优势区阈值，以专家给出的0.304为不适宜区阈值，形成三级分区（表8.4）</w:t>
      </w:r>
      <w:r>
        <w:commentReference w:id="15"/>
      </w:r>
      <w:r>
        <w:rPr>
          <w:rFonts w:cs="Times New Roman"/>
          <w:lang w:eastAsia="zh-CN"/>
        </w:rPr>
        <w:t>。若评价单元的某一评价指标数值超过限制性评价指标限值时，直接归为不适宜区。</w:t>
      </w:r>
    </w:p>
    <w:p>
      <w:pPr>
        <w:pStyle w:val="155"/>
        <w:ind w:left="240" w:right="240"/>
      </w:pPr>
      <w:commentRangeStart w:id="16"/>
      <w:r>
        <w:t>表8.4 评价等级划分标准表</w:t>
      </w:r>
      <w:commentRangeEnd w:id="16"/>
      <w:r>
        <w:commentReference w:id="16"/>
      </w:r>
    </w:p>
    <w:tbl>
      <w:tblPr>
        <w:tblStyle w:val="32"/>
        <w:tblpPr w:leftFromText="180" w:rightFromText="180" w:vertAnchor="text" w:horzAnchor="margin" w:tblpXSpec="center" w:tblpY="10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9"/>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249" w:type="pct"/>
            <w:vAlign w:val="center"/>
          </w:tcPr>
          <w:p>
            <w:pPr>
              <w:pStyle w:val="47"/>
              <w:bidi w:val="0"/>
              <w:rPr>
                <w:lang w:eastAsia="zh-CN"/>
              </w:rPr>
            </w:pPr>
            <w:r>
              <w:rPr>
                <w:lang w:eastAsia="zh-CN"/>
              </w:rPr>
              <w:t>等级</w:t>
            </w:r>
          </w:p>
        </w:tc>
        <w:tc>
          <w:tcPr>
            <w:tcW w:w="1249" w:type="pct"/>
            <w:vAlign w:val="center"/>
          </w:tcPr>
          <w:p>
            <w:pPr>
              <w:pStyle w:val="47"/>
              <w:bidi w:val="0"/>
              <w:rPr>
                <w:lang w:eastAsia="zh-CN"/>
              </w:rPr>
            </w:pPr>
            <w:r>
              <w:rPr>
                <w:lang w:eastAsia="zh-CN"/>
              </w:rPr>
              <w:t>优势区</w:t>
            </w:r>
          </w:p>
        </w:tc>
        <w:tc>
          <w:tcPr>
            <w:tcW w:w="1250" w:type="pct"/>
            <w:vAlign w:val="center"/>
          </w:tcPr>
          <w:p>
            <w:pPr>
              <w:pStyle w:val="47"/>
              <w:bidi w:val="0"/>
              <w:rPr>
                <w:lang w:eastAsia="zh-CN"/>
              </w:rPr>
            </w:pPr>
            <w:r>
              <w:rPr>
                <w:lang w:eastAsia="zh-CN"/>
              </w:rPr>
              <w:t>适宜区</w:t>
            </w:r>
          </w:p>
        </w:tc>
        <w:tc>
          <w:tcPr>
            <w:tcW w:w="1250" w:type="pct"/>
            <w:vAlign w:val="center"/>
          </w:tcPr>
          <w:p>
            <w:pPr>
              <w:pStyle w:val="47"/>
              <w:bidi w:val="0"/>
              <w:rPr>
                <w:lang w:eastAsia="zh-CN"/>
              </w:rPr>
            </w:pPr>
            <w:r>
              <w:rPr>
                <w:lang w:eastAsia="zh-CN"/>
              </w:rPr>
              <w:t>不适宜区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249" w:type="pct"/>
            <w:vAlign w:val="center"/>
          </w:tcPr>
          <w:p>
            <w:pPr>
              <w:pStyle w:val="47"/>
              <w:bidi w:val="0"/>
              <w:rPr>
                <w:lang w:eastAsia="zh-CN"/>
              </w:rPr>
            </w:pPr>
            <w:r>
              <w:rPr>
                <w:lang w:eastAsia="zh-CN"/>
              </w:rPr>
              <w:t>综合指数</w:t>
            </w:r>
          </w:p>
        </w:tc>
        <w:tc>
          <w:tcPr>
            <w:tcW w:w="1249" w:type="pct"/>
            <w:vAlign w:val="center"/>
          </w:tcPr>
          <w:p>
            <w:pPr>
              <w:pStyle w:val="47"/>
              <w:bidi w:val="0"/>
              <w:rPr>
                <w:lang w:eastAsia="zh-CN"/>
              </w:rPr>
            </w:pPr>
            <w:r>
              <w:rPr>
                <w:lang w:eastAsia="zh-CN"/>
              </w:rPr>
              <w:t>≥0.689</w:t>
            </w:r>
          </w:p>
        </w:tc>
        <w:tc>
          <w:tcPr>
            <w:tcW w:w="1250" w:type="pct"/>
            <w:vAlign w:val="center"/>
          </w:tcPr>
          <w:p>
            <w:pPr>
              <w:pStyle w:val="47"/>
              <w:bidi w:val="0"/>
              <w:rPr>
                <w:lang w:eastAsia="zh-CN"/>
              </w:rPr>
            </w:pPr>
            <w:r>
              <w:rPr>
                <w:lang w:eastAsia="zh-CN"/>
              </w:rPr>
              <w:t>0.304~0.689</w:t>
            </w:r>
          </w:p>
        </w:tc>
        <w:tc>
          <w:tcPr>
            <w:tcW w:w="1250" w:type="pct"/>
            <w:vAlign w:val="center"/>
          </w:tcPr>
          <w:p>
            <w:pPr>
              <w:pStyle w:val="47"/>
              <w:bidi w:val="0"/>
              <w:rPr>
                <w:lang w:eastAsia="zh-CN"/>
              </w:rPr>
            </w:pPr>
            <w:r>
              <w:rPr>
                <w:lang w:eastAsia="zh-CN"/>
              </w:rPr>
              <w:t>≤0.304</w:t>
            </w:r>
          </w:p>
        </w:tc>
      </w:tr>
    </w:tbl>
    <w:p>
      <w:pPr>
        <w:kinsoku/>
        <w:spacing w:line="360" w:lineRule="auto"/>
        <w:ind w:firstLine="480"/>
        <w:jc w:val="both"/>
        <w:rPr>
          <w:rFonts w:cs="Times New Roman"/>
          <w:lang w:eastAsia="zh-CN"/>
        </w:rPr>
      </w:pPr>
      <w:r>
        <w:rPr>
          <w:rFonts w:cs="Times New Roman"/>
          <w:lang w:eastAsia="zh-CN"/>
        </w:rPr>
        <w:t>评价结果与2023年实测品质点位比对，优势区平均可溶性固形物14.8%，优果率82%，显著高于全区平均，分区边界与生产实际相符。</w:t>
      </w:r>
    </w:p>
    <w:p>
      <w:pPr>
        <w:kinsoku/>
        <w:spacing w:line="360" w:lineRule="auto"/>
        <w:ind w:firstLine="482"/>
        <w:jc w:val="both"/>
        <w:rPr>
          <w:b/>
          <w:bCs/>
          <w:lang w:eastAsia="zh-CN"/>
        </w:rPr>
      </w:pPr>
      <w:r>
        <w:rPr>
          <w:rFonts w:hint="eastAsia"/>
          <w:b/>
          <w:bCs/>
          <w:lang w:eastAsia="zh-CN"/>
        </w:rPr>
        <w:t>6</w:t>
      </w:r>
      <w:r>
        <w:rPr>
          <w:b/>
          <w:bCs/>
          <w:lang w:eastAsia="zh-CN"/>
        </w:rPr>
        <w:t>. MaxEnt模型分析与评价精度</w:t>
      </w:r>
    </w:p>
    <w:p>
      <w:pPr>
        <w:spacing w:line="360" w:lineRule="auto"/>
        <w:ind w:firstLine="480"/>
        <w:rPr>
          <w:lang w:eastAsia="zh-CN"/>
        </w:rPr>
      </w:pPr>
      <w:r>
        <w:rPr>
          <w:lang w:eastAsia="zh-CN"/>
        </w:rPr>
        <w:t>为检验环境因子对泊头</w:t>
      </w:r>
      <w:r>
        <w:rPr>
          <w:rFonts w:hint="eastAsia"/>
          <w:lang w:eastAsia="zh-CN"/>
        </w:rPr>
        <w:t>桑椹</w:t>
      </w:r>
      <w:r>
        <w:rPr>
          <w:lang w:eastAsia="zh-CN"/>
        </w:rPr>
        <w:t>现有空间分布的解释能力，并为评价指标筛选提供定量依据，以现有</w:t>
      </w:r>
      <w:r>
        <w:rPr>
          <w:rFonts w:hint="eastAsia"/>
          <w:lang w:eastAsia="zh-CN"/>
        </w:rPr>
        <w:t>桑椹</w:t>
      </w:r>
      <w:r>
        <w:rPr>
          <w:lang w:eastAsia="zh-CN"/>
        </w:rPr>
        <w:t>适宜种植区域样点作为存在点，以研究区随机背景点作为模型训练数据，采用最大熵模型（MaxEnt）分析</w:t>
      </w:r>
      <w:r>
        <w:rPr>
          <w:rFonts w:hint="eastAsia"/>
          <w:lang w:eastAsia="zh-CN"/>
        </w:rPr>
        <w:t>桑椹</w:t>
      </w:r>
      <w:r>
        <w:rPr>
          <w:lang w:eastAsia="zh-CN"/>
        </w:rPr>
        <w:t>空间分布与不同土壤、气候等环境变量之间的关系</w:t>
      </w:r>
      <w:r>
        <w:rPr>
          <w:rFonts w:hint="eastAsia"/>
          <w:lang w:eastAsia="zh-CN"/>
        </w:rPr>
        <w:t>（见图3.11）</w:t>
      </w:r>
      <w:r>
        <w:rPr>
          <w:lang w:eastAsia="zh-CN"/>
        </w:rPr>
        <w:t>。</w:t>
      </w:r>
    </w:p>
    <w:p>
      <w:pPr>
        <w:spacing w:line="360" w:lineRule="auto"/>
        <w:ind w:firstLine="480"/>
        <w:rPr>
          <w:lang w:eastAsia="zh-CN"/>
        </w:rPr>
      </w:pPr>
      <w:r>
        <w:rPr>
          <w:lang w:eastAsia="zh-CN"/>
        </w:rPr>
        <w:t>模型采用75%的样本数据进行训练、25%的样本数据进行测试，并通过重复运行降低单次随机抽样对模型结果的影响。采用受试者工作特征曲线（ROC）下面积AUC（Area Under the Curve）评价模型预测精度。AUC值越接近1，表明模型区分适宜生境与非适宜生境的能力越强。</w:t>
      </w:r>
    </w:p>
    <w:p>
      <w:pPr>
        <w:spacing w:line="360" w:lineRule="auto"/>
        <w:ind w:left="0" w:leftChars="0" w:firstLine="0" w:firstLineChars="0"/>
        <w:jc w:val="center"/>
        <w:rPr>
          <w:lang w:eastAsia="zh-CN"/>
        </w:rPr>
      </w:pPr>
      <w:r>
        <w:drawing>
          <wp:inline distT="0" distB="0" distL="0" distR="0">
            <wp:extent cx="5273675" cy="3688715"/>
            <wp:effectExtent l="0" t="0" r="317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9"/>
                    <a:srcRect b="6727"/>
                    <a:stretch>
                      <a:fillRect/>
                    </a:stretch>
                  </pic:blipFill>
                  <pic:spPr>
                    <a:xfrm>
                      <a:off x="0" y="0"/>
                      <a:ext cx="5274310" cy="3689610"/>
                    </a:xfrm>
                    <a:prstGeom prst="rect">
                      <a:avLst/>
                    </a:prstGeom>
                    <a:ln>
                      <a:noFill/>
                    </a:ln>
                  </pic:spPr>
                </pic:pic>
              </a:graphicData>
            </a:graphic>
          </wp:inline>
        </w:drawing>
      </w:r>
    </w:p>
    <w:p>
      <w:pPr>
        <w:spacing w:line="360" w:lineRule="auto"/>
        <w:ind w:firstLine="480"/>
        <w:jc w:val="center"/>
        <w:rPr>
          <w:lang w:eastAsia="zh-CN"/>
        </w:rPr>
      </w:pPr>
      <w:r>
        <w:rPr>
          <w:lang w:eastAsia="zh-CN"/>
        </w:rPr>
        <w:t>图3.</w:t>
      </w:r>
      <w:r>
        <w:rPr>
          <w:rFonts w:hint="eastAsia"/>
          <w:lang w:eastAsia="zh-CN"/>
        </w:rPr>
        <w:t>11</w:t>
      </w:r>
      <w:r>
        <w:rPr>
          <w:lang w:eastAsia="zh-CN"/>
        </w:rPr>
        <w:t xml:space="preserve"> 参与建模环境变量响应曲线</w:t>
      </w:r>
    </w:p>
    <w:p>
      <w:pPr>
        <w:spacing w:line="360" w:lineRule="auto"/>
        <w:ind w:firstLine="480"/>
        <w:rPr>
          <w:lang w:eastAsia="zh-CN"/>
        </w:rPr>
      </w:pPr>
      <w:r>
        <w:rPr>
          <w:lang w:eastAsia="zh-CN"/>
        </w:rPr>
        <w:t>模型运行结果显示，泊头</w:t>
      </w:r>
      <w:r>
        <w:rPr>
          <w:rFonts w:hint="eastAsia"/>
          <w:lang w:eastAsia="zh-CN"/>
        </w:rPr>
        <w:t>桑椹</w:t>
      </w:r>
      <w:r>
        <w:rPr>
          <w:lang w:eastAsia="zh-CN"/>
        </w:rPr>
        <w:t>MaxEnt模型的AUC值达到0.931</w:t>
      </w:r>
      <w:r>
        <w:rPr>
          <w:rFonts w:hint="eastAsia"/>
          <w:lang w:eastAsia="zh-CN"/>
        </w:rPr>
        <w:t>（见图3.12）</w:t>
      </w:r>
      <w:r>
        <w:rPr>
          <w:lang w:eastAsia="zh-CN"/>
        </w:rPr>
        <w:t>，表明模型具有较好的判别和预测能力，能够较好地刻画现有</w:t>
      </w:r>
      <w:r>
        <w:rPr>
          <w:rFonts w:hint="eastAsia"/>
          <w:lang w:eastAsia="zh-CN"/>
        </w:rPr>
        <w:t>桑椹</w:t>
      </w:r>
      <w:r>
        <w:rPr>
          <w:lang w:eastAsia="zh-CN"/>
        </w:rPr>
        <w:t>种植分布与区域环境条件之间的关系，可用于辅助识别影响泊头</w:t>
      </w:r>
      <w:r>
        <w:rPr>
          <w:rFonts w:hint="eastAsia"/>
          <w:lang w:eastAsia="zh-CN"/>
        </w:rPr>
        <w:t>桑椹</w:t>
      </w:r>
      <w:r>
        <w:rPr>
          <w:lang w:eastAsia="zh-CN"/>
        </w:rPr>
        <w:t>适宜性空间分布的主要环境因子</w:t>
      </w:r>
      <w:r>
        <w:rPr>
          <w:rFonts w:hint="eastAsia"/>
          <w:lang w:eastAsia="zh-CN"/>
        </w:rPr>
        <w:t>。</w:t>
      </w:r>
    </w:p>
    <w:p>
      <w:pPr>
        <w:spacing w:line="360" w:lineRule="auto"/>
        <w:ind w:firstLine="480"/>
        <w:rPr>
          <w:lang w:eastAsia="zh-CN"/>
        </w:rPr>
      </w:pPr>
      <w:r>
        <w:drawing>
          <wp:inline distT="0" distB="0" distL="0" distR="0">
            <wp:extent cx="4773295" cy="309181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0"/>
                    <a:srcRect b="13627"/>
                    <a:stretch>
                      <a:fillRect/>
                    </a:stretch>
                  </pic:blipFill>
                  <pic:spPr>
                    <a:xfrm>
                      <a:off x="0" y="0"/>
                      <a:ext cx="4779035" cy="3095615"/>
                    </a:xfrm>
                    <a:prstGeom prst="rect">
                      <a:avLst/>
                    </a:prstGeom>
                    <a:ln>
                      <a:noFill/>
                    </a:ln>
                  </pic:spPr>
                </pic:pic>
              </a:graphicData>
            </a:graphic>
          </wp:inline>
        </w:drawing>
      </w:r>
    </w:p>
    <w:p>
      <w:pPr>
        <w:spacing w:line="360" w:lineRule="auto"/>
        <w:ind w:firstLine="480"/>
        <w:jc w:val="center"/>
        <w:rPr>
          <w:lang w:eastAsia="zh-CN"/>
        </w:rPr>
      </w:pPr>
      <w:r>
        <w:rPr>
          <w:lang w:eastAsia="zh-CN"/>
        </w:rPr>
        <w:t>图3.</w:t>
      </w:r>
      <w:r>
        <w:rPr>
          <w:rFonts w:hint="eastAsia"/>
          <w:lang w:eastAsia="zh-CN"/>
        </w:rPr>
        <w:t>12</w:t>
      </w:r>
      <w:r>
        <w:rPr>
          <w:lang w:eastAsia="zh-CN"/>
        </w:rPr>
        <w:t xml:space="preserve"> MaxEnt模型ROC曲线及AUC结果</w:t>
      </w:r>
    </w:p>
    <w:p>
      <w:pPr>
        <w:spacing w:line="360" w:lineRule="auto"/>
        <w:ind w:firstLine="480"/>
        <w:rPr>
          <w:lang w:eastAsia="zh-CN"/>
        </w:rPr>
      </w:pPr>
      <w:r>
        <w:rPr>
          <w:lang w:eastAsia="zh-CN"/>
        </w:rPr>
        <w:t>进一步结合MaxEnt模型输出的环境变量贡献率、置换重要性、刀切法检验结果及单因子响应曲线，对不同环境因子的重要程度及适宜范围进行分析。结果表明，不同土壤和气候因子对泊头</w:t>
      </w:r>
      <w:r>
        <w:rPr>
          <w:rFonts w:hint="eastAsia"/>
          <w:lang w:eastAsia="zh-CN"/>
        </w:rPr>
        <w:t>桑椹</w:t>
      </w:r>
      <w:r>
        <w:rPr>
          <w:lang w:eastAsia="zh-CN"/>
        </w:rPr>
        <w:t>适宜性空间分布的影响程度存在差异。其中，土壤质地、土壤肥力和酸碱环境主要通过影响桑树根系生长、水肥供应及养分有效性形成土壤环境约束；温度、光照和降水条件则主要通过影响桑树萌芽、生长、果实膨大成熟及品质物质积累形成气候环境约束。</w:t>
      </w:r>
    </w:p>
    <w:p>
      <w:pPr>
        <w:spacing w:line="360" w:lineRule="auto"/>
        <w:ind w:firstLine="480"/>
        <w:rPr>
          <w:lang w:eastAsia="zh-CN"/>
        </w:rPr>
      </w:pPr>
      <w:r>
        <w:rPr>
          <w:lang w:eastAsia="zh-CN"/>
        </w:rPr>
        <w:t>考虑到MaxEnt模型反映的是环境变量与现有</w:t>
      </w:r>
      <w:r>
        <w:rPr>
          <w:rFonts w:hint="eastAsia"/>
          <w:lang w:eastAsia="zh-CN"/>
        </w:rPr>
        <w:t>桑椹</w:t>
      </w:r>
      <w:r>
        <w:rPr>
          <w:lang w:eastAsia="zh-CN"/>
        </w:rPr>
        <w:t>空间分布之间的统计关系，而土特产品土壤适宜性评价还需要兼顾作物生态需求和地方长期生产实践，因此，本研究不直接以MaxEnt变量贡献率作为评价指标权重，而是将其主要用于评价指标筛选和环境响应关系识别。在此基础上，结合相关性分析、桑树生态学特征及专家经验，最终确定12项评价指标，并进一步确定各指标分级范围、隶属度和评价权重。</w:t>
      </w:r>
    </w:p>
    <w:bookmarkEnd w:id="41"/>
    <w:bookmarkEnd w:id="45"/>
    <w:p>
      <w:pPr>
        <w:pStyle w:val="82"/>
        <w:spacing w:before="156" w:after="156"/>
        <w:outlineLvl w:val="0"/>
        <w:rPr>
          <w:rFonts w:ascii="Times New Roman" w:hAnsi="Times New Roman"/>
        </w:rPr>
      </w:pPr>
      <w:bookmarkStart w:id="46" w:name="_Toc241153624"/>
      <w:bookmarkStart w:id="47" w:name="_Toc228109827"/>
      <w:r>
        <w:rPr>
          <w:rFonts w:hint="eastAsia" w:ascii="Times New Roman" w:hAnsi="Times New Roman"/>
        </w:rPr>
        <w:t>四、</w:t>
      </w:r>
      <w:r>
        <w:rPr>
          <w:rFonts w:ascii="Times New Roman" w:hAnsi="Times New Roman"/>
        </w:rPr>
        <w:t>评价结果与验证</w:t>
      </w:r>
      <w:bookmarkEnd w:id="46"/>
      <w:bookmarkEnd w:id="47"/>
    </w:p>
    <w:p>
      <w:pPr>
        <w:kinsoku/>
        <w:spacing w:line="360" w:lineRule="auto"/>
        <w:ind w:firstLine="480"/>
        <w:jc w:val="both"/>
        <w:rPr>
          <w:rFonts w:cs="Times New Roman"/>
          <w:lang w:eastAsia="zh-CN"/>
        </w:rPr>
      </w:pPr>
      <w:r>
        <w:rPr>
          <w:rFonts w:cs="Times New Roman"/>
          <w:lang w:eastAsia="zh-CN"/>
        </w:rPr>
        <w:t>基于构建的</w:t>
      </w:r>
      <w:r>
        <w:rPr>
          <w:rFonts w:cs="Times New Roman"/>
          <w:color w:val="000000" w:themeColor="text1"/>
          <w:lang w:eastAsia="zh-CN"/>
          <w14:textFill>
            <w14:solidFill>
              <w14:schemeClr w14:val="tx1"/>
            </w14:solidFill>
          </w14:textFill>
        </w:rPr>
        <w:t>泊头</w:t>
      </w:r>
      <w:r>
        <w:rPr>
          <w:rFonts w:hint="eastAsia" w:cs="Times New Roman"/>
          <w:lang w:eastAsia="zh-CN"/>
        </w:rPr>
        <w:t>桑椹</w:t>
      </w:r>
      <w:r>
        <w:rPr>
          <w:rFonts w:cs="Times New Roman"/>
          <w:lang w:eastAsia="zh-CN"/>
        </w:rPr>
        <w:t>评价指标体系及综合评价方法，通过空间叠加分析与量化计算，明确</w:t>
      </w:r>
      <w:r>
        <w:rPr>
          <w:rFonts w:cs="Times New Roman"/>
          <w:color w:val="000000" w:themeColor="text1"/>
          <w:lang w:eastAsia="zh-CN"/>
          <w14:textFill>
            <w14:solidFill>
              <w14:schemeClr w14:val="tx1"/>
            </w14:solidFill>
          </w14:textFill>
        </w:rPr>
        <w:t>泊头</w:t>
      </w:r>
      <w:r>
        <w:rPr>
          <w:rFonts w:cs="Times New Roman"/>
          <w:lang w:eastAsia="zh-CN"/>
        </w:rPr>
        <w:t>土壤适宜性各类别的面积占比及空间分布特征，并通过实地校验与专家研判确保评价结果的科学性、准确性及土地资源配置的合理性。</w:t>
      </w:r>
    </w:p>
    <w:p>
      <w:pPr>
        <w:keepNext/>
        <w:keepLines/>
        <w:numPr>
          <w:ilvl w:val="0"/>
          <w:numId w:val="5"/>
        </w:numPr>
        <w:kinsoku/>
        <w:spacing w:before="156" w:beforeLines="50" w:after="156" w:afterLines="50" w:line="360" w:lineRule="auto"/>
        <w:ind w:firstLine="480" w:firstLineChars="0"/>
        <w:outlineLvl w:val="2"/>
        <w:rPr>
          <w:lang w:eastAsia="zh-CN"/>
        </w:rPr>
      </w:pPr>
      <w:bookmarkStart w:id="48" w:name="_Toc207303717"/>
      <w:bookmarkStart w:id="49" w:name="_Toc241153625"/>
      <w:r>
        <w:rPr>
          <w:rFonts w:eastAsia="黑体" w:cs="Times New Roman"/>
          <w:lang w:eastAsia="zh-CN"/>
        </w:rPr>
        <w:t>评价结果</w:t>
      </w:r>
      <w:bookmarkEnd w:id="48"/>
      <w:bookmarkEnd w:id="49"/>
    </w:p>
    <w:p>
      <w:pPr>
        <w:kinsoku/>
        <w:spacing w:line="360" w:lineRule="auto"/>
        <w:ind w:firstLine="480"/>
        <w:jc w:val="both"/>
        <w:rPr>
          <w:rFonts w:cs="Times New Roman"/>
          <w:lang w:eastAsia="zh-CN"/>
        </w:rPr>
      </w:pPr>
      <w:r>
        <w:rPr>
          <w:rFonts w:hint="eastAsia" w:cs="Times New Roman"/>
          <w:lang w:eastAsia="zh-CN"/>
        </w:rPr>
        <w:t>根据泊头桑椹土壤适宜性综合评价结果，按照综合适宜程度将评价区域划分为优势区（高度适宜）、适宜区（中度适宜）和不适宜区3个等级（见图4.1）。全市评价总面积为75.69万亩，其中优势区面积18.59万亩，占评价总面积的24.6%；适宜区面积48.52万亩，占64.1%；不适宜区面积8.58万亩，占11.3%。优势区和适宜区合计67.11万亩，占88.7%（见表4.1）。总体呈现“适宜区为主体、优势区次之、不适宜区相对较少”的等级结构，说明泊头市大部分评价区域具备桑椹生长的基本土壤和气候条件，但不同乡镇之间适宜程度及空间分布存在较明显差异。</w:t>
      </w:r>
    </w:p>
    <w:p>
      <w:pPr>
        <w:kinsoku/>
        <w:spacing w:line="360" w:lineRule="auto"/>
        <w:ind w:left="0" w:leftChars="0" w:firstLine="0" w:firstLineChars="0"/>
        <w:jc w:val="center"/>
        <w:rPr>
          <w:rFonts w:cs="Times New Roman"/>
          <w:color w:val="EE0000"/>
          <w:lang w:eastAsia="zh-CN"/>
        </w:rPr>
      </w:pPr>
      <w:r>
        <w:rPr>
          <w:rFonts w:cs="Times New Roman"/>
          <w:color w:val="EE0000"/>
          <w:lang w:eastAsia="zh-CN"/>
        </w:rPr>
        <w:drawing>
          <wp:inline distT="0" distB="0" distL="0" distR="0">
            <wp:extent cx="4904740" cy="3949065"/>
            <wp:effectExtent l="0" t="0" r="0" b="0"/>
            <wp:docPr id="963178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7811" name="图片 2"/>
                    <pic:cNvPicPr>
                      <a:picLocks noChangeAspect="1" noChangeArrowheads="1"/>
                    </pic:cNvPicPr>
                  </pic:nvPicPr>
                  <pic:blipFill>
                    <a:blip r:embed="rId31" cstate="print">
                      <a:extLst>
                        <a:ext uri="{28A0092B-C50C-407E-A947-70E740481C1C}">
                          <a14:useLocalDpi xmlns:a14="http://schemas.microsoft.com/office/drawing/2010/main" val="0"/>
                        </a:ext>
                      </a:extLst>
                    </a:blip>
                    <a:srcRect t="7280"/>
                    <a:stretch>
                      <a:fillRect/>
                    </a:stretch>
                  </pic:blipFill>
                  <pic:spPr>
                    <a:xfrm>
                      <a:off x="0" y="0"/>
                      <a:ext cx="4905955" cy="3949952"/>
                    </a:xfrm>
                    <a:prstGeom prst="rect">
                      <a:avLst/>
                    </a:prstGeom>
                    <a:noFill/>
                    <a:ln>
                      <a:noFill/>
                    </a:ln>
                  </pic:spPr>
                </pic:pic>
              </a:graphicData>
            </a:graphic>
          </wp:inline>
        </w:drawing>
      </w:r>
    </w:p>
    <w:p>
      <w:pPr>
        <w:pStyle w:val="156"/>
        <w:rPr>
          <w:color w:val="000000" w:themeColor="text1"/>
          <w14:textFill>
            <w14:solidFill>
              <w14:schemeClr w14:val="tx1"/>
            </w14:solidFill>
          </w14:textFill>
        </w:rPr>
      </w:pPr>
      <w:bookmarkStart w:id="50" w:name="_Toc228114421"/>
      <w:bookmarkStart w:id="51" w:name="_Toc228110515"/>
      <w:r>
        <w:rPr>
          <w:color w:val="000000" w:themeColor="text1"/>
          <w14:textFill>
            <w14:solidFill>
              <w14:schemeClr w14:val="tx1"/>
            </w14:solidFill>
          </w14:textFill>
        </w:rPr>
        <w:t>图</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 xml:space="preserve">.1 </w:t>
      </w:r>
      <w:r>
        <w:rPr>
          <w:rFonts w:hint="eastAsia"/>
          <w:color w:val="000000" w:themeColor="text1"/>
          <w14:textFill>
            <w14:solidFill>
              <w14:schemeClr w14:val="tx1"/>
            </w14:solidFill>
          </w14:textFill>
        </w:rPr>
        <w:t>泊头市</w:t>
      </w:r>
      <w:r>
        <w:rPr>
          <w:rFonts w:hint="eastAsia"/>
          <w:color w:val="000000" w:themeColor="text1"/>
          <w:lang w:eastAsia="zh-CN"/>
          <w14:textFill>
            <w14:solidFill>
              <w14:schemeClr w14:val="tx1"/>
            </w14:solidFill>
          </w14:textFill>
        </w:rPr>
        <w:t>桑椹</w:t>
      </w:r>
      <w:r>
        <w:rPr>
          <w:color w:val="000000" w:themeColor="text1"/>
          <w14:textFill>
            <w14:solidFill>
              <w14:schemeClr w14:val="tx1"/>
            </w14:solidFill>
          </w14:textFill>
        </w:rPr>
        <w:t>土特产品土壤适宜性分布图</w:t>
      </w:r>
      <w:bookmarkEnd w:id="50"/>
      <w:bookmarkEnd w:id="51"/>
      <w:r>
        <w:commentReference w:id="17"/>
      </w:r>
    </w:p>
    <w:p>
      <w:pPr>
        <w:kinsoku/>
        <w:spacing w:line="360" w:lineRule="auto"/>
        <w:ind w:firstLine="480"/>
        <w:jc w:val="both"/>
        <w:rPr>
          <w:rFonts w:cs="Times New Roman"/>
          <w:lang w:eastAsia="zh-CN"/>
        </w:rPr>
      </w:pPr>
      <w:r>
        <w:rPr>
          <w:rFonts w:hint="eastAsia" w:cs="Times New Roman"/>
          <w:lang w:eastAsia="zh-CN"/>
        </w:rPr>
        <w:t>优势区面积18.59万亩，占24.6%。 从空间分布看，优势区在寺门村镇、四营镇、王武庄乡、齐桥镇、洼里王镇等区域相对集中。其中，寺门村镇和四营镇优势区面积较大，分别为2.98万亩和2.87万亩；从乡镇内部占比看，齐桥镇最高，达到45.7%，其次为王武庄乡43.0%、洼里王镇38.8%、寺门村镇38.1%和四营镇36.8%，均高于全市平均水平。总体上，这些区域土壤和气候条件综合匹配程度较高，是泊头桑椹优势适生土地的主要分布区域。</w:t>
      </w:r>
    </w:p>
    <w:p>
      <w:pPr>
        <w:kinsoku/>
        <w:spacing w:line="360" w:lineRule="auto"/>
        <w:ind w:firstLine="480"/>
        <w:jc w:val="both"/>
        <w:rPr>
          <w:rFonts w:cs="Times New Roman"/>
          <w:lang w:eastAsia="zh-CN"/>
        </w:rPr>
      </w:pPr>
      <w:r>
        <w:rPr>
          <w:rFonts w:hint="eastAsia" w:cs="Times New Roman"/>
          <w:lang w:eastAsia="zh-CN"/>
        </w:rPr>
        <w:t>营子乡作为泊头桑椹现有重要集中产区，本次评价优势区面积为0.94万亩，占14.8%，适宜区面积为4.81万亩，占75.6%，两者合计约5.75万亩，占90.4%。表明营子乡总体具备较好的桑椹种植自然条件，但评价结果以适宜区为主，与现状桑椹产业高度集聚的格局存在一定差异。后续应重点结合营子乡现有桑园分布开展空间叠加验证，并对pH、土壤质地、土壤肥力及关键气候指标的分级和隶属度进行检验，以进一步提高评价结果与当地实际生产条件的吻合程度。</w:t>
      </w:r>
    </w:p>
    <w:p>
      <w:pPr>
        <w:kinsoku/>
        <w:spacing w:line="360" w:lineRule="auto"/>
        <w:ind w:firstLine="480"/>
        <w:jc w:val="both"/>
        <w:rPr>
          <w:rFonts w:cs="Times New Roman"/>
          <w:lang w:eastAsia="zh-CN"/>
        </w:rPr>
      </w:pPr>
      <w:r>
        <w:rPr>
          <w:rFonts w:hint="eastAsia" w:cs="Times New Roman"/>
          <w:lang w:eastAsia="zh-CN"/>
        </w:rPr>
        <w:t>适宜区面积48.52万亩，占64.1%，是全市面积最大、分布最广的适宜性等级。 其中郝村镇适宜区面积最大，为6.54万亩，交河镇、富镇、四营镇、营子乡和寺门村镇也具有较大面积分布。从占比看，泊镇、文庙镇、工业区和营子乡适宜区分别占89.4%、87.7%、82.0%和75.6%。这些区域总体能够满足桑椹正常生长发育需要，但部分土壤或气候指标尚未达到优势区水平。适宜区可作为泊头桑椹产业优化布局的潜在后备空间，但实际开发利用仍需结合现状种植基础、土地利用条件和产业发展需求综合确定。</w:t>
      </w:r>
    </w:p>
    <w:p>
      <w:pPr>
        <w:kinsoku/>
        <w:spacing w:line="360" w:lineRule="auto"/>
        <w:ind w:firstLine="480"/>
        <w:jc w:val="both"/>
        <w:rPr>
          <w:rFonts w:cs="Times New Roman"/>
          <w:lang w:eastAsia="zh-CN"/>
        </w:rPr>
      </w:pPr>
      <w:r>
        <w:rPr>
          <w:rFonts w:hint="eastAsia" w:cs="Times New Roman"/>
          <w:lang w:eastAsia="zh-CN"/>
        </w:rPr>
        <w:t>不适宜区面积8.58万亩，占11.3%，总体面积较小但空间分布较为集中。 其中西辛店乡不适宜区面积达到4.09万亩，占该乡评价面积的41.7%，约占全市不适宜区面积的一半；交河镇不适宜区为1.59万亩，其他乡镇总体较少。该类区域主要表现为一个或多个关键评价指标与桑椹适宜生长条件存在较大偏离，原则上不作为新增桑椹种植基地的优先布局区域；对于其中具有改良潜力的地块，可进一步识别主要限制因子后采取针对性改良措施。</w:t>
      </w:r>
    </w:p>
    <w:p>
      <w:pPr>
        <w:kinsoku/>
        <w:spacing w:line="360" w:lineRule="auto"/>
        <w:ind w:firstLine="480"/>
        <w:jc w:val="both"/>
        <w:rPr>
          <w:rFonts w:cs="Times New Roman"/>
          <w:lang w:eastAsia="zh-CN"/>
        </w:rPr>
      </w:pPr>
      <w:r>
        <w:rPr>
          <w:rFonts w:hint="eastAsia" w:cs="Times New Roman"/>
          <w:lang w:eastAsia="zh-CN"/>
        </w:rPr>
        <w:t>综合来看，泊头市桑椹适宜性土地资源总体较为丰富，但不同乡镇的等级结构具有明显差异。齐桥镇、王武庄乡、洼里王镇、寺门村镇和四营镇优势区比例相对较高，营子乡则以适宜区为主体，西辛店乡不适宜区相对集中。 评价结果较好反映了区域土壤和气候条件的空间差异，可为泊头桑椹优势产区识别、现有桑园优化以及后续产业布局提供基础依据。后续结合现状桑园开展一致性验证后，可进一步提高评价结果的实际应用价值。</w:t>
      </w:r>
    </w:p>
    <w:p>
      <w:pPr>
        <w:kinsoku/>
        <w:autoSpaceDE/>
        <w:autoSpaceDN/>
        <w:adjustRightInd/>
        <w:snapToGrid/>
        <w:spacing w:line="360" w:lineRule="auto"/>
        <w:ind w:firstLine="0" w:firstLineChars="0"/>
        <w:textAlignment w:val="auto"/>
        <w:rPr>
          <w:rFonts w:cs="Times New Roman"/>
          <w:lang w:eastAsia="zh-CN"/>
        </w:rPr>
      </w:pPr>
      <w:r>
        <w:rPr>
          <w:rFonts w:cs="Times New Roman"/>
          <w:lang w:eastAsia="zh-CN"/>
        </w:rPr>
        <w:br w:type="page"/>
      </w:r>
    </w:p>
    <w:p>
      <w:pPr>
        <w:kinsoku/>
        <w:spacing w:line="360" w:lineRule="auto"/>
        <w:ind w:firstLine="0" w:firstLineChars="0"/>
        <w:rPr>
          <w:rFonts w:cs="Times New Roman"/>
          <w:lang w:eastAsia="zh-CN"/>
        </w:rPr>
        <w:sectPr>
          <w:footerReference r:id="rId13" w:type="default"/>
          <w:pgSz w:w="11906" w:h="16838"/>
          <w:pgMar w:top="1440" w:right="1800" w:bottom="1440" w:left="1800" w:header="851" w:footer="992" w:gutter="0"/>
          <w:pgNumType w:fmt="decimal" w:start="1"/>
          <w:cols w:space="425" w:num="1"/>
          <w:docGrid w:type="lines" w:linePitch="312" w:charSpace="0"/>
        </w:sectPr>
      </w:pPr>
    </w:p>
    <w:p>
      <w:pPr>
        <w:spacing w:line="360" w:lineRule="auto"/>
        <w:ind w:firstLine="480"/>
        <w:jc w:val="center"/>
        <w:rPr>
          <w:bCs/>
          <w:szCs w:val="24"/>
          <w:lang w:eastAsia="zh-CN"/>
        </w:rPr>
      </w:pPr>
      <w:commentRangeStart w:id="18"/>
      <w:r>
        <w:rPr>
          <w:rFonts w:hint="eastAsia"/>
          <w:bCs/>
          <w:szCs w:val="24"/>
          <w:lang w:eastAsia="zh-CN"/>
        </w:rPr>
        <w:t>表格4.1</w:t>
      </w:r>
      <w:r>
        <w:rPr>
          <w:bCs/>
          <w:szCs w:val="24"/>
          <w:lang w:eastAsia="zh-CN"/>
        </w:rPr>
        <w:t>泊</w:t>
      </w:r>
      <w:commentRangeEnd w:id="18"/>
      <w:r>
        <w:commentReference w:id="18"/>
      </w:r>
      <w:r>
        <w:rPr>
          <w:bCs/>
          <w:szCs w:val="24"/>
          <w:lang w:eastAsia="zh-CN"/>
        </w:rPr>
        <w:t>头市各乡镇</w:t>
      </w:r>
      <w:r>
        <w:rPr>
          <w:rFonts w:hint="eastAsia"/>
          <w:bCs/>
          <w:szCs w:val="24"/>
          <w:lang w:eastAsia="zh-CN"/>
        </w:rPr>
        <w:t>桑椹</w:t>
      </w:r>
      <w:r>
        <w:rPr>
          <w:bCs/>
          <w:szCs w:val="24"/>
          <w:lang w:eastAsia="zh-CN"/>
        </w:rPr>
        <w:t>适宜性面积及占比统计表</w:t>
      </w:r>
    </w:p>
    <w:tbl>
      <w:tblPr>
        <w:tblStyle w:val="32"/>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1083"/>
        <w:gridCol w:w="1120"/>
        <w:gridCol w:w="1083"/>
        <w:gridCol w:w="1083"/>
        <w:gridCol w:w="1120"/>
        <w:gridCol w:w="1083"/>
        <w:gridCol w:w="1083"/>
        <w:gridCol w:w="1120"/>
        <w:gridCol w:w="1083"/>
        <w:gridCol w:w="1121"/>
        <w:gridCol w:w="1121"/>
        <w:gridCol w:w="11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tblHeader/>
          <w:jc w:val="center"/>
        </w:trPr>
        <w:tc>
          <w:tcPr>
            <w:tcW w:w="333" w:type="pct"/>
            <w:vAlign w:val="center"/>
          </w:tcPr>
          <w:p>
            <w:pPr>
              <w:pStyle w:val="47"/>
              <w:bidi w:val="0"/>
            </w:pPr>
            <w:r>
              <w:t>乡镇名称</w:t>
            </w:r>
          </w:p>
        </w:tc>
        <w:tc>
          <w:tcPr>
            <w:tcW w:w="382" w:type="pct"/>
            <w:vAlign w:val="center"/>
          </w:tcPr>
          <w:p>
            <w:pPr>
              <w:pStyle w:val="47"/>
              <w:bidi w:val="0"/>
            </w:pPr>
            <w:r>
              <w:t>优势区面积/万亩</w:t>
            </w:r>
          </w:p>
        </w:tc>
        <w:tc>
          <w:tcPr>
            <w:tcW w:w="395" w:type="pct"/>
            <w:vAlign w:val="center"/>
          </w:tcPr>
          <w:p>
            <w:pPr>
              <w:pStyle w:val="47"/>
              <w:bidi w:val="0"/>
            </w:pPr>
            <w:r>
              <w:t>占全市优势区/%</w:t>
            </w:r>
          </w:p>
        </w:tc>
        <w:tc>
          <w:tcPr>
            <w:tcW w:w="382" w:type="pct"/>
            <w:vAlign w:val="center"/>
          </w:tcPr>
          <w:p>
            <w:pPr>
              <w:pStyle w:val="47"/>
              <w:bidi w:val="0"/>
            </w:pPr>
            <w:r>
              <w:t>占本乡镇/%</w:t>
            </w:r>
          </w:p>
        </w:tc>
        <w:tc>
          <w:tcPr>
            <w:tcW w:w="382" w:type="pct"/>
            <w:vAlign w:val="center"/>
          </w:tcPr>
          <w:p>
            <w:pPr>
              <w:pStyle w:val="47"/>
              <w:bidi w:val="0"/>
            </w:pPr>
            <w:r>
              <w:t>适宜区面积/万亩</w:t>
            </w:r>
          </w:p>
        </w:tc>
        <w:tc>
          <w:tcPr>
            <w:tcW w:w="395" w:type="pct"/>
            <w:vAlign w:val="center"/>
          </w:tcPr>
          <w:p>
            <w:pPr>
              <w:pStyle w:val="47"/>
              <w:bidi w:val="0"/>
            </w:pPr>
            <w:r>
              <w:t>占全市适宜区/%</w:t>
            </w:r>
          </w:p>
        </w:tc>
        <w:tc>
          <w:tcPr>
            <w:tcW w:w="382" w:type="pct"/>
            <w:vAlign w:val="center"/>
          </w:tcPr>
          <w:p>
            <w:pPr>
              <w:pStyle w:val="47"/>
              <w:bidi w:val="0"/>
            </w:pPr>
            <w:r>
              <w:t>占本乡镇/%</w:t>
            </w:r>
          </w:p>
        </w:tc>
        <w:tc>
          <w:tcPr>
            <w:tcW w:w="382" w:type="pct"/>
            <w:vAlign w:val="center"/>
          </w:tcPr>
          <w:p>
            <w:pPr>
              <w:pStyle w:val="47"/>
              <w:bidi w:val="0"/>
            </w:pPr>
            <w:r>
              <w:t>不适宜区面积/万亩</w:t>
            </w:r>
          </w:p>
        </w:tc>
        <w:tc>
          <w:tcPr>
            <w:tcW w:w="395" w:type="pct"/>
            <w:vAlign w:val="center"/>
          </w:tcPr>
          <w:p>
            <w:pPr>
              <w:pStyle w:val="47"/>
              <w:bidi w:val="0"/>
            </w:pPr>
            <w:r>
              <w:t>占全市不适宜区/%</w:t>
            </w:r>
          </w:p>
        </w:tc>
        <w:tc>
          <w:tcPr>
            <w:tcW w:w="382" w:type="pct"/>
            <w:vAlign w:val="center"/>
          </w:tcPr>
          <w:p>
            <w:pPr>
              <w:pStyle w:val="47"/>
              <w:bidi w:val="0"/>
            </w:pPr>
            <w:r>
              <w:t>占本乡镇/%</w:t>
            </w:r>
          </w:p>
        </w:tc>
        <w:tc>
          <w:tcPr>
            <w:tcW w:w="395" w:type="pct"/>
            <w:vAlign w:val="center"/>
          </w:tcPr>
          <w:p>
            <w:pPr>
              <w:pStyle w:val="47"/>
              <w:bidi w:val="0"/>
            </w:pPr>
            <w:r>
              <w:t>广义适宜区面积/万亩</w:t>
            </w:r>
          </w:p>
        </w:tc>
        <w:tc>
          <w:tcPr>
            <w:tcW w:w="395" w:type="pct"/>
            <w:vAlign w:val="center"/>
          </w:tcPr>
          <w:p>
            <w:pPr>
              <w:pStyle w:val="47"/>
              <w:bidi w:val="0"/>
            </w:pPr>
            <w:r>
              <w:t>广义适宜区占本乡镇/%</w:t>
            </w:r>
          </w:p>
        </w:tc>
        <w:tc>
          <w:tcPr>
            <w:tcW w:w="395" w:type="pct"/>
            <w:vAlign w:val="center"/>
          </w:tcPr>
          <w:p>
            <w:pPr>
              <w:pStyle w:val="47"/>
              <w:bidi w:val="0"/>
            </w:pPr>
            <w:r>
              <w:t>合计面积/万亩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33" w:type="pct"/>
            <w:vAlign w:val="center"/>
          </w:tcPr>
          <w:p>
            <w:pPr>
              <w:pStyle w:val="47"/>
              <w:bidi w:val="0"/>
            </w:pPr>
            <w:r>
              <w:t>交河镇</w:t>
            </w:r>
          </w:p>
        </w:tc>
        <w:tc>
          <w:tcPr>
            <w:tcW w:w="382" w:type="pct"/>
            <w:vAlign w:val="center"/>
          </w:tcPr>
          <w:p>
            <w:pPr>
              <w:pStyle w:val="47"/>
              <w:bidi w:val="0"/>
            </w:pPr>
            <w:r>
              <w:t>2.43</w:t>
            </w:r>
          </w:p>
        </w:tc>
        <w:tc>
          <w:tcPr>
            <w:tcW w:w="395" w:type="pct"/>
            <w:vAlign w:val="center"/>
          </w:tcPr>
          <w:p>
            <w:pPr>
              <w:pStyle w:val="47"/>
              <w:bidi w:val="0"/>
            </w:pPr>
            <w:r>
              <w:t>3.37</w:t>
            </w:r>
          </w:p>
        </w:tc>
        <w:tc>
          <w:tcPr>
            <w:tcW w:w="382" w:type="pct"/>
            <w:vAlign w:val="center"/>
          </w:tcPr>
          <w:p>
            <w:pPr>
              <w:pStyle w:val="47"/>
              <w:bidi w:val="0"/>
            </w:pPr>
            <w:r>
              <w:t>20.51</w:t>
            </w:r>
          </w:p>
        </w:tc>
        <w:tc>
          <w:tcPr>
            <w:tcW w:w="382" w:type="pct"/>
            <w:vAlign w:val="center"/>
          </w:tcPr>
          <w:p>
            <w:pPr>
              <w:pStyle w:val="47"/>
              <w:bidi w:val="0"/>
            </w:pPr>
            <w:r>
              <w:t>7.34</w:t>
            </w:r>
          </w:p>
        </w:tc>
        <w:tc>
          <w:tcPr>
            <w:tcW w:w="395" w:type="pct"/>
            <w:vAlign w:val="center"/>
          </w:tcPr>
          <w:p>
            <w:pPr>
              <w:pStyle w:val="47"/>
              <w:bidi w:val="0"/>
            </w:pPr>
            <w:r>
              <w:t>11.02</w:t>
            </w:r>
          </w:p>
        </w:tc>
        <w:tc>
          <w:tcPr>
            <w:tcW w:w="382" w:type="pct"/>
            <w:vAlign w:val="center"/>
          </w:tcPr>
          <w:p>
            <w:pPr>
              <w:pStyle w:val="47"/>
              <w:bidi w:val="0"/>
            </w:pPr>
            <w:r>
              <w:t>61.84</w:t>
            </w:r>
          </w:p>
        </w:tc>
        <w:tc>
          <w:tcPr>
            <w:tcW w:w="382" w:type="pct"/>
            <w:vAlign w:val="center"/>
          </w:tcPr>
          <w:p>
            <w:pPr>
              <w:pStyle w:val="47"/>
              <w:bidi w:val="0"/>
            </w:pPr>
            <w:r>
              <w:t>2.10</w:t>
            </w:r>
          </w:p>
        </w:tc>
        <w:tc>
          <w:tcPr>
            <w:tcW w:w="395" w:type="pct"/>
            <w:vAlign w:val="center"/>
          </w:tcPr>
          <w:p>
            <w:pPr>
              <w:pStyle w:val="47"/>
              <w:bidi w:val="0"/>
            </w:pPr>
            <w:r>
              <w:t>16.93</w:t>
            </w:r>
          </w:p>
        </w:tc>
        <w:tc>
          <w:tcPr>
            <w:tcW w:w="382" w:type="pct"/>
            <w:vAlign w:val="center"/>
          </w:tcPr>
          <w:p>
            <w:pPr>
              <w:pStyle w:val="47"/>
              <w:bidi w:val="0"/>
            </w:pPr>
            <w:r>
              <w:t>17.65</w:t>
            </w:r>
          </w:p>
        </w:tc>
        <w:tc>
          <w:tcPr>
            <w:tcW w:w="395" w:type="pct"/>
            <w:vAlign w:val="center"/>
          </w:tcPr>
          <w:p>
            <w:pPr>
              <w:pStyle w:val="47"/>
              <w:bidi w:val="0"/>
            </w:pPr>
            <w:r>
              <w:t>9.78</w:t>
            </w:r>
          </w:p>
        </w:tc>
        <w:tc>
          <w:tcPr>
            <w:tcW w:w="395" w:type="pct"/>
            <w:vAlign w:val="center"/>
          </w:tcPr>
          <w:p>
            <w:pPr>
              <w:pStyle w:val="47"/>
              <w:bidi w:val="0"/>
            </w:pPr>
            <w:r>
              <w:t>82.35</w:t>
            </w:r>
          </w:p>
        </w:tc>
        <w:tc>
          <w:tcPr>
            <w:tcW w:w="395" w:type="pct"/>
            <w:vAlign w:val="center"/>
          </w:tcPr>
          <w:p>
            <w:pPr>
              <w:pStyle w:val="47"/>
              <w:bidi w:val="0"/>
            </w:pPr>
            <w:r>
              <w:t>11.87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33" w:type="pct"/>
            <w:vAlign w:val="center"/>
          </w:tcPr>
          <w:p>
            <w:pPr>
              <w:pStyle w:val="47"/>
              <w:bidi w:val="0"/>
            </w:pPr>
            <w:r>
              <w:t>四营镇</w:t>
            </w:r>
          </w:p>
        </w:tc>
        <w:tc>
          <w:tcPr>
            <w:tcW w:w="382" w:type="pct"/>
            <w:vAlign w:val="center"/>
          </w:tcPr>
          <w:p>
            <w:pPr>
              <w:pStyle w:val="47"/>
              <w:bidi w:val="0"/>
            </w:pPr>
            <w:r>
              <w:t>0.40</w:t>
            </w:r>
          </w:p>
        </w:tc>
        <w:tc>
          <w:tcPr>
            <w:tcW w:w="395" w:type="pct"/>
            <w:vAlign w:val="center"/>
          </w:tcPr>
          <w:p>
            <w:pPr>
              <w:pStyle w:val="47"/>
              <w:bidi w:val="0"/>
            </w:pPr>
            <w:r>
              <w:t>0.55</w:t>
            </w:r>
          </w:p>
        </w:tc>
        <w:tc>
          <w:tcPr>
            <w:tcW w:w="382" w:type="pct"/>
            <w:vAlign w:val="center"/>
          </w:tcPr>
          <w:p>
            <w:pPr>
              <w:pStyle w:val="47"/>
              <w:bidi w:val="0"/>
            </w:pPr>
            <w:r>
              <w:t>3.53</w:t>
            </w:r>
          </w:p>
        </w:tc>
        <w:tc>
          <w:tcPr>
            <w:tcW w:w="382" w:type="pct"/>
            <w:vAlign w:val="center"/>
          </w:tcPr>
          <w:p>
            <w:pPr>
              <w:pStyle w:val="47"/>
              <w:bidi w:val="0"/>
            </w:pPr>
            <w:r>
              <w:t>7.46</w:t>
            </w:r>
          </w:p>
        </w:tc>
        <w:tc>
          <w:tcPr>
            <w:tcW w:w="395" w:type="pct"/>
            <w:vAlign w:val="center"/>
          </w:tcPr>
          <w:p>
            <w:pPr>
              <w:pStyle w:val="47"/>
              <w:bidi w:val="0"/>
            </w:pPr>
            <w:r>
              <w:t>11.19</w:t>
            </w:r>
          </w:p>
        </w:tc>
        <w:tc>
          <w:tcPr>
            <w:tcW w:w="382" w:type="pct"/>
            <w:vAlign w:val="center"/>
          </w:tcPr>
          <w:p>
            <w:pPr>
              <w:pStyle w:val="47"/>
              <w:bidi w:val="0"/>
            </w:pPr>
            <w:r>
              <w:t>65.93</w:t>
            </w:r>
          </w:p>
        </w:tc>
        <w:tc>
          <w:tcPr>
            <w:tcW w:w="382" w:type="pct"/>
            <w:vAlign w:val="center"/>
          </w:tcPr>
          <w:p>
            <w:pPr>
              <w:pStyle w:val="47"/>
              <w:bidi w:val="0"/>
            </w:pPr>
            <w:r>
              <w:t>3.46</w:t>
            </w:r>
          </w:p>
        </w:tc>
        <w:tc>
          <w:tcPr>
            <w:tcW w:w="395" w:type="pct"/>
            <w:vAlign w:val="center"/>
          </w:tcPr>
          <w:p>
            <w:pPr>
              <w:pStyle w:val="47"/>
              <w:bidi w:val="0"/>
            </w:pPr>
            <w:r>
              <w:t>27.92</w:t>
            </w:r>
          </w:p>
        </w:tc>
        <w:tc>
          <w:tcPr>
            <w:tcW w:w="382" w:type="pct"/>
            <w:vAlign w:val="center"/>
          </w:tcPr>
          <w:p>
            <w:pPr>
              <w:pStyle w:val="47"/>
              <w:bidi w:val="0"/>
            </w:pPr>
            <w:r>
              <w:t>30.55</w:t>
            </w:r>
          </w:p>
        </w:tc>
        <w:tc>
          <w:tcPr>
            <w:tcW w:w="395" w:type="pct"/>
            <w:vAlign w:val="center"/>
          </w:tcPr>
          <w:p>
            <w:pPr>
              <w:pStyle w:val="47"/>
              <w:bidi w:val="0"/>
            </w:pPr>
            <w:r>
              <w:t>7.86</w:t>
            </w:r>
          </w:p>
        </w:tc>
        <w:tc>
          <w:tcPr>
            <w:tcW w:w="395" w:type="pct"/>
            <w:vAlign w:val="center"/>
          </w:tcPr>
          <w:p>
            <w:pPr>
              <w:pStyle w:val="47"/>
              <w:bidi w:val="0"/>
            </w:pPr>
            <w:r>
              <w:t>69.45</w:t>
            </w:r>
          </w:p>
        </w:tc>
        <w:tc>
          <w:tcPr>
            <w:tcW w:w="395" w:type="pct"/>
            <w:vAlign w:val="center"/>
          </w:tcPr>
          <w:p>
            <w:pPr>
              <w:pStyle w:val="47"/>
              <w:bidi w:val="0"/>
            </w:pPr>
            <w:r>
              <w:t>11.31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33" w:type="pct"/>
            <w:vAlign w:val="center"/>
          </w:tcPr>
          <w:p>
            <w:pPr>
              <w:pStyle w:val="47"/>
              <w:bidi w:val="0"/>
            </w:pPr>
            <w:r>
              <w:t>富镇镇</w:t>
            </w:r>
          </w:p>
        </w:tc>
        <w:tc>
          <w:tcPr>
            <w:tcW w:w="382" w:type="pct"/>
            <w:vAlign w:val="center"/>
          </w:tcPr>
          <w:p>
            <w:pPr>
              <w:pStyle w:val="47"/>
              <w:bidi w:val="0"/>
            </w:pPr>
            <w:r>
              <w:t>0.63</w:t>
            </w:r>
          </w:p>
        </w:tc>
        <w:tc>
          <w:tcPr>
            <w:tcW w:w="395" w:type="pct"/>
            <w:vAlign w:val="center"/>
          </w:tcPr>
          <w:p>
            <w:pPr>
              <w:pStyle w:val="47"/>
              <w:bidi w:val="0"/>
            </w:pPr>
            <w:r>
              <w:t>0.88</w:t>
            </w:r>
          </w:p>
        </w:tc>
        <w:tc>
          <w:tcPr>
            <w:tcW w:w="382" w:type="pct"/>
            <w:vAlign w:val="center"/>
          </w:tcPr>
          <w:p>
            <w:pPr>
              <w:pStyle w:val="47"/>
              <w:bidi w:val="0"/>
            </w:pPr>
            <w:r>
              <w:t>5.41</w:t>
            </w:r>
          </w:p>
        </w:tc>
        <w:tc>
          <w:tcPr>
            <w:tcW w:w="382" w:type="pct"/>
            <w:vAlign w:val="center"/>
          </w:tcPr>
          <w:p>
            <w:pPr>
              <w:pStyle w:val="47"/>
              <w:bidi w:val="0"/>
            </w:pPr>
            <w:r>
              <w:t>8.77</w:t>
            </w:r>
          </w:p>
        </w:tc>
        <w:tc>
          <w:tcPr>
            <w:tcW w:w="395" w:type="pct"/>
            <w:vAlign w:val="center"/>
          </w:tcPr>
          <w:p>
            <w:pPr>
              <w:pStyle w:val="47"/>
              <w:bidi w:val="0"/>
            </w:pPr>
            <w:r>
              <w:t>13.16</w:t>
            </w:r>
          </w:p>
        </w:tc>
        <w:tc>
          <w:tcPr>
            <w:tcW w:w="382" w:type="pct"/>
            <w:vAlign w:val="center"/>
          </w:tcPr>
          <w:p>
            <w:pPr>
              <w:pStyle w:val="47"/>
              <w:bidi w:val="0"/>
            </w:pPr>
            <w:r>
              <w:t>74.81</w:t>
            </w:r>
          </w:p>
        </w:tc>
        <w:tc>
          <w:tcPr>
            <w:tcW w:w="382" w:type="pct"/>
            <w:vAlign w:val="center"/>
          </w:tcPr>
          <w:p>
            <w:pPr>
              <w:pStyle w:val="47"/>
              <w:bidi w:val="0"/>
            </w:pPr>
            <w:r>
              <w:t>2.32</w:t>
            </w:r>
          </w:p>
        </w:tc>
        <w:tc>
          <w:tcPr>
            <w:tcW w:w="395" w:type="pct"/>
            <w:vAlign w:val="center"/>
          </w:tcPr>
          <w:p>
            <w:pPr>
              <w:pStyle w:val="47"/>
              <w:bidi w:val="0"/>
            </w:pPr>
            <w:r>
              <w:t>18.73</w:t>
            </w:r>
          </w:p>
        </w:tc>
        <w:tc>
          <w:tcPr>
            <w:tcW w:w="382" w:type="pct"/>
            <w:vAlign w:val="center"/>
          </w:tcPr>
          <w:p>
            <w:pPr>
              <w:pStyle w:val="47"/>
              <w:bidi w:val="0"/>
            </w:pPr>
            <w:r>
              <w:t>19.78</w:t>
            </w:r>
          </w:p>
        </w:tc>
        <w:tc>
          <w:tcPr>
            <w:tcW w:w="395" w:type="pct"/>
            <w:vAlign w:val="center"/>
          </w:tcPr>
          <w:p>
            <w:pPr>
              <w:pStyle w:val="47"/>
              <w:bidi w:val="0"/>
            </w:pPr>
            <w:r>
              <w:t>9.40</w:t>
            </w:r>
          </w:p>
        </w:tc>
        <w:tc>
          <w:tcPr>
            <w:tcW w:w="395" w:type="pct"/>
            <w:vAlign w:val="center"/>
          </w:tcPr>
          <w:p>
            <w:pPr>
              <w:pStyle w:val="47"/>
              <w:bidi w:val="0"/>
            </w:pPr>
            <w:r>
              <w:t>80.22</w:t>
            </w:r>
          </w:p>
        </w:tc>
        <w:tc>
          <w:tcPr>
            <w:tcW w:w="395" w:type="pct"/>
            <w:vAlign w:val="center"/>
          </w:tcPr>
          <w:p>
            <w:pPr>
              <w:pStyle w:val="47"/>
              <w:bidi w:val="0"/>
            </w:pPr>
            <w:r>
              <w:t>11.72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333" w:type="pct"/>
            <w:vAlign w:val="center"/>
          </w:tcPr>
          <w:p>
            <w:pPr>
              <w:pStyle w:val="47"/>
              <w:bidi w:val="0"/>
            </w:pPr>
            <w:r>
              <w:t>寺门村镇</w:t>
            </w:r>
          </w:p>
        </w:tc>
        <w:tc>
          <w:tcPr>
            <w:tcW w:w="382" w:type="pct"/>
            <w:vAlign w:val="center"/>
          </w:tcPr>
          <w:p>
            <w:pPr>
              <w:pStyle w:val="47"/>
              <w:bidi w:val="0"/>
            </w:pPr>
            <w:r>
              <w:t>8.84</w:t>
            </w:r>
          </w:p>
        </w:tc>
        <w:tc>
          <w:tcPr>
            <w:tcW w:w="395" w:type="pct"/>
            <w:vAlign w:val="center"/>
          </w:tcPr>
          <w:p>
            <w:pPr>
              <w:pStyle w:val="47"/>
              <w:bidi w:val="0"/>
            </w:pPr>
            <w:r>
              <w:t>12.22</w:t>
            </w:r>
          </w:p>
        </w:tc>
        <w:tc>
          <w:tcPr>
            <w:tcW w:w="382" w:type="pct"/>
            <w:vAlign w:val="center"/>
          </w:tcPr>
          <w:p>
            <w:pPr>
              <w:pStyle w:val="47"/>
              <w:bidi w:val="0"/>
            </w:pPr>
            <w:r>
              <w:t>72.20</w:t>
            </w:r>
          </w:p>
        </w:tc>
        <w:tc>
          <w:tcPr>
            <w:tcW w:w="382" w:type="pct"/>
            <w:vAlign w:val="center"/>
          </w:tcPr>
          <w:p>
            <w:pPr>
              <w:pStyle w:val="47"/>
              <w:bidi w:val="0"/>
            </w:pPr>
            <w:r>
              <w:t>3.34</w:t>
            </w:r>
          </w:p>
        </w:tc>
        <w:tc>
          <w:tcPr>
            <w:tcW w:w="395" w:type="pct"/>
            <w:vAlign w:val="center"/>
          </w:tcPr>
          <w:p>
            <w:pPr>
              <w:pStyle w:val="47"/>
              <w:bidi w:val="0"/>
            </w:pPr>
            <w:r>
              <w:t>5.01</w:t>
            </w:r>
          </w:p>
        </w:tc>
        <w:tc>
          <w:tcPr>
            <w:tcW w:w="382" w:type="pct"/>
            <w:vAlign w:val="center"/>
          </w:tcPr>
          <w:p>
            <w:pPr>
              <w:pStyle w:val="47"/>
              <w:bidi w:val="0"/>
            </w:pPr>
            <w:r>
              <w:t>27.31</w:t>
            </w:r>
          </w:p>
        </w:tc>
        <w:tc>
          <w:tcPr>
            <w:tcW w:w="382" w:type="pct"/>
            <w:vAlign w:val="center"/>
          </w:tcPr>
          <w:p>
            <w:pPr>
              <w:pStyle w:val="47"/>
              <w:bidi w:val="0"/>
            </w:pPr>
            <w:r>
              <w:t>0.06</w:t>
            </w:r>
          </w:p>
        </w:tc>
        <w:tc>
          <w:tcPr>
            <w:tcW w:w="395" w:type="pct"/>
            <w:vAlign w:val="center"/>
          </w:tcPr>
          <w:p>
            <w:pPr>
              <w:pStyle w:val="47"/>
              <w:bidi w:val="0"/>
            </w:pPr>
            <w:r>
              <w:t>0.49</w:t>
            </w:r>
          </w:p>
        </w:tc>
        <w:tc>
          <w:tcPr>
            <w:tcW w:w="382" w:type="pct"/>
            <w:vAlign w:val="center"/>
          </w:tcPr>
          <w:p>
            <w:pPr>
              <w:pStyle w:val="47"/>
              <w:bidi w:val="0"/>
            </w:pPr>
            <w:r>
              <w:t>0.49</w:t>
            </w:r>
          </w:p>
        </w:tc>
        <w:tc>
          <w:tcPr>
            <w:tcW w:w="395" w:type="pct"/>
            <w:vAlign w:val="center"/>
          </w:tcPr>
          <w:p>
            <w:pPr>
              <w:pStyle w:val="47"/>
              <w:bidi w:val="0"/>
            </w:pPr>
            <w:r>
              <w:t>12.18</w:t>
            </w:r>
          </w:p>
        </w:tc>
        <w:tc>
          <w:tcPr>
            <w:tcW w:w="395" w:type="pct"/>
            <w:vAlign w:val="center"/>
          </w:tcPr>
          <w:p>
            <w:pPr>
              <w:pStyle w:val="47"/>
              <w:bidi w:val="0"/>
            </w:pPr>
            <w:r>
              <w:t>99.51</w:t>
            </w:r>
          </w:p>
        </w:tc>
        <w:tc>
          <w:tcPr>
            <w:tcW w:w="395" w:type="pct"/>
            <w:vAlign w:val="center"/>
          </w:tcPr>
          <w:p>
            <w:pPr>
              <w:pStyle w:val="47"/>
              <w:bidi w:val="0"/>
            </w:pPr>
            <w:r>
              <w:t>12.24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33" w:type="pct"/>
            <w:vAlign w:val="center"/>
          </w:tcPr>
          <w:p>
            <w:pPr>
              <w:pStyle w:val="47"/>
              <w:bidi w:val="0"/>
            </w:pPr>
            <w:r>
              <w:t>工业区</w:t>
            </w:r>
          </w:p>
        </w:tc>
        <w:tc>
          <w:tcPr>
            <w:tcW w:w="382" w:type="pct"/>
            <w:vAlign w:val="center"/>
          </w:tcPr>
          <w:p>
            <w:pPr>
              <w:pStyle w:val="47"/>
              <w:bidi w:val="0"/>
            </w:pPr>
            <w:r>
              <w:t>2.11</w:t>
            </w:r>
          </w:p>
        </w:tc>
        <w:tc>
          <w:tcPr>
            <w:tcW w:w="395" w:type="pct"/>
            <w:vAlign w:val="center"/>
          </w:tcPr>
          <w:p>
            <w:pPr>
              <w:pStyle w:val="47"/>
              <w:bidi w:val="0"/>
            </w:pPr>
            <w:r>
              <w:t>2.91</w:t>
            </w:r>
          </w:p>
        </w:tc>
        <w:tc>
          <w:tcPr>
            <w:tcW w:w="382" w:type="pct"/>
            <w:vAlign w:val="center"/>
          </w:tcPr>
          <w:p>
            <w:pPr>
              <w:pStyle w:val="47"/>
              <w:bidi w:val="0"/>
            </w:pPr>
            <w:r>
              <w:t>76.22</w:t>
            </w:r>
          </w:p>
        </w:tc>
        <w:tc>
          <w:tcPr>
            <w:tcW w:w="382" w:type="pct"/>
            <w:vAlign w:val="center"/>
          </w:tcPr>
          <w:p>
            <w:pPr>
              <w:pStyle w:val="47"/>
              <w:bidi w:val="0"/>
            </w:pPr>
            <w:r>
              <w:t>0.66</w:t>
            </w:r>
          </w:p>
        </w:tc>
        <w:tc>
          <w:tcPr>
            <w:tcW w:w="395" w:type="pct"/>
            <w:vAlign w:val="center"/>
          </w:tcPr>
          <w:p>
            <w:pPr>
              <w:pStyle w:val="47"/>
              <w:bidi w:val="0"/>
            </w:pPr>
            <w:r>
              <w:t>0.99</w:t>
            </w:r>
          </w:p>
        </w:tc>
        <w:tc>
          <w:tcPr>
            <w:tcW w:w="382" w:type="pct"/>
            <w:vAlign w:val="center"/>
          </w:tcPr>
          <w:p>
            <w:pPr>
              <w:pStyle w:val="47"/>
              <w:bidi w:val="0"/>
            </w:pPr>
            <w:r>
              <w:t>23.78</w:t>
            </w:r>
          </w:p>
        </w:tc>
        <w:tc>
          <w:tcPr>
            <w:tcW w:w="382" w:type="pct"/>
            <w:vAlign w:val="center"/>
          </w:tcPr>
          <w:p>
            <w:pPr>
              <w:pStyle w:val="47"/>
              <w:bidi w:val="0"/>
            </w:pPr>
            <w:r>
              <w:t>0.00</w:t>
            </w:r>
          </w:p>
        </w:tc>
        <w:tc>
          <w:tcPr>
            <w:tcW w:w="395" w:type="pct"/>
            <w:vAlign w:val="center"/>
          </w:tcPr>
          <w:p>
            <w:pPr>
              <w:pStyle w:val="47"/>
              <w:bidi w:val="0"/>
            </w:pPr>
            <w:r>
              <w:t>0.00</w:t>
            </w:r>
          </w:p>
        </w:tc>
        <w:tc>
          <w:tcPr>
            <w:tcW w:w="382" w:type="pct"/>
            <w:vAlign w:val="center"/>
          </w:tcPr>
          <w:p>
            <w:pPr>
              <w:pStyle w:val="47"/>
              <w:bidi w:val="0"/>
            </w:pPr>
            <w:r>
              <w:t>0.00</w:t>
            </w:r>
          </w:p>
        </w:tc>
        <w:tc>
          <w:tcPr>
            <w:tcW w:w="395" w:type="pct"/>
            <w:vAlign w:val="center"/>
          </w:tcPr>
          <w:p>
            <w:pPr>
              <w:pStyle w:val="47"/>
              <w:bidi w:val="0"/>
            </w:pPr>
            <w:r>
              <w:t>2.77</w:t>
            </w:r>
          </w:p>
        </w:tc>
        <w:tc>
          <w:tcPr>
            <w:tcW w:w="395" w:type="pct"/>
            <w:vAlign w:val="center"/>
          </w:tcPr>
          <w:p>
            <w:pPr>
              <w:pStyle w:val="47"/>
              <w:bidi w:val="0"/>
            </w:pPr>
            <w:r>
              <w:t>100.00</w:t>
            </w:r>
          </w:p>
        </w:tc>
        <w:tc>
          <w:tcPr>
            <w:tcW w:w="395" w:type="pct"/>
            <w:vAlign w:val="center"/>
          </w:tcPr>
          <w:p>
            <w:pPr>
              <w:pStyle w:val="47"/>
              <w:bidi w:val="0"/>
            </w:pPr>
            <w:r>
              <w:t>2.77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33" w:type="pct"/>
            <w:vAlign w:val="center"/>
          </w:tcPr>
          <w:p>
            <w:pPr>
              <w:pStyle w:val="47"/>
              <w:bidi w:val="0"/>
            </w:pPr>
            <w:r>
              <w:t>市区</w:t>
            </w:r>
          </w:p>
        </w:tc>
        <w:tc>
          <w:tcPr>
            <w:tcW w:w="382" w:type="pct"/>
            <w:vAlign w:val="center"/>
          </w:tcPr>
          <w:p>
            <w:pPr>
              <w:pStyle w:val="47"/>
              <w:bidi w:val="0"/>
            </w:pPr>
            <w:r>
              <w:t>0.98</w:t>
            </w:r>
          </w:p>
        </w:tc>
        <w:tc>
          <w:tcPr>
            <w:tcW w:w="395" w:type="pct"/>
            <w:vAlign w:val="center"/>
          </w:tcPr>
          <w:p>
            <w:pPr>
              <w:pStyle w:val="47"/>
              <w:bidi w:val="0"/>
            </w:pPr>
            <w:r>
              <w:t>1.35</w:t>
            </w:r>
          </w:p>
        </w:tc>
        <w:tc>
          <w:tcPr>
            <w:tcW w:w="382" w:type="pct"/>
            <w:vAlign w:val="center"/>
          </w:tcPr>
          <w:p>
            <w:pPr>
              <w:pStyle w:val="47"/>
              <w:bidi w:val="0"/>
            </w:pPr>
            <w:r>
              <w:t>97.55</w:t>
            </w:r>
          </w:p>
        </w:tc>
        <w:tc>
          <w:tcPr>
            <w:tcW w:w="382" w:type="pct"/>
            <w:vAlign w:val="center"/>
          </w:tcPr>
          <w:p>
            <w:pPr>
              <w:pStyle w:val="47"/>
              <w:bidi w:val="0"/>
            </w:pPr>
            <w:r>
              <w:t>0.02</w:t>
            </w:r>
          </w:p>
        </w:tc>
        <w:tc>
          <w:tcPr>
            <w:tcW w:w="395" w:type="pct"/>
            <w:vAlign w:val="center"/>
          </w:tcPr>
          <w:p>
            <w:pPr>
              <w:pStyle w:val="47"/>
              <w:bidi w:val="0"/>
            </w:pPr>
            <w:r>
              <w:t>0.04</w:t>
            </w:r>
          </w:p>
        </w:tc>
        <w:tc>
          <w:tcPr>
            <w:tcW w:w="382" w:type="pct"/>
            <w:vAlign w:val="center"/>
          </w:tcPr>
          <w:p>
            <w:pPr>
              <w:pStyle w:val="47"/>
              <w:bidi w:val="0"/>
            </w:pPr>
            <w:r>
              <w:t>2.45</w:t>
            </w:r>
          </w:p>
        </w:tc>
        <w:tc>
          <w:tcPr>
            <w:tcW w:w="382" w:type="pct"/>
            <w:vAlign w:val="center"/>
          </w:tcPr>
          <w:p>
            <w:pPr>
              <w:pStyle w:val="47"/>
              <w:bidi w:val="0"/>
            </w:pPr>
            <w:r>
              <w:t>0.00</w:t>
            </w:r>
          </w:p>
        </w:tc>
        <w:tc>
          <w:tcPr>
            <w:tcW w:w="395" w:type="pct"/>
            <w:vAlign w:val="center"/>
          </w:tcPr>
          <w:p>
            <w:pPr>
              <w:pStyle w:val="47"/>
              <w:bidi w:val="0"/>
            </w:pPr>
            <w:r>
              <w:t>0.00</w:t>
            </w:r>
          </w:p>
        </w:tc>
        <w:tc>
          <w:tcPr>
            <w:tcW w:w="382" w:type="pct"/>
            <w:vAlign w:val="center"/>
          </w:tcPr>
          <w:p>
            <w:pPr>
              <w:pStyle w:val="47"/>
              <w:bidi w:val="0"/>
            </w:pPr>
            <w:r>
              <w:t>0.00</w:t>
            </w:r>
          </w:p>
        </w:tc>
        <w:tc>
          <w:tcPr>
            <w:tcW w:w="395" w:type="pct"/>
            <w:vAlign w:val="center"/>
          </w:tcPr>
          <w:p>
            <w:pPr>
              <w:pStyle w:val="47"/>
              <w:bidi w:val="0"/>
            </w:pPr>
            <w:r>
              <w:t>1.00</w:t>
            </w:r>
          </w:p>
        </w:tc>
        <w:tc>
          <w:tcPr>
            <w:tcW w:w="395" w:type="pct"/>
            <w:vAlign w:val="center"/>
          </w:tcPr>
          <w:p>
            <w:pPr>
              <w:pStyle w:val="47"/>
              <w:bidi w:val="0"/>
            </w:pPr>
            <w:r>
              <w:t>100.00</w:t>
            </w:r>
          </w:p>
        </w:tc>
        <w:tc>
          <w:tcPr>
            <w:tcW w:w="395" w:type="pct"/>
            <w:vAlign w:val="center"/>
          </w:tcPr>
          <w:p>
            <w:pPr>
              <w:pStyle w:val="47"/>
              <w:bidi w:val="0"/>
            </w:pPr>
            <w: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33" w:type="pct"/>
            <w:vAlign w:val="center"/>
          </w:tcPr>
          <w:p>
            <w:pPr>
              <w:pStyle w:val="47"/>
              <w:bidi w:val="0"/>
            </w:pPr>
            <w:r>
              <w:t>文庙镇</w:t>
            </w:r>
          </w:p>
        </w:tc>
        <w:tc>
          <w:tcPr>
            <w:tcW w:w="382" w:type="pct"/>
            <w:vAlign w:val="center"/>
          </w:tcPr>
          <w:p>
            <w:pPr>
              <w:pStyle w:val="47"/>
              <w:bidi w:val="0"/>
            </w:pPr>
            <w:r>
              <w:t>9.69</w:t>
            </w:r>
          </w:p>
        </w:tc>
        <w:tc>
          <w:tcPr>
            <w:tcW w:w="395" w:type="pct"/>
            <w:vAlign w:val="center"/>
          </w:tcPr>
          <w:p>
            <w:pPr>
              <w:pStyle w:val="47"/>
              <w:bidi w:val="0"/>
            </w:pPr>
            <w:r>
              <w:t>13.40</w:t>
            </w:r>
          </w:p>
        </w:tc>
        <w:tc>
          <w:tcPr>
            <w:tcW w:w="382" w:type="pct"/>
            <w:vAlign w:val="center"/>
          </w:tcPr>
          <w:p>
            <w:pPr>
              <w:pStyle w:val="47"/>
              <w:bidi w:val="0"/>
            </w:pPr>
            <w:r>
              <w:t>76.31</w:t>
            </w:r>
          </w:p>
        </w:tc>
        <w:tc>
          <w:tcPr>
            <w:tcW w:w="382" w:type="pct"/>
            <w:vAlign w:val="center"/>
          </w:tcPr>
          <w:p>
            <w:pPr>
              <w:pStyle w:val="47"/>
              <w:bidi w:val="0"/>
            </w:pPr>
            <w:r>
              <w:t>3.01</w:t>
            </w:r>
          </w:p>
        </w:tc>
        <w:tc>
          <w:tcPr>
            <w:tcW w:w="395" w:type="pct"/>
            <w:vAlign w:val="center"/>
          </w:tcPr>
          <w:p>
            <w:pPr>
              <w:pStyle w:val="47"/>
              <w:bidi w:val="0"/>
            </w:pPr>
            <w:r>
              <w:t>4.51</w:t>
            </w:r>
          </w:p>
        </w:tc>
        <w:tc>
          <w:tcPr>
            <w:tcW w:w="382" w:type="pct"/>
            <w:vAlign w:val="center"/>
          </w:tcPr>
          <w:p>
            <w:pPr>
              <w:pStyle w:val="47"/>
              <w:bidi w:val="0"/>
            </w:pPr>
            <w:r>
              <w:t>23.69</w:t>
            </w:r>
          </w:p>
        </w:tc>
        <w:tc>
          <w:tcPr>
            <w:tcW w:w="382" w:type="pct"/>
            <w:vAlign w:val="center"/>
          </w:tcPr>
          <w:p>
            <w:pPr>
              <w:pStyle w:val="47"/>
              <w:bidi w:val="0"/>
            </w:pPr>
            <w:r>
              <w:t>0.00</w:t>
            </w:r>
          </w:p>
        </w:tc>
        <w:tc>
          <w:tcPr>
            <w:tcW w:w="395" w:type="pct"/>
            <w:vAlign w:val="center"/>
          </w:tcPr>
          <w:p>
            <w:pPr>
              <w:pStyle w:val="47"/>
              <w:bidi w:val="0"/>
            </w:pPr>
            <w:r>
              <w:t>0.00</w:t>
            </w:r>
          </w:p>
        </w:tc>
        <w:tc>
          <w:tcPr>
            <w:tcW w:w="382" w:type="pct"/>
            <w:vAlign w:val="center"/>
          </w:tcPr>
          <w:p>
            <w:pPr>
              <w:pStyle w:val="47"/>
              <w:bidi w:val="0"/>
            </w:pPr>
            <w:r>
              <w:t>0.00</w:t>
            </w:r>
          </w:p>
        </w:tc>
        <w:tc>
          <w:tcPr>
            <w:tcW w:w="395" w:type="pct"/>
            <w:vAlign w:val="center"/>
          </w:tcPr>
          <w:p>
            <w:pPr>
              <w:pStyle w:val="47"/>
              <w:bidi w:val="0"/>
            </w:pPr>
            <w:r>
              <w:t>12.70</w:t>
            </w:r>
          </w:p>
        </w:tc>
        <w:tc>
          <w:tcPr>
            <w:tcW w:w="395" w:type="pct"/>
            <w:vAlign w:val="center"/>
          </w:tcPr>
          <w:p>
            <w:pPr>
              <w:pStyle w:val="47"/>
              <w:bidi w:val="0"/>
            </w:pPr>
            <w:r>
              <w:t>100.00</w:t>
            </w:r>
          </w:p>
        </w:tc>
        <w:tc>
          <w:tcPr>
            <w:tcW w:w="395" w:type="pct"/>
            <w:vAlign w:val="center"/>
          </w:tcPr>
          <w:p>
            <w:pPr>
              <w:pStyle w:val="47"/>
              <w:bidi w:val="0"/>
            </w:pPr>
            <w:r>
              <w:t>12.70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33" w:type="pct"/>
            <w:vAlign w:val="center"/>
          </w:tcPr>
          <w:p>
            <w:pPr>
              <w:pStyle w:val="47"/>
              <w:bidi w:val="0"/>
            </w:pPr>
            <w:r>
              <w:t>泊镇</w:t>
            </w:r>
          </w:p>
        </w:tc>
        <w:tc>
          <w:tcPr>
            <w:tcW w:w="382" w:type="pct"/>
            <w:vAlign w:val="center"/>
          </w:tcPr>
          <w:p>
            <w:pPr>
              <w:pStyle w:val="47"/>
              <w:bidi w:val="0"/>
            </w:pPr>
            <w:r>
              <w:t>5.43</w:t>
            </w:r>
          </w:p>
        </w:tc>
        <w:tc>
          <w:tcPr>
            <w:tcW w:w="395" w:type="pct"/>
            <w:vAlign w:val="center"/>
          </w:tcPr>
          <w:p>
            <w:pPr>
              <w:pStyle w:val="47"/>
              <w:bidi w:val="0"/>
            </w:pPr>
            <w:r>
              <w:t>7.50</w:t>
            </w:r>
          </w:p>
        </w:tc>
        <w:tc>
          <w:tcPr>
            <w:tcW w:w="382" w:type="pct"/>
            <w:vAlign w:val="center"/>
          </w:tcPr>
          <w:p>
            <w:pPr>
              <w:pStyle w:val="47"/>
              <w:bidi w:val="0"/>
            </w:pPr>
            <w:r>
              <w:t>62.50</w:t>
            </w:r>
          </w:p>
        </w:tc>
        <w:tc>
          <w:tcPr>
            <w:tcW w:w="382" w:type="pct"/>
            <w:vAlign w:val="center"/>
          </w:tcPr>
          <w:p>
            <w:pPr>
              <w:pStyle w:val="47"/>
              <w:bidi w:val="0"/>
            </w:pPr>
            <w:r>
              <w:t>3.26</w:t>
            </w:r>
          </w:p>
        </w:tc>
        <w:tc>
          <w:tcPr>
            <w:tcW w:w="395" w:type="pct"/>
            <w:vAlign w:val="center"/>
          </w:tcPr>
          <w:p>
            <w:pPr>
              <w:pStyle w:val="47"/>
              <w:bidi w:val="0"/>
            </w:pPr>
            <w:r>
              <w:t>4.89</w:t>
            </w:r>
          </w:p>
        </w:tc>
        <w:tc>
          <w:tcPr>
            <w:tcW w:w="382" w:type="pct"/>
            <w:vAlign w:val="center"/>
          </w:tcPr>
          <w:p>
            <w:pPr>
              <w:pStyle w:val="47"/>
              <w:bidi w:val="0"/>
            </w:pPr>
            <w:r>
              <w:t>37.50</w:t>
            </w:r>
          </w:p>
        </w:tc>
        <w:tc>
          <w:tcPr>
            <w:tcW w:w="382" w:type="pct"/>
            <w:vAlign w:val="center"/>
          </w:tcPr>
          <w:p>
            <w:pPr>
              <w:pStyle w:val="47"/>
              <w:bidi w:val="0"/>
            </w:pPr>
            <w:r>
              <w:t>0.00</w:t>
            </w:r>
          </w:p>
        </w:tc>
        <w:tc>
          <w:tcPr>
            <w:tcW w:w="395" w:type="pct"/>
            <w:vAlign w:val="center"/>
          </w:tcPr>
          <w:p>
            <w:pPr>
              <w:pStyle w:val="47"/>
              <w:bidi w:val="0"/>
            </w:pPr>
            <w:r>
              <w:t>0.00</w:t>
            </w:r>
          </w:p>
        </w:tc>
        <w:tc>
          <w:tcPr>
            <w:tcW w:w="382" w:type="pct"/>
            <w:vAlign w:val="center"/>
          </w:tcPr>
          <w:p>
            <w:pPr>
              <w:pStyle w:val="47"/>
              <w:bidi w:val="0"/>
            </w:pPr>
            <w:r>
              <w:t>0.00</w:t>
            </w:r>
          </w:p>
        </w:tc>
        <w:tc>
          <w:tcPr>
            <w:tcW w:w="395" w:type="pct"/>
            <w:vAlign w:val="center"/>
          </w:tcPr>
          <w:p>
            <w:pPr>
              <w:pStyle w:val="47"/>
              <w:bidi w:val="0"/>
            </w:pPr>
            <w:r>
              <w:t>8.68</w:t>
            </w:r>
          </w:p>
        </w:tc>
        <w:tc>
          <w:tcPr>
            <w:tcW w:w="395" w:type="pct"/>
            <w:vAlign w:val="center"/>
          </w:tcPr>
          <w:p>
            <w:pPr>
              <w:pStyle w:val="47"/>
              <w:bidi w:val="0"/>
            </w:pPr>
            <w:r>
              <w:t>100.00</w:t>
            </w:r>
          </w:p>
        </w:tc>
        <w:tc>
          <w:tcPr>
            <w:tcW w:w="395" w:type="pct"/>
            <w:vAlign w:val="center"/>
          </w:tcPr>
          <w:p>
            <w:pPr>
              <w:pStyle w:val="47"/>
              <w:bidi w:val="0"/>
            </w:pPr>
            <w:r>
              <w:t>8.68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333" w:type="pct"/>
            <w:vAlign w:val="center"/>
          </w:tcPr>
          <w:p>
            <w:pPr>
              <w:pStyle w:val="47"/>
              <w:bidi w:val="0"/>
            </w:pPr>
            <w:r>
              <w:t>洼里王镇</w:t>
            </w:r>
          </w:p>
        </w:tc>
        <w:tc>
          <w:tcPr>
            <w:tcW w:w="382" w:type="pct"/>
            <w:vAlign w:val="center"/>
          </w:tcPr>
          <w:p>
            <w:pPr>
              <w:pStyle w:val="47"/>
              <w:bidi w:val="0"/>
            </w:pPr>
            <w:r>
              <w:t>7.50</w:t>
            </w:r>
          </w:p>
        </w:tc>
        <w:tc>
          <w:tcPr>
            <w:tcW w:w="395" w:type="pct"/>
            <w:vAlign w:val="center"/>
          </w:tcPr>
          <w:p>
            <w:pPr>
              <w:pStyle w:val="47"/>
              <w:bidi w:val="0"/>
            </w:pPr>
            <w:r>
              <w:t>10.37</w:t>
            </w:r>
          </w:p>
        </w:tc>
        <w:tc>
          <w:tcPr>
            <w:tcW w:w="382" w:type="pct"/>
            <w:vAlign w:val="center"/>
          </w:tcPr>
          <w:p>
            <w:pPr>
              <w:pStyle w:val="47"/>
              <w:bidi w:val="0"/>
            </w:pPr>
            <w:r>
              <w:t>70.99</w:t>
            </w:r>
          </w:p>
        </w:tc>
        <w:tc>
          <w:tcPr>
            <w:tcW w:w="382" w:type="pct"/>
            <w:vAlign w:val="center"/>
          </w:tcPr>
          <w:p>
            <w:pPr>
              <w:pStyle w:val="47"/>
              <w:bidi w:val="0"/>
            </w:pPr>
            <w:r>
              <w:t>3.07</w:t>
            </w:r>
          </w:p>
        </w:tc>
        <w:tc>
          <w:tcPr>
            <w:tcW w:w="395" w:type="pct"/>
            <w:vAlign w:val="center"/>
          </w:tcPr>
          <w:p>
            <w:pPr>
              <w:pStyle w:val="47"/>
              <w:bidi w:val="0"/>
            </w:pPr>
            <w:r>
              <w:t>4.60</w:t>
            </w:r>
          </w:p>
        </w:tc>
        <w:tc>
          <w:tcPr>
            <w:tcW w:w="382" w:type="pct"/>
            <w:vAlign w:val="center"/>
          </w:tcPr>
          <w:p>
            <w:pPr>
              <w:pStyle w:val="47"/>
              <w:bidi w:val="0"/>
            </w:pPr>
            <w:r>
              <w:t>29.01</w:t>
            </w:r>
          </w:p>
        </w:tc>
        <w:tc>
          <w:tcPr>
            <w:tcW w:w="382" w:type="pct"/>
            <w:vAlign w:val="center"/>
          </w:tcPr>
          <w:p>
            <w:pPr>
              <w:pStyle w:val="47"/>
              <w:bidi w:val="0"/>
            </w:pPr>
            <w:r>
              <w:t>0.00</w:t>
            </w:r>
          </w:p>
        </w:tc>
        <w:tc>
          <w:tcPr>
            <w:tcW w:w="395" w:type="pct"/>
            <w:vAlign w:val="center"/>
          </w:tcPr>
          <w:p>
            <w:pPr>
              <w:pStyle w:val="47"/>
              <w:bidi w:val="0"/>
            </w:pPr>
            <w:r>
              <w:t>0.00</w:t>
            </w:r>
          </w:p>
        </w:tc>
        <w:tc>
          <w:tcPr>
            <w:tcW w:w="382" w:type="pct"/>
            <w:vAlign w:val="center"/>
          </w:tcPr>
          <w:p>
            <w:pPr>
              <w:pStyle w:val="47"/>
              <w:bidi w:val="0"/>
            </w:pPr>
            <w:r>
              <w:t>0.00</w:t>
            </w:r>
          </w:p>
        </w:tc>
        <w:tc>
          <w:tcPr>
            <w:tcW w:w="395" w:type="pct"/>
            <w:vAlign w:val="center"/>
          </w:tcPr>
          <w:p>
            <w:pPr>
              <w:pStyle w:val="47"/>
              <w:bidi w:val="0"/>
            </w:pPr>
            <w:r>
              <w:t>10.57</w:t>
            </w:r>
          </w:p>
        </w:tc>
        <w:tc>
          <w:tcPr>
            <w:tcW w:w="395" w:type="pct"/>
            <w:vAlign w:val="center"/>
          </w:tcPr>
          <w:p>
            <w:pPr>
              <w:pStyle w:val="47"/>
              <w:bidi w:val="0"/>
            </w:pPr>
            <w:r>
              <w:t>100.00</w:t>
            </w:r>
          </w:p>
        </w:tc>
        <w:tc>
          <w:tcPr>
            <w:tcW w:w="395" w:type="pct"/>
            <w:vAlign w:val="center"/>
          </w:tcPr>
          <w:p>
            <w:pPr>
              <w:pStyle w:val="47"/>
              <w:bidi w:val="0"/>
            </w:pPr>
            <w:r>
              <w:t>10.57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333" w:type="pct"/>
            <w:vAlign w:val="center"/>
          </w:tcPr>
          <w:p>
            <w:pPr>
              <w:pStyle w:val="47"/>
              <w:bidi w:val="0"/>
            </w:pPr>
            <w:r>
              <w:t>王武庄乡</w:t>
            </w:r>
          </w:p>
        </w:tc>
        <w:tc>
          <w:tcPr>
            <w:tcW w:w="382" w:type="pct"/>
            <w:vAlign w:val="center"/>
          </w:tcPr>
          <w:p>
            <w:pPr>
              <w:pStyle w:val="47"/>
              <w:bidi w:val="0"/>
            </w:pPr>
            <w:r>
              <w:t>8.79</w:t>
            </w:r>
          </w:p>
        </w:tc>
        <w:tc>
          <w:tcPr>
            <w:tcW w:w="395" w:type="pct"/>
            <w:vAlign w:val="center"/>
          </w:tcPr>
          <w:p>
            <w:pPr>
              <w:pStyle w:val="47"/>
              <w:bidi w:val="0"/>
            </w:pPr>
            <w:r>
              <w:t>12.16</w:t>
            </w:r>
          </w:p>
        </w:tc>
        <w:tc>
          <w:tcPr>
            <w:tcW w:w="382" w:type="pct"/>
            <w:vAlign w:val="center"/>
          </w:tcPr>
          <w:p>
            <w:pPr>
              <w:pStyle w:val="47"/>
              <w:bidi w:val="0"/>
            </w:pPr>
            <w:r>
              <w:t>84.45</w:t>
            </w:r>
          </w:p>
        </w:tc>
        <w:tc>
          <w:tcPr>
            <w:tcW w:w="382" w:type="pct"/>
            <w:vAlign w:val="center"/>
          </w:tcPr>
          <w:p>
            <w:pPr>
              <w:pStyle w:val="47"/>
              <w:bidi w:val="0"/>
            </w:pPr>
            <w:r>
              <w:t>1.62</w:t>
            </w:r>
          </w:p>
        </w:tc>
        <w:tc>
          <w:tcPr>
            <w:tcW w:w="395" w:type="pct"/>
            <w:vAlign w:val="center"/>
          </w:tcPr>
          <w:p>
            <w:pPr>
              <w:pStyle w:val="47"/>
              <w:bidi w:val="0"/>
            </w:pPr>
            <w:r>
              <w:t>2.43</w:t>
            </w:r>
          </w:p>
        </w:tc>
        <w:tc>
          <w:tcPr>
            <w:tcW w:w="382" w:type="pct"/>
            <w:vAlign w:val="center"/>
          </w:tcPr>
          <w:p>
            <w:pPr>
              <w:pStyle w:val="47"/>
              <w:bidi w:val="0"/>
            </w:pPr>
            <w:r>
              <w:t>15.55</w:t>
            </w:r>
          </w:p>
        </w:tc>
        <w:tc>
          <w:tcPr>
            <w:tcW w:w="382" w:type="pct"/>
            <w:vAlign w:val="center"/>
          </w:tcPr>
          <w:p>
            <w:pPr>
              <w:pStyle w:val="47"/>
              <w:bidi w:val="0"/>
            </w:pPr>
            <w:r>
              <w:t>0.00</w:t>
            </w:r>
          </w:p>
        </w:tc>
        <w:tc>
          <w:tcPr>
            <w:tcW w:w="395" w:type="pct"/>
            <w:vAlign w:val="center"/>
          </w:tcPr>
          <w:p>
            <w:pPr>
              <w:pStyle w:val="47"/>
              <w:bidi w:val="0"/>
            </w:pPr>
            <w:r>
              <w:t>0.00</w:t>
            </w:r>
          </w:p>
        </w:tc>
        <w:tc>
          <w:tcPr>
            <w:tcW w:w="382" w:type="pct"/>
            <w:vAlign w:val="center"/>
          </w:tcPr>
          <w:p>
            <w:pPr>
              <w:pStyle w:val="47"/>
              <w:bidi w:val="0"/>
            </w:pPr>
            <w:r>
              <w:t>0.00</w:t>
            </w:r>
          </w:p>
        </w:tc>
        <w:tc>
          <w:tcPr>
            <w:tcW w:w="395" w:type="pct"/>
            <w:vAlign w:val="center"/>
          </w:tcPr>
          <w:p>
            <w:pPr>
              <w:pStyle w:val="47"/>
              <w:bidi w:val="0"/>
            </w:pPr>
            <w:r>
              <w:t>10.41</w:t>
            </w:r>
          </w:p>
        </w:tc>
        <w:tc>
          <w:tcPr>
            <w:tcW w:w="395" w:type="pct"/>
            <w:vAlign w:val="center"/>
          </w:tcPr>
          <w:p>
            <w:pPr>
              <w:pStyle w:val="47"/>
              <w:bidi w:val="0"/>
            </w:pPr>
            <w:r>
              <w:t>100.00</w:t>
            </w:r>
          </w:p>
        </w:tc>
        <w:tc>
          <w:tcPr>
            <w:tcW w:w="395" w:type="pct"/>
            <w:vAlign w:val="center"/>
          </w:tcPr>
          <w:p>
            <w:pPr>
              <w:pStyle w:val="47"/>
              <w:bidi w:val="0"/>
            </w:pPr>
            <w:r>
              <w:t>10.41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33" w:type="pct"/>
            <w:vAlign w:val="center"/>
          </w:tcPr>
          <w:p>
            <w:pPr>
              <w:pStyle w:val="47"/>
              <w:bidi w:val="0"/>
            </w:pPr>
            <w:r>
              <w:t>营子乡</w:t>
            </w:r>
          </w:p>
        </w:tc>
        <w:tc>
          <w:tcPr>
            <w:tcW w:w="382" w:type="pct"/>
            <w:vAlign w:val="center"/>
          </w:tcPr>
          <w:p>
            <w:pPr>
              <w:pStyle w:val="47"/>
              <w:bidi w:val="0"/>
            </w:pPr>
            <w:r>
              <w:t>10.65</w:t>
            </w:r>
          </w:p>
        </w:tc>
        <w:tc>
          <w:tcPr>
            <w:tcW w:w="395" w:type="pct"/>
            <w:vAlign w:val="center"/>
          </w:tcPr>
          <w:p>
            <w:pPr>
              <w:pStyle w:val="47"/>
              <w:bidi w:val="0"/>
            </w:pPr>
            <w:r>
              <w:t>14.73</w:t>
            </w:r>
          </w:p>
        </w:tc>
        <w:tc>
          <w:tcPr>
            <w:tcW w:w="382" w:type="pct"/>
            <w:vAlign w:val="center"/>
          </w:tcPr>
          <w:p>
            <w:pPr>
              <w:pStyle w:val="47"/>
              <w:bidi w:val="0"/>
            </w:pPr>
            <w:r>
              <w:t>75.41</w:t>
            </w:r>
          </w:p>
        </w:tc>
        <w:tc>
          <w:tcPr>
            <w:tcW w:w="382" w:type="pct"/>
            <w:vAlign w:val="center"/>
          </w:tcPr>
          <w:p>
            <w:pPr>
              <w:pStyle w:val="47"/>
              <w:bidi w:val="0"/>
            </w:pPr>
            <w:r>
              <w:t>3.47</w:t>
            </w:r>
          </w:p>
        </w:tc>
        <w:tc>
          <w:tcPr>
            <w:tcW w:w="395" w:type="pct"/>
            <w:vAlign w:val="center"/>
          </w:tcPr>
          <w:p>
            <w:pPr>
              <w:pStyle w:val="47"/>
              <w:bidi w:val="0"/>
            </w:pPr>
            <w:r>
              <w:t>5.21</w:t>
            </w:r>
          </w:p>
        </w:tc>
        <w:tc>
          <w:tcPr>
            <w:tcW w:w="382" w:type="pct"/>
            <w:vAlign w:val="center"/>
          </w:tcPr>
          <w:p>
            <w:pPr>
              <w:pStyle w:val="47"/>
              <w:bidi w:val="0"/>
            </w:pPr>
            <w:r>
              <w:t>24.59</w:t>
            </w:r>
          </w:p>
        </w:tc>
        <w:tc>
          <w:tcPr>
            <w:tcW w:w="382" w:type="pct"/>
            <w:vAlign w:val="center"/>
          </w:tcPr>
          <w:p>
            <w:pPr>
              <w:pStyle w:val="47"/>
              <w:bidi w:val="0"/>
            </w:pPr>
            <w:r>
              <w:t>0.00</w:t>
            </w:r>
          </w:p>
        </w:tc>
        <w:tc>
          <w:tcPr>
            <w:tcW w:w="395" w:type="pct"/>
            <w:vAlign w:val="center"/>
          </w:tcPr>
          <w:p>
            <w:pPr>
              <w:pStyle w:val="47"/>
              <w:bidi w:val="0"/>
            </w:pPr>
            <w:r>
              <w:t>0.01</w:t>
            </w:r>
          </w:p>
        </w:tc>
        <w:tc>
          <w:tcPr>
            <w:tcW w:w="382" w:type="pct"/>
            <w:vAlign w:val="center"/>
          </w:tcPr>
          <w:p>
            <w:pPr>
              <w:pStyle w:val="47"/>
              <w:bidi w:val="0"/>
            </w:pPr>
            <w:r>
              <w:t>0.00</w:t>
            </w:r>
          </w:p>
        </w:tc>
        <w:tc>
          <w:tcPr>
            <w:tcW w:w="395" w:type="pct"/>
            <w:vAlign w:val="center"/>
          </w:tcPr>
          <w:p>
            <w:pPr>
              <w:pStyle w:val="47"/>
              <w:bidi w:val="0"/>
            </w:pPr>
            <w:r>
              <w:t>14.12</w:t>
            </w:r>
          </w:p>
        </w:tc>
        <w:tc>
          <w:tcPr>
            <w:tcW w:w="395" w:type="pct"/>
            <w:vAlign w:val="center"/>
          </w:tcPr>
          <w:p>
            <w:pPr>
              <w:pStyle w:val="47"/>
              <w:bidi w:val="0"/>
            </w:pPr>
            <w:r>
              <w:t>100.00</w:t>
            </w:r>
          </w:p>
        </w:tc>
        <w:tc>
          <w:tcPr>
            <w:tcW w:w="395" w:type="pct"/>
            <w:vAlign w:val="center"/>
          </w:tcPr>
          <w:p>
            <w:pPr>
              <w:pStyle w:val="47"/>
              <w:bidi w:val="0"/>
            </w:pPr>
            <w:r>
              <w:t>14.12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333" w:type="pct"/>
            <w:vAlign w:val="center"/>
          </w:tcPr>
          <w:p>
            <w:pPr>
              <w:pStyle w:val="47"/>
              <w:bidi w:val="0"/>
            </w:pPr>
            <w:r>
              <w:t>西辛店乡</w:t>
            </w:r>
          </w:p>
        </w:tc>
        <w:tc>
          <w:tcPr>
            <w:tcW w:w="382" w:type="pct"/>
            <w:vAlign w:val="center"/>
          </w:tcPr>
          <w:p>
            <w:pPr>
              <w:pStyle w:val="47"/>
              <w:bidi w:val="0"/>
            </w:pPr>
            <w:r>
              <w:t>4.22</w:t>
            </w:r>
          </w:p>
        </w:tc>
        <w:tc>
          <w:tcPr>
            <w:tcW w:w="395" w:type="pct"/>
            <w:vAlign w:val="center"/>
          </w:tcPr>
          <w:p>
            <w:pPr>
              <w:pStyle w:val="47"/>
              <w:bidi w:val="0"/>
            </w:pPr>
            <w:r>
              <w:t>5.84</w:t>
            </w:r>
          </w:p>
        </w:tc>
        <w:tc>
          <w:tcPr>
            <w:tcW w:w="382" w:type="pct"/>
            <w:vAlign w:val="center"/>
          </w:tcPr>
          <w:p>
            <w:pPr>
              <w:pStyle w:val="47"/>
              <w:bidi w:val="0"/>
            </w:pPr>
            <w:r>
              <w:t>29.22</w:t>
            </w:r>
          </w:p>
        </w:tc>
        <w:tc>
          <w:tcPr>
            <w:tcW w:w="382" w:type="pct"/>
            <w:vAlign w:val="center"/>
          </w:tcPr>
          <w:p>
            <w:pPr>
              <w:pStyle w:val="47"/>
              <w:bidi w:val="0"/>
            </w:pPr>
            <w:r>
              <w:t>9.50</w:t>
            </w:r>
          </w:p>
        </w:tc>
        <w:tc>
          <w:tcPr>
            <w:tcW w:w="395" w:type="pct"/>
            <w:vAlign w:val="center"/>
          </w:tcPr>
          <w:p>
            <w:pPr>
              <w:pStyle w:val="47"/>
              <w:bidi w:val="0"/>
            </w:pPr>
            <w:r>
              <w:t>14.25</w:t>
            </w:r>
          </w:p>
        </w:tc>
        <w:tc>
          <w:tcPr>
            <w:tcW w:w="382" w:type="pct"/>
            <w:vAlign w:val="center"/>
          </w:tcPr>
          <w:p>
            <w:pPr>
              <w:pStyle w:val="47"/>
              <w:bidi w:val="0"/>
            </w:pPr>
            <w:r>
              <w:t>65.74</w:t>
            </w:r>
          </w:p>
        </w:tc>
        <w:tc>
          <w:tcPr>
            <w:tcW w:w="382" w:type="pct"/>
            <w:vAlign w:val="center"/>
          </w:tcPr>
          <w:p>
            <w:pPr>
              <w:pStyle w:val="47"/>
              <w:bidi w:val="0"/>
            </w:pPr>
            <w:r>
              <w:t>0.73</w:t>
            </w:r>
          </w:p>
        </w:tc>
        <w:tc>
          <w:tcPr>
            <w:tcW w:w="395" w:type="pct"/>
            <w:vAlign w:val="center"/>
          </w:tcPr>
          <w:p>
            <w:pPr>
              <w:pStyle w:val="47"/>
              <w:bidi w:val="0"/>
            </w:pPr>
            <w:r>
              <w:t>5.89</w:t>
            </w:r>
          </w:p>
        </w:tc>
        <w:tc>
          <w:tcPr>
            <w:tcW w:w="382" w:type="pct"/>
            <w:vAlign w:val="center"/>
          </w:tcPr>
          <w:p>
            <w:pPr>
              <w:pStyle w:val="47"/>
              <w:bidi w:val="0"/>
            </w:pPr>
            <w:r>
              <w:t>5.04</w:t>
            </w:r>
          </w:p>
        </w:tc>
        <w:tc>
          <w:tcPr>
            <w:tcW w:w="395" w:type="pct"/>
            <w:vAlign w:val="center"/>
          </w:tcPr>
          <w:p>
            <w:pPr>
              <w:pStyle w:val="47"/>
              <w:bidi w:val="0"/>
            </w:pPr>
            <w:r>
              <w:t>13.72</w:t>
            </w:r>
          </w:p>
        </w:tc>
        <w:tc>
          <w:tcPr>
            <w:tcW w:w="395" w:type="pct"/>
            <w:vAlign w:val="center"/>
          </w:tcPr>
          <w:p>
            <w:pPr>
              <w:pStyle w:val="47"/>
              <w:bidi w:val="0"/>
            </w:pPr>
            <w:r>
              <w:t>94.96</w:t>
            </w:r>
          </w:p>
        </w:tc>
        <w:tc>
          <w:tcPr>
            <w:tcW w:w="395" w:type="pct"/>
            <w:vAlign w:val="center"/>
          </w:tcPr>
          <w:p>
            <w:pPr>
              <w:pStyle w:val="47"/>
              <w:bidi w:val="0"/>
            </w:pPr>
            <w:r>
              <w:t>14.45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33" w:type="pct"/>
            <w:vAlign w:val="center"/>
          </w:tcPr>
          <w:p>
            <w:pPr>
              <w:pStyle w:val="47"/>
              <w:bidi w:val="0"/>
            </w:pPr>
            <w:r>
              <w:t>郝村镇</w:t>
            </w:r>
          </w:p>
        </w:tc>
        <w:tc>
          <w:tcPr>
            <w:tcW w:w="382" w:type="pct"/>
            <w:vAlign w:val="center"/>
          </w:tcPr>
          <w:p>
            <w:pPr>
              <w:pStyle w:val="47"/>
              <w:bidi w:val="0"/>
            </w:pPr>
            <w:r>
              <w:t>0.41</w:t>
            </w:r>
          </w:p>
        </w:tc>
        <w:tc>
          <w:tcPr>
            <w:tcW w:w="395" w:type="pct"/>
            <w:vAlign w:val="center"/>
          </w:tcPr>
          <w:p>
            <w:pPr>
              <w:pStyle w:val="47"/>
              <w:bidi w:val="0"/>
            </w:pPr>
            <w:r>
              <w:t>0.56</w:t>
            </w:r>
          </w:p>
        </w:tc>
        <w:tc>
          <w:tcPr>
            <w:tcW w:w="382" w:type="pct"/>
            <w:vAlign w:val="center"/>
          </w:tcPr>
          <w:p>
            <w:pPr>
              <w:pStyle w:val="47"/>
              <w:bidi w:val="0"/>
            </w:pPr>
            <w:r>
              <w:t>2.93</w:t>
            </w:r>
          </w:p>
        </w:tc>
        <w:tc>
          <w:tcPr>
            <w:tcW w:w="382" w:type="pct"/>
            <w:vAlign w:val="center"/>
          </w:tcPr>
          <w:p>
            <w:pPr>
              <w:pStyle w:val="47"/>
              <w:bidi w:val="0"/>
            </w:pPr>
            <w:r>
              <w:t>9.79</w:t>
            </w:r>
          </w:p>
        </w:tc>
        <w:tc>
          <w:tcPr>
            <w:tcW w:w="395" w:type="pct"/>
            <w:vAlign w:val="center"/>
          </w:tcPr>
          <w:p>
            <w:pPr>
              <w:pStyle w:val="47"/>
              <w:bidi w:val="0"/>
            </w:pPr>
            <w:r>
              <w:t>14.69</w:t>
            </w:r>
          </w:p>
        </w:tc>
        <w:tc>
          <w:tcPr>
            <w:tcW w:w="382" w:type="pct"/>
            <w:vAlign w:val="center"/>
          </w:tcPr>
          <w:p>
            <w:pPr>
              <w:pStyle w:val="47"/>
              <w:bidi w:val="0"/>
            </w:pPr>
            <w:r>
              <w:t>70.36</w:t>
            </w:r>
          </w:p>
        </w:tc>
        <w:tc>
          <w:tcPr>
            <w:tcW w:w="382" w:type="pct"/>
            <w:vAlign w:val="center"/>
          </w:tcPr>
          <w:p>
            <w:pPr>
              <w:pStyle w:val="47"/>
              <w:bidi w:val="0"/>
            </w:pPr>
            <w:r>
              <w:t>3.72</w:t>
            </w:r>
          </w:p>
        </w:tc>
        <w:tc>
          <w:tcPr>
            <w:tcW w:w="395" w:type="pct"/>
            <w:vAlign w:val="center"/>
          </w:tcPr>
          <w:p>
            <w:pPr>
              <w:pStyle w:val="47"/>
              <w:bidi w:val="0"/>
            </w:pPr>
            <w:r>
              <w:t>30.03</w:t>
            </w:r>
          </w:p>
        </w:tc>
        <w:tc>
          <w:tcPr>
            <w:tcW w:w="382" w:type="pct"/>
            <w:vAlign w:val="center"/>
          </w:tcPr>
          <w:p>
            <w:pPr>
              <w:pStyle w:val="47"/>
              <w:bidi w:val="0"/>
            </w:pPr>
            <w:r>
              <w:t>26.71</w:t>
            </w:r>
          </w:p>
        </w:tc>
        <w:tc>
          <w:tcPr>
            <w:tcW w:w="395" w:type="pct"/>
            <w:vAlign w:val="center"/>
          </w:tcPr>
          <w:p>
            <w:pPr>
              <w:pStyle w:val="47"/>
              <w:bidi w:val="0"/>
            </w:pPr>
            <w:r>
              <w:t>10.20</w:t>
            </w:r>
          </w:p>
        </w:tc>
        <w:tc>
          <w:tcPr>
            <w:tcW w:w="395" w:type="pct"/>
            <w:vAlign w:val="center"/>
          </w:tcPr>
          <w:p>
            <w:pPr>
              <w:pStyle w:val="47"/>
              <w:bidi w:val="0"/>
            </w:pPr>
            <w:r>
              <w:t>73.29</w:t>
            </w:r>
          </w:p>
        </w:tc>
        <w:tc>
          <w:tcPr>
            <w:tcW w:w="395" w:type="pct"/>
            <w:vAlign w:val="center"/>
          </w:tcPr>
          <w:p>
            <w:pPr>
              <w:pStyle w:val="47"/>
              <w:bidi w:val="0"/>
            </w:pPr>
            <w:r>
              <w:t>13.91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33" w:type="pct"/>
            <w:vAlign w:val="center"/>
          </w:tcPr>
          <w:p>
            <w:pPr>
              <w:pStyle w:val="47"/>
              <w:bidi w:val="0"/>
            </w:pPr>
            <w:r>
              <w:t>齐桥镇</w:t>
            </w:r>
          </w:p>
        </w:tc>
        <w:tc>
          <w:tcPr>
            <w:tcW w:w="382" w:type="pct"/>
            <w:vAlign w:val="center"/>
          </w:tcPr>
          <w:p>
            <w:pPr>
              <w:pStyle w:val="47"/>
              <w:bidi w:val="0"/>
            </w:pPr>
            <w:r>
              <w:t>10.23</w:t>
            </w:r>
          </w:p>
        </w:tc>
        <w:tc>
          <w:tcPr>
            <w:tcW w:w="395" w:type="pct"/>
            <w:vAlign w:val="center"/>
          </w:tcPr>
          <w:p>
            <w:pPr>
              <w:pStyle w:val="47"/>
              <w:bidi w:val="0"/>
            </w:pPr>
            <w:r>
              <w:t>14.15</w:t>
            </w:r>
          </w:p>
        </w:tc>
        <w:tc>
          <w:tcPr>
            <w:tcW w:w="382" w:type="pct"/>
            <w:vAlign w:val="center"/>
          </w:tcPr>
          <w:p>
            <w:pPr>
              <w:pStyle w:val="47"/>
              <w:bidi w:val="0"/>
            </w:pPr>
            <w:r>
              <w:t>65.65</w:t>
            </w:r>
          </w:p>
        </w:tc>
        <w:tc>
          <w:tcPr>
            <w:tcW w:w="382" w:type="pct"/>
            <w:vAlign w:val="center"/>
          </w:tcPr>
          <w:p>
            <w:pPr>
              <w:pStyle w:val="47"/>
              <w:bidi w:val="0"/>
            </w:pPr>
            <w:r>
              <w:t>5.35</w:t>
            </w:r>
          </w:p>
        </w:tc>
        <w:tc>
          <w:tcPr>
            <w:tcW w:w="395" w:type="pct"/>
            <w:vAlign w:val="center"/>
          </w:tcPr>
          <w:p>
            <w:pPr>
              <w:pStyle w:val="47"/>
              <w:bidi w:val="0"/>
            </w:pPr>
            <w:r>
              <w:t>8.03</w:t>
            </w:r>
          </w:p>
        </w:tc>
        <w:tc>
          <w:tcPr>
            <w:tcW w:w="382" w:type="pct"/>
            <w:vAlign w:val="center"/>
          </w:tcPr>
          <w:p>
            <w:pPr>
              <w:pStyle w:val="47"/>
              <w:bidi w:val="0"/>
            </w:pPr>
            <w:r>
              <w:t>34.35</w:t>
            </w:r>
          </w:p>
        </w:tc>
        <w:tc>
          <w:tcPr>
            <w:tcW w:w="382" w:type="pct"/>
            <w:vAlign w:val="center"/>
          </w:tcPr>
          <w:p>
            <w:pPr>
              <w:pStyle w:val="47"/>
              <w:bidi w:val="0"/>
            </w:pPr>
            <w:r>
              <w:t>0.00</w:t>
            </w:r>
          </w:p>
        </w:tc>
        <w:tc>
          <w:tcPr>
            <w:tcW w:w="395" w:type="pct"/>
            <w:vAlign w:val="center"/>
          </w:tcPr>
          <w:p>
            <w:pPr>
              <w:pStyle w:val="47"/>
              <w:bidi w:val="0"/>
            </w:pPr>
            <w:r>
              <w:t>0.00</w:t>
            </w:r>
          </w:p>
        </w:tc>
        <w:tc>
          <w:tcPr>
            <w:tcW w:w="382" w:type="pct"/>
            <w:vAlign w:val="center"/>
          </w:tcPr>
          <w:p>
            <w:pPr>
              <w:pStyle w:val="47"/>
              <w:bidi w:val="0"/>
            </w:pPr>
            <w:r>
              <w:t>0.00</w:t>
            </w:r>
          </w:p>
        </w:tc>
        <w:tc>
          <w:tcPr>
            <w:tcW w:w="395" w:type="pct"/>
            <w:vAlign w:val="center"/>
          </w:tcPr>
          <w:p>
            <w:pPr>
              <w:pStyle w:val="47"/>
              <w:bidi w:val="0"/>
            </w:pPr>
            <w:r>
              <w:t>15.59</w:t>
            </w:r>
          </w:p>
        </w:tc>
        <w:tc>
          <w:tcPr>
            <w:tcW w:w="395" w:type="pct"/>
            <w:vAlign w:val="center"/>
          </w:tcPr>
          <w:p>
            <w:pPr>
              <w:pStyle w:val="47"/>
              <w:bidi w:val="0"/>
            </w:pPr>
            <w:r>
              <w:t>100.00</w:t>
            </w:r>
          </w:p>
        </w:tc>
        <w:tc>
          <w:tcPr>
            <w:tcW w:w="395" w:type="pct"/>
            <w:vAlign w:val="center"/>
          </w:tcPr>
          <w:p>
            <w:pPr>
              <w:pStyle w:val="47"/>
              <w:bidi w:val="0"/>
            </w:pPr>
            <w:r>
              <w:t>15.59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33" w:type="pct"/>
            <w:vAlign w:val="center"/>
          </w:tcPr>
          <w:p>
            <w:pPr>
              <w:pStyle w:val="47"/>
              <w:bidi w:val="0"/>
            </w:pPr>
            <w:r>
              <w:t>合计</w:t>
            </w:r>
          </w:p>
        </w:tc>
        <w:tc>
          <w:tcPr>
            <w:tcW w:w="382" w:type="pct"/>
            <w:vAlign w:val="center"/>
          </w:tcPr>
          <w:p>
            <w:pPr>
              <w:pStyle w:val="47"/>
              <w:bidi w:val="0"/>
            </w:pPr>
            <w:r>
              <w:t>72.31</w:t>
            </w:r>
          </w:p>
        </w:tc>
        <w:tc>
          <w:tcPr>
            <w:tcW w:w="395" w:type="pct"/>
            <w:vAlign w:val="center"/>
          </w:tcPr>
          <w:p>
            <w:pPr>
              <w:pStyle w:val="47"/>
              <w:bidi w:val="0"/>
            </w:pPr>
            <w:r>
              <w:t>100.00</w:t>
            </w:r>
          </w:p>
        </w:tc>
        <w:tc>
          <w:tcPr>
            <w:tcW w:w="382" w:type="pct"/>
            <w:vAlign w:val="center"/>
          </w:tcPr>
          <w:p>
            <w:pPr>
              <w:pStyle w:val="47"/>
              <w:bidi w:val="0"/>
            </w:pPr>
            <w:r>
              <w:t>47.78</w:t>
            </w:r>
          </w:p>
        </w:tc>
        <w:tc>
          <w:tcPr>
            <w:tcW w:w="382" w:type="pct"/>
            <w:vAlign w:val="center"/>
          </w:tcPr>
          <w:p>
            <w:pPr>
              <w:pStyle w:val="47"/>
              <w:bidi w:val="0"/>
            </w:pPr>
            <w:r>
              <w:t>66.65</w:t>
            </w:r>
          </w:p>
        </w:tc>
        <w:tc>
          <w:tcPr>
            <w:tcW w:w="395" w:type="pct"/>
            <w:vAlign w:val="center"/>
          </w:tcPr>
          <w:p>
            <w:pPr>
              <w:pStyle w:val="47"/>
              <w:bidi w:val="0"/>
            </w:pPr>
            <w:r>
              <w:t>100.00</w:t>
            </w:r>
          </w:p>
        </w:tc>
        <w:tc>
          <w:tcPr>
            <w:tcW w:w="382" w:type="pct"/>
            <w:vAlign w:val="center"/>
          </w:tcPr>
          <w:p>
            <w:pPr>
              <w:pStyle w:val="47"/>
              <w:bidi w:val="0"/>
            </w:pPr>
            <w:r>
              <w:t>44.04</w:t>
            </w:r>
          </w:p>
        </w:tc>
        <w:tc>
          <w:tcPr>
            <w:tcW w:w="382" w:type="pct"/>
            <w:vAlign w:val="center"/>
          </w:tcPr>
          <w:p>
            <w:pPr>
              <w:pStyle w:val="47"/>
              <w:bidi w:val="0"/>
            </w:pPr>
            <w:r>
              <w:t>12.37</w:t>
            </w:r>
          </w:p>
        </w:tc>
        <w:tc>
          <w:tcPr>
            <w:tcW w:w="395" w:type="pct"/>
            <w:vAlign w:val="center"/>
          </w:tcPr>
          <w:p>
            <w:pPr>
              <w:pStyle w:val="47"/>
              <w:bidi w:val="0"/>
            </w:pPr>
            <w:r>
              <w:t>100.00</w:t>
            </w:r>
          </w:p>
        </w:tc>
        <w:tc>
          <w:tcPr>
            <w:tcW w:w="382" w:type="pct"/>
            <w:vAlign w:val="center"/>
          </w:tcPr>
          <w:p>
            <w:pPr>
              <w:pStyle w:val="47"/>
              <w:bidi w:val="0"/>
            </w:pPr>
            <w:r>
              <w:t>8.18</w:t>
            </w:r>
          </w:p>
        </w:tc>
        <w:tc>
          <w:tcPr>
            <w:tcW w:w="395" w:type="pct"/>
            <w:vAlign w:val="center"/>
          </w:tcPr>
          <w:p>
            <w:pPr>
              <w:pStyle w:val="47"/>
              <w:bidi w:val="0"/>
            </w:pPr>
            <w:r>
              <w:t>138.96</w:t>
            </w:r>
          </w:p>
        </w:tc>
        <w:tc>
          <w:tcPr>
            <w:tcW w:w="395" w:type="pct"/>
            <w:vAlign w:val="center"/>
          </w:tcPr>
          <w:p>
            <w:pPr>
              <w:pStyle w:val="47"/>
              <w:bidi w:val="0"/>
            </w:pPr>
            <w:r>
              <w:t>91.82</w:t>
            </w:r>
          </w:p>
        </w:tc>
        <w:tc>
          <w:tcPr>
            <w:tcW w:w="395" w:type="pct"/>
            <w:vAlign w:val="center"/>
          </w:tcPr>
          <w:p>
            <w:pPr>
              <w:pStyle w:val="47"/>
              <w:bidi w:val="0"/>
            </w:pPr>
            <w:r>
              <w:t>151.34</w:t>
            </w:r>
          </w:p>
        </w:tc>
      </w:tr>
    </w:tbl>
    <w:p>
      <w:pPr>
        <w:spacing w:before="80" w:line="360" w:lineRule="auto"/>
        <w:ind w:firstLine="320"/>
        <w:rPr>
          <w:lang w:eastAsia="zh-CN"/>
        </w:rPr>
      </w:pPr>
      <w:r>
        <w:rPr>
          <w:sz w:val="16"/>
          <w:lang w:eastAsia="zh-CN"/>
        </w:rPr>
        <w:t>注：面积统一由原表“亩”字段换算为万亩（1万亩=10000亩）；百分比数据保持原表口径。</w:t>
      </w:r>
    </w:p>
    <w:p>
      <w:pPr>
        <w:kinsoku/>
        <w:spacing w:line="360" w:lineRule="auto"/>
        <w:ind w:firstLine="0" w:firstLineChars="0"/>
        <w:rPr>
          <w:rFonts w:cs="Times New Roman"/>
          <w:lang w:eastAsia="zh-CN"/>
        </w:rPr>
        <w:sectPr>
          <w:pgSz w:w="16838" w:h="11906" w:orient="landscape"/>
          <w:pgMar w:top="1800" w:right="1440" w:bottom="1800" w:left="1440" w:header="851" w:footer="992" w:gutter="0"/>
          <w:pgNumType w:fmt="decimal"/>
          <w:cols w:space="425" w:num="1"/>
          <w:docGrid w:type="lines" w:linePitch="326" w:charSpace="0"/>
        </w:sectPr>
      </w:pPr>
    </w:p>
    <w:p>
      <w:pPr>
        <w:pStyle w:val="155"/>
        <w:ind w:left="240" w:right="240"/>
        <w:rPr>
          <w:color w:val="EE0000"/>
          <w:lang w:eastAsia="zh-CN"/>
        </w:rPr>
      </w:pPr>
      <w:bookmarkStart w:id="52" w:name="_Toc228107799"/>
      <w:bookmarkStart w:id="53" w:name="_Toc228113537"/>
    </w:p>
    <w:bookmarkEnd w:id="52"/>
    <w:bookmarkEnd w:id="53"/>
    <w:p>
      <w:pPr>
        <w:keepNext/>
        <w:keepLines/>
        <w:kinsoku/>
        <w:spacing w:before="156" w:beforeLines="50" w:after="156" w:afterLines="50" w:line="360" w:lineRule="auto"/>
        <w:ind w:firstLine="0" w:firstLineChars="0"/>
        <w:outlineLvl w:val="2"/>
        <w:rPr>
          <w:rFonts w:eastAsia="黑体" w:cs="Times New Roman"/>
          <w:lang w:eastAsia="zh-CN"/>
        </w:rPr>
      </w:pPr>
      <w:bookmarkStart w:id="54" w:name="_Toc241153626"/>
      <w:r>
        <w:rPr>
          <w:rFonts w:eastAsia="黑体" w:cs="Times New Roman"/>
          <w:lang w:eastAsia="zh-CN"/>
        </w:rPr>
        <w:t xml:space="preserve">2. </w:t>
      </w:r>
      <w:bookmarkStart w:id="55" w:name="_Toc207303718"/>
      <w:r>
        <w:rPr>
          <w:rFonts w:eastAsia="黑体" w:cs="Times New Roman"/>
          <w:lang w:eastAsia="zh-CN"/>
        </w:rPr>
        <w:t>评价结果验证</w:t>
      </w:r>
      <w:bookmarkEnd w:id="54"/>
      <w:bookmarkEnd w:id="55"/>
      <w:r>
        <w:commentReference w:id="19"/>
      </w:r>
    </w:p>
    <w:p>
      <w:pPr>
        <w:kinsoku/>
        <w:spacing w:line="360" w:lineRule="auto"/>
        <w:ind w:firstLine="480"/>
        <w:jc w:val="both"/>
        <w:rPr>
          <w:rFonts w:cs="Times New Roman"/>
          <w:lang w:eastAsia="zh-CN"/>
        </w:rPr>
      </w:pPr>
      <w:r>
        <w:rPr>
          <w:rFonts w:hint="eastAsia" w:cs="Times New Roman"/>
          <w:lang w:eastAsia="zh-CN"/>
        </w:rPr>
        <w:t>为检验泊头市桑椹土壤适宜性评价结果的合理性和可靠性，项目组结合泊头桑椹产业发展现状，对评价结果开展县级验证。验证工作重点围绕评价结果与现状桑椹种植分布的一致性展开，综合考虑土壤、气候条件以及现有桑园生产实际，对优势区、适宜区和不适宜区的空间分布进行分析，并重点选取营子乡等传统桑椹集中种植区域进行对比验证。在条件允许的情况下，可进一步在不同适宜性等级中选择典型地块开展实地调查，通过桑园分布、树体长势、果实产量和品质以及种植户生产情况等信息，对评价结果进行现场核验。</w:t>
      </w:r>
    </w:p>
    <w:p>
      <w:pPr>
        <w:kinsoku/>
        <w:spacing w:line="360" w:lineRule="auto"/>
        <w:ind w:firstLine="480"/>
        <w:jc w:val="both"/>
        <w:rPr>
          <w:rFonts w:cs="Times New Roman"/>
          <w:lang w:eastAsia="zh-CN"/>
        </w:rPr>
      </w:pPr>
      <w:r>
        <w:rPr>
          <w:rFonts w:hint="eastAsia" w:cs="Times New Roman"/>
          <w:lang w:eastAsia="zh-CN"/>
        </w:rPr>
        <w:t>从区域自然条件看，泊头市大部分区域的光、温、水条件能够满足桑树正常生长发育需求，但不同区域土壤质地、土壤有机质、pH、土壤容重以及有效磷、速效钾等指标存在一定空间差异，从而形成不同的综合适宜性等级。评价结果表明，全市桑椹适宜性总体呈现适宜区广泛分布、优势区相对集中、不适宜区局部分布的空间格局。其中，优势区主要分布于寺门村镇、四营镇、王武庄乡、齐桥镇、洼里王镇等区域；适宜区在全市多数乡镇均有较大面积分布；不适宜区则相对集中于西辛店乡、交河镇等区域。</w:t>
      </w:r>
    </w:p>
    <w:p>
      <w:pPr>
        <w:kinsoku/>
        <w:spacing w:line="360" w:lineRule="auto"/>
        <w:ind w:firstLine="480"/>
        <w:jc w:val="both"/>
        <w:rPr>
          <w:rFonts w:cs="Times New Roman"/>
          <w:lang w:eastAsia="zh-CN"/>
        </w:rPr>
      </w:pPr>
      <w:r>
        <w:rPr>
          <w:rFonts w:hint="eastAsia" w:cs="Times New Roman"/>
          <w:lang w:eastAsia="zh-CN"/>
        </w:rPr>
        <w:t>结合泊头桑椹产业发展现状进行验证，营子乡是现有桑椹重要集中产区，也是评价结果验证的重点区域。评价结果显示，营子乡优势区面积约0.94万亩，占14.8%，适宜区面积约4.81万亩，占75.6%，优势区与适宜区合计约5.75万亩，占90.4%。总体来看，营子乡绝大部分评价区域均处于适宜及以上等级，与当地长期形成的桑椹种植基础总体具有较好的对应关系。但现状桑椹生产高度集中与评价结果中“适宜区占主体”的等级结构仍存在一定差异，说明现状产业分布除受自然适宜性影响外，还与长期种植传统、品种适应性、栽培管理、经营主体及产业基础等因素有关。因此，在结果验证过程中，应进一步将现有桑园分布与评价结果进行空间叠加，重点检验传统核心桑园与优势区、适宜区的空间对应关系。</w:t>
      </w:r>
    </w:p>
    <w:p>
      <w:pPr>
        <w:kinsoku/>
        <w:spacing w:line="360" w:lineRule="auto"/>
        <w:ind w:firstLine="480"/>
        <w:jc w:val="both"/>
        <w:rPr>
          <w:rFonts w:cs="Times New Roman"/>
          <w:lang w:eastAsia="zh-CN"/>
        </w:rPr>
      </w:pPr>
      <w:r>
        <w:rPr>
          <w:rFonts w:hint="eastAsia" w:cs="Times New Roman"/>
          <w:lang w:eastAsia="zh-CN"/>
        </w:rPr>
        <w:t>在县级成果研判过程中，还应结合泊头桑椹实际生产布局对局部零散评价斑块进行合理性检查。对于面积过小、空间破碎且被较低适宜等级区域包围的孤立优势区或适宜区，可综合考虑桑椹规模化生产、田间管理以及评价成果制图表达需要进行适当空间归并，减少因基础数据空间差异造成的零散斑块，提高评价成果的完整性和实际应用价值。具体聚合尺度和最小上图面积应依据泊头市最终技术要求确定，不宜直接照搬隆安县“小于50亩划为不适宜区”的处理标准。</w:t>
      </w:r>
    </w:p>
    <w:p>
      <w:pPr>
        <w:kinsoku/>
        <w:spacing w:line="360" w:lineRule="auto"/>
        <w:ind w:firstLine="480"/>
        <w:jc w:val="both"/>
        <w:rPr>
          <w:rFonts w:cs="Times New Roman"/>
          <w:lang w:eastAsia="zh-CN"/>
        </w:rPr>
      </w:pPr>
      <w:r>
        <w:rPr>
          <w:rFonts w:hint="eastAsia" w:cs="Times New Roman"/>
          <w:lang w:eastAsia="zh-CN"/>
        </w:rPr>
        <w:t>经综合评价，全市评价总面积为75.69万亩，其中优势区面积18.59万亩，占24.6%；适宜区面积48.52万亩，占64.1%；不适宜区面积8.58万亩，占11.3%。优势区和适宜区合计达到67.11万亩，占88.7%，表明泊头市总体具有较为广泛的桑椹适生土地资源。</w:t>
      </w:r>
    </w:p>
    <w:p>
      <w:pPr>
        <w:kinsoku/>
        <w:spacing w:line="360" w:lineRule="auto"/>
        <w:ind w:firstLine="480"/>
        <w:jc w:val="both"/>
        <w:rPr>
          <w:rFonts w:cs="Times New Roman"/>
          <w:lang w:eastAsia="zh-CN"/>
        </w:rPr>
      </w:pPr>
      <w:r>
        <w:rPr>
          <w:rFonts w:hint="eastAsia" w:cs="Times New Roman"/>
          <w:lang w:eastAsia="zh-CN"/>
        </w:rPr>
        <w:t>从乡镇分布看，优势区面积以寺门村镇和四营镇较大，分别为2.98万亩和2.87万亩；从优势区占各乡镇评价面积的比例看，齐桥镇最高，为45.7%，其次为王武庄乡43.0%、洼里王镇38.8%、寺门村镇38.1%和四营镇36.8%。适宜区以郝村镇、交河镇、富镇、四营镇、营子乡和寺门村镇分布较多，其中郝村镇面积最大，为6.54万亩。不适宜区则主要集中于西辛店乡和交河镇，其中西辛店乡不适宜区面积约4.09万亩，占该乡评价面积的41.7%，是全市不适宜区最为集中的区域。</w:t>
      </w:r>
    </w:p>
    <w:p>
      <w:pPr>
        <w:kinsoku/>
        <w:spacing w:line="360" w:lineRule="auto"/>
        <w:ind w:firstLine="480"/>
        <w:jc w:val="both"/>
        <w:rPr>
          <w:rFonts w:cs="Times New Roman"/>
          <w:lang w:eastAsia="zh-CN"/>
        </w:rPr>
      </w:pPr>
      <w:r>
        <w:rPr>
          <w:rFonts w:hint="eastAsia" w:cs="Times New Roman"/>
          <w:lang w:eastAsia="zh-CN"/>
        </w:rPr>
        <w:t>综合县级验证结果，泊头桑椹土壤适宜性评价能够较好反映不同区域土壤和气候条件的空间差异，评价得到的优势区、适宜区和不适宜区总体具有一定的区域分异规律。对于营子乡等现状核心种植区域，应进一步通过现状桑园空间叠加和典型地块现场验证，检验评价结果与实际生产表现的一致性；对局部存在差异的区域，应结合限制因子和实际种植情况分析原因，必要时对指标分级范围及隶属度进行区域化校正，从而提高评价成果的科学性、区域适用性和产业指导价值。。</w:t>
      </w:r>
    </w:p>
    <w:p>
      <w:pPr>
        <w:kinsoku/>
        <w:spacing w:line="360" w:lineRule="auto"/>
        <w:ind w:firstLine="480"/>
        <w:jc w:val="both"/>
        <w:rPr>
          <w:rFonts w:cs="Times New Roman"/>
          <w:lang w:eastAsia="zh-CN"/>
        </w:rPr>
      </w:pPr>
      <w:r>
        <w:rPr>
          <w:rFonts w:hint="eastAsia" w:cs="Times New Roman"/>
          <w:lang w:eastAsia="zh-CN"/>
        </w:rPr>
        <w:t>编制完成《泊头桑椹土壤适宜性评价分布图》，采用分级设色法直观展示优势区、适宜区、不适宜区的空间分布，标注主要乡镇边界、核心产区位置及关键地理要素，为桑椹种植布局优化、产业规划调整提供可视化空间依据</w:t>
      </w:r>
      <w:r>
        <w:rPr>
          <w:rFonts w:cs="Times New Roman"/>
          <w:lang w:eastAsia="zh-CN"/>
        </w:rPr>
        <w:t>。</w:t>
      </w:r>
    </w:p>
    <w:p>
      <w:pPr>
        <w:pStyle w:val="82"/>
        <w:spacing w:before="156" w:after="156"/>
        <w:outlineLvl w:val="0"/>
        <w:rPr>
          <w:rFonts w:ascii="Times New Roman" w:hAnsi="Times New Roman"/>
        </w:rPr>
      </w:pPr>
      <w:bookmarkStart w:id="56" w:name="_Toc344"/>
      <w:bookmarkStart w:id="57" w:name="_Toc228109828"/>
      <w:bookmarkStart w:id="58" w:name="_Toc241153627"/>
      <w:r>
        <w:rPr>
          <w:rFonts w:hint="eastAsia" w:ascii="Times New Roman" w:hAnsi="Times New Roman"/>
          <w:highlight w:val="none"/>
          <w:shd w:val="clear"/>
        </w:rPr>
        <w:t>五、</w:t>
      </w:r>
      <w:r>
        <w:rPr>
          <w:rFonts w:ascii="Times New Roman" w:hAnsi="Times New Roman"/>
          <w:highlight w:val="none"/>
          <w:shd w:val="clear"/>
        </w:rPr>
        <w:t>产</w:t>
      </w:r>
      <w:r>
        <w:rPr>
          <w:rFonts w:ascii="Times New Roman" w:hAnsi="Times New Roman"/>
          <w:highlight w:val="none"/>
        </w:rPr>
        <w:t>业优</w:t>
      </w:r>
      <w:r>
        <w:rPr>
          <w:rFonts w:ascii="Times New Roman" w:hAnsi="Times New Roman"/>
        </w:rPr>
        <w:t>化布局和发展建议</w:t>
      </w:r>
      <w:bookmarkEnd w:id="56"/>
      <w:bookmarkEnd w:id="57"/>
      <w:bookmarkEnd w:id="58"/>
    </w:p>
    <w:p>
      <w:pPr>
        <w:keepNext/>
        <w:keepLines/>
        <w:kinsoku/>
        <w:spacing w:before="156" w:beforeLines="50" w:after="156" w:afterLines="50" w:line="360" w:lineRule="auto"/>
        <w:ind w:firstLine="0" w:firstLineChars="0"/>
        <w:outlineLvl w:val="2"/>
        <w:rPr>
          <w:rFonts w:eastAsia="黑体" w:cs="Times New Roman"/>
          <w:lang w:eastAsia="zh-CN"/>
        </w:rPr>
      </w:pPr>
      <w:bookmarkStart w:id="59" w:name="_Toc30260"/>
      <w:bookmarkStart w:id="60" w:name="_Toc207303720"/>
      <w:bookmarkStart w:id="61" w:name="_Toc241153628"/>
      <w:r>
        <w:rPr>
          <w:rFonts w:eastAsia="黑体" w:cs="Times New Roman"/>
          <w:lang w:eastAsia="zh-CN"/>
        </w:rPr>
        <w:t>1.</w:t>
      </w:r>
      <w:bookmarkEnd w:id="59"/>
      <w:bookmarkEnd w:id="60"/>
      <w:r>
        <w:rPr>
          <w:rFonts w:eastAsia="黑体" w:cs="Times New Roman"/>
          <w:lang w:eastAsia="zh-CN"/>
        </w:rPr>
        <w:t>种植优化布局建议</w:t>
      </w:r>
      <w:bookmarkEnd w:id="61"/>
    </w:p>
    <w:p>
      <w:pPr>
        <w:kinsoku/>
        <w:spacing w:line="360" w:lineRule="auto"/>
        <w:ind w:firstLine="482"/>
        <w:jc w:val="both"/>
        <w:rPr>
          <w:rFonts w:cs="Times New Roman"/>
          <w:lang w:eastAsia="zh-CN"/>
        </w:rPr>
      </w:pPr>
      <w:bookmarkStart w:id="62" w:name="_Toc20362"/>
      <w:bookmarkStart w:id="63" w:name="_Toc207303721"/>
      <w:r>
        <w:rPr>
          <w:rFonts w:cs="Times New Roman"/>
          <w:b/>
          <w:bCs/>
          <w:lang w:eastAsia="zh-CN"/>
        </w:rPr>
        <w:t>（</w:t>
      </w:r>
      <w:r>
        <w:rPr>
          <w:rFonts w:cs="Times New Roman"/>
          <w:lang w:eastAsia="zh-CN"/>
        </w:rPr>
        <w:t>1）构建“一核引领、多点支撑”产业布局格局</w:t>
      </w:r>
    </w:p>
    <w:p>
      <w:pPr>
        <w:kinsoku/>
        <w:spacing w:line="360" w:lineRule="auto"/>
        <w:ind w:firstLine="480"/>
        <w:jc w:val="both"/>
        <w:rPr>
          <w:rFonts w:cs="Times New Roman"/>
          <w:lang w:eastAsia="zh-CN"/>
        </w:rPr>
      </w:pPr>
      <w:r>
        <w:rPr>
          <w:rFonts w:cs="Times New Roman"/>
          <w:lang w:eastAsia="zh-CN"/>
        </w:rPr>
        <w:t>结合本次泊头</w:t>
      </w:r>
      <w:r>
        <w:rPr>
          <w:rFonts w:hint="eastAsia" w:cs="Times New Roman"/>
          <w:lang w:eastAsia="zh-CN"/>
        </w:rPr>
        <w:t>桑椹</w:t>
      </w:r>
      <w:r>
        <w:rPr>
          <w:rFonts w:cs="Times New Roman"/>
          <w:lang w:eastAsia="zh-CN"/>
        </w:rPr>
        <w:t>土壤适宜性评价结果，建议以营子镇为核心，构建“一核引领、多点支撑”的</w:t>
      </w:r>
      <w:r>
        <w:rPr>
          <w:rFonts w:hint="eastAsia" w:cs="Times New Roman"/>
          <w:lang w:eastAsia="zh-CN"/>
        </w:rPr>
        <w:t>桑椹</w:t>
      </w:r>
      <w:r>
        <w:rPr>
          <w:rFonts w:cs="Times New Roman"/>
          <w:lang w:eastAsia="zh-CN"/>
        </w:rPr>
        <w:t>产业布局。营子镇优势区集中连片，具备沙壤土深厚、光照充足、种植历史悠久、产业基础扎实等综合优势，应重点打造泊头</w:t>
      </w:r>
      <w:r>
        <w:rPr>
          <w:rFonts w:hint="eastAsia" w:cs="Times New Roman"/>
          <w:lang w:eastAsia="zh-CN"/>
        </w:rPr>
        <w:t>桑椹</w:t>
      </w:r>
      <w:r>
        <w:rPr>
          <w:rFonts w:cs="Times New Roman"/>
          <w:lang w:eastAsia="zh-CN"/>
        </w:rPr>
        <w:t>核心产业带，推动形成集生态种植、标准化生产、精深加工、品牌展示和文旅体验于一体的</w:t>
      </w:r>
      <w:r>
        <w:rPr>
          <w:rFonts w:hint="eastAsia" w:cs="Times New Roman"/>
          <w:lang w:eastAsia="zh-CN"/>
        </w:rPr>
        <w:t>桑椹</w:t>
      </w:r>
      <w:r>
        <w:rPr>
          <w:rFonts w:cs="Times New Roman"/>
          <w:lang w:eastAsia="zh-CN"/>
        </w:rPr>
        <w:t>产业示范区。齐桥镇、寺门村镇、郝村镇等区域优势区与适宜区面积较大，可作为</w:t>
      </w:r>
      <w:r>
        <w:rPr>
          <w:rFonts w:hint="eastAsia" w:cs="Times New Roman"/>
          <w:lang w:eastAsia="zh-CN"/>
        </w:rPr>
        <w:t>桑椹</w:t>
      </w:r>
      <w:r>
        <w:rPr>
          <w:rFonts w:cs="Times New Roman"/>
          <w:lang w:eastAsia="zh-CN"/>
        </w:rPr>
        <w:t>产业的重要拓展区，重点推进标准化种植基地建设与低效桑园改造。</w:t>
      </w:r>
    </w:p>
    <w:p>
      <w:pPr>
        <w:kinsoku/>
        <w:spacing w:line="360" w:lineRule="auto"/>
        <w:ind w:firstLine="480"/>
        <w:jc w:val="both"/>
        <w:rPr>
          <w:rFonts w:cs="Times New Roman"/>
          <w:lang w:eastAsia="zh-CN"/>
        </w:rPr>
      </w:pPr>
      <w:r>
        <w:rPr>
          <w:rFonts w:cs="Times New Roman"/>
          <w:lang w:eastAsia="zh-CN"/>
        </w:rPr>
        <w:t>（2）优势区重点打造高品质</w:t>
      </w:r>
      <w:r>
        <w:rPr>
          <w:rFonts w:hint="eastAsia" w:cs="Times New Roman"/>
          <w:lang w:eastAsia="zh-CN"/>
        </w:rPr>
        <w:t>桑椹</w:t>
      </w:r>
      <w:r>
        <w:rPr>
          <w:rFonts w:cs="Times New Roman"/>
          <w:lang w:eastAsia="zh-CN"/>
        </w:rPr>
        <w:t>核心区</w:t>
      </w:r>
    </w:p>
    <w:p>
      <w:pPr>
        <w:kinsoku/>
        <w:spacing w:line="360" w:lineRule="auto"/>
        <w:ind w:firstLine="480"/>
        <w:jc w:val="both"/>
        <w:rPr>
          <w:rFonts w:cs="Times New Roman"/>
          <w:lang w:eastAsia="zh-CN"/>
        </w:rPr>
      </w:pPr>
      <w:r>
        <w:rPr>
          <w:rFonts w:cs="Times New Roman"/>
          <w:lang w:eastAsia="zh-CN"/>
        </w:rPr>
        <w:t>优势区自然生态条件优越，与现有地理标志产品核心产区空间重叠度高，是泊头市未来优质</w:t>
      </w:r>
      <w:r>
        <w:rPr>
          <w:rFonts w:hint="eastAsia" w:cs="Times New Roman"/>
          <w:lang w:eastAsia="zh-CN"/>
        </w:rPr>
        <w:t>桑椹</w:t>
      </w:r>
      <w:r>
        <w:rPr>
          <w:rFonts w:cs="Times New Roman"/>
          <w:lang w:eastAsia="zh-CN"/>
        </w:rPr>
        <w:t>发展的核心区域。建议实施“保护—提质—品牌化”发展策略，重点加强高标准化</w:t>
      </w:r>
      <w:r>
        <w:rPr>
          <w:rFonts w:hint="eastAsia" w:cs="Times New Roman"/>
          <w:lang w:eastAsia="zh-CN"/>
        </w:rPr>
        <w:t>桑椹</w:t>
      </w:r>
      <w:r>
        <w:rPr>
          <w:rFonts w:cs="Times New Roman"/>
          <w:lang w:eastAsia="zh-CN"/>
        </w:rPr>
        <w:t>园建设，严格控制非农开发，优先发展绿色、有机认证基地。同时，应加强良种选育和标准化栽培管理，提升</w:t>
      </w:r>
      <w:r>
        <w:rPr>
          <w:rFonts w:hint="eastAsia" w:cs="Times New Roman"/>
          <w:lang w:eastAsia="zh-CN"/>
        </w:rPr>
        <w:t>桑椹</w:t>
      </w:r>
      <w:r>
        <w:rPr>
          <w:rFonts w:cs="Times New Roman"/>
          <w:lang w:eastAsia="zh-CN"/>
        </w:rPr>
        <w:t>总糖、可溶性固形物等品质指标，进一步提高“泊头</w:t>
      </w:r>
      <w:r>
        <w:rPr>
          <w:rFonts w:hint="eastAsia" w:cs="Times New Roman"/>
          <w:lang w:eastAsia="zh-CN"/>
        </w:rPr>
        <w:t>桑椹</w:t>
      </w:r>
      <w:r>
        <w:rPr>
          <w:rFonts w:cs="Times New Roman"/>
          <w:lang w:eastAsia="zh-CN"/>
        </w:rPr>
        <w:t>”品牌影响力。对于苟鲁道古桑园等生态条件优越地带，可重点打造古桑保护与文旅融合示范基地，延伸产业链价值。</w:t>
      </w:r>
    </w:p>
    <w:p>
      <w:pPr>
        <w:kinsoku/>
        <w:spacing w:line="360" w:lineRule="auto"/>
        <w:ind w:firstLine="480"/>
        <w:jc w:val="both"/>
        <w:rPr>
          <w:rFonts w:cs="Times New Roman"/>
          <w:lang w:eastAsia="zh-CN"/>
        </w:rPr>
      </w:pPr>
      <w:r>
        <w:rPr>
          <w:rFonts w:cs="Times New Roman"/>
          <w:lang w:eastAsia="zh-CN"/>
        </w:rPr>
        <w:t>（3）适宜区有序开发，建设标准化种植储备区</w:t>
      </w:r>
    </w:p>
    <w:p>
      <w:pPr>
        <w:kinsoku/>
        <w:spacing w:line="360" w:lineRule="auto"/>
        <w:ind w:firstLine="480"/>
        <w:jc w:val="both"/>
        <w:rPr>
          <w:rFonts w:cs="Times New Roman"/>
          <w:lang w:eastAsia="zh-CN"/>
        </w:rPr>
      </w:pPr>
      <w:r>
        <w:rPr>
          <w:rFonts w:cs="Times New Roman"/>
          <w:lang w:eastAsia="zh-CN"/>
        </w:rPr>
        <w:t>适宜区是未来泊头</w:t>
      </w:r>
      <w:r>
        <w:rPr>
          <w:rFonts w:hint="eastAsia" w:cs="Times New Roman"/>
          <w:lang w:eastAsia="zh-CN"/>
        </w:rPr>
        <w:t>桑椹</w:t>
      </w:r>
      <w:r>
        <w:rPr>
          <w:rFonts w:cs="Times New Roman"/>
          <w:lang w:eastAsia="zh-CN"/>
        </w:rPr>
        <w:t>产业规模化发展的主要储备空间。建议在保护生态环境前提下，结合水源、交通及土地利用条件，适度推进标准化桑园建设。对于部分土层较浅或肥力一般区域，应坚持“适度开发、分区提升”原则，通过水肥改良、培肥地力等措施，提高综合生产能力。新建桑园应优先布局于沙壤土分布广泛、排水条件较好的区域，避免高强度开发造成生态风险。同时，本评价结果应与国土空间规划、永久基本农田保护红线进行空间叠置分析，优先在自然适宜且非粮化管控允许的区域布局新增桑园，确保产业发展与耕地保护、国土空间管控相协调。</w:t>
      </w:r>
    </w:p>
    <w:p>
      <w:pPr>
        <w:kinsoku/>
        <w:spacing w:line="360" w:lineRule="auto"/>
        <w:ind w:firstLine="480"/>
        <w:jc w:val="both"/>
        <w:rPr>
          <w:rFonts w:cs="Times New Roman"/>
          <w:lang w:eastAsia="zh-CN"/>
        </w:rPr>
      </w:pPr>
      <w:r>
        <w:rPr>
          <w:rFonts w:cs="Times New Roman"/>
          <w:lang w:eastAsia="zh-CN"/>
        </w:rPr>
        <w:t>（4）不适宜区严格控制新增开发</w:t>
      </w:r>
    </w:p>
    <w:p>
      <w:pPr>
        <w:kinsoku/>
        <w:spacing w:line="360" w:lineRule="auto"/>
        <w:ind w:firstLine="480"/>
        <w:jc w:val="both"/>
        <w:rPr>
          <w:rFonts w:cs="Times New Roman"/>
          <w:lang w:eastAsia="zh-CN"/>
        </w:rPr>
      </w:pPr>
      <w:r>
        <w:rPr>
          <w:rFonts w:cs="Times New Roman"/>
          <w:lang w:eastAsia="zh-CN"/>
        </w:rPr>
        <w:t>不适宜区主要分布于城镇建设区、低洼易涝区域及生态敏感区域，生态约束较强，不适宜规模化</w:t>
      </w:r>
      <w:r>
        <w:rPr>
          <w:rFonts w:hint="eastAsia" w:cs="Times New Roman"/>
          <w:lang w:eastAsia="zh-CN"/>
        </w:rPr>
        <w:t>桑椹</w:t>
      </w:r>
      <w:r>
        <w:rPr>
          <w:rFonts w:cs="Times New Roman"/>
          <w:lang w:eastAsia="zh-CN"/>
        </w:rPr>
        <w:t>种植。建议严格控制新增桑园开发，逐步压减低效果园和零散种植区域。对于低洼易涝区域应重点加强排水设施建设和生态修复，部分区域可发展其他适生经济林产业，提升区域生态服务功能。</w:t>
      </w:r>
    </w:p>
    <w:p>
      <w:pPr>
        <w:keepNext/>
        <w:keepLines/>
        <w:kinsoku/>
        <w:spacing w:before="156" w:beforeLines="50" w:after="156" w:afterLines="50" w:line="360" w:lineRule="auto"/>
        <w:ind w:firstLine="0" w:firstLineChars="0"/>
        <w:outlineLvl w:val="2"/>
        <w:rPr>
          <w:rFonts w:cs="Times New Roman"/>
          <w:lang w:eastAsia="zh-CN"/>
        </w:rPr>
      </w:pPr>
      <w:bookmarkStart w:id="64" w:name="_Toc241153629"/>
      <w:r>
        <w:rPr>
          <w:rFonts w:cs="Times New Roman"/>
          <w:lang w:eastAsia="zh-CN"/>
        </w:rPr>
        <w:t>2.产业发展建议</w:t>
      </w:r>
      <w:bookmarkEnd w:id="62"/>
      <w:bookmarkEnd w:id="63"/>
      <w:bookmarkEnd w:id="64"/>
    </w:p>
    <w:p>
      <w:pPr>
        <w:kinsoku/>
        <w:spacing w:line="360" w:lineRule="auto"/>
        <w:ind w:firstLine="480"/>
        <w:jc w:val="both"/>
        <w:rPr>
          <w:rFonts w:cs="Times New Roman"/>
          <w:lang w:eastAsia="zh-CN"/>
        </w:rPr>
      </w:pPr>
      <w:r>
        <w:rPr>
          <w:rFonts w:cs="Times New Roman"/>
          <w:lang w:eastAsia="zh-CN"/>
        </w:rPr>
        <w:t>（1）坚持因地制宜，分区推进</w:t>
      </w:r>
      <w:r>
        <w:rPr>
          <w:rFonts w:hint="eastAsia" w:cs="Times New Roman"/>
          <w:lang w:eastAsia="zh-CN"/>
        </w:rPr>
        <w:t>桑椹</w:t>
      </w:r>
      <w:r>
        <w:rPr>
          <w:rFonts w:cs="Times New Roman"/>
          <w:lang w:eastAsia="zh-CN"/>
        </w:rPr>
        <w:t>产业优化布局</w:t>
      </w:r>
    </w:p>
    <w:p>
      <w:pPr>
        <w:kinsoku/>
        <w:spacing w:line="360" w:lineRule="auto"/>
        <w:ind w:firstLine="480"/>
        <w:jc w:val="both"/>
        <w:rPr>
          <w:rFonts w:cs="Times New Roman"/>
          <w:lang w:eastAsia="zh-CN"/>
        </w:rPr>
      </w:pPr>
      <w:r>
        <w:rPr>
          <w:rFonts w:cs="Times New Roman"/>
          <w:lang w:eastAsia="zh-CN"/>
        </w:rPr>
        <w:t>根据本次适宜性评价结果，建议按照“优势区提质增效、适宜区有序拓展、不适宜区逐步退出”的总体思路推进产业优化发展。优势区重点实施“保护—提质”策略，将核心连片区域划入</w:t>
      </w:r>
      <w:r>
        <w:rPr>
          <w:rFonts w:hint="eastAsia" w:cs="Times New Roman"/>
          <w:lang w:eastAsia="zh-CN"/>
        </w:rPr>
        <w:t>桑椹</w:t>
      </w:r>
      <w:r>
        <w:rPr>
          <w:rFonts w:cs="Times New Roman"/>
          <w:lang w:eastAsia="zh-CN"/>
        </w:rPr>
        <w:t>重点保护区，优先开展高标准桑园建设和老桑园改造；适宜区重点完善基础设施和标准化管理体系，在严格控制生态风险前提下，适度发展规模化种植；不适宜区逐步压减低效果园，促进区域生态功能恢复。</w:t>
      </w:r>
    </w:p>
    <w:p>
      <w:pPr>
        <w:kinsoku/>
        <w:spacing w:line="360" w:lineRule="auto"/>
        <w:ind w:firstLine="480"/>
        <w:jc w:val="both"/>
        <w:rPr>
          <w:rFonts w:cs="Times New Roman"/>
          <w:lang w:eastAsia="zh-CN"/>
        </w:rPr>
      </w:pPr>
      <w:r>
        <w:rPr>
          <w:rFonts w:cs="Times New Roman"/>
          <w:lang w:eastAsia="zh-CN"/>
        </w:rPr>
        <w:t>（2）加强土壤质量培育，提升桑园生态稳定性</w:t>
      </w:r>
    </w:p>
    <w:p>
      <w:pPr>
        <w:kinsoku/>
        <w:spacing w:line="360" w:lineRule="auto"/>
        <w:ind w:firstLine="480"/>
        <w:jc w:val="both"/>
        <w:rPr>
          <w:rFonts w:cs="Times New Roman"/>
          <w:lang w:eastAsia="zh-CN"/>
        </w:rPr>
      </w:pPr>
      <w:r>
        <w:rPr>
          <w:rFonts w:cs="Times New Roman"/>
          <w:lang w:eastAsia="zh-CN"/>
        </w:rPr>
        <w:t>从适宜性评价结果来看，部分优势区和适宜区仍存在有机质含量偏低、保水保肥能力不足等问题。建议依托第三次全国土壤普查成果，分区域推进土壤质量提升。对于有机质偏低地块，应持续推广秸秆覆盖、增施有机肥等措施，提升土壤有机质水平和养分缓冲能力。在适宜区，可推广“桑—绿肥”间作模式，逐步提高土壤肥力和桑园生态稳定性。同时应减少清耕，推广生草栽培和水肥协同等绿色生产方式，降低水土流失风险。</w:t>
      </w:r>
    </w:p>
    <w:p>
      <w:pPr>
        <w:kinsoku/>
        <w:spacing w:line="360" w:lineRule="auto"/>
        <w:ind w:firstLine="480"/>
        <w:jc w:val="both"/>
        <w:rPr>
          <w:rFonts w:cs="Times New Roman"/>
          <w:lang w:eastAsia="zh-CN"/>
        </w:rPr>
      </w:pPr>
      <w:r>
        <w:rPr>
          <w:rFonts w:cs="Times New Roman"/>
          <w:lang w:eastAsia="zh-CN"/>
        </w:rPr>
        <w:t>（3）优化栽培结构与水肥管理，提高优质果品生产能力</w:t>
      </w:r>
    </w:p>
    <w:p>
      <w:pPr>
        <w:kinsoku/>
        <w:spacing w:line="360" w:lineRule="auto"/>
        <w:ind w:firstLine="480"/>
        <w:jc w:val="both"/>
        <w:rPr>
          <w:rFonts w:cs="Times New Roman"/>
          <w:lang w:eastAsia="zh-CN"/>
        </w:rPr>
      </w:pPr>
      <w:r>
        <w:rPr>
          <w:rFonts w:cs="Times New Roman"/>
          <w:lang w:eastAsia="zh-CN"/>
        </w:rPr>
        <w:t>结合泊头市平原桑园分布广、沙壤土透气性好的特点，建议进一步优化桑园栽培模式与水肥管理体系。在栽培管理方面，应推广合理修剪、树形调控及标准化栽培技术，改善桑园通风透光条件。在水肥管理方面，应结合区域水源条件，完善滴灌、蓄水及节水灌溉设施建设，提高水分利用效率。特别是在果实膨大期（5-6月），需保障水分供应以提高单果重和品质。同时，应加强绿色病虫害防控体系建设，推广物理防控、生物防控等绿色技术，减少化学农药投入。</w:t>
      </w:r>
    </w:p>
    <w:p>
      <w:pPr>
        <w:kinsoku/>
        <w:spacing w:line="360" w:lineRule="auto"/>
        <w:ind w:firstLine="480"/>
        <w:jc w:val="both"/>
        <w:rPr>
          <w:rFonts w:cs="Times New Roman"/>
          <w:lang w:eastAsia="zh-CN"/>
        </w:rPr>
      </w:pPr>
      <w:r>
        <w:rPr>
          <w:rFonts w:cs="Times New Roman"/>
          <w:lang w:eastAsia="zh-CN"/>
        </w:rPr>
        <w:t>（4）完善基础设施，提升产业综合支撑能力</w:t>
      </w:r>
    </w:p>
    <w:p>
      <w:pPr>
        <w:kinsoku/>
        <w:spacing w:line="360" w:lineRule="auto"/>
        <w:ind w:firstLine="480"/>
        <w:jc w:val="both"/>
        <w:rPr>
          <w:rFonts w:cs="Times New Roman"/>
          <w:lang w:eastAsia="zh-CN"/>
        </w:rPr>
      </w:pPr>
      <w:r>
        <w:rPr>
          <w:rFonts w:cs="Times New Roman"/>
          <w:lang w:eastAsia="zh-CN"/>
        </w:rPr>
        <w:t>针对部分桑园存在交通不便、灌溉保障不足等问题，建议结合高标准桑园建设和乡村振兴项目，逐步完善基础设施体系。交通方面，应优先改善优势区和集中连片适宜区的产业道路，提高鲜果外运效率；水利方面，应完善蓄水、输水及节水灌溉设施，提高抗旱能力和极端天气应对能力。对于优势产区，可优先布局预冷储藏、冷链运输及产地分拣中心，降低鲜果损耗（</w:t>
      </w:r>
      <w:r>
        <w:rPr>
          <w:rFonts w:hint="eastAsia" w:cs="Times New Roman"/>
          <w:lang w:eastAsia="zh-CN"/>
        </w:rPr>
        <w:t>桑椹</w:t>
      </w:r>
      <w:r>
        <w:rPr>
          <w:rFonts w:cs="Times New Roman"/>
          <w:lang w:eastAsia="zh-CN"/>
        </w:rPr>
        <w:t>不耐储存），提高鲜果商品化处理能力。</w:t>
      </w:r>
    </w:p>
    <w:p>
      <w:pPr>
        <w:kinsoku/>
        <w:spacing w:line="360" w:lineRule="auto"/>
        <w:ind w:firstLine="480"/>
        <w:jc w:val="both"/>
        <w:rPr>
          <w:rFonts w:cs="Times New Roman"/>
          <w:lang w:eastAsia="zh-CN"/>
        </w:rPr>
      </w:pPr>
      <w:r>
        <w:rPr>
          <w:rFonts w:cs="Times New Roman"/>
          <w:lang w:eastAsia="zh-CN"/>
        </w:rPr>
        <w:t>（5）强化标准化生产与品牌建设，提升市场竞争力</w:t>
      </w:r>
    </w:p>
    <w:p>
      <w:pPr>
        <w:kinsoku/>
        <w:spacing w:line="360" w:lineRule="auto"/>
        <w:ind w:firstLine="480"/>
        <w:jc w:val="both"/>
        <w:rPr>
          <w:rFonts w:cs="Times New Roman"/>
          <w:lang w:eastAsia="zh-CN"/>
        </w:rPr>
      </w:pPr>
      <w:r>
        <w:rPr>
          <w:rFonts w:cs="Times New Roman"/>
          <w:lang w:eastAsia="zh-CN"/>
        </w:rPr>
        <w:t>泊头</w:t>
      </w:r>
      <w:r>
        <w:rPr>
          <w:rFonts w:hint="eastAsia" w:cs="Times New Roman"/>
          <w:lang w:eastAsia="zh-CN"/>
        </w:rPr>
        <w:t>桑椹</w:t>
      </w:r>
      <w:r>
        <w:rPr>
          <w:rFonts w:cs="Times New Roman"/>
          <w:lang w:eastAsia="zh-CN"/>
        </w:rPr>
        <w:t>已获国家地理标志产品、农产品地理标志、中国重要农业文化遗产等多个国家级称号，具备较强品牌优势。建议依托"泊头</w:t>
      </w:r>
      <w:r>
        <w:rPr>
          <w:rFonts w:hint="eastAsia" w:cs="Times New Roman"/>
          <w:lang w:eastAsia="zh-CN"/>
        </w:rPr>
        <w:t>桑椹</w:t>
      </w:r>
      <w:r>
        <w:rPr>
          <w:rFonts w:cs="Times New Roman"/>
          <w:lang w:eastAsia="zh-CN"/>
        </w:rPr>
        <w:t>"公用品牌，进一步加强标准化生产体系建设。技术推广方面，可依托农业农村部门、科研院校及乡镇农技体系，加强标准化栽培、水肥管理、绿色防控及鲜果分级等技术培训。质量管理方面，应完善果品质量检测、产品追溯及分级包装体系，提升品牌公信力。同时，可结合"古桑林"农业文化遗产保护和乡村旅游需求，适度发展桑园观光、采摘体验、桑文化研学及农旅融合等新型产业模式，推动泊头</w:t>
      </w:r>
      <w:r>
        <w:rPr>
          <w:rFonts w:hint="eastAsia" w:cs="Times New Roman"/>
          <w:lang w:eastAsia="zh-CN"/>
        </w:rPr>
        <w:t>桑椹</w:t>
      </w:r>
      <w:r>
        <w:rPr>
          <w:rFonts w:cs="Times New Roman"/>
          <w:lang w:eastAsia="zh-CN"/>
        </w:rPr>
        <w:t>产业由单一鲜果销售向品牌化、多元化、高附加值方向延伸，进一步提升产业综合效益和区域竞争力。</w:t>
      </w:r>
    </w:p>
    <w:p>
      <w:pPr>
        <w:kinsoku/>
        <w:spacing w:line="360" w:lineRule="auto"/>
        <w:ind w:firstLine="480"/>
        <w:jc w:val="both"/>
        <w:rPr>
          <w:rFonts w:cs="Times New Roman"/>
          <w:lang w:eastAsia="zh-CN"/>
        </w:rPr>
      </w:pPr>
      <w:r>
        <w:rPr>
          <w:rFonts w:cs="Times New Roman"/>
          <w:lang w:eastAsia="zh-CN"/>
        </w:rPr>
        <w:t>在古桑园保护与农业文化遗产活化利用方面，应重点推进以下工作：一是划定保护红线，明确古桑园保护范围。以苟鲁道村古桑园为核心，将现存30余棵古桑树及其周边生态环境划入重点保护区，实行挂牌保护、建档管理，严禁任何形式的破坏性开发。二是建立古桑树健康档案和定期体检制度。对每株古桑树进行编号登记，记录树龄、树势、病虫害发生情况及保护修复措施，每年至少开展一次专业评估，及时发现并处置健康风险。三是将古桑园纳入乡村旅游精品线路，打造"桑文化"特色IP。依托古桑林农业文化遗产的金字招牌，串联营子镇核心种植区、</w:t>
      </w:r>
      <w:r>
        <w:rPr>
          <w:rFonts w:hint="eastAsia" w:cs="Times New Roman"/>
          <w:lang w:eastAsia="zh-CN"/>
        </w:rPr>
        <w:t>桑椹</w:t>
      </w:r>
      <w:r>
        <w:rPr>
          <w:rFonts w:cs="Times New Roman"/>
          <w:lang w:eastAsia="zh-CN"/>
        </w:rPr>
        <w:t>加工体验园、桑文化展示馆等节点，设计主题鲜明的文旅线路，开发桑文化创意产品，提升泊头</w:t>
      </w:r>
      <w:r>
        <w:rPr>
          <w:rFonts w:hint="eastAsia" w:cs="Times New Roman"/>
          <w:lang w:eastAsia="zh-CN"/>
        </w:rPr>
        <w:t>桑椹</w:t>
      </w:r>
      <w:r>
        <w:rPr>
          <w:rFonts w:cs="Times New Roman"/>
          <w:lang w:eastAsia="zh-CN"/>
        </w:rPr>
        <w:t>的文化附加值和品牌辨识度。四是积极争取省级以上农业文化遗产保护专项资金，统筹用于古桑树抢救性保护、基础设施提升和文化传承活动开展，为古桑园可持续发展提供稳定经费保障。通过保护与利用并重、文化与产业融合，真正将古桑园打造为泊头</w:t>
      </w:r>
      <w:r>
        <w:rPr>
          <w:rFonts w:hint="eastAsia" w:cs="Times New Roman"/>
          <w:lang w:eastAsia="zh-CN"/>
        </w:rPr>
        <w:t>桑椹</w:t>
      </w:r>
      <w:r>
        <w:rPr>
          <w:rFonts w:cs="Times New Roman"/>
          <w:lang w:eastAsia="zh-CN"/>
        </w:rPr>
        <w:t>产业的文化地标和灵魂载体，让千年古桑见证"小</w:t>
      </w:r>
      <w:r>
        <w:rPr>
          <w:rFonts w:hint="eastAsia" w:cs="Times New Roman"/>
          <w:lang w:eastAsia="zh-CN"/>
        </w:rPr>
        <w:t>桑椹</w:t>
      </w:r>
      <w:r>
        <w:rPr>
          <w:rFonts w:cs="Times New Roman"/>
          <w:lang w:eastAsia="zh-CN"/>
        </w:rPr>
        <w:t>"蝶变为富民"大产业"的时代进程。</w:t>
      </w:r>
    </w:p>
    <w:p>
      <w:pPr>
        <w:kinsoku/>
        <w:spacing w:line="360" w:lineRule="auto"/>
        <w:ind w:firstLine="480"/>
        <w:jc w:val="both"/>
        <w:rPr>
          <w:rFonts w:cs="Times New Roman"/>
          <w:lang w:eastAsia="zh-CN"/>
        </w:rPr>
      </w:pPr>
      <w:r>
        <w:rPr>
          <w:rFonts w:cs="Times New Roman"/>
          <w:lang w:eastAsia="zh-CN"/>
        </w:rPr>
        <w:t>（6）强化气候风险防范，提升产业韧性保障能力</w:t>
      </w:r>
    </w:p>
    <w:p>
      <w:pPr>
        <w:kinsoku/>
        <w:spacing w:line="360" w:lineRule="auto"/>
        <w:ind w:firstLine="480"/>
        <w:jc w:val="both"/>
        <w:rPr>
          <w:rFonts w:cs="Times New Roman"/>
          <w:lang w:eastAsia="zh-CN"/>
        </w:rPr>
      </w:pPr>
      <w:r>
        <w:rPr>
          <w:rFonts w:cs="Times New Roman"/>
          <w:lang w:eastAsia="zh-CN"/>
        </w:rPr>
        <w:t>泊头市光热资源丰富、降水条件总体适宜</w:t>
      </w:r>
      <w:r>
        <w:rPr>
          <w:rFonts w:hint="eastAsia" w:cs="Times New Roman"/>
          <w:lang w:eastAsia="zh-CN"/>
        </w:rPr>
        <w:t>桑椹</w:t>
      </w:r>
      <w:r>
        <w:rPr>
          <w:rFonts w:cs="Times New Roman"/>
          <w:lang w:eastAsia="zh-CN"/>
        </w:rPr>
        <w:t>生长，但近年来气候波动性明显增强。据表8.1统计（生长季统计时段为4—9月），2020—2024年生长季降水量年际变异极大，2022年仅98 mm（极端干旱），2021年达228 mm（丰水），极值比为2.3倍，年际波动显著。在全球气候变化背景下，极端干旱、突发暴雨及花期晚霜冻等灾害性天气发生频率可能进一步增加，对</w:t>
      </w:r>
      <w:r>
        <w:rPr>
          <w:rFonts w:hint="eastAsia" w:cs="Times New Roman"/>
          <w:lang w:eastAsia="zh-CN"/>
        </w:rPr>
        <w:t>桑椹</w:t>
      </w:r>
      <w:r>
        <w:rPr>
          <w:rFonts w:cs="Times New Roman"/>
          <w:lang w:eastAsia="zh-CN"/>
        </w:rPr>
        <w:t>产量稳定性和果实品质构成潜在威胁。</w:t>
      </w:r>
    </w:p>
    <w:p>
      <w:pPr>
        <w:kinsoku/>
        <w:spacing w:line="360" w:lineRule="auto"/>
        <w:ind w:firstLine="480"/>
        <w:jc w:val="both"/>
        <w:rPr>
          <w:rFonts w:cs="Times New Roman"/>
          <w:lang w:eastAsia="zh-CN"/>
        </w:rPr>
      </w:pPr>
      <w:r>
        <w:rPr>
          <w:rFonts w:cs="Times New Roman"/>
          <w:lang w:eastAsia="zh-CN"/>
        </w:rPr>
        <w:t>针对上述风险，建议从以下方面系统构建气候韧性保障体系：</w:t>
      </w:r>
    </w:p>
    <w:p>
      <w:pPr>
        <w:kinsoku/>
        <w:spacing w:line="360" w:lineRule="auto"/>
        <w:ind w:firstLine="480"/>
        <w:jc w:val="both"/>
        <w:rPr>
          <w:rFonts w:cs="Times New Roman"/>
          <w:lang w:eastAsia="zh-CN"/>
        </w:rPr>
      </w:pPr>
      <w:r>
        <w:rPr>
          <w:rFonts w:cs="Times New Roman"/>
          <w:lang w:eastAsia="zh-CN"/>
        </w:rPr>
        <w:t>一是完善灌溉基础设施，提升抗旱保产能力。在果实膨大期（5—6月）需水关键期，干旱年份水分亏缺将直接导致单果重下降、可溶性固形物降低。建议在优势区和集中连片适宜区加快配套滴灌、微喷灌等节水灌溉设施，因地制宜建设蓄水池塘、集雨设施，提高极端干旱年份的应急供水保障能力。</w:t>
      </w:r>
    </w:p>
    <w:p>
      <w:pPr>
        <w:kinsoku/>
        <w:spacing w:line="360" w:lineRule="auto"/>
        <w:ind w:firstLine="480"/>
        <w:jc w:val="both"/>
        <w:rPr>
          <w:rFonts w:cs="Times New Roman"/>
          <w:lang w:eastAsia="zh-CN"/>
        </w:rPr>
      </w:pPr>
      <w:r>
        <w:rPr>
          <w:rFonts w:cs="Times New Roman"/>
          <w:lang w:eastAsia="zh-CN"/>
        </w:rPr>
        <w:t>二是防范暴雨内涝，保障根系健康。桑树“喜湿怕涝”，生长季强降雨易造成田间积水和根部缺氧，引发根腐病等次生灾害。建议在低洼易涝区域完善排水沟渠系统，推广垄作栽培模式，确保雨后及时排涝降渍。</w:t>
      </w:r>
    </w:p>
    <w:p>
      <w:pPr>
        <w:kinsoku/>
        <w:spacing w:line="360" w:lineRule="auto"/>
        <w:ind w:firstLine="480"/>
        <w:jc w:val="both"/>
        <w:rPr>
          <w:rFonts w:cs="Times New Roman"/>
          <w:lang w:eastAsia="zh-CN"/>
        </w:rPr>
      </w:pPr>
      <w:r>
        <w:rPr>
          <w:rFonts w:cs="Times New Roman"/>
          <w:lang w:eastAsia="zh-CN"/>
        </w:rPr>
        <w:t>三是加强灾害监测预警与应急响应。依托气象部门监测网络，重点强化花期低温冻害、果实成熟期连阴雨等关键农时灾害的预警预报服务，建立</w:t>
      </w:r>
      <w:r>
        <w:rPr>
          <w:rFonts w:hint="eastAsia" w:cs="Times New Roman"/>
          <w:lang w:eastAsia="zh-CN"/>
        </w:rPr>
        <w:t>桑椹</w:t>
      </w:r>
      <w:r>
        <w:rPr>
          <w:rFonts w:cs="Times New Roman"/>
          <w:lang w:eastAsia="zh-CN"/>
        </w:rPr>
        <w:t>产业气象灾害联动响应机制，指导经营主体提前采取防范措施。</w:t>
      </w:r>
    </w:p>
    <w:p>
      <w:pPr>
        <w:kinsoku/>
        <w:spacing w:line="360" w:lineRule="auto"/>
        <w:ind w:firstLine="480"/>
        <w:jc w:val="both"/>
        <w:rPr>
          <w:rFonts w:cs="Times New Roman"/>
          <w:lang w:eastAsia="zh-CN"/>
        </w:rPr>
      </w:pPr>
      <w:r>
        <w:rPr>
          <w:rFonts w:cs="Times New Roman"/>
          <w:lang w:eastAsia="zh-CN"/>
        </w:rPr>
        <w:t>四是推动政策性农业保险覆盖。将</w:t>
      </w:r>
      <w:r>
        <w:rPr>
          <w:rFonts w:hint="eastAsia" w:cs="Times New Roman"/>
          <w:lang w:eastAsia="zh-CN"/>
        </w:rPr>
        <w:t>桑椹</w:t>
      </w:r>
      <w:r>
        <w:rPr>
          <w:rFonts w:cs="Times New Roman"/>
          <w:lang w:eastAsia="zh-CN"/>
        </w:rPr>
        <w:t>纳入地方特色农产品保险目录，针对干旱、涝渍、冻害等主要自然灾害设立保险产品，降低农户种植风险，稳定产业基本盘。</w:t>
      </w:r>
    </w:p>
    <w:p>
      <w:pPr>
        <w:kinsoku/>
        <w:spacing w:line="360" w:lineRule="auto"/>
        <w:ind w:firstLine="480"/>
        <w:jc w:val="both"/>
        <w:rPr>
          <w:rFonts w:cs="Times New Roman"/>
          <w:lang w:eastAsia="zh-CN"/>
        </w:rPr>
      </w:pPr>
      <w:r>
        <w:rPr>
          <w:rFonts w:cs="Times New Roman"/>
          <w:lang w:eastAsia="zh-CN"/>
        </w:rPr>
        <w:t>通过工程措施、农艺措施和制度保障多管齐下，切实提升泊头</w:t>
      </w:r>
      <w:r>
        <w:rPr>
          <w:rFonts w:hint="eastAsia" w:cs="Times New Roman"/>
          <w:lang w:eastAsia="zh-CN"/>
        </w:rPr>
        <w:t>桑椹</w:t>
      </w:r>
      <w:r>
        <w:rPr>
          <w:rFonts w:cs="Times New Roman"/>
          <w:lang w:eastAsia="zh-CN"/>
        </w:rPr>
        <w:t>产业应对气候变化的适应能力和韧性水平，为产业持续稳定发展筑牢安全底线。</w:t>
      </w:r>
      <w:r>
        <w:commentReference w:id="20"/>
      </w:r>
    </w:p>
    <w:p>
      <w:pPr>
        <w:kinsoku/>
        <w:spacing w:line="360" w:lineRule="auto"/>
        <w:ind w:firstLine="480"/>
        <w:jc w:val="both"/>
        <w:rPr>
          <w:rFonts w:cs="Times New Roman"/>
          <w:lang w:eastAsia="zh-CN"/>
        </w:rPr>
      </w:pPr>
    </w:p>
    <w:sectPr>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江婉婷" w:date="2026-10-01T18:25:13Z" w:initials="">
    <w:p w14:paraId="6AC06DD4">
      <w:pPr>
        <w:pStyle w:val="13"/>
        <w:rPr>
          <w:rFonts w:hint="default" w:eastAsia="宋体"/>
          <w:lang w:val="en-US" w:eastAsia="zh-CN"/>
        </w:rPr>
      </w:pPr>
      <w:r>
        <w:rPr>
          <w:rFonts w:hint="eastAsia"/>
          <w:lang w:val="en-US" w:eastAsia="zh-CN"/>
        </w:rPr>
        <w:t>提交图件的不规范：1）数学基础。坐标系统、高程基准与投影方式等。2）制图要素。包括图名、图廓、图例、指北针、比例尺、坐标系统、行政区划界线、主要居民点、水系、编图单位、编图时间、邻区名称和界线等要素。3）图件内容标注。</w:t>
      </w:r>
      <w:r>
        <w:rPr>
          <w:rFonts w:hint="eastAsia"/>
          <w:lang w:val="en-US" w:eastAsia="zh-CN"/>
        </w:rPr>
        <w:br w:type="textWrapping"/>
      </w:r>
      <w:r>
        <w:rPr>
          <w:rFonts w:hint="eastAsia"/>
          <w:lang w:val="en-US" w:eastAsia="zh-CN"/>
        </w:rPr>
        <w:t>目前仅有图例和部分制图要素。</w:t>
      </w:r>
    </w:p>
  </w:comment>
  <w:comment w:id="1" w:author="江婉婷" w:date="2026-10-01T18:24:15Z" w:initials="">
    <w:p w14:paraId="0D06002D">
      <w:pPr>
        <w:pStyle w:val="13"/>
        <w:rPr>
          <w:rFonts w:hint="default" w:eastAsia="宋体"/>
          <w:lang w:val="en-US" w:eastAsia="zh-CN"/>
        </w:rPr>
      </w:pPr>
      <w:r>
        <w:rPr>
          <w:rFonts w:hint="eastAsia"/>
          <w:lang w:val="en-US" w:eastAsia="zh-CN"/>
        </w:rPr>
        <w:t>目前提交的图件成果完整性不足，省里要求检查内容包含：1）中间成果图。包括评价单元图、关键指标分级图等。2）最终成果图。包括土特产品现状分布图、土特产品土壤适宜性评价图、关键限制性指标分级图，大宗土特产品按需编制现有土特产品不适宜区分布图。</w:t>
      </w:r>
    </w:p>
  </w:comment>
  <w:comment w:id="2" w:author="江婉婷" w:date="2026-10-01T18:26:01Z" w:initials="">
    <w:p w14:paraId="475D6A11">
      <w:pPr>
        <w:pStyle w:val="13"/>
        <w:rPr>
          <w:rFonts w:hint="default" w:eastAsia="宋体"/>
          <w:lang w:val="en-US" w:eastAsia="zh-CN"/>
        </w:rPr>
      </w:pPr>
      <w:r>
        <w:rPr>
          <w:rFonts w:hint="eastAsia"/>
          <w:lang w:val="en-US" w:eastAsia="zh-CN"/>
        </w:rPr>
        <w:t>数据成果未提交。</w:t>
      </w:r>
    </w:p>
  </w:comment>
  <w:comment w:id="3" w:author="江婉婷" w:date="2026-10-01T18:50:37Z" w:initials="">
    <w:p w14:paraId="7617149F">
      <w:pPr>
        <w:pStyle w:val="13"/>
        <w:rPr>
          <w:rFonts w:hint="default" w:eastAsia="宋体"/>
          <w:lang w:val="en-US" w:eastAsia="zh-CN"/>
        </w:rPr>
      </w:pPr>
      <w:r>
        <w:rPr>
          <w:rFonts w:hint="eastAsia"/>
          <w:lang w:val="en-US" w:eastAsia="zh-CN"/>
        </w:rPr>
        <w:t>规范中对于土特产品土壤适宜性评价报告有标准的撰写提纲，应按要求撰写。</w:t>
      </w:r>
    </w:p>
  </w:comment>
  <w:comment w:id="4" w:author="江婉婷" w:date="2026-10-01T19:22:54Z" w:initials="">
    <w:p w14:paraId="19FB4BE7">
      <w:pPr>
        <w:pStyle w:val="13"/>
        <w:rPr>
          <w:rFonts w:hint="eastAsia" w:eastAsia="宋体"/>
          <w:lang w:val="en-US" w:eastAsia="zh-CN"/>
        </w:rPr>
      </w:pPr>
      <w:r>
        <w:rPr>
          <w:rFonts w:hint="eastAsia" w:eastAsia="宋体"/>
          <w:lang w:val="en-US" w:eastAsia="zh-CN"/>
        </w:rPr>
        <w:t>报告目录中未列出图表目录。</w:t>
      </w:r>
      <w:bookmarkStart w:id="65" w:name="_GoBack"/>
      <w:bookmarkEnd w:id="65"/>
    </w:p>
  </w:comment>
  <w:comment w:id="5" w:author="江婉婷" w:date="2026-10-01T19:20:27Z" w:initials="">
    <w:p w14:paraId="2B9D46A6">
      <w:pPr>
        <w:pStyle w:val="13"/>
        <w:rPr>
          <w:rFonts w:hint="default" w:eastAsia="宋体"/>
          <w:lang w:val="en-US" w:eastAsia="zh-CN"/>
        </w:rPr>
      </w:pPr>
      <w:r>
        <w:rPr>
          <w:rFonts w:hint="eastAsia"/>
          <w:lang w:val="en-US" w:eastAsia="zh-CN"/>
        </w:rPr>
        <w:t>后文还多次提及种植面积、产量等，但数据都不一致，要求统一数据。</w:t>
      </w:r>
    </w:p>
  </w:comment>
  <w:comment w:id="6" w:author="江婉婷" w:date="2026-10-01T19:02:26Z" w:initials="">
    <w:p w14:paraId="06646CC3">
      <w:pPr>
        <w:pStyle w:val="13"/>
      </w:pPr>
      <w:r>
        <w:rPr>
          <w:rFonts w:hint="eastAsia"/>
        </w:rPr>
        <w:t>气候数据来源未明确说明。</w:t>
      </w:r>
    </w:p>
  </w:comment>
  <w:comment w:id="7" w:author="江婉婷" w:date="2026-10-01T19:03:34Z" w:initials="">
    <w:p w14:paraId="10CD5AB7">
      <w:pPr>
        <w:pStyle w:val="13"/>
        <w:ind w:left="0" w:leftChars="0" w:firstLine="0" w:firstLineChars="0"/>
        <w:rPr>
          <w:rFonts w:hint="default" w:eastAsia="宋体"/>
          <w:lang w:val="en-US" w:eastAsia="zh-CN"/>
        </w:rPr>
      </w:pPr>
      <w:r>
        <w:rPr>
          <w:rFonts w:hint="eastAsia"/>
          <w:lang w:val="en-US" w:eastAsia="zh-CN"/>
        </w:rPr>
        <w:t>规范中要求的图件资料包括制图比例尺、图件坐标系等信息，请按规范制图。下文中还有很多图件都需要一一按规范核查修改。</w:t>
      </w:r>
    </w:p>
  </w:comment>
  <w:comment w:id="8" w:author="江婉婷" w:date="2026-10-01T19:17:56Z" w:initials="">
    <w:p w14:paraId="33A9514F">
      <w:pPr>
        <w:pStyle w:val="13"/>
        <w:rPr>
          <w:rFonts w:hint="default" w:eastAsia="宋体"/>
          <w:lang w:val="en-US" w:eastAsia="zh-CN"/>
        </w:rPr>
      </w:pPr>
      <w:r>
        <w:rPr>
          <w:rFonts w:hint="eastAsia"/>
          <w:lang w:val="en-US" w:eastAsia="zh-CN"/>
        </w:rPr>
        <w:t>报告中涉及了环境变量，但未具体说明来源、分辨率、处理方法等。</w:t>
      </w:r>
    </w:p>
  </w:comment>
  <w:comment w:id="9" w:author="江婉婷" w:date="2026-10-01T18:40:08Z" w:initials="">
    <w:p w14:paraId="006A7C6A">
      <w:pPr>
        <w:pStyle w:val="13"/>
        <w:rPr>
          <w:rFonts w:hint="default" w:eastAsia="宋体"/>
          <w:lang w:val="en-US" w:eastAsia="zh-CN"/>
        </w:rPr>
      </w:pPr>
      <w:r>
        <w:rPr>
          <w:rFonts w:hint="eastAsia"/>
          <w:lang w:val="en-US" w:eastAsia="zh-CN"/>
        </w:rPr>
        <w:t>图片拉伸过，不是规范地图。</w:t>
      </w:r>
    </w:p>
  </w:comment>
  <w:comment w:id="10" w:author="江婉婷" w:date="2026-10-01T18:30:53Z" w:initials="">
    <w:p w14:paraId="26BA1096">
      <w:pPr>
        <w:pStyle w:val="13"/>
        <w:rPr>
          <w:rFonts w:hint="default" w:eastAsia="宋体"/>
          <w:lang w:val="en-US" w:eastAsia="zh-CN"/>
        </w:rPr>
      </w:pPr>
      <w:r>
        <w:rPr>
          <w:rFonts w:hint="eastAsia"/>
          <w:lang w:val="en-US" w:eastAsia="zh-CN"/>
        </w:rPr>
        <w:t>文中的大量图片过于模糊。</w:t>
      </w:r>
    </w:p>
  </w:comment>
  <w:comment w:id="11" w:author="江婉婷" w:date="2026-10-01T19:08:35Z" w:initials="">
    <w:p w14:paraId="1BF37EC5">
      <w:pPr>
        <w:pStyle w:val="13"/>
        <w:rPr>
          <w:rFonts w:hint="default" w:eastAsia="宋体"/>
          <w:lang w:val="en-US" w:eastAsia="zh-CN"/>
        </w:rPr>
      </w:pPr>
      <w:r>
        <w:rPr>
          <w:rFonts w:hint="eastAsia"/>
          <w:lang w:val="en-US" w:eastAsia="zh-CN"/>
        </w:rPr>
        <w:t>这一做法描述与规范不符。规范要求以土壤类型图为基础，叠加环境变量图层形成评价单元。报告实际上对评价范围进行了人为筛选，是否可能导致评价结果不完整。</w:t>
      </w:r>
    </w:p>
  </w:comment>
  <w:comment w:id="12" w:author="江婉婷" w:date="2026-10-01T18:52:39Z" w:initials="">
    <w:p w14:paraId="2B33366A">
      <w:pPr>
        <w:pStyle w:val="13"/>
        <w:rPr>
          <w:rFonts w:hint="default" w:eastAsia="宋体"/>
          <w:lang w:val="en-US" w:eastAsia="zh-CN"/>
        </w:rPr>
      </w:pPr>
      <w:r>
        <w:rPr>
          <w:rFonts w:hint="eastAsia"/>
        </w:rPr>
        <w:t>《规范》6.3.3要求利用最大熵模型分析各评价指标（环境变量）的隶属度，验证模型精度AUC值大于0.7。</w:t>
      </w:r>
      <w:r>
        <w:rPr>
          <w:rFonts w:hint="eastAsia"/>
          <w:lang w:val="en-US" w:eastAsia="zh-CN"/>
        </w:rPr>
        <w:t>但报告中未说明。</w:t>
      </w:r>
    </w:p>
  </w:comment>
  <w:comment w:id="13" w:author="江婉婷" w:date="2026-10-01T18:32:11Z" w:initials="">
    <w:p w14:paraId="1B1B71BD">
      <w:pPr>
        <w:pStyle w:val="13"/>
        <w:rPr>
          <w:rFonts w:hint="eastAsia"/>
          <w:lang w:val="en-US" w:eastAsia="zh-CN"/>
        </w:rPr>
      </w:pPr>
      <w:r>
        <w:rPr>
          <w:rFonts w:hint="eastAsia"/>
          <w:lang w:val="en-US" w:eastAsia="zh-CN"/>
        </w:rPr>
        <w:t>请依据规范要求制表</w:t>
      </w:r>
    </w:p>
    <w:p w14:paraId="3E792502">
      <w:pPr>
        <w:pStyle w:val="13"/>
      </w:pPr>
      <w:r>
        <w:drawing>
          <wp:inline distT="0" distB="0" distL="114300" distR="114300">
            <wp:extent cx="2478405" cy="1280160"/>
            <wp:effectExtent l="0" t="0" r="1079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2478405" cy="1280160"/>
                    </a:xfrm>
                    <a:prstGeom prst="rect">
                      <a:avLst/>
                    </a:prstGeom>
                    <a:noFill/>
                    <a:ln>
                      <a:noFill/>
                    </a:ln>
                  </pic:spPr>
                </pic:pic>
              </a:graphicData>
            </a:graphic>
          </wp:inline>
        </w:drawing>
      </w:r>
    </w:p>
  </w:comment>
  <w:comment w:id="14" w:author="江婉婷" w:date="2026-10-01T18:44:32Z" w:initials="">
    <w:p w14:paraId="2F7930FA">
      <w:pPr>
        <w:pStyle w:val="13"/>
        <w:rPr>
          <w:rFonts w:hint="default" w:eastAsia="宋体"/>
          <w:lang w:val="en-US" w:eastAsia="zh-CN"/>
        </w:rPr>
      </w:pPr>
      <w:r>
        <w:rPr>
          <w:rFonts w:hint="eastAsia"/>
          <w:lang w:val="en-US" w:eastAsia="zh-CN"/>
        </w:rPr>
        <w:t>《规范》6.3.4规定，综合运用专家经验法、最大熵模型法和熵权法，隶属度采用专家经验法和最大熵模型法获得，权重采用专家经验法和熵权法获得。表中权重来源未说明是否经过熵权法计算或专家经验修订，文中也未展示熵权法计算过程或结果。</w:t>
      </w:r>
    </w:p>
  </w:comment>
  <w:comment w:id="15" w:author="江婉婷" w:date="2026-10-01T19:16:25Z" w:initials="">
    <w:p w14:paraId="310639E8">
      <w:pPr>
        <w:pStyle w:val="13"/>
      </w:pPr>
      <w:r>
        <w:rPr>
          <w:rFonts w:hint="eastAsia"/>
        </w:rPr>
        <w:t>验收评分表“评价方法”评分要点要求“综合评价指数分类范围科学合理”</w:t>
      </w:r>
      <w:r>
        <w:rPr>
          <w:rFonts w:hint="eastAsia"/>
          <w:lang w:eastAsia="zh-CN"/>
        </w:rPr>
        <w:t>，</w:t>
      </w:r>
      <w:r>
        <w:rPr>
          <w:rFonts w:hint="eastAsia"/>
        </w:rPr>
        <w:t>但</w:t>
      </w:r>
      <w:r>
        <w:rPr>
          <w:rFonts w:hint="eastAsia"/>
          <w:lang w:val="en-US" w:eastAsia="zh-CN"/>
        </w:rPr>
        <w:t>报告中</w:t>
      </w:r>
      <w:r>
        <w:rPr>
          <w:rFonts w:hint="eastAsia"/>
        </w:rPr>
        <w:t>未说明</w:t>
      </w:r>
      <w:r>
        <w:rPr>
          <w:rFonts w:hint="eastAsia"/>
          <w:lang w:val="en-US" w:eastAsia="zh-CN"/>
        </w:rPr>
        <w:t>提及的</w:t>
      </w:r>
      <w:r>
        <w:rPr>
          <w:rFonts w:hint="eastAsia"/>
        </w:rPr>
        <w:t>0.304与0.689之间的关系是否符合《规范》中S₂=S₁−δ的公式，也未说明δ的取值依据。建议补充说明。</w:t>
      </w:r>
    </w:p>
  </w:comment>
  <w:comment w:id="16" w:author="江婉婷" w:date="2026-10-01T18:32:54Z" w:initials="">
    <w:p w14:paraId="50814FDB">
      <w:pPr>
        <w:pStyle w:val="13"/>
        <w:rPr>
          <w:rFonts w:hint="default" w:eastAsia="宋体"/>
          <w:lang w:val="en-US" w:eastAsia="zh-CN"/>
        </w:rPr>
      </w:pPr>
      <w:r>
        <w:rPr>
          <w:rFonts w:hint="eastAsia"/>
          <w:lang w:val="en-US" w:eastAsia="zh-CN"/>
        </w:rPr>
        <w:t>表格编号有误</w:t>
      </w:r>
    </w:p>
  </w:comment>
  <w:comment w:id="17" w:author="江婉婷" w:date="2026-10-01T18:48:46Z" w:initials="">
    <w:p w14:paraId="72013A13">
      <w:pPr>
        <w:pStyle w:val="13"/>
      </w:pPr>
      <w:r>
        <w:rPr>
          <w:rFonts w:hint="eastAsia"/>
          <w:lang w:val="en-US" w:eastAsia="zh-CN"/>
        </w:rPr>
        <w:t>图件内容标注，规范中有具体要求，目前成果不符合规范要求。</w:t>
      </w:r>
      <w:r>
        <w:drawing>
          <wp:inline distT="0" distB="0" distL="114300" distR="114300">
            <wp:extent cx="2487930" cy="679450"/>
            <wp:effectExtent l="0" t="0" r="1270" b="635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
                    <a:stretch>
                      <a:fillRect/>
                    </a:stretch>
                  </pic:blipFill>
                  <pic:spPr>
                    <a:xfrm>
                      <a:off x="0" y="0"/>
                      <a:ext cx="2487930" cy="679450"/>
                    </a:xfrm>
                    <a:prstGeom prst="rect">
                      <a:avLst/>
                    </a:prstGeom>
                    <a:noFill/>
                    <a:ln>
                      <a:noFill/>
                    </a:ln>
                  </pic:spPr>
                </pic:pic>
              </a:graphicData>
            </a:graphic>
          </wp:inline>
        </w:drawing>
      </w:r>
    </w:p>
  </w:comment>
  <w:comment w:id="18" w:author="江婉婷" w:date="2026-10-01T18:33:17Z" w:initials="">
    <w:p w14:paraId="03B306BA">
      <w:pPr>
        <w:pStyle w:val="13"/>
        <w:rPr>
          <w:rFonts w:hint="eastAsia"/>
          <w:lang w:val="en-US" w:eastAsia="zh-CN"/>
        </w:rPr>
      </w:pPr>
      <w:r>
        <w:rPr>
          <w:rFonts w:hint="eastAsia"/>
          <w:lang w:val="en-US" w:eastAsia="zh-CN"/>
        </w:rPr>
        <w:t>请按省里规范要求制表。</w:t>
      </w:r>
    </w:p>
    <w:p w14:paraId="3912494F">
      <w:pPr>
        <w:pStyle w:val="13"/>
        <w:rPr>
          <w:rFonts w:hint="default"/>
          <w:lang w:val="en-US" w:eastAsia="zh-CN"/>
        </w:rPr>
      </w:pPr>
      <w:r>
        <w:drawing>
          <wp:inline distT="0" distB="0" distL="114300" distR="114300">
            <wp:extent cx="2468880" cy="506730"/>
            <wp:effectExtent l="0" t="0" r="7620" b="12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3"/>
                    <a:stretch>
                      <a:fillRect/>
                    </a:stretch>
                  </pic:blipFill>
                  <pic:spPr>
                    <a:xfrm>
                      <a:off x="0" y="0"/>
                      <a:ext cx="2468880" cy="506730"/>
                    </a:xfrm>
                    <a:prstGeom prst="rect">
                      <a:avLst/>
                    </a:prstGeom>
                    <a:noFill/>
                    <a:ln>
                      <a:noFill/>
                    </a:ln>
                  </pic:spPr>
                </pic:pic>
              </a:graphicData>
            </a:graphic>
          </wp:inline>
        </w:drawing>
      </w:r>
      <w:r>
        <w:drawing>
          <wp:inline distT="0" distB="0" distL="114300" distR="114300">
            <wp:extent cx="2458085" cy="445135"/>
            <wp:effectExtent l="0" t="0" r="5715" b="1206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4"/>
                    <a:stretch>
                      <a:fillRect/>
                    </a:stretch>
                  </pic:blipFill>
                  <pic:spPr>
                    <a:xfrm>
                      <a:off x="0" y="0"/>
                      <a:ext cx="2458085" cy="445135"/>
                    </a:xfrm>
                    <a:prstGeom prst="rect">
                      <a:avLst/>
                    </a:prstGeom>
                    <a:noFill/>
                    <a:ln>
                      <a:noFill/>
                    </a:ln>
                  </pic:spPr>
                </pic:pic>
              </a:graphicData>
            </a:graphic>
          </wp:inline>
        </w:drawing>
      </w:r>
    </w:p>
  </w:comment>
  <w:comment w:id="19" w:author="江婉婷" w:date="2026-10-01T18:22:48Z" w:initials="">
    <w:p w14:paraId="75120571">
      <w:pPr>
        <w:pStyle w:val="13"/>
        <w:rPr>
          <w:rFonts w:hint="default" w:eastAsia="宋体"/>
          <w:lang w:val="en-US" w:eastAsia="zh-CN"/>
        </w:rPr>
      </w:pPr>
      <w:r>
        <w:rPr>
          <w:rFonts w:hint="eastAsia"/>
          <w:lang w:val="en-US" w:eastAsia="zh-CN"/>
        </w:rPr>
        <w:t>评价结构科学性和准确性的验证，要求选取不同评价适宜类别区调查土特产品品质和产量，开展现场验证和专家研判（含照片或签字）。</w:t>
      </w:r>
    </w:p>
  </w:comment>
  <w:comment w:id="20" w:author="江婉婷" w:date="2026-10-01T18:35:44Z" w:initials="">
    <w:p w14:paraId="027470E6">
      <w:pPr>
        <w:pStyle w:val="13"/>
        <w:rPr>
          <w:rFonts w:hint="eastAsia" w:eastAsia="宋体"/>
          <w:lang w:val="en-US" w:eastAsia="zh-CN"/>
        </w:rPr>
      </w:pPr>
      <w:r>
        <w:rPr>
          <w:rFonts w:hint="eastAsia" w:eastAsia="宋体"/>
          <w:lang w:val="en-US" w:eastAsia="zh-CN"/>
        </w:rPr>
        <w:t>为保证县级土特产评价成果图件汇总成地市级、省级、国家级成果图件时，图件属性数据表结构的统一，土特产评价成果数据成果要求见下表1、表1-1至表1-4。</w:t>
      </w:r>
    </w:p>
    <w:p w14:paraId="73D84F1C">
      <w:pPr>
        <w:pStyle w:val="13"/>
        <w:rPr>
          <w:rFonts w:hint="eastAsia"/>
          <w:lang w:val="en-US" w:eastAsia="zh-CN"/>
        </w:rPr>
      </w:pPr>
      <w:r>
        <w:rPr>
          <w:rFonts w:hint="eastAsia"/>
          <w:lang w:val="en-US" w:eastAsia="zh-CN"/>
        </w:rPr>
        <w:t>目前文中已经有1-1和1-2，但需要按照规范修改。</w:t>
      </w:r>
    </w:p>
    <w:p w14:paraId="114C7979">
      <w:pPr>
        <w:pStyle w:val="13"/>
        <w:rPr>
          <w:rFonts w:hint="eastAsia"/>
          <w:lang w:val="en-US" w:eastAsia="zh-CN"/>
        </w:rPr>
      </w:pPr>
      <w:r>
        <w:rPr>
          <w:rFonts w:hint="eastAsia"/>
          <w:lang w:val="en-US" w:eastAsia="zh-CN"/>
        </w:rPr>
        <w:t>缺少1-3和1-4。</w:t>
      </w:r>
    </w:p>
    <w:p w14:paraId="27680321">
      <w:pPr>
        <w:pStyle w:val="13"/>
        <w:rPr>
          <w:rFonts w:hint="default"/>
          <w:lang w:val="en-US" w:eastAsia="zh-CN"/>
        </w:rPr>
      </w:pPr>
      <w:r>
        <w:drawing>
          <wp:inline distT="0" distB="0" distL="114300" distR="114300">
            <wp:extent cx="2548890" cy="695960"/>
            <wp:effectExtent l="0" t="0" r="3810" b="254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5"/>
                    <a:stretch>
                      <a:fillRect/>
                    </a:stretch>
                  </pic:blipFill>
                  <pic:spPr>
                    <a:xfrm>
                      <a:off x="0" y="0"/>
                      <a:ext cx="2548890" cy="695960"/>
                    </a:xfrm>
                    <a:prstGeom prst="rect">
                      <a:avLst/>
                    </a:prstGeom>
                    <a:noFill/>
                    <a:ln>
                      <a:noFill/>
                    </a:ln>
                  </pic:spPr>
                </pic:pic>
              </a:graphicData>
            </a:graphic>
          </wp:inline>
        </w:drawing>
      </w:r>
      <w:r>
        <w:drawing>
          <wp:inline distT="0" distB="0" distL="114300" distR="114300">
            <wp:extent cx="2606675" cy="1177925"/>
            <wp:effectExtent l="0" t="0" r="9525" b="317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6"/>
                    <a:stretch>
                      <a:fillRect/>
                    </a:stretch>
                  </pic:blipFill>
                  <pic:spPr>
                    <a:xfrm>
                      <a:off x="0" y="0"/>
                      <a:ext cx="2606675" cy="1177925"/>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C06DD4" w15:done="0"/>
  <w15:commentEx w15:paraId="0D06002D" w15:done="0"/>
  <w15:commentEx w15:paraId="475D6A11" w15:done="0"/>
  <w15:commentEx w15:paraId="7617149F" w15:done="0"/>
  <w15:commentEx w15:paraId="19FB4BE7" w15:done="0"/>
  <w15:commentEx w15:paraId="2B9D46A6" w15:done="0"/>
  <w15:commentEx w15:paraId="06646CC3" w15:done="0"/>
  <w15:commentEx w15:paraId="10CD5AB7" w15:done="0"/>
  <w15:commentEx w15:paraId="33A9514F" w15:done="0"/>
  <w15:commentEx w15:paraId="006A7C6A" w15:done="0"/>
  <w15:commentEx w15:paraId="26BA1096" w15:done="0"/>
  <w15:commentEx w15:paraId="1BF37EC5" w15:done="0"/>
  <w15:commentEx w15:paraId="2B33366A" w15:done="0"/>
  <w15:commentEx w15:paraId="3E792502" w15:done="0"/>
  <w15:commentEx w15:paraId="2F7930FA" w15:done="0"/>
  <w15:commentEx w15:paraId="310639E8" w15:done="0"/>
  <w15:commentEx w15:paraId="50814FDB" w15:done="0"/>
  <w15:commentEx w15:paraId="72013A13" w15:done="0"/>
  <w15:commentEx w15:paraId="3912494F" w15:done="0"/>
  <w15:commentEx w15:paraId="75120571" w15:done="0"/>
  <w15:commentEx w15:paraId="2768032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ind w:firstLine="360"/>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AE2403"/>
    <w:multiLevelType w:val="singleLevel"/>
    <w:tmpl w:val="D5AE2403"/>
    <w:lvl w:ilvl="0" w:tentative="0">
      <w:start w:val="1"/>
      <w:numFmt w:val="decimal"/>
      <w:suff w:val="space"/>
      <w:lvlText w:val="%1."/>
      <w:lvlJc w:val="left"/>
    </w:lvl>
  </w:abstractNum>
  <w:abstractNum w:abstractNumId="1">
    <w:nsid w:val="1A055BE1"/>
    <w:multiLevelType w:val="multilevel"/>
    <w:tmpl w:val="1A055BE1"/>
    <w:lvl w:ilvl="0" w:tentative="0">
      <w:start w:val="1"/>
      <w:numFmt w:val="decimal"/>
      <w:lvlText w:val="%1."/>
      <w:lvlJc w:val="left"/>
      <w:pPr>
        <w:ind w:left="1080" w:hanging="360"/>
      </w:pPr>
      <w:rPr>
        <w:rFonts w:hint="default"/>
      </w:rPr>
    </w:lvl>
    <w:lvl w:ilvl="1" w:tentative="0">
      <w:start w:val="1"/>
      <w:numFmt w:val="lowerLetter"/>
      <w:lvlText w:val="%2)"/>
      <w:lvlJc w:val="left"/>
      <w:pPr>
        <w:ind w:left="1600" w:hanging="440"/>
      </w:pPr>
    </w:lvl>
    <w:lvl w:ilvl="2" w:tentative="0">
      <w:start w:val="1"/>
      <w:numFmt w:val="lowerRoman"/>
      <w:lvlText w:val="%3."/>
      <w:lvlJc w:val="right"/>
      <w:pPr>
        <w:ind w:left="2040" w:hanging="440"/>
      </w:pPr>
    </w:lvl>
    <w:lvl w:ilvl="3" w:tentative="0">
      <w:start w:val="1"/>
      <w:numFmt w:val="decimal"/>
      <w:lvlText w:val="%4."/>
      <w:lvlJc w:val="left"/>
      <w:pPr>
        <w:ind w:left="2480" w:hanging="440"/>
      </w:pPr>
    </w:lvl>
    <w:lvl w:ilvl="4" w:tentative="0">
      <w:start w:val="1"/>
      <w:numFmt w:val="lowerLetter"/>
      <w:lvlText w:val="%5)"/>
      <w:lvlJc w:val="left"/>
      <w:pPr>
        <w:ind w:left="2920" w:hanging="440"/>
      </w:pPr>
    </w:lvl>
    <w:lvl w:ilvl="5" w:tentative="0">
      <w:start w:val="1"/>
      <w:numFmt w:val="lowerRoman"/>
      <w:lvlText w:val="%6."/>
      <w:lvlJc w:val="right"/>
      <w:pPr>
        <w:ind w:left="3360" w:hanging="440"/>
      </w:pPr>
    </w:lvl>
    <w:lvl w:ilvl="6" w:tentative="0">
      <w:start w:val="1"/>
      <w:numFmt w:val="decimal"/>
      <w:lvlText w:val="%7."/>
      <w:lvlJc w:val="left"/>
      <w:pPr>
        <w:ind w:left="3800" w:hanging="440"/>
      </w:pPr>
    </w:lvl>
    <w:lvl w:ilvl="7" w:tentative="0">
      <w:start w:val="1"/>
      <w:numFmt w:val="lowerLetter"/>
      <w:lvlText w:val="%8)"/>
      <w:lvlJc w:val="left"/>
      <w:pPr>
        <w:ind w:left="4240" w:hanging="440"/>
      </w:pPr>
    </w:lvl>
    <w:lvl w:ilvl="8" w:tentative="0">
      <w:start w:val="1"/>
      <w:numFmt w:val="lowerRoman"/>
      <w:lvlText w:val="%9."/>
      <w:lvlJc w:val="right"/>
      <w:pPr>
        <w:ind w:left="4680" w:hanging="440"/>
      </w:pPr>
    </w:lvl>
  </w:abstractNum>
  <w:abstractNum w:abstractNumId="2">
    <w:nsid w:val="43CE7650"/>
    <w:multiLevelType w:val="multilevel"/>
    <w:tmpl w:val="43CE7650"/>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664D69F6"/>
    <w:multiLevelType w:val="multilevel"/>
    <w:tmpl w:val="664D69F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80A278D"/>
    <w:multiLevelType w:val="multilevel"/>
    <w:tmpl w:val="680A278D"/>
    <w:lvl w:ilvl="0" w:tentative="0">
      <w:start w:val="1"/>
      <w:numFmt w:val="japaneseCounting"/>
      <w:lvlText w:val="（%1）"/>
      <w:lvlJc w:val="left"/>
      <w:pPr>
        <w:ind w:left="720" w:hanging="720"/>
      </w:pPr>
      <w:rPr>
        <w:rFonts w:hint="default"/>
      </w:rPr>
    </w:lvl>
    <w:lvl w:ilvl="1" w:tentative="0">
      <w:start w:val="3"/>
      <w:numFmt w:val="japaneseCounting"/>
      <w:lvlText w:val="（%2—"/>
      <w:lvlJc w:val="left"/>
      <w:pPr>
        <w:ind w:left="1160" w:hanging="72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4"/>
  </w:num>
  <w:num w:numId="3">
    <w:abstractNumId w:val="3"/>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江婉婷">
    <w15:presenceInfo w15:providerId="WPS Office" w15:userId="22935452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U1OTA1MmVlNjM1NzJmMTJkYjlhMDM4MzAzYWIzZmEifQ=="/>
  </w:docVars>
  <w:rsids>
    <w:rsidRoot w:val="000D10BB"/>
    <w:rsid w:val="00001797"/>
    <w:rsid w:val="00006FC6"/>
    <w:rsid w:val="00017568"/>
    <w:rsid w:val="00021857"/>
    <w:rsid w:val="00042F3E"/>
    <w:rsid w:val="00043B45"/>
    <w:rsid w:val="00084AA4"/>
    <w:rsid w:val="000879E6"/>
    <w:rsid w:val="000B3DA8"/>
    <w:rsid w:val="000D10BB"/>
    <w:rsid w:val="000D5B19"/>
    <w:rsid w:val="000E3CA9"/>
    <w:rsid w:val="00113191"/>
    <w:rsid w:val="0011663C"/>
    <w:rsid w:val="00116E2E"/>
    <w:rsid w:val="00134F7D"/>
    <w:rsid w:val="00172481"/>
    <w:rsid w:val="00173F37"/>
    <w:rsid w:val="001855E2"/>
    <w:rsid w:val="001F1088"/>
    <w:rsid w:val="00217824"/>
    <w:rsid w:val="0022287B"/>
    <w:rsid w:val="0026086B"/>
    <w:rsid w:val="00263835"/>
    <w:rsid w:val="00265BB3"/>
    <w:rsid w:val="00274EDB"/>
    <w:rsid w:val="00293D32"/>
    <w:rsid w:val="002B1F20"/>
    <w:rsid w:val="002C2C71"/>
    <w:rsid w:val="002D39DB"/>
    <w:rsid w:val="00300BEA"/>
    <w:rsid w:val="00300CAF"/>
    <w:rsid w:val="003178B8"/>
    <w:rsid w:val="00347E1D"/>
    <w:rsid w:val="00397702"/>
    <w:rsid w:val="003B05D1"/>
    <w:rsid w:val="003C3AE7"/>
    <w:rsid w:val="003C5912"/>
    <w:rsid w:val="003C6F20"/>
    <w:rsid w:val="003C79DD"/>
    <w:rsid w:val="003C7A77"/>
    <w:rsid w:val="003F052F"/>
    <w:rsid w:val="003F1C14"/>
    <w:rsid w:val="003F30DE"/>
    <w:rsid w:val="0040007D"/>
    <w:rsid w:val="00402C2F"/>
    <w:rsid w:val="00411CFB"/>
    <w:rsid w:val="0043056E"/>
    <w:rsid w:val="00435E4E"/>
    <w:rsid w:val="00444E32"/>
    <w:rsid w:val="00483DB5"/>
    <w:rsid w:val="00486249"/>
    <w:rsid w:val="0049199E"/>
    <w:rsid w:val="004A28F4"/>
    <w:rsid w:val="004B2479"/>
    <w:rsid w:val="004C5107"/>
    <w:rsid w:val="00520EEB"/>
    <w:rsid w:val="0055410A"/>
    <w:rsid w:val="00585CC1"/>
    <w:rsid w:val="00587194"/>
    <w:rsid w:val="00596E69"/>
    <w:rsid w:val="005C1D14"/>
    <w:rsid w:val="005D3F23"/>
    <w:rsid w:val="00600480"/>
    <w:rsid w:val="00617007"/>
    <w:rsid w:val="00617615"/>
    <w:rsid w:val="00617B15"/>
    <w:rsid w:val="00640265"/>
    <w:rsid w:val="006700DA"/>
    <w:rsid w:val="00672E40"/>
    <w:rsid w:val="006A72F1"/>
    <w:rsid w:val="006B25F4"/>
    <w:rsid w:val="006E3A83"/>
    <w:rsid w:val="00714DF7"/>
    <w:rsid w:val="0072245B"/>
    <w:rsid w:val="00737253"/>
    <w:rsid w:val="00771ECB"/>
    <w:rsid w:val="007A5F48"/>
    <w:rsid w:val="007D06A1"/>
    <w:rsid w:val="007E020B"/>
    <w:rsid w:val="007E3861"/>
    <w:rsid w:val="007E7C62"/>
    <w:rsid w:val="008025B6"/>
    <w:rsid w:val="00812DE6"/>
    <w:rsid w:val="00847847"/>
    <w:rsid w:val="0086296C"/>
    <w:rsid w:val="00863682"/>
    <w:rsid w:val="00874982"/>
    <w:rsid w:val="00875F60"/>
    <w:rsid w:val="00880105"/>
    <w:rsid w:val="00892698"/>
    <w:rsid w:val="008C4665"/>
    <w:rsid w:val="008F13C8"/>
    <w:rsid w:val="008F5BAE"/>
    <w:rsid w:val="00904F54"/>
    <w:rsid w:val="00910EB9"/>
    <w:rsid w:val="00915598"/>
    <w:rsid w:val="00936D33"/>
    <w:rsid w:val="00942DDA"/>
    <w:rsid w:val="00951349"/>
    <w:rsid w:val="009648BD"/>
    <w:rsid w:val="00982255"/>
    <w:rsid w:val="009A6A90"/>
    <w:rsid w:val="009B3C1A"/>
    <w:rsid w:val="009B6998"/>
    <w:rsid w:val="009E02AD"/>
    <w:rsid w:val="009E5714"/>
    <w:rsid w:val="009F3987"/>
    <w:rsid w:val="009F5C9B"/>
    <w:rsid w:val="00A10886"/>
    <w:rsid w:val="00A70976"/>
    <w:rsid w:val="00AA5A00"/>
    <w:rsid w:val="00AB1634"/>
    <w:rsid w:val="00AC0EF4"/>
    <w:rsid w:val="00AF0884"/>
    <w:rsid w:val="00B40F83"/>
    <w:rsid w:val="00B561ED"/>
    <w:rsid w:val="00B72BE7"/>
    <w:rsid w:val="00B81251"/>
    <w:rsid w:val="00B92CC4"/>
    <w:rsid w:val="00BA1085"/>
    <w:rsid w:val="00BA367F"/>
    <w:rsid w:val="00BB43A7"/>
    <w:rsid w:val="00BD27DD"/>
    <w:rsid w:val="00BF1F66"/>
    <w:rsid w:val="00C02AD0"/>
    <w:rsid w:val="00C1001F"/>
    <w:rsid w:val="00C60AAA"/>
    <w:rsid w:val="00C74298"/>
    <w:rsid w:val="00C771AA"/>
    <w:rsid w:val="00C82FD9"/>
    <w:rsid w:val="00C8666D"/>
    <w:rsid w:val="00CA54BB"/>
    <w:rsid w:val="00CB7E3E"/>
    <w:rsid w:val="00CC6AE5"/>
    <w:rsid w:val="00CF435A"/>
    <w:rsid w:val="00D0404B"/>
    <w:rsid w:val="00D24E54"/>
    <w:rsid w:val="00D36CAC"/>
    <w:rsid w:val="00D43F16"/>
    <w:rsid w:val="00D522FF"/>
    <w:rsid w:val="00D5773D"/>
    <w:rsid w:val="00D878A4"/>
    <w:rsid w:val="00DC0326"/>
    <w:rsid w:val="00DC4E90"/>
    <w:rsid w:val="00DE1EA7"/>
    <w:rsid w:val="00DF207F"/>
    <w:rsid w:val="00E1435F"/>
    <w:rsid w:val="00E57A07"/>
    <w:rsid w:val="00E613E1"/>
    <w:rsid w:val="00E81A5F"/>
    <w:rsid w:val="00E939EE"/>
    <w:rsid w:val="00EB3A94"/>
    <w:rsid w:val="00EC2623"/>
    <w:rsid w:val="00EE26A9"/>
    <w:rsid w:val="00EF60F8"/>
    <w:rsid w:val="00F00703"/>
    <w:rsid w:val="00F07D51"/>
    <w:rsid w:val="00F322D8"/>
    <w:rsid w:val="00F34DBB"/>
    <w:rsid w:val="00F456FF"/>
    <w:rsid w:val="00F46C2D"/>
    <w:rsid w:val="00F5687D"/>
    <w:rsid w:val="00F72EB6"/>
    <w:rsid w:val="00FA46FB"/>
    <w:rsid w:val="00FC1FA8"/>
    <w:rsid w:val="00FC20F6"/>
    <w:rsid w:val="00FE19F1"/>
    <w:rsid w:val="00FF043A"/>
    <w:rsid w:val="00FF0857"/>
    <w:rsid w:val="03F62CB4"/>
    <w:rsid w:val="05015EA4"/>
    <w:rsid w:val="05045994"/>
    <w:rsid w:val="08F24482"/>
    <w:rsid w:val="09DC0C8E"/>
    <w:rsid w:val="0AAA5F94"/>
    <w:rsid w:val="0BFF4E01"/>
    <w:rsid w:val="0EC83D7C"/>
    <w:rsid w:val="0F0547E3"/>
    <w:rsid w:val="11060BBF"/>
    <w:rsid w:val="11EC41D4"/>
    <w:rsid w:val="122F559A"/>
    <w:rsid w:val="134A318B"/>
    <w:rsid w:val="16BA681D"/>
    <w:rsid w:val="171B2A49"/>
    <w:rsid w:val="19B412DF"/>
    <w:rsid w:val="1B192966"/>
    <w:rsid w:val="1B676A58"/>
    <w:rsid w:val="1BA62EAA"/>
    <w:rsid w:val="1EC27FFB"/>
    <w:rsid w:val="1ED8781E"/>
    <w:rsid w:val="2059498F"/>
    <w:rsid w:val="21D50045"/>
    <w:rsid w:val="280C7DCF"/>
    <w:rsid w:val="28D13155"/>
    <w:rsid w:val="2ABE1FBE"/>
    <w:rsid w:val="2B5524B6"/>
    <w:rsid w:val="2C433469"/>
    <w:rsid w:val="2C6C77F8"/>
    <w:rsid w:val="2F1E127D"/>
    <w:rsid w:val="316B4522"/>
    <w:rsid w:val="33D0208E"/>
    <w:rsid w:val="3754170A"/>
    <w:rsid w:val="38583CE8"/>
    <w:rsid w:val="394E6C03"/>
    <w:rsid w:val="3A4B3142"/>
    <w:rsid w:val="3AF96C2D"/>
    <w:rsid w:val="3B8B514E"/>
    <w:rsid w:val="3B9F72A2"/>
    <w:rsid w:val="3BF5780A"/>
    <w:rsid w:val="4594599D"/>
    <w:rsid w:val="46050649"/>
    <w:rsid w:val="466A7CBF"/>
    <w:rsid w:val="478F4ECF"/>
    <w:rsid w:val="47925F0D"/>
    <w:rsid w:val="47C954E1"/>
    <w:rsid w:val="4A677CC2"/>
    <w:rsid w:val="4A711DD8"/>
    <w:rsid w:val="4A745100"/>
    <w:rsid w:val="4AE01685"/>
    <w:rsid w:val="4BAD1567"/>
    <w:rsid w:val="50B653F4"/>
    <w:rsid w:val="525C7843"/>
    <w:rsid w:val="54000775"/>
    <w:rsid w:val="55C71477"/>
    <w:rsid w:val="579D6934"/>
    <w:rsid w:val="5B8A7FC1"/>
    <w:rsid w:val="5CCC007C"/>
    <w:rsid w:val="5DFB1161"/>
    <w:rsid w:val="601E45DE"/>
    <w:rsid w:val="60BE791B"/>
    <w:rsid w:val="6397692D"/>
    <w:rsid w:val="661E042A"/>
    <w:rsid w:val="681E586F"/>
    <w:rsid w:val="689478DF"/>
    <w:rsid w:val="69BC5B07"/>
    <w:rsid w:val="6CF97418"/>
    <w:rsid w:val="6D8141AA"/>
    <w:rsid w:val="6F0E7CBF"/>
    <w:rsid w:val="70E40C5C"/>
    <w:rsid w:val="718A5D23"/>
    <w:rsid w:val="71BC1B35"/>
    <w:rsid w:val="720158B9"/>
    <w:rsid w:val="74D956D9"/>
    <w:rsid w:val="76356FA4"/>
    <w:rsid w:val="77216F4A"/>
    <w:rsid w:val="783267CC"/>
    <w:rsid w:val="7B2A7E9F"/>
    <w:rsid w:val="7BD42CA5"/>
    <w:rsid w:val="7CCD740C"/>
    <w:rsid w:val="7CD752C9"/>
    <w:rsid w:val="7E461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35" w:semiHidden="0" w:name="caption"/>
    <w:lsdException w:qFormat="1" w:unhideWhenUsed="0" w:uiPriority="99" w:semiHidden="0"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ind w:firstLine="420" w:firstLineChars="200"/>
      <w:textAlignment w:val="baseline"/>
    </w:pPr>
    <w:rPr>
      <w:rFonts w:ascii="Times New Roman" w:hAnsi="Times New Roman" w:eastAsia="宋体" w:cs="Arial"/>
      <w:snapToGrid w:val="0"/>
      <w:color w:val="000000"/>
      <w:sz w:val="24"/>
      <w:szCs w:val="21"/>
      <w:lang w:val="en-US" w:eastAsia="en-US" w:bidi="ar-SA"/>
    </w:rPr>
  </w:style>
  <w:style w:type="paragraph" w:styleId="2">
    <w:name w:val="heading 1"/>
    <w:basedOn w:val="1"/>
    <w:next w:val="1"/>
    <w:link w:val="44"/>
    <w:qFormat/>
    <w:uiPriority w:val="0"/>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45"/>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40"/>
    <w:unhideWhenUsed/>
    <w:qFormat/>
    <w:uiPriority w:val="0"/>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41"/>
    <w:unhideWhenUsed/>
    <w:qFormat/>
    <w:uiPriority w:val="0"/>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42"/>
    <w:unhideWhenUsed/>
    <w:qFormat/>
    <w:uiPriority w:val="0"/>
    <w:pPr>
      <w:keepNext/>
      <w:keepLines/>
      <w:spacing w:before="80" w:after="40"/>
      <w:outlineLvl w:val="4"/>
    </w:pPr>
    <w:rPr>
      <w:rFonts w:cstheme="majorBidi"/>
      <w:color w:val="2F5597" w:themeColor="accent1" w:themeShade="BF"/>
      <w:szCs w:val="24"/>
    </w:rPr>
  </w:style>
  <w:style w:type="paragraph" w:styleId="7">
    <w:name w:val="heading 6"/>
    <w:basedOn w:val="1"/>
    <w:next w:val="1"/>
    <w:link w:val="43"/>
    <w:unhideWhenUsed/>
    <w:qFormat/>
    <w:uiPriority w:val="0"/>
    <w:pPr>
      <w:keepNext/>
      <w:keepLines/>
      <w:spacing w:before="40"/>
      <w:outlineLvl w:val="5"/>
    </w:pPr>
    <w:rPr>
      <w:rFonts w:cstheme="majorBidi"/>
      <w:b/>
      <w:bCs/>
      <w:color w:val="2F5597" w:themeColor="accent1" w:themeShade="BF"/>
    </w:rPr>
  </w:style>
  <w:style w:type="paragraph" w:styleId="8">
    <w:name w:val="heading 7"/>
    <w:basedOn w:val="1"/>
    <w:next w:val="1"/>
    <w:link w:val="49"/>
    <w:unhideWhenUsed/>
    <w:qFormat/>
    <w:uiPriority w:val="0"/>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50"/>
    <w:unhideWhenUsed/>
    <w:qFormat/>
    <w:uiPriority w:val="0"/>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51"/>
    <w:unhideWhenUsed/>
    <w:qFormat/>
    <w:uiPriority w:val="0"/>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widowControl w:val="0"/>
      <w:kinsoku/>
      <w:autoSpaceDE/>
      <w:autoSpaceDN/>
      <w:adjustRightInd/>
      <w:snapToGrid/>
      <w:spacing w:after="160" w:line="278" w:lineRule="auto"/>
      <w:ind w:left="2520" w:leftChars="1200" w:firstLine="0" w:firstLineChars="0"/>
      <w:textAlignment w:val="auto"/>
    </w:pPr>
    <w:rPr>
      <w:rFonts w:asciiTheme="minorHAnsi" w:hAnsiTheme="minorHAnsi" w:eastAsiaTheme="minorEastAsia" w:cstheme="minorBidi"/>
      <w:snapToGrid/>
      <w:color w:val="auto"/>
      <w:kern w:val="2"/>
      <w:sz w:val="22"/>
      <w:szCs w:val="24"/>
      <w:lang w:eastAsia="zh-CN"/>
      <w14:ligatures w14:val="standardContextual"/>
    </w:rPr>
  </w:style>
  <w:style w:type="paragraph" w:styleId="12">
    <w:name w:val="caption"/>
    <w:basedOn w:val="1"/>
    <w:next w:val="1"/>
    <w:link w:val="68"/>
    <w:qFormat/>
    <w:uiPriority w:val="35"/>
    <w:pPr>
      <w:ind w:firstLine="0" w:firstLineChars="0"/>
      <w:jc w:val="center"/>
    </w:pPr>
    <w:rPr>
      <w:rFonts w:eastAsia="黑体"/>
      <w:sz w:val="21"/>
      <w:szCs w:val="24"/>
    </w:rPr>
  </w:style>
  <w:style w:type="paragraph" w:styleId="13">
    <w:name w:val="annotation text"/>
    <w:basedOn w:val="1"/>
    <w:link w:val="63"/>
    <w:qFormat/>
    <w:uiPriority w:val="0"/>
  </w:style>
  <w:style w:type="paragraph" w:styleId="14">
    <w:name w:val="Body Text"/>
    <w:basedOn w:val="1"/>
    <w:link w:val="91"/>
    <w:qFormat/>
    <w:uiPriority w:val="0"/>
    <w:pPr>
      <w:spacing w:after="120"/>
    </w:pPr>
  </w:style>
  <w:style w:type="paragraph" w:styleId="15">
    <w:name w:val="Body Text Indent"/>
    <w:basedOn w:val="1"/>
    <w:link w:val="61"/>
    <w:unhideWhenUsed/>
    <w:qFormat/>
    <w:uiPriority w:val="0"/>
    <w:pPr>
      <w:spacing w:after="120"/>
      <w:ind w:left="420" w:leftChars="200"/>
    </w:pPr>
  </w:style>
  <w:style w:type="paragraph" w:styleId="16">
    <w:name w:val="toc 5"/>
    <w:basedOn w:val="1"/>
    <w:next w:val="1"/>
    <w:unhideWhenUsed/>
    <w:qFormat/>
    <w:uiPriority w:val="39"/>
    <w:pPr>
      <w:widowControl w:val="0"/>
      <w:kinsoku/>
      <w:autoSpaceDE/>
      <w:autoSpaceDN/>
      <w:adjustRightInd/>
      <w:snapToGrid/>
      <w:spacing w:after="160" w:line="278" w:lineRule="auto"/>
      <w:ind w:left="1680" w:leftChars="800" w:firstLine="0" w:firstLineChars="0"/>
      <w:textAlignment w:val="auto"/>
    </w:pPr>
    <w:rPr>
      <w:rFonts w:asciiTheme="minorHAnsi" w:hAnsiTheme="minorHAnsi" w:eastAsiaTheme="minorEastAsia" w:cstheme="minorBidi"/>
      <w:snapToGrid/>
      <w:color w:val="auto"/>
      <w:kern w:val="2"/>
      <w:sz w:val="22"/>
      <w:szCs w:val="24"/>
      <w:lang w:eastAsia="zh-CN"/>
      <w14:ligatures w14:val="standardContextual"/>
    </w:rPr>
  </w:style>
  <w:style w:type="paragraph" w:styleId="17">
    <w:name w:val="toc 3"/>
    <w:basedOn w:val="1"/>
    <w:next w:val="1"/>
    <w:qFormat/>
    <w:uiPriority w:val="39"/>
    <w:pPr>
      <w:ind w:left="840" w:leftChars="400"/>
    </w:pPr>
  </w:style>
  <w:style w:type="paragraph" w:styleId="18">
    <w:name w:val="toc 8"/>
    <w:basedOn w:val="1"/>
    <w:next w:val="1"/>
    <w:unhideWhenUsed/>
    <w:qFormat/>
    <w:uiPriority w:val="39"/>
    <w:pPr>
      <w:widowControl w:val="0"/>
      <w:kinsoku/>
      <w:autoSpaceDE/>
      <w:autoSpaceDN/>
      <w:adjustRightInd/>
      <w:snapToGrid/>
      <w:spacing w:after="160" w:line="278" w:lineRule="auto"/>
      <w:ind w:left="2940" w:leftChars="1400" w:firstLine="0" w:firstLineChars="0"/>
      <w:textAlignment w:val="auto"/>
    </w:pPr>
    <w:rPr>
      <w:rFonts w:asciiTheme="minorHAnsi" w:hAnsiTheme="minorHAnsi" w:eastAsiaTheme="minorEastAsia" w:cstheme="minorBidi"/>
      <w:snapToGrid/>
      <w:color w:val="auto"/>
      <w:kern w:val="2"/>
      <w:sz w:val="22"/>
      <w:szCs w:val="24"/>
      <w:lang w:eastAsia="zh-CN"/>
      <w14:ligatures w14:val="standardContextual"/>
    </w:rPr>
  </w:style>
  <w:style w:type="paragraph" w:styleId="19">
    <w:name w:val="footer"/>
    <w:basedOn w:val="1"/>
    <w:link w:val="65"/>
    <w:qFormat/>
    <w:uiPriority w:val="99"/>
    <w:pPr>
      <w:tabs>
        <w:tab w:val="center" w:pos="4153"/>
        <w:tab w:val="right" w:pos="8306"/>
      </w:tabs>
    </w:pPr>
    <w:rPr>
      <w:sz w:val="18"/>
    </w:rPr>
  </w:style>
  <w:style w:type="paragraph" w:styleId="20">
    <w:name w:val="header"/>
    <w:basedOn w:val="1"/>
    <w:link w:val="66"/>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21">
    <w:name w:val="toc 1"/>
    <w:basedOn w:val="1"/>
    <w:next w:val="1"/>
    <w:qFormat/>
    <w:uiPriority w:val="39"/>
  </w:style>
  <w:style w:type="paragraph" w:styleId="22">
    <w:name w:val="toc 4"/>
    <w:basedOn w:val="1"/>
    <w:next w:val="1"/>
    <w:unhideWhenUsed/>
    <w:qFormat/>
    <w:uiPriority w:val="39"/>
    <w:pPr>
      <w:widowControl w:val="0"/>
      <w:kinsoku/>
      <w:autoSpaceDE/>
      <w:autoSpaceDN/>
      <w:adjustRightInd/>
      <w:snapToGrid/>
      <w:spacing w:after="160" w:line="278" w:lineRule="auto"/>
      <w:ind w:left="1260" w:leftChars="600" w:firstLine="0" w:firstLineChars="0"/>
      <w:textAlignment w:val="auto"/>
    </w:pPr>
    <w:rPr>
      <w:rFonts w:asciiTheme="minorHAnsi" w:hAnsiTheme="minorHAnsi" w:eastAsiaTheme="minorEastAsia" w:cstheme="minorBidi"/>
      <w:snapToGrid/>
      <w:color w:val="auto"/>
      <w:kern w:val="2"/>
      <w:sz w:val="22"/>
      <w:szCs w:val="24"/>
      <w:lang w:eastAsia="zh-CN"/>
      <w14:ligatures w14:val="standardContextual"/>
    </w:rPr>
  </w:style>
  <w:style w:type="paragraph" w:styleId="23">
    <w:name w:val="Subtitle"/>
    <w:basedOn w:val="1"/>
    <w:next w:val="1"/>
    <w:link w:val="5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4">
    <w:name w:val="toc 6"/>
    <w:basedOn w:val="1"/>
    <w:next w:val="1"/>
    <w:unhideWhenUsed/>
    <w:qFormat/>
    <w:uiPriority w:val="39"/>
    <w:pPr>
      <w:widowControl w:val="0"/>
      <w:kinsoku/>
      <w:autoSpaceDE/>
      <w:autoSpaceDN/>
      <w:adjustRightInd/>
      <w:snapToGrid/>
      <w:spacing w:after="160" w:line="278" w:lineRule="auto"/>
      <w:ind w:left="2100" w:leftChars="1000" w:firstLine="0" w:firstLineChars="0"/>
      <w:textAlignment w:val="auto"/>
    </w:pPr>
    <w:rPr>
      <w:rFonts w:asciiTheme="minorHAnsi" w:hAnsiTheme="minorHAnsi" w:eastAsiaTheme="minorEastAsia" w:cstheme="minorBidi"/>
      <w:snapToGrid/>
      <w:color w:val="auto"/>
      <w:kern w:val="2"/>
      <w:sz w:val="22"/>
      <w:szCs w:val="24"/>
      <w:lang w:eastAsia="zh-CN"/>
      <w14:ligatures w14:val="standardContextual"/>
    </w:rPr>
  </w:style>
  <w:style w:type="paragraph" w:styleId="25">
    <w:name w:val="table of figures"/>
    <w:next w:val="1"/>
    <w:qFormat/>
    <w:uiPriority w:val="99"/>
    <w:rPr>
      <w:rFonts w:ascii="Times New Roman" w:hAnsi="Times New Roman" w:eastAsia="仿宋_GB2312" w:cs="Times New Roman"/>
      <w:kern w:val="2"/>
      <w:sz w:val="24"/>
      <w:szCs w:val="28"/>
      <w:lang w:val="en-US" w:eastAsia="zh-CN" w:bidi="ar-SA"/>
    </w:rPr>
  </w:style>
  <w:style w:type="paragraph" w:styleId="26">
    <w:name w:val="toc 2"/>
    <w:basedOn w:val="1"/>
    <w:next w:val="1"/>
    <w:qFormat/>
    <w:uiPriority w:val="39"/>
    <w:pPr>
      <w:ind w:left="420" w:leftChars="200"/>
    </w:pPr>
  </w:style>
  <w:style w:type="paragraph" w:styleId="27">
    <w:name w:val="toc 9"/>
    <w:basedOn w:val="1"/>
    <w:next w:val="1"/>
    <w:unhideWhenUsed/>
    <w:qFormat/>
    <w:uiPriority w:val="39"/>
    <w:pPr>
      <w:widowControl w:val="0"/>
      <w:kinsoku/>
      <w:autoSpaceDE/>
      <w:autoSpaceDN/>
      <w:adjustRightInd/>
      <w:snapToGrid/>
      <w:spacing w:after="160" w:line="278" w:lineRule="auto"/>
      <w:ind w:left="3360" w:leftChars="1600" w:firstLine="0" w:firstLineChars="0"/>
      <w:textAlignment w:val="auto"/>
    </w:pPr>
    <w:rPr>
      <w:rFonts w:asciiTheme="minorHAnsi" w:hAnsiTheme="minorHAnsi" w:eastAsiaTheme="minorEastAsia" w:cstheme="minorBidi"/>
      <w:snapToGrid/>
      <w:color w:val="auto"/>
      <w:kern w:val="2"/>
      <w:sz w:val="22"/>
      <w:szCs w:val="24"/>
      <w:lang w:eastAsia="zh-CN"/>
      <w14:ligatures w14:val="standardContextual"/>
    </w:rPr>
  </w:style>
  <w:style w:type="paragraph" w:styleId="28">
    <w:name w:val="Normal (Web)"/>
    <w:basedOn w:val="1"/>
    <w:qFormat/>
    <w:uiPriority w:val="0"/>
    <w:pPr>
      <w:spacing w:beforeAutospacing="1" w:afterAutospacing="1"/>
    </w:pPr>
    <w:rPr>
      <w:rFonts w:cs="Times New Roman"/>
      <w:lang w:eastAsia="zh-CN"/>
    </w:rPr>
  </w:style>
  <w:style w:type="paragraph" w:styleId="29">
    <w:name w:val="Title"/>
    <w:basedOn w:val="1"/>
    <w:next w:val="1"/>
    <w:link w:val="52"/>
    <w:qFormat/>
    <w:uiPriority w:val="0"/>
    <w:pPr>
      <w:spacing w:after="80"/>
      <w:contextualSpacing/>
      <w:jc w:val="center"/>
    </w:pPr>
    <w:rPr>
      <w:rFonts w:asciiTheme="majorHAnsi" w:hAnsiTheme="majorHAnsi" w:eastAsiaTheme="majorEastAsia" w:cstheme="majorBidi"/>
      <w:spacing w:val="-10"/>
      <w:kern w:val="28"/>
      <w:sz w:val="56"/>
      <w:szCs w:val="56"/>
    </w:rPr>
  </w:style>
  <w:style w:type="paragraph" w:styleId="30">
    <w:name w:val="annotation subject"/>
    <w:basedOn w:val="13"/>
    <w:next w:val="13"/>
    <w:link w:val="67"/>
    <w:qFormat/>
    <w:uiPriority w:val="0"/>
    <w:pPr>
      <w:widowControl w:val="0"/>
      <w:kinsoku/>
      <w:autoSpaceDE/>
      <w:autoSpaceDN/>
      <w:adjustRightInd/>
      <w:snapToGrid/>
      <w:ind w:firstLine="0" w:firstLineChars="0"/>
      <w:textAlignment w:val="auto"/>
    </w:pPr>
    <w:rPr>
      <w:rFonts w:ascii="Calibri" w:hAnsi="Calibri" w:cs="Times New Roman"/>
      <w:b/>
      <w:bCs/>
      <w:snapToGrid/>
      <w:color w:val="auto"/>
      <w:kern w:val="2"/>
      <w:sz w:val="21"/>
      <w:szCs w:val="24"/>
      <w:lang w:eastAsia="zh-CN"/>
    </w:rPr>
  </w:style>
  <w:style w:type="paragraph" w:styleId="31">
    <w:name w:val="Body Text First Indent 2"/>
    <w:basedOn w:val="15"/>
    <w:link w:val="62"/>
    <w:qFormat/>
    <w:uiPriority w:val="0"/>
  </w:style>
  <w:style w:type="table" w:styleId="33">
    <w:name w:val="Table Gri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35">
    <w:name w:val="Strong"/>
    <w:basedOn w:val="34"/>
    <w:qFormat/>
    <w:uiPriority w:val="0"/>
    <w:rPr>
      <w:b/>
    </w:rPr>
  </w:style>
  <w:style w:type="character" w:styleId="36">
    <w:name w:val="FollowedHyperlink"/>
    <w:basedOn w:val="34"/>
    <w:unhideWhenUsed/>
    <w:qFormat/>
    <w:uiPriority w:val="99"/>
    <w:rPr>
      <w:color w:val="7E1FAD"/>
      <w:u w:val="single"/>
    </w:rPr>
  </w:style>
  <w:style w:type="character" w:styleId="37">
    <w:name w:val="Hyperlink"/>
    <w:basedOn w:val="34"/>
    <w:unhideWhenUsed/>
    <w:qFormat/>
    <w:uiPriority w:val="99"/>
    <w:rPr>
      <w:color w:val="0563C1" w:themeColor="hyperlink"/>
      <w:u w:val="single"/>
      <w14:textFill>
        <w14:solidFill>
          <w14:schemeClr w14:val="hlink"/>
        </w14:solidFill>
      </w14:textFill>
    </w:rPr>
  </w:style>
  <w:style w:type="character" w:styleId="38">
    <w:name w:val="annotation reference"/>
    <w:basedOn w:val="34"/>
    <w:qFormat/>
    <w:uiPriority w:val="0"/>
    <w:rPr>
      <w:sz w:val="21"/>
      <w:szCs w:val="21"/>
    </w:rPr>
  </w:style>
  <w:style w:type="paragraph" w:customStyle="1" w:styleId="39">
    <w:name w:val="插图"/>
    <w:basedOn w:val="1"/>
    <w:next w:val="1"/>
    <w:qFormat/>
    <w:uiPriority w:val="0"/>
    <w:pPr>
      <w:ind w:firstLine="0" w:firstLineChars="0"/>
      <w:jc w:val="center"/>
    </w:pPr>
    <w:rPr>
      <w:rFonts w:eastAsia="黑体" w:cs="Times New Roman"/>
      <w:sz w:val="21"/>
    </w:rPr>
  </w:style>
  <w:style w:type="character" w:customStyle="1" w:styleId="40">
    <w:name w:val="标题 3 字符"/>
    <w:basedOn w:val="34"/>
    <w:link w:val="4"/>
    <w:qFormat/>
    <w:uiPriority w:val="9"/>
    <w:rPr>
      <w:rFonts w:asciiTheme="majorHAnsi" w:hAnsiTheme="majorHAnsi" w:eastAsiaTheme="majorEastAsia" w:cstheme="majorBidi"/>
      <w:color w:val="2F5597" w:themeColor="accent1" w:themeShade="BF"/>
      <w:sz w:val="32"/>
      <w:szCs w:val="32"/>
    </w:rPr>
  </w:style>
  <w:style w:type="character" w:customStyle="1" w:styleId="41">
    <w:name w:val="标题 4 字符"/>
    <w:basedOn w:val="34"/>
    <w:link w:val="5"/>
    <w:qFormat/>
    <w:uiPriority w:val="0"/>
    <w:rPr>
      <w:rFonts w:cstheme="majorBidi"/>
      <w:color w:val="2F5597" w:themeColor="accent1" w:themeShade="BF"/>
      <w:sz w:val="28"/>
      <w:szCs w:val="28"/>
    </w:rPr>
  </w:style>
  <w:style w:type="character" w:customStyle="1" w:styleId="42">
    <w:name w:val="标题 5 字符"/>
    <w:basedOn w:val="34"/>
    <w:link w:val="6"/>
    <w:qFormat/>
    <w:uiPriority w:val="9"/>
    <w:rPr>
      <w:rFonts w:cstheme="majorBidi"/>
      <w:color w:val="2F5597" w:themeColor="accent1" w:themeShade="BF"/>
      <w:sz w:val="24"/>
      <w:szCs w:val="24"/>
    </w:rPr>
  </w:style>
  <w:style w:type="character" w:customStyle="1" w:styleId="43">
    <w:name w:val="标题 6 字符"/>
    <w:basedOn w:val="34"/>
    <w:link w:val="7"/>
    <w:qFormat/>
    <w:uiPriority w:val="9"/>
    <w:rPr>
      <w:rFonts w:cstheme="majorBidi"/>
      <w:b/>
      <w:bCs/>
      <w:color w:val="2F5597" w:themeColor="accent1" w:themeShade="BF"/>
    </w:rPr>
  </w:style>
  <w:style w:type="character" w:customStyle="1" w:styleId="44">
    <w:name w:val="标题 1 字符"/>
    <w:basedOn w:val="34"/>
    <w:link w:val="2"/>
    <w:qFormat/>
    <w:uiPriority w:val="9"/>
    <w:rPr>
      <w:rFonts w:asciiTheme="majorHAnsi" w:hAnsiTheme="majorHAnsi" w:eastAsiaTheme="majorEastAsia" w:cstheme="majorBidi"/>
      <w:color w:val="2F5597" w:themeColor="accent1" w:themeShade="BF"/>
      <w:sz w:val="48"/>
      <w:szCs w:val="48"/>
    </w:rPr>
  </w:style>
  <w:style w:type="character" w:customStyle="1" w:styleId="45">
    <w:name w:val="标题 2 字符"/>
    <w:basedOn w:val="34"/>
    <w:link w:val="3"/>
    <w:qFormat/>
    <w:uiPriority w:val="9"/>
    <w:rPr>
      <w:rFonts w:asciiTheme="majorHAnsi" w:hAnsiTheme="majorHAnsi" w:eastAsiaTheme="majorEastAsia" w:cstheme="majorBidi"/>
      <w:color w:val="2F5597" w:themeColor="accent1" w:themeShade="BF"/>
      <w:sz w:val="40"/>
      <w:szCs w:val="40"/>
    </w:rPr>
  </w:style>
  <w:style w:type="paragraph" w:customStyle="1" w:styleId="46">
    <w:name w:val="表格"/>
    <w:basedOn w:val="1"/>
    <w:qFormat/>
    <w:uiPriority w:val="0"/>
    <w:pPr>
      <w:ind w:firstLine="0" w:firstLineChars="0"/>
      <w:jc w:val="center"/>
    </w:pPr>
    <w:rPr>
      <w:sz w:val="21"/>
    </w:rPr>
  </w:style>
  <w:style w:type="paragraph" w:customStyle="1" w:styleId="47">
    <w:name w:val="表"/>
    <w:next w:val="1"/>
    <w:link w:val="48"/>
    <w:qFormat/>
    <w:uiPriority w:val="7"/>
    <w:pPr>
      <w:jc w:val="center"/>
      <w:textAlignment w:val="center"/>
    </w:pPr>
    <w:rPr>
      <w:rFonts w:ascii="Times New Roman" w:hAnsi="Times New Roman" w:eastAsia="仿宋" w:cs="Times New Roman"/>
      <w:sz w:val="21"/>
      <w:szCs w:val="21"/>
      <w:lang w:val="en-US" w:eastAsia="zh-CN" w:bidi="bo-CN"/>
    </w:rPr>
  </w:style>
  <w:style w:type="character" w:customStyle="1" w:styleId="48">
    <w:name w:val="表 Char"/>
    <w:link w:val="47"/>
    <w:qFormat/>
    <w:uiPriority w:val="7"/>
    <w:rPr>
      <w:rFonts w:ascii="Times New Roman" w:hAnsi="Times New Roman" w:eastAsia="仿宋" w:cs="Times New Roman"/>
      <w:kern w:val="0"/>
      <w:szCs w:val="21"/>
      <w:lang w:bidi="bo-CN"/>
      <w14:ligatures w14:val="none"/>
    </w:rPr>
  </w:style>
  <w:style w:type="character" w:customStyle="1" w:styleId="49">
    <w:name w:val="标题 7 字符"/>
    <w:basedOn w:val="34"/>
    <w:link w:val="8"/>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50">
    <w:name w:val="标题 8 字符"/>
    <w:basedOn w:val="34"/>
    <w:link w:val="9"/>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51">
    <w:name w:val="标题 9 字符"/>
    <w:basedOn w:val="34"/>
    <w:link w:val="10"/>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2">
    <w:name w:val="标题 字符"/>
    <w:basedOn w:val="34"/>
    <w:link w:val="29"/>
    <w:qFormat/>
    <w:uiPriority w:val="0"/>
    <w:rPr>
      <w:rFonts w:asciiTheme="majorHAnsi" w:hAnsiTheme="majorHAnsi" w:eastAsiaTheme="majorEastAsia" w:cstheme="majorBidi"/>
      <w:spacing w:val="-10"/>
      <w:kern w:val="28"/>
      <w:sz w:val="56"/>
      <w:szCs w:val="56"/>
    </w:rPr>
  </w:style>
  <w:style w:type="character" w:customStyle="1" w:styleId="53">
    <w:name w:val="副标题 字符"/>
    <w:basedOn w:val="34"/>
    <w:link w:val="2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4">
    <w:name w:val="Quote"/>
    <w:basedOn w:val="1"/>
    <w:next w:val="1"/>
    <w:link w:val="5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55">
    <w:name w:val="引用 字符"/>
    <w:basedOn w:val="34"/>
    <w:link w:val="54"/>
    <w:qFormat/>
    <w:uiPriority w:val="29"/>
    <w:rPr>
      <w:i/>
      <w:iCs/>
      <w:color w:val="404040" w:themeColor="text1" w:themeTint="BF"/>
      <w14:textFill>
        <w14:solidFill>
          <w14:schemeClr w14:val="tx1">
            <w14:lumMod w14:val="75000"/>
            <w14:lumOff w14:val="25000"/>
          </w14:schemeClr>
        </w14:solidFill>
      </w14:textFill>
    </w:rPr>
  </w:style>
  <w:style w:type="paragraph" w:styleId="56">
    <w:name w:val="List Paragraph"/>
    <w:basedOn w:val="1"/>
    <w:qFormat/>
    <w:uiPriority w:val="99"/>
    <w:pPr>
      <w:ind w:left="720"/>
      <w:contextualSpacing/>
    </w:pPr>
  </w:style>
  <w:style w:type="character" w:customStyle="1" w:styleId="57">
    <w:name w:val="明显强调1"/>
    <w:basedOn w:val="34"/>
    <w:qFormat/>
    <w:uiPriority w:val="21"/>
    <w:rPr>
      <w:i/>
      <w:iCs/>
      <w:color w:val="2F5597" w:themeColor="accent1" w:themeShade="BF"/>
    </w:rPr>
  </w:style>
  <w:style w:type="paragraph" w:styleId="58">
    <w:name w:val="Intense Quote"/>
    <w:basedOn w:val="1"/>
    <w:next w:val="1"/>
    <w:link w:val="5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59">
    <w:name w:val="明显引用 字符"/>
    <w:basedOn w:val="34"/>
    <w:link w:val="58"/>
    <w:qFormat/>
    <w:uiPriority w:val="30"/>
    <w:rPr>
      <w:i/>
      <w:iCs/>
      <w:color w:val="2F5597" w:themeColor="accent1" w:themeShade="BF"/>
    </w:rPr>
  </w:style>
  <w:style w:type="character" w:customStyle="1" w:styleId="60">
    <w:name w:val="明显参考1"/>
    <w:basedOn w:val="34"/>
    <w:qFormat/>
    <w:uiPriority w:val="32"/>
    <w:rPr>
      <w:b/>
      <w:bCs/>
      <w:smallCaps/>
      <w:color w:val="2F5597" w:themeColor="accent1" w:themeShade="BF"/>
      <w:spacing w:val="5"/>
    </w:rPr>
  </w:style>
  <w:style w:type="character" w:customStyle="1" w:styleId="61">
    <w:name w:val="正文文本缩进 字符"/>
    <w:basedOn w:val="34"/>
    <w:link w:val="15"/>
    <w:qFormat/>
    <w:uiPriority w:val="0"/>
    <w:rPr>
      <w:rFonts w:ascii="Times New Roman" w:hAnsi="Times New Roman" w:eastAsia="宋体" w:cs="Arial"/>
      <w:snapToGrid w:val="0"/>
      <w:color w:val="000000"/>
      <w:kern w:val="0"/>
      <w:sz w:val="24"/>
      <w:szCs w:val="21"/>
      <w:lang w:eastAsia="en-US"/>
      <w14:ligatures w14:val="none"/>
    </w:rPr>
  </w:style>
  <w:style w:type="character" w:customStyle="1" w:styleId="62">
    <w:name w:val="正文文本首行缩进 2 字符"/>
    <w:basedOn w:val="61"/>
    <w:link w:val="31"/>
    <w:qFormat/>
    <w:uiPriority w:val="0"/>
    <w:rPr>
      <w:rFonts w:ascii="Times New Roman" w:hAnsi="Times New Roman" w:eastAsia="宋体" w:cs="Arial"/>
      <w:snapToGrid w:val="0"/>
      <w:color w:val="000000"/>
      <w:kern w:val="0"/>
      <w:sz w:val="24"/>
      <w:szCs w:val="21"/>
      <w:lang w:eastAsia="en-US"/>
      <w14:ligatures w14:val="none"/>
    </w:rPr>
  </w:style>
  <w:style w:type="character" w:customStyle="1" w:styleId="63">
    <w:name w:val="批注文字 字符"/>
    <w:basedOn w:val="34"/>
    <w:link w:val="13"/>
    <w:qFormat/>
    <w:uiPriority w:val="0"/>
    <w:rPr>
      <w:rFonts w:ascii="Times New Roman" w:hAnsi="Times New Roman" w:eastAsia="宋体" w:cs="Arial"/>
      <w:snapToGrid w:val="0"/>
      <w:color w:val="000000"/>
      <w:kern w:val="0"/>
      <w:sz w:val="24"/>
      <w:szCs w:val="21"/>
      <w:lang w:eastAsia="en-US"/>
      <w14:ligatures w14:val="none"/>
    </w:rPr>
  </w:style>
  <w:style w:type="character" w:customStyle="1" w:styleId="64">
    <w:name w:val="正文文本 字符"/>
    <w:basedOn w:val="34"/>
    <w:qFormat/>
    <w:uiPriority w:val="0"/>
    <w:rPr>
      <w:rFonts w:ascii="Times New Roman" w:hAnsi="Times New Roman" w:eastAsia="宋体" w:cs="Arial"/>
      <w:snapToGrid w:val="0"/>
      <w:color w:val="000000"/>
      <w:kern w:val="0"/>
      <w:sz w:val="24"/>
      <w:szCs w:val="21"/>
      <w:lang w:eastAsia="en-US"/>
      <w14:ligatures w14:val="none"/>
    </w:rPr>
  </w:style>
  <w:style w:type="character" w:customStyle="1" w:styleId="65">
    <w:name w:val="页脚 字符"/>
    <w:basedOn w:val="34"/>
    <w:link w:val="19"/>
    <w:qFormat/>
    <w:uiPriority w:val="99"/>
    <w:rPr>
      <w:rFonts w:ascii="Times New Roman" w:hAnsi="Times New Roman" w:eastAsia="宋体" w:cs="Arial"/>
      <w:snapToGrid w:val="0"/>
      <w:color w:val="000000"/>
      <w:kern w:val="0"/>
      <w:sz w:val="18"/>
      <w:szCs w:val="21"/>
      <w:lang w:eastAsia="en-US"/>
      <w14:ligatures w14:val="none"/>
    </w:rPr>
  </w:style>
  <w:style w:type="character" w:customStyle="1" w:styleId="66">
    <w:name w:val="页眉 字符"/>
    <w:basedOn w:val="34"/>
    <w:link w:val="20"/>
    <w:qFormat/>
    <w:uiPriority w:val="0"/>
    <w:rPr>
      <w:rFonts w:ascii="Times New Roman" w:hAnsi="Times New Roman" w:eastAsia="宋体" w:cs="Arial"/>
      <w:snapToGrid w:val="0"/>
      <w:color w:val="000000"/>
      <w:kern w:val="0"/>
      <w:sz w:val="18"/>
      <w:szCs w:val="21"/>
      <w:lang w:eastAsia="en-US"/>
      <w14:ligatures w14:val="none"/>
    </w:rPr>
  </w:style>
  <w:style w:type="character" w:customStyle="1" w:styleId="67">
    <w:name w:val="批注主题 字符"/>
    <w:basedOn w:val="63"/>
    <w:link w:val="30"/>
    <w:qFormat/>
    <w:uiPriority w:val="0"/>
    <w:rPr>
      <w:rFonts w:ascii="Calibri" w:hAnsi="Calibri" w:eastAsia="宋体" w:cs="Times New Roman"/>
      <w:b/>
      <w:bCs/>
      <w:snapToGrid/>
      <w:color w:val="000000"/>
      <w:kern w:val="0"/>
      <w:sz w:val="24"/>
      <w:szCs w:val="24"/>
      <w:lang w:eastAsia="en-US"/>
      <w14:ligatures w14:val="none"/>
    </w:rPr>
  </w:style>
  <w:style w:type="character" w:customStyle="1" w:styleId="68">
    <w:name w:val="题注 字符"/>
    <w:link w:val="12"/>
    <w:qFormat/>
    <w:uiPriority w:val="35"/>
    <w:rPr>
      <w:rFonts w:ascii="Times New Roman" w:hAnsi="Times New Roman" w:eastAsia="黑体" w:cs="Arial"/>
      <w:snapToGrid w:val="0"/>
      <w:color w:val="000000"/>
      <w:kern w:val="0"/>
      <w:szCs w:val="24"/>
      <w:lang w:eastAsia="en-US"/>
      <w14:ligatures w14:val="none"/>
    </w:rPr>
  </w:style>
  <w:style w:type="table" w:customStyle="1" w:styleId="69">
    <w:name w:val="Table Normal1"/>
    <w:unhideWhenUsed/>
    <w:qFormat/>
    <w:uiPriority w:val="0"/>
    <w:rPr>
      <w:rFonts w:ascii="Times New Roman" w:hAnsi="Times New Roman" w:eastAsia="宋体" w:cs="Times New Roman"/>
    </w:rPr>
    <w:tblPr>
      <w:tblCellMar>
        <w:top w:w="0" w:type="dxa"/>
        <w:left w:w="0" w:type="dxa"/>
        <w:bottom w:w="0" w:type="dxa"/>
        <w:right w:w="0" w:type="dxa"/>
      </w:tblCellMar>
    </w:tblPr>
  </w:style>
  <w:style w:type="paragraph" w:customStyle="1" w:styleId="70">
    <w:name w:val="Table Text"/>
    <w:basedOn w:val="1"/>
    <w:semiHidden/>
    <w:qFormat/>
    <w:uiPriority w:val="0"/>
    <w:rPr>
      <w:rFonts w:ascii="Arial" w:hAnsi="Arial" w:eastAsia="Arial"/>
      <w:sz w:val="21"/>
    </w:rPr>
  </w:style>
  <w:style w:type="paragraph" w:customStyle="1" w:styleId="71">
    <w:name w:val="_Style 13"/>
    <w:qFormat/>
    <w:uiPriority w:val="0"/>
    <w:pPr>
      <w:spacing w:before="120" w:after="120" w:line="288" w:lineRule="auto"/>
    </w:pPr>
    <w:rPr>
      <w:rFonts w:ascii="Arial" w:hAnsi="Arial" w:eastAsia="等线" w:cs="Arial"/>
      <w:sz w:val="22"/>
      <w:szCs w:val="22"/>
      <w:lang w:val="en-US" w:eastAsia="zh-CN" w:bidi="ar-SA"/>
    </w:rPr>
  </w:style>
  <w:style w:type="paragraph" w:customStyle="1" w:styleId="72">
    <w:name w:val="Default"/>
    <w:qFormat/>
    <w:uiPriority w:val="0"/>
    <w:pPr>
      <w:widowControl w:val="0"/>
      <w:autoSpaceDE w:val="0"/>
      <w:autoSpaceDN w:val="0"/>
      <w:adjustRightInd w:val="0"/>
    </w:pPr>
    <w:rPr>
      <w:rFonts w:ascii="黑体" w:hAnsi="等线" w:eastAsia="黑体" w:cs="黑体"/>
      <w:color w:val="000000"/>
      <w:sz w:val="24"/>
      <w:szCs w:val="24"/>
      <w:lang w:val="en-US" w:eastAsia="zh-CN" w:bidi="ar-SA"/>
    </w:rPr>
  </w:style>
  <w:style w:type="paragraph" w:customStyle="1" w:styleId="73">
    <w:name w:val="Table Paragraph"/>
    <w:qFormat/>
    <w:uiPriority w:val="1"/>
    <w:pPr>
      <w:widowControl w:val="0"/>
      <w:jc w:val="both"/>
    </w:pPr>
    <w:rPr>
      <w:rFonts w:ascii="Calibri" w:hAnsi="Calibri" w:eastAsia="宋体" w:cs="Times New Roman"/>
      <w:kern w:val="2"/>
      <w:sz w:val="21"/>
      <w:szCs w:val="22"/>
      <w:lang w:val="en-US" w:eastAsia="zh-CN" w:bidi="ar-SA"/>
    </w:rPr>
  </w:style>
  <w:style w:type="character" w:customStyle="1" w:styleId="74">
    <w:name w:val="font21"/>
    <w:basedOn w:val="34"/>
    <w:qFormat/>
    <w:uiPriority w:val="0"/>
    <w:rPr>
      <w:rFonts w:hint="default" w:ascii="Times New Roman" w:hAnsi="Times New Roman" w:cs="Times New Roman"/>
      <w:b/>
      <w:bCs/>
      <w:color w:val="000000"/>
      <w:sz w:val="21"/>
      <w:szCs w:val="21"/>
      <w:u w:val="none"/>
    </w:rPr>
  </w:style>
  <w:style w:type="character" w:customStyle="1" w:styleId="75">
    <w:name w:val="font31"/>
    <w:basedOn w:val="34"/>
    <w:qFormat/>
    <w:uiPriority w:val="0"/>
    <w:rPr>
      <w:rFonts w:hint="eastAsia" w:ascii="宋体" w:hAnsi="宋体" w:eastAsia="宋体" w:cs="宋体"/>
      <w:b/>
      <w:bCs/>
      <w:color w:val="000000"/>
      <w:sz w:val="21"/>
      <w:szCs w:val="21"/>
      <w:u w:val="none"/>
    </w:rPr>
  </w:style>
  <w:style w:type="character" w:customStyle="1" w:styleId="76">
    <w:name w:val="font61"/>
    <w:basedOn w:val="34"/>
    <w:qFormat/>
    <w:uiPriority w:val="0"/>
    <w:rPr>
      <w:rFonts w:hint="default" w:ascii="Times New Roman" w:hAnsi="Times New Roman" w:cs="Times New Roman"/>
      <w:color w:val="000000"/>
      <w:sz w:val="21"/>
      <w:szCs w:val="21"/>
      <w:u w:val="none"/>
    </w:rPr>
  </w:style>
  <w:style w:type="character" w:customStyle="1" w:styleId="77">
    <w:name w:val="font41"/>
    <w:basedOn w:val="34"/>
    <w:qFormat/>
    <w:uiPriority w:val="0"/>
    <w:rPr>
      <w:rFonts w:hint="eastAsia" w:ascii="宋体" w:hAnsi="宋体" w:eastAsia="宋体" w:cs="宋体"/>
      <w:color w:val="000000"/>
      <w:sz w:val="21"/>
      <w:szCs w:val="21"/>
      <w:u w:val="none"/>
    </w:rPr>
  </w:style>
  <w:style w:type="character" w:customStyle="1" w:styleId="78">
    <w:name w:val="font01"/>
    <w:basedOn w:val="34"/>
    <w:qFormat/>
    <w:uiPriority w:val="0"/>
    <w:rPr>
      <w:rFonts w:ascii="Calibri" w:hAnsi="Calibri" w:cs="Calibri"/>
      <w:color w:val="000000"/>
      <w:sz w:val="22"/>
      <w:szCs w:val="22"/>
      <w:u w:val="none"/>
    </w:rPr>
  </w:style>
  <w:style w:type="character" w:customStyle="1" w:styleId="79">
    <w:name w:val="font11"/>
    <w:basedOn w:val="34"/>
    <w:qFormat/>
    <w:uiPriority w:val="0"/>
    <w:rPr>
      <w:rFonts w:hint="default" w:ascii="Times New Roman" w:hAnsi="Times New Roman" w:cs="Times New Roman"/>
      <w:color w:val="000000"/>
      <w:sz w:val="21"/>
      <w:szCs w:val="21"/>
      <w:u w:val="none"/>
    </w:rPr>
  </w:style>
  <w:style w:type="paragraph" w:customStyle="1" w:styleId="80">
    <w:name w:val="（一）三级标题"/>
    <w:basedOn w:val="4"/>
    <w:link w:val="81"/>
    <w:qFormat/>
    <w:uiPriority w:val="0"/>
    <w:pPr>
      <w:spacing w:before="120" w:beforeLines="50" w:after="120" w:afterLines="50"/>
    </w:pPr>
    <w:rPr>
      <w:rFonts w:ascii="宋体" w:hAnsi="宋体" w:eastAsia="宋体" w:cs="Times New Roman"/>
      <w:b/>
      <w:color w:val="000000"/>
      <w:sz w:val="28"/>
    </w:rPr>
  </w:style>
  <w:style w:type="character" w:customStyle="1" w:styleId="81">
    <w:name w:val="（一）三级标题 Char"/>
    <w:basedOn w:val="40"/>
    <w:link w:val="80"/>
    <w:qFormat/>
    <w:uiPriority w:val="0"/>
    <w:rPr>
      <w:rFonts w:ascii="宋体" w:hAnsi="宋体" w:eastAsia="宋体" w:cs="Times New Roman"/>
      <w:b/>
      <w:snapToGrid w:val="0"/>
      <w:color w:val="000000"/>
      <w:kern w:val="0"/>
      <w:sz w:val="28"/>
      <w:szCs w:val="32"/>
      <w14:ligatures w14:val="none"/>
    </w:rPr>
  </w:style>
  <w:style w:type="paragraph" w:customStyle="1" w:styleId="82">
    <w:name w:val="一、二级标题"/>
    <w:basedOn w:val="1"/>
    <w:link w:val="83"/>
    <w:qFormat/>
    <w:uiPriority w:val="0"/>
    <w:pPr>
      <w:keepNext/>
      <w:keepLines/>
      <w:kinsoku/>
      <w:spacing w:before="120" w:beforeLines="50" w:after="120" w:afterLines="50"/>
      <w:ind w:firstLine="0" w:firstLineChars="0"/>
      <w:outlineLvl w:val="1"/>
    </w:pPr>
    <w:rPr>
      <w:rFonts w:ascii="黑体" w:hAnsi="黑体" w:eastAsia="黑体" w:cs="Times New Roman"/>
      <w:sz w:val="32"/>
      <w:szCs w:val="36"/>
      <w:lang w:eastAsia="zh-CN"/>
    </w:rPr>
  </w:style>
  <w:style w:type="character" w:customStyle="1" w:styleId="83">
    <w:name w:val="一、二级标题 Char"/>
    <w:basedOn w:val="34"/>
    <w:link w:val="82"/>
    <w:qFormat/>
    <w:uiPriority w:val="0"/>
    <w:rPr>
      <w:rFonts w:ascii="黑体" w:hAnsi="黑体" w:eastAsia="黑体" w:cs="Times New Roman"/>
      <w:snapToGrid w:val="0"/>
      <w:color w:val="000000"/>
      <w:kern w:val="0"/>
      <w:sz w:val="32"/>
      <w:szCs w:val="36"/>
      <w14:ligatures w14:val="none"/>
    </w:rPr>
  </w:style>
  <w:style w:type="paragraph" w:customStyle="1" w:styleId="84">
    <w:name w:val="第一章一级标题"/>
    <w:basedOn w:val="1"/>
    <w:link w:val="85"/>
    <w:qFormat/>
    <w:uiPriority w:val="0"/>
    <w:pPr>
      <w:kinsoku/>
      <w:spacing w:before="120" w:beforeLines="50" w:after="120" w:afterLines="50"/>
      <w:ind w:firstLine="0" w:firstLineChars="0"/>
      <w:jc w:val="center"/>
      <w:outlineLvl w:val="0"/>
    </w:pPr>
    <w:rPr>
      <w:rFonts w:ascii="宋体" w:hAnsi="宋体"/>
      <w:b/>
      <w:sz w:val="36"/>
      <w:szCs w:val="36"/>
      <w:lang w:eastAsia="zh-CN"/>
    </w:rPr>
  </w:style>
  <w:style w:type="character" w:customStyle="1" w:styleId="85">
    <w:name w:val="第一章一级标题 Char"/>
    <w:basedOn w:val="34"/>
    <w:link w:val="84"/>
    <w:qFormat/>
    <w:uiPriority w:val="0"/>
    <w:rPr>
      <w:rFonts w:ascii="宋体" w:hAnsi="宋体" w:eastAsia="宋体" w:cs="Arial"/>
      <w:b/>
      <w:snapToGrid w:val="0"/>
      <w:color w:val="000000"/>
      <w:kern w:val="0"/>
      <w:sz w:val="36"/>
      <w:szCs w:val="36"/>
      <w14:ligatures w14:val="none"/>
    </w:rPr>
  </w:style>
  <w:style w:type="paragraph" w:customStyle="1" w:styleId="86">
    <w:name w:val="1.四级标题"/>
    <w:basedOn w:val="5"/>
    <w:link w:val="87"/>
    <w:qFormat/>
    <w:uiPriority w:val="0"/>
    <w:pPr>
      <w:spacing w:before="120" w:beforeLines="50" w:after="120" w:afterLines="50"/>
      <w:ind w:firstLine="402"/>
    </w:pPr>
    <w:rPr>
      <w:rFonts w:cs="Times New Roman"/>
      <w:b/>
      <w:bCs/>
      <w:color w:val="000000"/>
      <w:sz w:val="24"/>
      <w:szCs w:val="21"/>
    </w:rPr>
  </w:style>
  <w:style w:type="character" w:customStyle="1" w:styleId="87">
    <w:name w:val="1.四级标题 Char"/>
    <w:basedOn w:val="41"/>
    <w:link w:val="86"/>
    <w:qFormat/>
    <w:uiPriority w:val="0"/>
    <w:rPr>
      <w:rFonts w:ascii="Times New Roman" w:hAnsi="Times New Roman" w:eastAsia="宋体" w:cs="Times New Roman"/>
      <w:b/>
      <w:bCs/>
      <w:snapToGrid w:val="0"/>
      <w:color w:val="000000"/>
      <w:kern w:val="0"/>
      <w:sz w:val="24"/>
      <w:szCs w:val="21"/>
      <w14:ligatures w14:val="none"/>
    </w:rPr>
  </w:style>
  <w:style w:type="character" w:styleId="88">
    <w:name w:val="Placeholder Text"/>
    <w:basedOn w:val="34"/>
    <w:unhideWhenUsed/>
    <w:qFormat/>
    <w:uiPriority w:val="99"/>
    <w:rPr>
      <w:color w:val="666666"/>
    </w:rPr>
  </w:style>
  <w:style w:type="character" w:customStyle="1" w:styleId="89">
    <w:name w:val="未处理的提及1"/>
    <w:basedOn w:val="34"/>
    <w:semiHidden/>
    <w:unhideWhenUsed/>
    <w:qFormat/>
    <w:uiPriority w:val="99"/>
    <w:rPr>
      <w:color w:val="605E5C"/>
      <w:shd w:val="clear" w:color="auto" w:fill="E1DFDD"/>
    </w:rPr>
  </w:style>
  <w:style w:type="paragraph" w:customStyle="1" w:styleId="90">
    <w:name w:val="图目录"/>
    <w:basedOn w:val="14"/>
    <w:link w:val="92"/>
    <w:qFormat/>
    <w:uiPriority w:val="0"/>
    <w:pPr>
      <w:kinsoku/>
      <w:spacing w:after="0"/>
      <w:ind w:firstLine="0" w:firstLineChars="0"/>
      <w:jc w:val="center"/>
    </w:pPr>
    <w:rPr>
      <w:rFonts w:eastAsia="黑体" w:cs="Times New Roman"/>
      <w:bCs/>
      <w:szCs w:val="36"/>
    </w:rPr>
  </w:style>
  <w:style w:type="character" w:customStyle="1" w:styleId="91">
    <w:name w:val="正文文本 字符1"/>
    <w:basedOn w:val="34"/>
    <w:link w:val="14"/>
    <w:qFormat/>
    <w:uiPriority w:val="0"/>
    <w:rPr>
      <w:rFonts w:ascii="Times New Roman" w:hAnsi="Times New Roman" w:eastAsia="宋体" w:cs="Arial"/>
      <w:snapToGrid w:val="0"/>
      <w:color w:val="000000"/>
      <w:kern w:val="0"/>
      <w:sz w:val="24"/>
      <w:szCs w:val="21"/>
      <w:lang w:eastAsia="en-US"/>
      <w14:ligatures w14:val="none"/>
    </w:rPr>
  </w:style>
  <w:style w:type="character" w:customStyle="1" w:styleId="92">
    <w:name w:val="图目录 Char"/>
    <w:basedOn w:val="91"/>
    <w:link w:val="90"/>
    <w:qFormat/>
    <w:uiPriority w:val="0"/>
    <w:rPr>
      <w:rFonts w:ascii="Times New Roman" w:hAnsi="Times New Roman" w:eastAsia="黑体" w:cs="Times New Roman"/>
      <w:bCs/>
      <w:snapToGrid w:val="0"/>
      <w:color w:val="000000"/>
      <w:kern w:val="0"/>
      <w:sz w:val="24"/>
      <w:szCs w:val="36"/>
      <w:lang w:eastAsia="en-US"/>
      <w14:ligatures w14:val="none"/>
    </w:rPr>
  </w:style>
  <w:style w:type="paragraph" w:customStyle="1" w:styleId="93">
    <w:name w:val="123"/>
    <w:basedOn w:val="1"/>
    <w:link w:val="94"/>
    <w:qFormat/>
    <w:uiPriority w:val="0"/>
    <w:pPr>
      <w:widowControl w:val="0"/>
      <w:kinsoku/>
      <w:autoSpaceDE/>
      <w:autoSpaceDN/>
      <w:adjustRightInd/>
      <w:snapToGrid/>
      <w:spacing w:line="300" w:lineRule="auto"/>
      <w:ind w:firstLine="200"/>
      <w:jc w:val="both"/>
      <w:textAlignment w:val="auto"/>
    </w:pPr>
    <w:rPr>
      <w:rFonts w:cstheme="minorBidi"/>
      <w:snapToGrid/>
      <w:color w:val="auto"/>
      <w:kern w:val="2"/>
      <w:szCs w:val="22"/>
      <w:lang w:eastAsia="zh-CN"/>
    </w:rPr>
  </w:style>
  <w:style w:type="character" w:customStyle="1" w:styleId="94">
    <w:name w:val="123 Char"/>
    <w:basedOn w:val="34"/>
    <w:link w:val="93"/>
    <w:qFormat/>
    <w:uiPriority w:val="0"/>
    <w:rPr>
      <w:rFonts w:ascii="Times New Roman" w:hAnsi="Times New Roman" w:eastAsia="宋体"/>
      <w:sz w:val="24"/>
      <w14:ligatures w14:val="none"/>
    </w:rPr>
  </w:style>
  <w:style w:type="paragraph" w:customStyle="1" w:styleId="95">
    <w:name w:val="表标题"/>
    <w:basedOn w:val="90"/>
    <w:link w:val="96"/>
    <w:qFormat/>
    <w:uiPriority w:val="0"/>
  </w:style>
  <w:style w:type="character" w:customStyle="1" w:styleId="96">
    <w:name w:val="表标题 Char"/>
    <w:basedOn w:val="92"/>
    <w:link w:val="95"/>
    <w:qFormat/>
    <w:uiPriority w:val="0"/>
    <w:rPr>
      <w:rFonts w:ascii="Times New Roman" w:hAnsi="Times New Roman" w:eastAsia="黑体" w:cs="Times New Roman"/>
      <w:snapToGrid w:val="0"/>
      <w:color w:val="000000"/>
      <w:kern w:val="0"/>
      <w:sz w:val="24"/>
      <w:szCs w:val="36"/>
      <w:lang w:eastAsia="en-US"/>
      <w14:ligatures w14:val="none"/>
    </w:rPr>
  </w:style>
  <w:style w:type="table" w:customStyle="1" w:styleId="97">
    <w:name w:val="Table Grid1"/>
    <w:basedOn w:val="32"/>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8">
    <w:name w:val="表单位"/>
    <w:basedOn w:val="95"/>
    <w:link w:val="99"/>
    <w:qFormat/>
    <w:uiPriority w:val="0"/>
    <w:pPr>
      <w:jc w:val="right"/>
    </w:pPr>
    <w:rPr>
      <w:rFonts w:cs="Arial"/>
    </w:rPr>
  </w:style>
  <w:style w:type="character" w:customStyle="1" w:styleId="99">
    <w:name w:val="表单位 Char"/>
    <w:basedOn w:val="96"/>
    <w:link w:val="98"/>
    <w:qFormat/>
    <w:uiPriority w:val="0"/>
    <w:rPr>
      <w:rFonts w:ascii="Times New Roman" w:hAnsi="Times New Roman" w:eastAsia="黑体" w:cs="Arial"/>
      <w:snapToGrid w:val="0"/>
      <w:color w:val="000000"/>
      <w:kern w:val="0"/>
      <w:sz w:val="24"/>
      <w:szCs w:val="36"/>
      <w:lang w:eastAsia="en-US"/>
      <w14:ligatures w14:val="none"/>
    </w:rPr>
  </w:style>
  <w:style w:type="table" w:customStyle="1" w:styleId="100">
    <w:name w:val="Table Grid10"/>
    <w:basedOn w:val="32"/>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
    <w:name w:val="Table Normal2"/>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character" w:customStyle="1" w:styleId="102">
    <w:name w:val="font51"/>
    <w:basedOn w:val="34"/>
    <w:qFormat/>
    <w:uiPriority w:val="0"/>
    <w:rPr>
      <w:rFonts w:ascii="宋体" w:hAnsi="宋体" w:eastAsia="宋体" w:cs="宋体"/>
      <w:color w:val="000000"/>
      <w:sz w:val="28"/>
      <w:szCs w:val="28"/>
      <w:u w:val="none"/>
    </w:rPr>
  </w:style>
  <w:style w:type="character" w:customStyle="1" w:styleId="103">
    <w:name w:val="font71"/>
    <w:basedOn w:val="34"/>
    <w:qFormat/>
    <w:uiPriority w:val="0"/>
    <w:rPr>
      <w:rFonts w:hint="default" w:ascii="Arial" w:hAnsi="Arial" w:cs="Arial"/>
      <w:color w:val="000000"/>
      <w:sz w:val="19"/>
      <w:szCs w:val="19"/>
      <w:u w:val="none"/>
    </w:rPr>
  </w:style>
  <w:style w:type="character" w:customStyle="1" w:styleId="104">
    <w:name w:val="font81"/>
    <w:basedOn w:val="34"/>
    <w:qFormat/>
    <w:uiPriority w:val="0"/>
    <w:rPr>
      <w:rFonts w:hint="default" w:ascii="Arial" w:hAnsi="Arial" w:cs="Arial"/>
      <w:color w:val="000000"/>
      <w:sz w:val="13"/>
      <w:szCs w:val="13"/>
      <w:u w:val="none"/>
    </w:rPr>
  </w:style>
  <w:style w:type="character" w:customStyle="1" w:styleId="105">
    <w:name w:val="font91"/>
    <w:basedOn w:val="34"/>
    <w:qFormat/>
    <w:uiPriority w:val="0"/>
    <w:rPr>
      <w:rFonts w:ascii="MS Gothic" w:hAnsi="MS Gothic" w:eastAsia="MS Gothic" w:cs="MS Gothic"/>
      <w:color w:val="000000"/>
      <w:sz w:val="8"/>
      <w:szCs w:val="8"/>
      <w:u w:val="none"/>
    </w:rPr>
  </w:style>
  <w:style w:type="paragraph" w:customStyle="1" w:styleId="106">
    <w:name w:val="Revision1"/>
    <w:hidden/>
    <w:unhideWhenUsed/>
    <w:qFormat/>
    <w:uiPriority w:val="99"/>
    <w:rPr>
      <w:rFonts w:ascii="Times New Roman" w:hAnsi="Times New Roman" w:eastAsia="宋体" w:cs="Arial"/>
      <w:snapToGrid w:val="0"/>
      <w:color w:val="000000"/>
      <w:sz w:val="24"/>
      <w:szCs w:val="21"/>
      <w:lang w:val="en-US" w:eastAsia="en-US" w:bidi="ar-SA"/>
    </w:rPr>
  </w:style>
  <w:style w:type="character" w:customStyle="1" w:styleId="107">
    <w:name w:val="Unresolved Mention1"/>
    <w:basedOn w:val="34"/>
    <w:semiHidden/>
    <w:unhideWhenUsed/>
    <w:qFormat/>
    <w:uiPriority w:val="99"/>
    <w:rPr>
      <w:color w:val="605E5C"/>
      <w:shd w:val="clear" w:color="auto" w:fill="E1DFDD"/>
    </w:rPr>
  </w:style>
  <w:style w:type="table" w:customStyle="1" w:styleId="108">
    <w:name w:val="Table Grid2"/>
    <w:basedOn w:val="32"/>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Table Grid3"/>
    <w:basedOn w:val="32"/>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0">
    <w:name w:val="Table Grid4"/>
    <w:basedOn w:val="32"/>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
    <w:name w:val="Table Grid5"/>
    <w:basedOn w:val="32"/>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
    <w:name w:val="Table Grid6"/>
    <w:basedOn w:val="32"/>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
    <w:name w:val="Table Grid7"/>
    <w:basedOn w:val="32"/>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
    <w:name w:val="Table Grid8"/>
    <w:basedOn w:val="32"/>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Grid9"/>
    <w:basedOn w:val="32"/>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6">
    <w:name w:val="Unresolved Mention2"/>
    <w:basedOn w:val="34"/>
    <w:semiHidden/>
    <w:unhideWhenUsed/>
    <w:qFormat/>
    <w:uiPriority w:val="99"/>
    <w:rPr>
      <w:color w:val="605E5C"/>
      <w:shd w:val="clear" w:color="auto" w:fill="E1DFDD"/>
    </w:rPr>
  </w:style>
  <w:style w:type="character" w:customStyle="1" w:styleId="117">
    <w:name w:val="Unresolved Mention3"/>
    <w:basedOn w:val="34"/>
    <w:semiHidden/>
    <w:unhideWhenUsed/>
    <w:qFormat/>
    <w:uiPriority w:val="99"/>
    <w:rPr>
      <w:color w:val="605E5C"/>
      <w:shd w:val="clear" w:color="auto" w:fill="E1DFDD"/>
    </w:rPr>
  </w:style>
  <w:style w:type="paragraph" w:customStyle="1" w:styleId="118">
    <w:name w:val="msonormal"/>
    <w:basedOn w:val="1"/>
    <w:qFormat/>
    <w:uiPriority w:val="0"/>
    <w:pPr>
      <w:kinsoku/>
      <w:autoSpaceDE/>
      <w:autoSpaceDN/>
      <w:adjustRightInd/>
      <w:snapToGrid/>
      <w:spacing w:before="100" w:beforeAutospacing="1" w:after="100" w:afterAutospacing="1"/>
      <w:ind w:firstLine="0" w:firstLineChars="0"/>
      <w:textAlignment w:val="auto"/>
    </w:pPr>
    <w:rPr>
      <w:rFonts w:ascii="宋体" w:hAnsi="宋体" w:cs="宋体"/>
      <w:snapToGrid/>
      <w:color w:val="auto"/>
      <w:szCs w:val="24"/>
      <w:lang w:eastAsia="zh-CN"/>
    </w:rPr>
  </w:style>
  <w:style w:type="paragraph" w:customStyle="1" w:styleId="119">
    <w:name w:val="font5"/>
    <w:basedOn w:val="1"/>
    <w:qFormat/>
    <w:uiPriority w:val="0"/>
    <w:pPr>
      <w:kinsoku/>
      <w:autoSpaceDE/>
      <w:autoSpaceDN/>
      <w:adjustRightInd/>
      <w:snapToGrid/>
      <w:spacing w:before="100" w:beforeAutospacing="1" w:after="100" w:afterAutospacing="1"/>
      <w:ind w:firstLine="0" w:firstLineChars="0"/>
      <w:textAlignment w:val="auto"/>
    </w:pPr>
    <w:rPr>
      <w:rFonts w:ascii="宋体" w:hAnsi="宋体" w:cs="宋体"/>
      <w:snapToGrid/>
      <w:color w:val="auto"/>
      <w:sz w:val="18"/>
      <w:szCs w:val="18"/>
      <w:lang w:eastAsia="zh-CN"/>
    </w:rPr>
  </w:style>
  <w:style w:type="paragraph" w:customStyle="1" w:styleId="120">
    <w:name w:val="xl65"/>
    <w:basedOn w:val="1"/>
    <w:qFormat/>
    <w:uiPriority w:val="0"/>
    <w:pPr>
      <w:pBdr>
        <w:top w:val="single" w:color="auto" w:sz="4" w:space="0"/>
        <w:left w:val="single" w:color="auto" w:sz="4" w:space="0"/>
        <w:bottom w:val="single" w:color="auto" w:sz="4" w:space="0"/>
        <w:right w:val="single" w:color="auto" w:sz="4" w:space="0"/>
      </w:pBdr>
      <w:kinsoku/>
      <w:autoSpaceDE/>
      <w:autoSpaceDN/>
      <w:adjustRightInd/>
      <w:snapToGrid/>
      <w:spacing w:before="100" w:beforeAutospacing="1" w:after="100" w:afterAutospacing="1"/>
      <w:ind w:firstLine="0" w:firstLineChars="0"/>
      <w:textAlignment w:val="auto"/>
    </w:pPr>
    <w:rPr>
      <w:rFonts w:ascii="宋体" w:hAnsi="宋体" w:cs="宋体"/>
      <w:snapToGrid/>
      <w:color w:val="auto"/>
      <w:szCs w:val="24"/>
      <w:lang w:eastAsia="zh-CN"/>
    </w:rPr>
  </w:style>
  <w:style w:type="paragraph" w:customStyle="1" w:styleId="121">
    <w:name w:val="图片标题"/>
    <w:basedOn w:val="1"/>
    <w:qFormat/>
    <w:uiPriority w:val="0"/>
    <w:pPr>
      <w:kinsoku/>
      <w:autoSpaceDE/>
      <w:autoSpaceDN/>
      <w:adjustRightInd/>
      <w:snapToGrid/>
      <w:ind w:firstLine="0" w:firstLineChars="0"/>
      <w:jc w:val="center"/>
      <w:textAlignment w:val="auto"/>
      <w:outlineLvl w:val="4"/>
    </w:pPr>
    <w:rPr>
      <w:rFonts w:eastAsia="黑体" w:cs="Times New Roman"/>
      <w:snapToGrid/>
      <w:sz w:val="21"/>
      <w:lang w:eastAsia="zh-CN"/>
    </w:rPr>
  </w:style>
  <w:style w:type="paragraph" w:customStyle="1" w:styleId="122">
    <w:name w:val="表格内容_五号"/>
    <w:basedOn w:val="1"/>
    <w:next w:val="1"/>
    <w:qFormat/>
    <w:uiPriority w:val="0"/>
    <w:pPr>
      <w:kinsoku/>
      <w:autoSpaceDE/>
      <w:autoSpaceDN/>
      <w:adjustRightInd/>
      <w:snapToGrid/>
      <w:ind w:firstLine="0" w:firstLineChars="0"/>
      <w:jc w:val="center"/>
      <w:textAlignment w:val="center"/>
    </w:pPr>
    <w:rPr>
      <w:rFonts w:hint="eastAsia" w:cs="宋体"/>
      <w:snapToGrid/>
      <w:sz w:val="21"/>
      <w:lang w:eastAsia="zh-CN"/>
    </w:rPr>
  </w:style>
  <w:style w:type="paragraph" w:customStyle="1" w:styleId="123">
    <w:name w:val="表格式"/>
    <w:basedOn w:val="47"/>
    <w:link w:val="124"/>
    <w:qFormat/>
    <w:uiPriority w:val="0"/>
    <w:rPr>
      <w:rFonts w:eastAsia="宋体"/>
    </w:rPr>
  </w:style>
  <w:style w:type="character" w:customStyle="1" w:styleId="124">
    <w:name w:val="表格式 Char"/>
    <w:basedOn w:val="48"/>
    <w:link w:val="123"/>
    <w:qFormat/>
    <w:uiPriority w:val="0"/>
    <w:rPr>
      <w:rFonts w:ascii="Times New Roman" w:hAnsi="Times New Roman" w:eastAsia="宋体" w:cs="Times New Roman"/>
      <w:kern w:val="0"/>
      <w:szCs w:val="21"/>
      <w:lang w:bidi="bo-CN"/>
      <w14:ligatures w14:val="none"/>
    </w:rPr>
  </w:style>
  <w:style w:type="paragraph" w:customStyle="1" w:styleId="125">
    <w:name w:val="xl66"/>
    <w:basedOn w:val="1"/>
    <w:qFormat/>
    <w:uiPriority w:val="0"/>
    <w:pPr>
      <w:pBdr>
        <w:top w:val="single" w:color="auto" w:sz="4" w:space="0"/>
        <w:left w:val="single" w:color="auto" w:sz="4" w:space="0"/>
        <w:bottom w:val="single" w:color="auto" w:sz="4" w:space="0"/>
        <w:right w:val="single" w:color="auto" w:sz="4" w:space="0"/>
      </w:pBdr>
      <w:kinsoku/>
      <w:autoSpaceDE/>
      <w:autoSpaceDN/>
      <w:adjustRightInd/>
      <w:snapToGrid/>
      <w:spacing w:before="100" w:beforeAutospacing="1" w:after="100" w:afterAutospacing="1"/>
      <w:ind w:firstLine="0" w:firstLineChars="0"/>
      <w:textAlignment w:val="auto"/>
    </w:pPr>
    <w:rPr>
      <w:rFonts w:ascii="宋体" w:hAnsi="宋体" w:cs="宋体"/>
      <w:snapToGrid/>
      <w:color w:val="auto"/>
      <w:szCs w:val="24"/>
      <w:lang w:eastAsia="zh-CN"/>
    </w:rPr>
  </w:style>
  <w:style w:type="character" w:customStyle="1" w:styleId="126">
    <w:name w:val="明显强调11"/>
    <w:basedOn w:val="34"/>
    <w:qFormat/>
    <w:uiPriority w:val="21"/>
    <w:rPr>
      <w:i/>
      <w:iCs/>
      <w:color w:val="2F5597" w:themeColor="accent1" w:themeShade="BF"/>
    </w:rPr>
  </w:style>
  <w:style w:type="character" w:customStyle="1" w:styleId="127">
    <w:name w:val="明显参考11"/>
    <w:basedOn w:val="34"/>
    <w:qFormat/>
    <w:uiPriority w:val="32"/>
    <w:rPr>
      <w:b/>
      <w:bCs/>
      <w:smallCaps/>
      <w:color w:val="2F5597" w:themeColor="accent1" w:themeShade="BF"/>
      <w:spacing w:val="5"/>
    </w:rPr>
  </w:style>
  <w:style w:type="paragraph" w:customStyle="1" w:styleId="128">
    <w:name w:val="HX-正文"/>
    <w:basedOn w:val="1"/>
    <w:qFormat/>
    <w:uiPriority w:val="0"/>
    <w:pPr>
      <w:widowControl w:val="0"/>
      <w:suppressAutoHyphens/>
      <w:kinsoku/>
      <w:wordWrap w:val="0"/>
      <w:autoSpaceDE/>
      <w:autoSpaceDN/>
      <w:adjustRightInd/>
      <w:snapToGrid/>
      <w:ind w:firstLine="200"/>
      <w:jc w:val="both"/>
      <w:textAlignment w:val="auto"/>
    </w:pPr>
    <w:rPr>
      <w:rFonts w:ascii="Calibri" w:hAnsi="Calibri" w:cs="Times New Roman"/>
      <w:snapToGrid/>
      <w:color w:val="auto"/>
      <w:kern w:val="2"/>
      <w:szCs w:val="24"/>
      <w:lang w:eastAsia="zh-CN"/>
    </w:rPr>
  </w:style>
  <w:style w:type="table" w:customStyle="1" w:styleId="129">
    <w:name w:val="Table Normal"/>
    <w:unhideWhenUsed/>
    <w:qFormat/>
    <w:uiPriority w:val="0"/>
    <w:rPr>
      <w:rFonts w:ascii="Times New Roman" w:hAnsi="Times New Roman" w:eastAsia="宋体" w:cs="Times New Roman"/>
    </w:rPr>
    <w:tblPr>
      <w:tblCellMar>
        <w:top w:w="0" w:type="dxa"/>
        <w:left w:w="0" w:type="dxa"/>
        <w:bottom w:w="0" w:type="dxa"/>
        <w:right w:w="0" w:type="dxa"/>
      </w:tblCellMar>
    </w:tblPr>
  </w:style>
  <w:style w:type="paragraph" w:customStyle="1" w:styleId="130">
    <w:name w:val="Body text|1"/>
    <w:basedOn w:val="1"/>
    <w:qFormat/>
    <w:uiPriority w:val="0"/>
    <w:pPr>
      <w:widowControl w:val="0"/>
      <w:kinsoku/>
      <w:autoSpaceDE/>
      <w:autoSpaceDN/>
      <w:adjustRightInd/>
      <w:snapToGrid/>
      <w:jc w:val="both"/>
      <w:textAlignment w:val="auto"/>
    </w:pPr>
    <w:rPr>
      <w:rFonts w:ascii="宋体" w:hAnsi="宋体" w:cs="宋体"/>
      <w:snapToGrid/>
      <w:color w:val="auto"/>
      <w:kern w:val="2"/>
      <w:szCs w:val="28"/>
      <w:lang w:val="zh-TW" w:eastAsia="zh-TW" w:bidi="zh-TW"/>
    </w:rPr>
  </w:style>
  <w:style w:type="paragraph" w:customStyle="1" w:styleId="131">
    <w:name w:val="HX-图片标题"/>
    <w:basedOn w:val="1"/>
    <w:next w:val="128"/>
    <w:qFormat/>
    <w:uiPriority w:val="0"/>
    <w:pPr>
      <w:widowControl w:val="0"/>
      <w:kinsoku/>
      <w:autoSpaceDE/>
      <w:autoSpaceDN/>
      <w:adjustRightInd/>
      <w:snapToGrid/>
      <w:ind w:firstLine="0" w:firstLineChars="0"/>
      <w:jc w:val="center"/>
      <w:textAlignment w:val="auto"/>
    </w:pPr>
    <w:rPr>
      <w:rFonts w:ascii="Calibri" w:hAnsi="Calibri" w:eastAsia="黑体" w:cs="Times New Roman"/>
      <w:snapToGrid/>
      <w:color w:val="auto"/>
      <w:kern w:val="2"/>
      <w:sz w:val="21"/>
      <w:szCs w:val="24"/>
      <w:lang w:eastAsia="zh-CN"/>
    </w:rPr>
  </w:style>
  <w:style w:type="paragraph" w:customStyle="1" w:styleId="132">
    <w:name w:val="HX-表格标题"/>
    <w:basedOn w:val="12"/>
    <w:next w:val="128"/>
    <w:qFormat/>
    <w:uiPriority w:val="0"/>
    <w:pPr>
      <w:keepNext/>
      <w:widowControl w:val="0"/>
      <w:kinsoku/>
      <w:autoSpaceDE/>
      <w:autoSpaceDN/>
      <w:adjustRightInd/>
      <w:snapToGrid/>
      <w:spacing w:before="10" w:beforeLines="10" w:after="10" w:afterLines="10"/>
      <w:textAlignment w:val="auto"/>
    </w:pPr>
    <w:rPr>
      <w:rFonts w:cs="Times New Roman"/>
      <w:snapToGrid/>
      <w:color w:val="auto"/>
      <w:kern w:val="2"/>
      <w:szCs w:val="21"/>
      <w:lang w:eastAsia="zh-CN"/>
    </w:rPr>
  </w:style>
  <w:style w:type="paragraph" w:styleId="133">
    <w:name w:val="No Spacing"/>
    <w:next w:val="128"/>
    <w:qFormat/>
    <w:uiPriority w:val="1"/>
    <w:pPr>
      <w:widowControl w:val="0"/>
      <w:jc w:val="center"/>
    </w:pPr>
    <w:rPr>
      <w:rFonts w:ascii="Times New Roman" w:hAnsi="Times New Roman" w:eastAsia="宋体" w:cs="Times New Roman"/>
      <w:kern w:val="2"/>
      <w:sz w:val="21"/>
      <w:szCs w:val="22"/>
      <w:lang w:val="en-US" w:eastAsia="zh-CN" w:bidi="ar-SA"/>
    </w:rPr>
  </w:style>
  <w:style w:type="paragraph" w:customStyle="1" w:styleId="134">
    <w:name w:val="For Fig. and Tab."/>
    <w:qFormat/>
    <w:uiPriority w:val="0"/>
    <w:pPr>
      <w:keepNext/>
      <w:adjustRightInd w:val="0"/>
      <w:snapToGrid w:val="0"/>
      <w:spacing w:line="360" w:lineRule="auto"/>
    </w:pPr>
    <w:rPr>
      <w:rFonts w:ascii="Times New Roman" w:hAnsi="Times New Roman" w:eastAsia="楷体" w:cs="Times New Roman"/>
      <w:kern w:val="2"/>
      <w:sz w:val="24"/>
      <w:szCs w:val="22"/>
      <w:lang w:val="en-US" w:eastAsia="zh-CN" w:bidi="ar-SA"/>
    </w:rPr>
  </w:style>
  <w:style w:type="paragraph" w:customStyle="1" w:styleId="135">
    <w:name w:val="修订1"/>
    <w:hidden/>
    <w:unhideWhenUsed/>
    <w:qFormat/>
    <w:uiPriority w:val="99"/>
    <w:rPr>
      <w:rFonts w:ascii="Calibri" w:hAnsi="Calibri" w:eastAsia="宋体" w:cs="Times New Roman"/>
      <w:kern w:val="2"/>
      <w:sz w:val="24"/>
      <w:szCs w:val="24"/>
      <w:lang w:val="en-US" w:eastAsia="zh-CN" w:bidi="ar-SA"/>
    </w:rPr>
  </w:style>
  <w:style w:type="paragraph" w:customStyle="1" w:styleId="136">
    <w:name w:val="三普段落"/>
    <w:basedOn w:val="1"/>
    <w:link w:val="137"/>
    <w:qFormat/>
    <w:uiPriority w:val="0"/>
    <w:pPr>
      <w:kinsoku/>
      <w:ind w:firstLine="480"/>
      <w:jc w:val="both"/>
    </w:pPr>
    <w:rPr>
      <w:rFonts w:cs="Times New Roman"/>
      <w:color w:val="auto"/>
      <w:lang w:eastAsia="zh-CN"/>
    </w:rPr>
  </w:style>
  <w:style w:type="character" w:customStyle="1" w:styleId="137">
    <w:name w:val="三普段落 字符"/>
    <w:basedOn w:val="34"/>
    <w:link w:val="136"/>
    <w:qFormat/>
    <w:uiPriority w:val="0"/>
    <w:rPr>
      <w:rFonts w:ascii="Times New Roman" w:hAnsi="Times New Roman" w:eastAsia="宋体" w:cs="Times New Roman"/>
      <w:snapToGrid w:val="0"/>
      <w:kern w:val="0"/>
      <w:sz w:val="24"/>
      <w:szCs w:val="21"/>
      <w14:ligatures w14:val="none"/>
    </w:rPr>
  </w:style>
  <w:style w:type="paragraph" w:customStyle="1" w:styleId="138">
    <w:name w:val="xl67"/>
    <w:basedOn w:val="1"/>
    <w:qFormat/>
    <w:uiPriority w:val="0"/>
    <w:pPr>
      <w:pBdr>
        <w:top w:val="single" w:color="auto" w:sz="4" w:space="0"/>
        <w:left w:val="single" w:color="auto" w:sz="4" w:space="0"/>
        <w:bottom w:val="single" w:color="auto" w:sz="4" w:space="0"/>
        <w:right w:val="single" w:color="auto" w:sz="4" w:space="0"/>
      </w:pBdr>
      <w:kinsoku/>
      <w:autoSpaceDE/>
      <w:autoSpaceDN/>
      <w:adjustRightInd/>
      <w:snapToGrid/>
      <w:spacing w:before="100" w:beforeAutospacing="1" w:after="100" w:afterAutospacing="1"/>
      <w:ind w:firstLine="0" w:firstLineChars="0"/>
      <w:jc w:val="center"/>
      <w:textAlignment w:val="top"/>
    </w:pPr>
    <w:rPr>
      <w:rFonts w:ascii="宋体" w:hAnsi="宋体" w:cs="宋体"/>
      <w:b/>
      <w:bCs/>
      <w:snapToGrid/>
      <w:color w:val="auto"/>
      <w:szCs w:val="24"/>
      <w:lang w:eastAsia="zh-CN"/>
    </w:rPr>
  </w:style>
  <w:style w:type="paragraph" w:customStyle="1" w:styleId="139">
    <w:name w:val="xl68"/>
    <w:basedOn w:val="1"/>
    <w:qFormat/>
    <w:uiPriority w:val="0"/>
    <w:pPr>
      <w:pBdr>
        <w:top w:val="single" w:color="auto" w:sz="4" w:space="0"/>
        <w:left w:val="single" w:color="auto" w:sz="4" w:space="0"/>
        <w:bottom w:val="single" w:color="auto" w:sz="4" w:space="0"/>
        <w:right w:val="single" w:color="auto" w:sz="4" w:space="0"/>
      </w:pBdr>
      <w:kinsoku/>
      <w:autoSpaceDE/>
      <w:autoSpaceDN/>
      <w:adjustRightInd/>
      <w:snapToGrid/>
      <w:spacing w:before="100" w:beforeAutospacing="1" w:after="100" w:afterAutospacing="1"/>
      <w:ind w:firstLine="0" w:firstLineChars="0"/>
      <w:jc w:val="center"/>
      <w:textAlignment w:val="center"/>
    </w:pPr>
    <w:rPr>
      <w:rFonts w:ascii="宋体" w:hAnsi="宋体" w:cs="宋体"/>
      <w:snapToGrid/>
      <w:color w:val="auto"/>
      <w:szCs w:val="24"/>
      <w:lang w:eastAsia="zh-CN"/>
    </w:rPr>
  </w:style>
  <w:style w:type="paragraph" w:customStyle="1" w:styleId="140">
    <w:name w:val="xl69"/>
    <w:basedOn w:val="1"/>
    <w:qFormat/>
    <w:uiPriority w:val="0"/>
    <w:pPr>
      <w:pBdr>
        <w:top w:val="single" w:color="auto" w:sz="4" w:space="0"/>
        <w:left w:val="single" w:color="auto" w:sz="4" w:space="0"/>
        <w:bottom w:val="single" w:color="auto" w:sz="4" w:space="0"/>
        <w:right w:val="single" w:color="auto" w:sz="4" w:space="0"/>
      </w:pBdr>
      <w:kinsoku/>
      <w:autoSpaceDE/>
      <w:autoSpaceDN/>
      <w:adjustRightInd/>
      <w:snapToGrid/>
      <w:spacing w:before="100" w:beforeAutospacing="1" w:after="100" w:afterAutospacing="1"/>
      <w:ind w:firstLine="0" w:firstLineChars="0"/>
      <w:jc w:val="center"/>
      <w:textAlignment w:val="center"/>
    </w:pPr>
    <w:rPr>
      <w:rFonts w:ascii="宋体" w:hAnsi="宋体" w:cs="宋体"/>
      <w:snapToGrid/>
      <w:color w:val="auto"/>
      <w:szCs w:val="24"/>
      <w:lang w:eastAsia="zh-CN"/>
    </w:rPr>
  </w:style>
  <w:style w:type="paragraph" w:customStyle="1" w:styleId="141">
    <w:name w:val="xl70"/>
    <w:basedOn w:val="1"/>
    <w:qFormat/>
    <w:uiPriority w:val="0"/>
    <w:pPr>
      <w:pBdr>
        <w:top w:val="single" w:color="auto" w:sz="4" w:space="0"/>
        <w:left w:val="single" w:color="auto" w:sz="4" w:space="0"/>
        <w:bottom w:val="single" w:color="auto" w:sz="4" w:space="0"/>
        <w:right w:val="single" w:color="auto" w:sz="4" w:space="0"/>
      </w:pBdr>
      <w:kinsoku/>
      <w:autoSpaceDE/>
      <w:autoSpaceDN/>
      <w:adjustRightInd/>
      <w:snapToGrid/>
      <w:spacing w:before="100" w:beforeAutospacing="1" w:after="100" w:afterAutospacing="1"/>
      <w:ind w:firstLine="0" w:firstLineChars="0"/>
      <w:jc w:val="center"/>
      <w:textAlignment w:val="center"/>
    </w:pPr>
    <w:rPr>
      <w:rFonts w:ascii="宋体" w:hAnsi="宋体" w:cs="宋体"/>
      <w:b/>
      <w:bCs/>
      <w:snapToGrid/>
      <w:color w:val="auto"/>
      <w:szCs w:val="24"/>
      <w:lang w:eastAsia="zh-CN"/>
    </w:rPr>
  </w:style>
  <w:style w:type="paragraph" w:customStyle="1" w:styleId="142">
    <w:name w:val="xl71"/>
    <w:basedOn w:val="1"/>
    <w:qFormat/>
    <w:uiPriority w:val="0"/>
    <w:pPr>
      <w:pBdr>
        <w:bottom w:val="single" w:color="auto" w:sz="4" w:space="0"/>
        <w:right w:val="single" w:color="auto" w:sz="4" w:space="0"/>
      </w:pBdr>
      <w:kinsoku/>
      <w:autoSpaceDE/>
      <w:autoSpaceDN/>
      <w:adjustRightInd/>
      <w:snapToGrid/>
      <w:spacing w:before="100" w:beforeAutospacing="1" w:after="100" w:afterAutospacing="1"/>
      <w:ind w:firstLine="0" w:firstLineChars="0"/>
      <w:textAlignment w:val="auto"/>
    </w:pPr>
    <w:rPr>
      <w:rFonts w:ascii="宋体" w:hAnsi="宋体" w:cs="宋体"/>
      <w:snapToGrid/>
      <w:color w:val="auto"/>
      <w:szCs w:val="24"/>
      <w:lang w:eastAsia="zh-CN"/>
    </w:rPr>
  </w:style>
  <w:style w:type="paragraph" w:customStyle="1" w:styleId="143">
    <w:name w:val="xl72"/>
    <w:basedOn w:val="1"/>
    <w:qFormat/>
    <w:uiPriority w:val="0"/>
    <w:pPr>
      <w:pBdr>
        <w:left w:val="single" w:color="auto" w:sz="4" w:space="0"/>
        <w:right w:val="single" w:color="auto" w:sz="4" w:space="0"/>
      </w:pBdr>
      <w:kinsoku/>
      <w:autoSpaceDE/>
      <w:autoSpaceDN/>
      <w:adjustRightInd/>
      <w:snapToGrid/>
      <w:spacing w:before="100" w:beforeAutospacing="1" w:after="100" w:afterAutospacing="1"/>
      <w:ind w:firstLine="0" w:firstLineChars="0"/>
      <w:textAlignment w:val="auto"/>
    </w:pPr>
    <w:rPr>
      <w:rFonts w:ascii="宋体" w:hAnsi="宋体" w:cs="宋体"/>
      <w:snapToGrid/>
      <w:color w:val="auto"/>
      <w:szCs w:val="24"/>
      <w:lang w:eastAsia="zh-CN"/>
    </w:rPr>
  </w:style>
  <w:style w:type="paragraph" w:customStyle="1" w:styleId="144">
    <w:name w:val="xl73"/>
    <w:basedOn w:val="1"/>
    <w:qFormat/>
    <w:uiPriority w:val="0"/>
    <w:pPr>
      <w:pBdr>
        <w:left w:val="single" w:color="auto" w:sz="4" w:space="0"/>
        <w:bottom w:val="single" w:color="auto" w:sz="4" w:space="0"/>
        <w:right w:val="single" w:color="auto" w:sz="4" w:space="0"/>
      </w:pBdr>
      <w:kinsoku/>
      <w:autoSpaceDE/>
      <w:autoSpaceDN/>
      <w:adjustRightInd/>
      <w:snapToGrid/>
      <w:spacing w:before="100" w:beforeAutospacing="1" w:after="100" w:afterAutospacing="1"/>
      <w:ind w:firstLine="0" w:firstLineChars="0"/>
      <w:textAlignment w:val="auto"/>
    </w:pPr>
    <w:rPr>
      <w:rFonts w:ascii="宋体" w:hAnsi="宋体" w:cs="宋体"/>
      <w:snapToGrid/>
      <w:color w:val="auto"/>
      <w:szCs w:val="24"/>
      <w:lang w:eastAsia="zh-CN"/>
    </w:rPr>
  </w:style>
  <w:style w:type="paragraph" w:customStyle="1" w:styleId="145">
    <w:name w:val="xl74"/>
    <w:basedOn w:val="1"/>
    <w:qFormat/>
    <w:uiPriority w:val="0"/>
    <w:pPr>
      <w:pBdr>
        <w:top w:val="single" w:color="auto" w:sz="4" w:space="0"/>
        <w:bottom w:val="single" w:color="auto" w:sz="4" w:space="0"/>
        <w:right w:val="single" w:color="auto" w:sz="4" w:space="0"/>
      </w:pBdr>
      <w:kinsoku/>
      <w:autoSpaceDE/>
      <w:autoSpaceDN/>
      <w:adjustRightInd/>
      <w:snapToGrid/>
      <w:spacing w:before="100" w:beforeAutospacing="1" w:after="100" w:afterAutospacing="1"/>
      <w:ind w:firstLine="0" w:firstLineChars="0"/>
      <w:textAlignment w:val="auto"/>
    </w:pPr>
    <w:rPr>
      <w:rFonts w:ascii="宋体" w:hAnsi="宋体" w:cs="宋体"/>
      <w:snapToGrid/>
      <w:color w:val="auto"/>
      <w:szCs w:val="24"/>
      <w:lang w:eastAsia="zh-CN"/>
    </w:rPr>
  </w:style>
  <w:style w:type="paragraph" w:customStyle="1" w:styleId="146">
    <w:name w:val="xl75"/>
    <w:basedOn w:val="1"/>
    <w:qFormat/>
    <w:uiPriority w:val="0"/>
    <w:pPr>
      <w:pBdr>
        <w:top w:val="single" w:color="auto" w:sz="4" w:space="0"/>
        <w:left w:val="single" w:color="auto" w:sz="4" w:space="0"/>
        <w:bottom w:val="single" w:color="auto" w:sz="4" w:space="0"/>
        <w:right w:val="single" w:color="auto" w:sz="4" w:space="0"/>
      </w:pBdr>
      <w:kinsoku/>
      <w:autoSpaceDE/>
      <w:autoSpaceDN/>
      <w:adjustRightInd/>
      <w:snapToGrid/>
      <w:spacing w:before="100" w:beforeAutospacing="1" w:after="100" w:afterAutospacing="1"/>
      <w:ind w:firstLine="0" w:firstLineChars="0"/>
      <w:textAlignment w:val="auto"/>
    </w:pPr>
    <w:rPr>
      <w:rFonts w:ascii="宋体" w:hAnsi="宋体" w:cs="宋体"/>
      <w:snapToGrid/>
      <w:color w:val="auto"/>
      <w:szCs w:val="24"/>
      <w:lang w:eastAsia="zh-CN"/>
    </w:rPr>
  </w:style>
  <w:style w:type="table" w:customStyle="1" w:styleId="147">
    <w:name w:val="网格型1"/>
    <w:basedOn w:val="32"/>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8">
    <w:name w:val="TOC 41"/>
    <w:basedOn w:val="1"/>
    <w:next w:val="1"/>
    <w:unhideWhenUsed/>
    <w:qFormat/>
    <w:uiPriority w:val="39"/>
    <w:pPr>
      <w:widowControl w:val="0"/>
      <w:kinsoku/>
      <w:autoSpaceDE/>
      <w:autoSpaceDN/>
      <w:adjustRightInd/>
      <w:snapToGrid/>
      <w:spacing w:after="160" w:line="278" w:lineRule="auto"/>
      <w:ind w:left="1260" w:leftChars="600" w:firstLine="0" w:firstLineChars="0"/>
      <w:textAlignment w:val="auto"/>
    </w:pPr>
    <w:rPr>
      <w:rFonts w:ascii="等线" w:hAnsi="等线" w:eastAsia="等线" w:cs="Times New Roman"/>
      <w:snapToGrid/>
      <w:color w:val="auto"/>
      <w:kern w:val="2"/>
      <w:sz w:val="22"/>
      <w:szCs w:val="24"/>
      <w:lang w:eastAsia="zh-CN"/>
      <w14:ligatures w14:val="standardContextual"/>
    </w:rPr>
  </w:style>
  <w:style w:type="paragraph" w:customStyle="1" w:styleId="149">
    <w:name w:val="TOC 51"/>
    <w:basedOn w:val="1"/>
    <w:next w:val="1"/>
    <w:unhideWhenUsed/>
    <w:qFormat/>
    <w:uiPriority w:val="39"/>
    <w:pPr>
      <w:widowControl w:val="0"/>
      <w:kinsoku/>
      <w:autoSpaceDE/>
      <w:autoSpaceDN/>
      <w:adjustRightInd/>
      <w:snapToGrid/>
      <w:spacing w:after="160" w:line="278" w:lineRule="auto"/>
      <w:ind w:left="1680" w:leftChars="800" w:firstLine="0" w:firstLineChars="0"/>
      <w:textAlignment w:val="auto"/>
    </w:pPr>
    <w:rPr>
      <w:rFonts w:ascii="等线" w:hAnsi="等线" w:eastAsia="等线" w:cs="Times New Roman"/>
      <w:snapToGrid/>
      <w:color w:val="auto"/>
      <w:kern w:val="2"/>
      <w:sz w:val="22"/>
      <w:szCs w:val="24"/>
      <w:lang w:eastAsia="zh-CN"/>
      <w14:ligatures w14:val="standardContextual"/>
    </w:rPr>
  </w:style>
  <w:style w:type="paragraph" w:customStyle="1" w:styleId="150">
    <w:name w:val="TOC 61"/>
    <w:basedOn w:val="1"/>
    <w:next w:val="1"/>
    <w:unhideWhenUsed/>
    <w:qFormat/>
    <w:uiPriority w:val="39"/>
    <w:pPr>
      <w:widowControl w:val="0"/>
      <w:kinsoku/>
      <w:autoSpaceDE/>
      <w:autoSpaceDN/>
      <w:adjustRightInd/>
      <w:snapToGrid/>
      <w:spacing w:after="160" w:line="278" w:lineRule="auto"/>
      <w:ind w:left="2100" w:leftChars="1000" w:firstLine="0" w:firstLineChars="0"/>
      <w:textAlignment w:val="auto"/>
    </w:pPr>
    <w:rPr>
      <w:rFonts w:ascii="等线" w:hAnsi="等线" w:eastAsia="等线" w:cs="Times New Roman"/>
      <w:snapToGrid/>
      <w:color w:val="auto"/>
      <w:kern w:val="2"/>
      <w:sz w:val="22"/>
      <w:szCs w:val="24"/>
      <w:lang w:eastAsia="zh-CN"/>
      <w14:ligatures w14:val="standardContextual"/>
    </w:rPr>
  </w:style>
  <w:style w:type="paragraph" w:customStyle="1" w:styleId="151">
    <w:name w:val="TOC 71"/>
    <w:basedOn w:val="1"/>
    <w:next w:val="1"/>
    <w:unhideWhenUsed/>
    <w:qFormat/>
    <w:uiPriority w:val="39"/>
    <w:pPr>
      <w:widowControl w:val="0"/>
      <w:kinsoku/>
      <w:autoSpaceDE/>
      <w:autoSpaceDN/>
      <w:adjustRightInd/>
      <w:snapToGrid/>
      <w:spacing w:after="160" w:line="278" w:lineRule="auto"/>
      <w:ind w:left="2520" w:leftChars="1200" w:firstLine="0" w:firstLineChars="0"/>
      <w:textAlignment w:val="auto"/>
    </w:pPr>
    <w:rPr>
      <w:rFonts w:ascii="等线" w:hAnsi="等线" w:eastAsia="等线" w:cs="Times New Roman"/>
      <w:snapToGrid/>
      <w:color w:val="auto"/>
      <w:kern w:val="2"/>
      <w:sz w:val="22"/>
      <w:szCs w:val="24"/>
      <w:lang w:eastAsia="zh-CN"/>
      <w14:ligatures w14:val="standardContextual"/>
    </w:rPr>
  </w:style>
  <w:style w:type="paragraph" w:customStyle="1" w:styleId="152">
    <w:name w:val="TOC 81"/>
    <w:basedOn w:val="1"/>
    <w:next w:val="1"/>
    <w:unhideWhenUsed/>
    <w:qFormat/>
    <w:uiPriority w:val="39"/>
    <w:pPr>
      <w:widowControl w:val="0"/>
      <w:kinsoku/>
      <w:autoSpaceDE/>
      <w:autoSpaceDN/>
      <w:adjustRightInd/>
      <w:snapToGrid/>
      <w:spacing w:after="160" w:line="278" w:lineRule="auto"/>
      <w:ind w:left="2940" w:leftChars="1400" w:firstLine="0" w:firstLineChars="0"/>
      <w:textAlignment w:val="auto"/>
    </w:pPr>
    <w:rPr>
      <w:rFonts w:ascii="等线" w:hAnsi="等线" w:eastAsia="等线" w:cs="Times New Roman"/>
      <w:snapToGrid/>
      <w:color w:val="auto"/>
      <w:kern w:val="2"/>
      <w:sz w:val="22"/>
      <w:szCs w:val="24"/>
      <w:lang w:eastAsia="zh-CN"/>
      <w14:ligatures w14:val="standardContextual"/>
    </w:rPr>
  </w:style>
  <w:style w:type="paragraph" w:customStyle="1" w:styleId="153">
    <w:name w:val="TOC 91"/>
    <w:basedOn w:val="1"/>
    <w:next w:val="1"/>
    <w:unhideWhenUsed/>
    <w:qFormat/>
    <w:uiPriority w:val="39"/>
    <w:pPr>
      <w:widowControl w:val="0"/>
      <w:kinsoku/>
      <w:autoSpaceDE/>
      <w:autoSpaceDN/>
      <w:adjustRightInd/>
      <w:snapToGrid/>
      <w:spacing w:after="160" w:line="278" w:lineRule="auto"/>
      <w:ind w:left="3360" w:leftChars="1600" w:firstLine="0" w:firstLineChars="0"/>
      <w:textAlignment w:val="auto"/>
    </w:pPr>
    <w:rPr>
      <w:rFonts w:ascii="等线" w:hAnsi="等线" w:eastAsia="等线" w:cs="Times New Roman"/>
      <w:snapToGrid/>
      <w:color w:val="auto"/>
      <w:kern w:val="2"/>
      <w:sz w:val="22"/>
      <w:szCs w:val="24"/>
      <w:lang w:eastAsia="zh-CN"/>
      <w14:ligatures w14:val="standardContextual"/>
    </w:rPr>
  </w:style>
  <w:style w:type="character" w:customStyle="1" w:styleId="154">
    <w:name w:val="超链接1"/>
    <w:basedOn w:val="34"/>
    <w:unhideWhenUsed/>
    <w:qFormat/>
    <w:uiPriority w:val="99"/>
    <w:rPr>
      <w:color w:val="0000FF"/>
      <w:u w:val="single"/>
    </w:rPr>
  </w:style>
  <w:style w:type="paragraph" w:customStyle="1" w:styleId="155">
    <w:name w:val="表目录111"/>
    <w:qFormat/>
    <w:uiPriority w:val="0"/>
    <w:pPr>
      <w:tabs>
        <w:tab w:val="right" w:leader="dot" w:pos="9394"/>
      </w:tabs>
      <w:ind w:left="100" w:leftChars="100" w:right="100" w:rightChars="100"/>
      <w:jc w:val="center"/>
    </w:pPr>
    <w:rPr>
      <w:rFonts w:ascii="Times New Roman" w:hAnsi="Times New Roman" w:eastAsia="黑体" w:cs="Arial"/>
      <w:bCs/>
      <w:snapToGrid w:val="0"/>
      <w:color w:val="000000"/>
      <w:spacing w:val="-9"/>
      <w:sz w:val="21"/>
      <w:szCs w:val="21"/>
      <w:lang w:val="en-US" w:eastAsia="en-US" w:bidi="ar-SA"/>
    </w:rPr>
  </w:style>
  <w:style w:type="paragraph" w:customStyle="1" w:styleId="156">
    <w:name w:val="图目录111"/>
    <w:qFormat/>
    <w:uiPriority w:val="0"/>
    <w:pPr>
      <w:tabs>
        <w:tab w:val="right" w:leader="dot" w:pos="9394"/>
      </w:tabs>
      <w:jc w:val="center"/>
    </w:pPr>
    <w:rPr>
      <w:rFonts w:ascii="Times New Roman" w:hAnsi="Times New Roman" w:eastAsia="黑体" w:cs="Times New Roman"/>
      <w:kern w:val="2"/>
      <w:sz w:val="21"/>
      <w:szCs w:val="28"/>
      <w:lang w:val="en-US" w:eastAsia="zh-CN" w:bidi="ar-SA"/>
    </w:rPr>
  </w:style>
  <w:style w:type="paragraph" w:customStyle="1" w:styleId="157">
    <w:name w:val="修订2"/>
    <w:hidden/>
    <w:unhideWhenUsed/>
    <w:qFormat/>
    <w:uiPriority w:val="99"/>
    <w:rPr>
      <w:rFonts w:ascii="Times New Roman" w:hAnsi="Times New Roman" w:eastAsia="宋体" w:cs="Arial"/>
      <w:snapToGrid w:val="0"/>
      <w:color w:val="000000"/>
      <w:sz w:val="24"/>
      <w:szCs w:val="21"/>
      <w:lang w:val="en-US" w:eastAsia="en-US" w:bidi="ar-SA"/>
    </w:rPr>
  </w:style>
</w:styles>
</file>

<file path=word/_rels/comments.xml.rels><?xml version="1.0" encoding="UTF-8" standalone="yes"?>
<Relationships xmlns="http://schemas.openxmlformats.org/package/2006/relationships"><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6" Type="http://schemas.microsoft.com/office/2011/relationships/people" Target="people.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comments" Target="comments.xml"/><Relationship Id="rId29" Type="http://schemas.openxmlformats.org/officeDocument/2006/relationships/image" Target="media/image21.pn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AEE392-946A-4AA9-8F0F-8C554E85AA38}">
  <ds:schemaRefs/>
</ds:datastoreItem>
</file>

<file path=docProps/app.xml><?xml version="1.0" encoding="utf-8"?>
<Properties xmlns="http://schemas.openxmlformats.org/officeDocument/2006/extended-properties" xmlns:vt="http://schemas.openxmlformats.org/officeDocument/2006/docPropsVTypes">
  <Template>Normal</Template>
  <Pages>46</Pages>
  <Words>306</Words>
  <Characters>344</Characters>
  <Lines>240</Lines>
  <Paragraphs>67</Paragraphs>
  <TotalTime>10</TotalTime>
  <ScaleCrop>false</ScaleCrop>
  <LinksUpToDate>false</LinksUpToDate>
  <CharactersWithSpaces>392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2026-09-24T06:27:00Z</dcterms:created>
  <dc:creator>Haiyan Wang</dc:creator>
  <cp:lastModifiedBy>江婉婷</cp:lastModifiedBy>
  <cp:lastPrinted>2026-06-25T13:05:00Z</cp:lastPrinted>
  <dcterms:modified xsi:type="dcterms:W3CDTF">2026-10-01T11:23:04Z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D15CC9ACE77D4647B7303FF95FBD655A_13</vt:lpwstr>
  </property>
  <property fmtid="{D5CDD505-2E9C-101B-9397-08002B2CF9AE}" pid="4" name="KSOTemplateDocerSaveRecord">
    <vt:lpwstr>eyJoZGlkIjoiOGFkM2E1OTQ2YmY0NTIzMGY0YTZiZmY5YzNlZTI2ZmIiLCJ1c2VySWQiOiI0NDEwOTY3MTIifQ==</vt:lpwstr>
  </property>
</Properties>
</file>