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28BDA">
      <w:pPr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  <w:t>宁晋县土壤资源评价与利用验收评分表</w:t>
      </w:r>
    </w:p>
    <w:p w14:paraId="508A2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本报告验收评分表总分值100分。评分等级划分标准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90分及以上为优秀，80~90分为良好，70~80分为合格，低于70分为不合格。</w:t>
      </w:r>
    </w:p>
    <w:p w14:paraId="227F37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本报告各章采用独立判定评分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等级，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各章参照总评分等级划分标准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基于各章分值权重独立判定评分等级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如第七章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“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耕地质量等级评价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”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分值为10分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得9分及以上为优秀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8~9分为良好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7~8分为合格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低于7分为不合格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；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任何一章不合格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，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则本报告总体判定不合格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。</w:t>
      </w:r>
    </w:p>
    <w:tbl>
      <w:tblPr>
        <w:tblStyle w:val="6"/>
        <w:tblW w:w="8941" w:type="dxa"/>
        <w:jc w:val="center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524"/>
        <w:gridCol w:w="2721"/>
        <w:gridCol w:w="3061"/>
        <w:gridCol w:w="625"/>
        <w:gridCol w:w="700"/>
        <w:gridCol w:w="583"/>
      </w:tblGrid>
      <w:tr w14:paraId="1F2C6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727" w:type="dxa"/>
            <w:tcBorders>
              <w:top w:val="single" w:color="231F20" w:sz="6" w:space="0"/>
              <w:left w:val="single" w:color="231F20" w:sz="6" w:space="0"/>
            </w:tcBorders>
            <w:vAlign w:val="center"/>
          </w:tcPr>
          <w:p w14:paraId="7C188B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5" w:line="177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项目</w:t>
            </w:r>
          </w:p>
        </w:tc>
        <w:tc>
          <w:tcPr>
            <w:tcW w:w="524" w:type="dxa"/>
            <w:tcBorders>
              <w:top w:val="single" w:color="231F20" w:sz="6" w:space="0"/>
            </w:tcBorders>
            <w:vAlign w:val="center"/>
          </w:tcPr>
          <w:p w14:paraId="7F5606A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1" w:line="18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分值</w:t>
            </w:r>
          </w:p>
        </w:tc>
        <w:tc>
          <w:tcPr>
            <w:tcW w:w="2721" w:type="dxa"/>
            <w:tcBorders>
              <w:top w:val="single" w:color="231F20" w:sz="6" w:space="0"/>
            </w:tcBorders>
            <w:vAlign w:val="center"/>
          </w:tcPr>
          <w:p w14:paraId="429503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验收内容</w:t>
            </w:r>
          </w:p>
        </w:tc>
        <w:tc>
          <w:tcPr>
            <w:tcW w:w="3061" w:type="dxa"/>
            <w:tcBorders>
              <w:top w:val="single" w:color="231F20" w:sz="6" w:space="0"/>
            </w:tcBorders>
            <w:vAlign w:val="center"/>
          </w:tcPr>
          <w:p w14:paraId="1F8CC81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3" w:line="185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8"/>
                <w:sz w:val="24"/>
                <w:szCs w:val="24"/>
              </w:rPr>
              <w:t>评分要点</w:t>
            </w:r>
          </w:p>
        </w:tc>
        <w:tc>
          <w:tcPr>
            <w:tcW w:w="625" w:type="dxa"/>
            <w:tcBorders>
              <w:top w:val="single" w:color="231F20" w:sz="6" w:space="0"/>
            </w:tcBorders>
            <w:vAlign w:val="center"/>
          </w:tcPr>
          <w:p w14:paraId="1CAB64B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4"/>
                <w:szCs w:val="24"/>
              </w:rPr>
              <w:t>得分</w:t>
            </w:r>
          </w:p>
        </w:tc>
        <w:tc>
          <w:tcPr>
            <w:tcW w:w="700" w:type="dxa"/>
            <w:tcBorders>
              <w:top w:val="single" w:color="231F20" w:sz="6" w:space="0"/>
            </w:tcBorders>
            <w:vAlign w:val="center"/>
          </w:tcPr>
          <w:p w14:paraId="2E7170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1" w:line="186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5"/>
                <w:sz w:val="24"/>
                <w:szCs w:val="24"/>
              </w:rPr>
              <w:t>等级</w:t>
            </w:r>
          </w:p>
        </w:tc>
        <w:tc>
          <w:tcPr>
            <w:tcW w:w="583" w:type="dxa"/>
            <w:tcBorders>
              <w:top w:val="single" w:color="231F20" w:sz="6" w:space="0"/>
              <w:right w:val="single" w:color="231F20" w:sz="6" w:space="0"/>
            </w:tcBorders>
            <w:vAlign w:val="center"/>
          </w:tcPr>
          <w:p w14:paraId="0B8024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4" w:line="183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3"/>
                <w:sz w:val="24"/>
                <w:szCs w:val="24"/>
              </w:rPr>
              <w:t>总分</w:t>
            </w:r>
          </w:p>
        </w:tc>
      </w:tr>
      <w:tr w14:paraId="62854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337C82E9"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pacing w:val="8"/>
                <w:sz w:val="22"/>
                <w:szCs w:val="22"/>
                <w:lang w:val="en-US" w:eastAsia="zh-CN"/>
              </w:rPr>
              <w:t>第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一章</w:t>
            </w:r>
          </w:p>
        </w:tc>
        <w:tc>
          <w:tcPr>
            <w:tcW w:w="524" w:type="dxa"/>
            <w:vAlign w:val="center"/>
          </w:tcPr>
          <w:p w14:paraId="24AC82D4">
            <w:pPr>
              <w:spacing w:before="44" w:line="200" w:lineRule="auto"/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21" w:type="dxa"/>
            <w:vAlign w:val="center"/>
          </w:tcPr>
          <w:p w14:paraId="1ACCF07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1" w:lineRule="auto"/>
              <w:ind w:left="91" w:righ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土壤普查概述</w:t>
            </w:r>
            <w:r>
              <w:rPr>
                <w:rFonts w:hint="eastAsia" w:ascii="Times New Roman" w:hAnsi="Times New Roman" w:eastAsia="宋体" w:cs="Times New Roman"/>
                <w:spacing w:val="5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包括普查任务与范</w:t>
            </w:r>
            <w:r>
              <w:rPr>
                <w:rFonts w:hint="default" w:ascii="Times New Roman" w:hAnsi="Times New Roman" w:eastAsia="宋体" w:cs="Times New Roman"/>
                <w:spacing w:val="7"/>
                <w:sz w:val="22"/>
                <w:szCs w:val="22"/>
              </w:rPr>
              <w:t>围、工作程序与技术路径、数据来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源与成果清单等</w:t>
            </w:r>
          </w:p>
        </w:tc>
        <w:tc>
          <w:tcPr>
            <w:tcW w:w="3061" w:type="dxa"/>
            <w:vAlign w:val="center"/>
          </w:tcPr>
          <w:p w14:paraId="0E3D700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内容完整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符合方案要求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土壤普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查关键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技术</w:t>
            </w: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内容、实施机制和应用</w:t>
            </w: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成效阐述有据</w:t>
            </w:r>
          </w:p>
        </w:tc>
        <w:tc>
          <w:tcPr>
            <w:tcW w:w="625" w:type="dxa"/>
            <w:vAlign w:val="center"/>
          </w:tcPr>
          <w:p w14:paraId="4534CFBE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700" w:type="dxa"/>
            <w:vAlign w:val="center"/>
          </w:tcPr>
          <w:p w14:paraId="420ED16B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583" w:type="dxa"/>
            <w:vMerge w:val="restart"/>
            <w:tcBorders>
              <w:bottom w:val="nil"/>
              <w:right w:val="single" w:color="231F20" w:sz="6" w:space="0"/>
            </w:tcBorders>
            <w:vAlign w:val="center"/>
          </w:tcPr>
          <w:p w14:paraId="4EA1C48A">
            <w:pPr>
              <w:jc w:val="center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</w:t>
            </w:r>
            <w:bookmarkStart w:id="0" w:name="_GoBack"/>
            <w:bookmarkEnd w:id="0"/>
          </w:p>
        </w:tc>
      </w:tr>
      <w:tr w14:paraId="1B5130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3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09CEDD27"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第二章</w:t>
            </w:r>
          </w:p>
        </w:tc>
        <w:tc>
          <w:tcPr>
            <w:tcW w:w="524" w:type="dxa"/>
            <w:vAlign w:val="center"/>
          </w:tcPr>
          <w:p w14:paraId="2B09B823">
            <w:pPr>
              <w:spacing w:before="44" w:line="203" w:lineRule="auto"/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721" w:type="dxa"/>
            <w:vAlign w:val="center"/>
          </w:tcPr>
          <w:p w14:paraId="207FEA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1" w:lineRule="auto"/>
              <w:ind w:righ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3"/>
                <w:sz w:val="22"/>
                <w:szCs w:val="22"/>
              </w:rPr>
              <w:t>自然条件与社会经济状况包括区</w:t>
            </w:r>
            <w:r>
              <w:rPr>
                <w:rFonts w:hint="default" w:ascii="Times New Roman" w:hAnsi="Times New Roman" w:eastAsia="宋体" w:cs="Times New Roman"/>
                <w:spacing w:val="1"/>
                <w:sz w:val="22"/>
                <w:szCs w:val="22"/>
              </w:rPr>
              <w:t>域自然条件、社会经济、土地利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用、农业生产等</w:t>
            </w:r>
          </w:p>
        </w:tc>
        <w:tc>
          <w:tcPr>
            <w:tcW w:w="3061" w:type="dxa"/>
            <w:vAlign w:val="center"/>
          </w:tcPr>
          <w:p w14:paraId="1049003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内容完整、数据可靠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与土壤普查成果相关性强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所附图表格式规范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。</w:t>
            </w:r>
          </w:p>
          <w:p w14:paraId="523BF42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根据偏离程度酌情扣0~5分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土地利用或农业生产缺历史变化每次扣2分</w:t>
            </w:r>
          </w:p>
        </w:tc>
        <w:tc>
          <w:tcPr>
            <w:tcW w:w="625" w:type="dxa"/>
            <w:vAlign w:val="center"/>
          </w:tcPr>
          <w:p w14:paraId="2BD20004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5</w:t>
            </w:r>
          </w:p>
        </w:tc>
        <w:tc>
          <w:tcPr>
            <w:tcW w:w="700" w:type="dxa"/>
            <w:vAlign w:val="center"/>
          </w:tcPr>
          <w:p w14:paraId="3924F528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优秀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2A21FC1">
            <w:pPr>
              <w:rPr>
                <w:rFonts w:ascii="Arial"/>
                <w:sz w:val="21"/>
              </w:rPr>
            </w:pPr>
          </w:p>
        </w:tc>
      </w:tr>
      <w:tr w14:paraId="20C46F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23B9B338">
            <w:pPr>
              <w:pStyle w:val="5"/>
              <w:spacing w:before="136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第三章</w:t>
            </w:r>
          </w:p>
        </w:tc>
        <w:tc>
          <w:tcPr>
            <w:tcW w:w="524" w:type="dxa"/>
            <w:vAlign w:val="center"/>
          </w:tcPr>
          <w:p w14:paraId="5A4D09E7">
            <w:pPr>
              <w:spacing w:before="161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25</w:t>
            </w:r>
          </w:p>
        </w:tc>
        <w:tc>
          <w:tcPr>
            <w:tcW w:w="2721" w:type="dxa"/>
            <w:vAlign w:val="center"/>
          </w:tcPr>
          <w:p w14:paraId="135C0B3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2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土壤类型与制图</w:t>
            </w:r>
          </w:p>
        </w:tc>
        <w:tc>
          <w:tcPr>
            <w:tcW w:w="3061" w:type="dxa"/>
            <w:vAlign w:val="center"/>
          </w:tcPr>
          <w:p w14:paraId="183EA27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1D5F006A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18</w:t>
            </w:r>
          </w:p>
        </w:tc>
        <w:tc>
          <w:tcPr>
            <w:tcW w:w="700" w:type="dxa"/>
            <w:vAlign w:val="center"/>
          </w:tcPr>
          <w:p w14:paraId="5C302A55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9EC1438">
            <w:pPr>
              <w:rPr>
                <w:rFonts w:ascii="Arial"/>
                <w:sz w:val="21"/>
              </w:rPr>
            </w:pPr>
          </w:p>
        </w:tc>
      </w:tr>
      <w:tr w14:paraId="3BDE0B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4C98C3DF">
            <w:pPr>
              <w:pStyle w:val="5"/>
              <w:spacing w:before="137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第四章</w:t>
            </w:r>
          </w:p>
        </w:tc>
        <w:tc>
          <w:tcPr>
            <w:tcW w:w="524" w:type="dxa"/>
            <w:vAlign w:val="center"/>
          </w:tcPr>
          <w:p w14:paraId="21CA9AF6">
            <w:pPr>
              <w:spacing w:before="163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5"/>
                <w:sz w:val="22"/>
                <w:szCs w:val="22"/>
              </w:rPr>
              <w:t>25</w:t>
            </w:r>
          </w:p>
        </w:tc>
        <w:tc>
          <w:tcPr>
            <w:tcW w:w="2721" w:type="dxa"/>
            <w:vAlign w:val="center"/>
          </w:tcPr>
          <w:p w14:paraId="0AB79F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3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土壤属性与制图</w:t>
            </w:r>
          </w:p>
        </w:tc>
        <w:tc>
          <w:tcPr>
            <w:tcW w:w="3061" w:type="dxa"/>
            <w:vAlign w:val="center"/>
          </w:tcPr>
          <w:p w14:paraId="68A82E8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21C8F917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19</w:t>
            </w:r>
          </w:p>
        </w:tc>
        <w:tc>
          <w:tcPr>
            <w:tcW w:w="700" w:type="dxa"/>
            <w:vAlign w:val="center"/>
          </w:tcPr>
          <w:p w14:paraId="297F92B9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746B504">
            <w:pPr>
              <w:rPr>
                <w:rFonts w:ascii="Arial"/>
                <w:sz w:val="21"/>
              </w:rPr>
            </w:pPr>
          </w:p>
        </w:tc>
      </w:tr>
      <w:tr w14:paraId="62AA43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5189A1F7">
            <w:pPr>
              <w:pStyle w:val="5"/>
              <w:spacing w:before="138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第五章</w:t>
            </w:r>
          </w:p>
        </w:tc>
        <w:tc>
          <w:tcPr>
            <w:tcW w:w="524" w:type="dxa"/>
            <w:vAlign w:val="center"/>
          </w:tcPr>
          <w:p w14:paraId="10857901">
            <w:pPr>
              <w:spacing w:before="166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 w14:paraId="6F1F48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9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5"/>
                <w:sz w:val="22"/>
                <w:szCs w:val="22"/>
              </w:rPr>
              <w:t>土壤退化、障碍与改良</w:t>
            </w:r>
          </w:p>
        </w:tc>
        <w:tc>
          <w:tcPr>
            <w:tcW w:w="3061" w:type="dxa"/>
            <w:vAlign w:val="center"/>
          </w:tcPr>
          <w:p w14:paraId="341613F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2F76A981">
            <w:pPr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00" w:type="dxa"/>
            <w:vAlign w:val="center"/>
          </w:tcPr>
          <w:p w14:paraId="42FD0AA5">
            <w:pPr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BE0C22E">
            <w:pPr>
              <w:rPr>
                <w:rFonts w:ascii="Arial"/>
                <w:sz w:val="21"/>
              </w:rPr>
            </w:pPr>
          </w:p>
        </w:tc>
      </w:tr>
      <w:tr w14:paraId="38E91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76016FA3">
            <w:pPr>
              <w:pStyle w:val="5"/>
              <w:spacing w:before="139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第六章</w:t>
            </w:r>
          </w:p>
        </w:tc>
        <w:tc>
          <w:tcPr>
            <w:tcW w:w="524" w:type="dxa"/>
            <w:vAlign w:val="center"/>
          </w:tcPr>
          <w:p w14:paraId="1B6CAE44">
            <w:pPr>
              <w:spacing w:before="167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 w14:paraId="70E292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2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土壤农业利用适宜性评价</w:t>
            </w:r>
          </w:p>
        </w:tc>
        <w:tc>
          <w:tcPr>
            <w:tcW w:w="3061" w:type="dxa"/>
            <w:vAlign w:val="center"/>
          </w:tcPr>
          <w:p w14:paraId="32E8CCD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366758DC">
            <w:pPr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00" w:type="dxa"/>
            <w:vAlign w:val="center"/>
          </w:tcPr>
          <w:p w14:paraId="112D2104">
            <w:pPr>
              <w:jc w:val="center"/>
              <w:rPr>
                <w:rFonts w:hint="eastAsia"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B3E5283">
            <w:pPr>
              <w:rPr>
                <w:rFonts w:ascii="Arial"/>
                <w:sz w:val="21"/>
              </w:rPr>
            </w:pPr>
          </w:p>
        </w:tc>
      </w:tr>
      <w:tr w14:paraId="39B39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0AB2FE7F">
            <w:pPr>
              <w:pStyle w:val="5"/>
              <w:spacing w:before="140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第七章</w:t>
            </w:r>
          </w:p>
        </w:tc>
        <w:tc>
          <w:tcPr>
            <w:tcW w:w="524" w:type="dxa"/>
            <w:vAlign w:val="center"/>
          </w:tcPr>
          <w:p w14:paraId="7BB0BE51">
            <w:pPr>
              <w:spacing w:before="168" w:line="20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12"/>
                <w:sz w:val="22"/>
                <w:szCs w:val="22"/>
              </w:rPr>
              <w:t>10</w:t>
            </w:r>
          </w:p>
        </w:tc>
        <w:tc>
          <w:tcPr>
            <w:tcW w:w="2721" w:type="dxa"/>
            <w:vAlign w:val="center"/>
          </w:tcPr>
          <w:p w14:paraId="06E0F75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87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耕地质量等级评价</w:t>
            </w:r>
          </w:p>
        </w:tc>
        <w:tc>
          <w:tcPr>
            <w:tcW w:w="3061" w:type="dxa"/>
            <w:vAlign w:val="center"/>
          </w:tcPr>
          <w:p w14:paraId="6475201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6316ED14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7</w:t>
            </w:r>
          </w:p>
        </w:tc>
        <w:tc>
          <w:tcPr>
            <w:tcW w:w="700" w:type="dxa"/>
            <w:vAlign w:val="center"/>
          </w:tcPr>
          <w:p w14:paraId="1CDB88B5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合格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884A774">
            <w:pPr>
              <w:rPr>
                <w:rFonts w:ascii="Arial"/>
                <w:sz w:val="21"/>
              </w:rPr>
            </w:pPr>
          </w:p>
        </w:tc>
      </w:tr>
      <w:tr w14:paraId="0B079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66CDCE24">
            <w:pPr>
              <w:pStyle w:val="5"/>
              <w:spacing w:before="141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第八章</w:t>
            </w:r>
          </w:p>
        </w:tc>
        <w:tc>
          <w:tcPr>
            <w:tcW w:w="524" w:type="dxa"/>
            <w:vAlign w:val="center"/>
          </w:tcPr>
          <w:p w14:paraId="56242766">
            <w:pPr>
              <w:spacing w:before="177" w:line="192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2"/>
                <w:szCs w:val="22"/>
              </w:rPr>
              <w:t>10</w:t>
            </w:r>
            <w:r>
              <w:rPr>
                <w:rFonts w:hint="default" w:ascii="Times New Roman" w:hAnsi="Times New Roman" w:eastAsia="宋体" w:cs="Times New Roman"/>
                <w:spacing w:val="-3"/>
                <w:position w:val="7"/>
                <w:sz w:val="22"/>
                <w:szCs w:val="22"/>
              </w:rPr>
              <w:t>a</w:t>
            </w:r>
          </w:p>
        </w:tc>
        <w:tc>
          <w:tcPr>
            <w:tcW w:w="2721" w:type="dxa"/>
            <w:vAlign w:val="center"/>
          </w:tcPr>
          <w:p w14:paraId="71DAB8A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土特产品土壤适宜性评价</w:t>
            </w:r>
          </w:p>
        </w:tc>
        <w:tc>
          <w:tcPr>
            <w:tcW w:w="3061" w:type="dxa"/>
            <w:vAlign w:val="center"/>
          </w:tcPr>
          <w:p w14:paraId="3B9AFB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按专题成果评分表打分并折算分数</w:t>
            </w:r>
          </w:p>
        </w:tc>
        <w:tc>
          <w:tcPr>
            <w:tcW w:w="625" w:type="dxa"/>
            <w:vAlign w:val="center"/>
          </w:tcPr>
          <w:p w14:paraId="2BC97891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1B40857E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B40B963">
            <w:pPr>
              <w:rPr>
                <w:rFonts w:ascii="Arial"/>
                <w:sz w:val="21"/>
              </w:rPr>
            </w:pPr>
          </w:p>
        </w:tc>
      </w:tr>
      <w:tr w14:paraId="11330F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727" w:type="dxa"/>
            <w:tcBorders>
              <w:left w:val="single" w:color="231F20" w:sz="6" w:space="0"/>
            </w:tcBorders>
            <w:vAlign w:val="center"/>
          </w:tcPr>
          <w:p w14:paraId="100F9DF4">
            <w:pPr>
              <w:spacing w:before="43" w:line="78" w:lineRule="exac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41"/>
                <w:w w:val="125"/>
                <w:position w:val="-3"/>
                <w:sz w:val="22"/>
                <w:szCs w:val="22"/>
              </w:rPr>
              <w:t>—</w:t>
            </w:r>
          </w:p>
        </w:tc>
        <w:tc>
          <w:tcPr>
            <w:tcW w:w="524" w:type="dxa"/>
            <w:vAlign w:val="center"/>
          </w:tcPr>
          <w:p w14:paraId="0F136DE4">
            <w:pPr>
              <w:spacing w:before="44" w:line="234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position w:val="-1"/>
                <w:sz w:val="22"/>
                <w:szCs w:val="22"/>
              </w:rPr>
              <w:t>10</w:t>
            </w:r>
            <w:r>
              <w:rPr>
                <w:rFonts w:hint="default" w:ascii="Times New Roman" w:hAnsi="Times New Roman" w:eastAsia="宋体" w:cs="Times New Roman"/>
                <w:spacing w:val="-3"/>
                <w:position w:val="6"/>
                <w:sz w:val="22"/>
                <w:szCs w:val="22"/>
              </w:rPr>
              <w:t>b</w:t>
            </w:r>
          </w:p>
        </w:tc>
        <w:tc>
          <w:tcPr>
            <w:tcW w:w="2721" w:type="dxa"/>
            <w:vAlign w:val="center"/>
          </w:tcPr>
          <w:p w14:paraId="008F45D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ind w:left="88" w:right="87" w:firstLine="1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如有其他自选成果</w:t>
            </w:r>
            <w:r>
              <w:rPr>
                <w:rFonts w:hint="eastAsia" w:ascii="Times New Roman" w:hAnsi="Times New Roman" w:eastAsia="宋体" w:cs="Times New Roman"/>
                <w:spacing w:val="-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2"/>
                <w:sz w:val="22"/>
                <w:szCs w:val="22"/>
              </w:rPr>
              <w:t>按章节顺序</w:t>
            </w:r>
            <w:r>
              <w:rPr>
                <w:rFonts w:hint="default" w:ascii="Times New Roman" w:hAnsi="Times New Roman" w:eastAsia="宋体" w:cs="Times New Roman"/>
                <w:spacing w:val="6"/>
                <w:sz w:val="22"/>
                <w:szCs w:val="22"/>
              </w:rPr>
              <w:t>排列</w:t>
            </w:r>
          </w:p>
        </w:tc>
        <w:tc>
          <w:tcPr>
            <w:tcW w:w="3061" w:type="dxa"/>
            <w:vAlign w:val="center"/>
          </w:tcPr>
          <w:p w14:paraId="69CED22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按自选成果特点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参考各专题成果评分原则打分</w:t>
            </w:r>
          </w:p>
        </w:tc>
        <w:tc>
          <w:tcPr>
            <w:tcW w:w="625" w:type="dxa"/>
            <w:vAlign w:val="center"/>
          </w:tcPr>
          <w:p w14:paraId="61D88819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700" w:type="dxa"/>
            <w:vAlign w:val="center"/>
          </w:tcPr>
          <w:p w14:paraId="57C285D1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—</w:t>
            </w:r>
          </w:p>
        </w:tc>
        <w:tc>
          <w:tcPr>
            <w:tcW w:w="583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FF3A76A">
            <w:pPr>
              <w:rPr>
                <w:rFonts w:ascii="Arial"/>
                <w:sz w:val="21"/>
              </w:rPr>
            </w:pPr>
          </w:p>
        </w:tc>
      </w:tr>
      <w:tr w14:paraId="174FDC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727" w:type="dxa"/>
            <w:tcBorders>
              <w:left w:val="single" w:color="231F20" w:sz="6" w:space="0"/>
              <w:bottom w:val="single" w:color="231F20" w:sz="6" w:space="0"/>
            </w:tcBorders>
            <w:vAlign w:val="center"/>
          </w:tcPr>
          <w:p w14:paraId="4E880EC1"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第九章</w:t>
            </w:r>
          </w:p>
        </w:tc>
        <w:tc>
          <w:tcPr>
            <w:tcW w:w="524" w:type="dxa"/>
            <w:tcBorders>
              <w:bottom w:val="single" w:color="231F20" w:sz="6" w:space="0"/>
            </w:tcBorders>
            <w:vAlign w:val="center"/>
          </w:tcPr>
          <w:p w14:paraId="29BA6C6A">
            <w:pPr>
              <w:spacing w:before="44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5</w:t>
            </w:r>
          </w:p>
        </w:tc>
        <w:tc>
          <w:tcPr>
            <w:tcW w:w="2721" w:type="dxa"/>
            <w:tcBorders>
              <w:bottom w:val="single" w:color="231F20" w:sz="6" w:space="0"/>
            </w:tcBorders>
            <w:vAlign w:val="center"/>
          </w:tcPr>
          <w:p w14:paraId="3141540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6" w:lineRule="auto"/>
              <w:ind w:left="92"/>
              <w:jc w:val="both"/>
              <w:textAlignment w:val="auto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9"/>
                <w:sz w:val="22"/>
                <w:szCs w:val="22"/>
              </w:rPr>
              <w:t>土壤资源综合利用建议</w:t>
            </w:r>
          </w:p>
        </w:tc>
        <w:tc>
          <w:tcPr>
            <w:tcW w:w="3061" w:type="dxa"/>
            <w:tcBorders>
              <w:bottom w:val="single" w:color="231F20" w:sz="6" w:space="0"/>
            </w:tcBorders>
            <w:vAlign w:val="center"/>
          </w:tcPr>
          <w:p w14:paraId="5C5A06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5" w:lineRule="auto"/>
              <w:ind w:left="91" w:right="85" w:firstLine="17"/>
              <w:jc w:val="both"/>
              <w:textAlignment w:val="auto"/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结论有前述分析结果支撑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符合实际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针对性强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建议可行</w:t>
            </w:r>
            <w:r>
              <w:rPr>
                <w:rFonts w:hint="eastAsia" w:ascii="Times New Roman" w:hAnsi="Times New Roman" w:eastAsia="宋体" w:cs="Times New Roman"/>
                <w:spacing w:val="2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pacing w:val="2"/>
                <w:sz w:val="22"/>
                <w:szCs w:val="22"/>
              </w:rPr>
              <w:t>根据偏离程度酌情扣0~5分</w:t>
            </w:r>
          </w:p>
        </w:tc>
        <w:tc>
          <w:tcPr>
            <w:tcW w:w="625" w:type="dxa"/>
            <w:tcBorders>
              <w:bottom w:val="single" w:color="231F20" w:sz="6" w:space="0"/>
            </w:tcBorders>
            <w:vAlign w:val="center"/>
          </w:tcPr>
          <w:p w14:paraId="3B65B228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5</w:t>
            </w:r>
          </w:p>
        </w:tc>
        <w:tc>
          <w:tcPr>
            <w:tcW w:w="700" w:type="dxa"/>
            <w:tcBorders>
              <w:bottom w:val="single" w:color="231F20" w:sz="6" w:space="0"/>
            </w:tcBorders>
            <w:vAlign w:val="center"/>
          </w:tcPr>
          <w:p w14:paraId="441991A8">
            <w:pPr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t>优秀</w:t>
            </w:r>
          </w:p>
        </w:tc>
        <w:tc>
          <w:tcPr>
            <w:tcW w:w="583" w:type="dxa"/>
            <w:vMerge w:val="continue"/>
            <w:tcBorders>
              <w:top w:val="nil"/>
              <w:bottom w:val="single" w:color="231F20" w:sz="6" w:space="0"/>
              <w:right w:val="single" w:color="231F20" w:sz="6" w:space="0"/>
            </w:tcBorders>
            <w:vAlign w:val="top"/>
          </w:tcPr>
          <w:p w14:paraId="2348EFCB">
            <w:pPr>
              <w:rPr>
                <w:rFonts w:ascii="Arial"/>
                <w:sz w:val="21"/>
              </w:rPr>
            </w:pPr>
          </w:p>
        </w:tc>
      </w:tr>
      <w:tr w14:paraId="754CD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727" w:type="dxa"/>
            <w:tcBorders>
              <w:left w:val="single" w:color="231F20" w:sz="6" w:space="0"/>
              <w:bottom w:val="single" w:color="231F20" w:sz="6" w:space="0"/>
            </w:tcBorders>
            <w:vAlign w:val="center"/>
          </w:tcPr>
          <w:p w14:paraId="0BE7699E">
            <w:pPr>
              <w:pStyle w:val="5"/>
              <w:spacing w:before="73" w:line="185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pacing w:val="8"/>
                <w:sz w:val="22"/>
                <w:szCs w:val="22"/>
              </w:rPr>
              <w:t>总评</w:t>
            </w:r>
          </w:p>
        </w:tc>
        <w:tc>
          <w:tcPr>
            <w:tcW w:w="8214" w:type="dxa"/>
            <w:gridSpan w:val="6"/>
            <w:tcBorders>
              <w:bottom w:val="single" w:color="231F20" w:sz="6" w:space="0"/>
            </w:tcBorders>
            <w:vAlign w:val="center"/>
          </w:tcPr>
          <w:p w14:paraId="34579EBA">
            <w:pPr>
              <w:spacing w:before="44" w:line="203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22"/>
              </w:rPr>
              <w:t>总体质量较好，薄弱在耕地质量等级前后不一致、缺土种参比、图表编号混乱。</w:t>
            </w:r>
          </w:p>
        </w:tc>
      </w:tr>
    </w:tbl>
    <w:p w14:paraId="7AF54F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rFonts w:hint="default"/>
          <w:color w:val="auto"/>
          <w:sz w:val="22"/>
          <w:szCs w:val="28"/>
          <w:highlight w:val="none"/>
          <w:lang w:val="en-US" w:eastAsia="zh-CN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注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eastAsia"/>
          <w:color w:val="auto"/>
          <w:sz w:val="22"/>
          <w:szCs w:val="28"/>
          <w:highlight w:val="none"/>
          <w:vertAlign w:val="superscript"/>
          <w:lang w:val="en-US" w:eastAsia="zh-CN"/>
        </w:rPr>
        <w:t>a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如果本县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（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市、区、旗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）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未开展土特产品土壤适宜性评价，该章计0分，其他章合计分数除以0.9得到总分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eastAsia"/>
          <w:color w:val="auto"/>
          <w:sz w:val="22"/>
          <w:szCs w:val="28"/>
          <w:highlight w:val="none"/>
          <w:vertAlign w:val="superscript"/>
          <w:lang w:val="en-US" w:eastAsia="zh-CN"/>
        </w:rPr>
        <w:t>b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如有自选成果，单独计分，计分方式示例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86.3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（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8.5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）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，其中86.3为不含自选成果得分的总分，8.5为自选成果得分。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A24249"/>
    <w:rsid w:val="00A66A37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3D6C71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149ED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6543E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270156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271F2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5C1DA5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B3514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8B0622"/>
    <w:rsid w:val="37A47099"/>
    <w:rsid w:val="37B95B94"/>
    <w:rsid w:val="37BC34D1"/>
    <w:rsid w:val="37DA780D"/>
    <w:rsid w:val="37E42290"/>
    <w:rsid w:val="37E86667"/>
    <w:rsid w:val="37ED1192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4D026C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5843D2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1D47823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1511FB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23CD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3E606D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808</Words>
  <Characters>854</Characters>
  <Lines>0</Lines>
  <Paragraphs>0</Paragraphs>
  <TotalTime>4</TotalTime>
  <ScaleCrop>false</ScaleCrop>
  <LinksUpToDate>false</LinksUpToDate>
  <CharactersWithSpaces>854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2026-06-04T05:38:00Z</dcterms:created>
  <dc:creator>江婉婷</dc:creator>
  <cp:lastModifiedBy>。。。</cp:lastModifiedBy>
  <dcterms:modified xsi:type="dcterms:W3CDTF">2026-10-22T03:11:11Z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510EA3C53E8648B3B4D6FE0E3F819FB3_13</vt:lpwstr>
  </property>
  <property fmtid="{D5CDD505-2E9C-101B-9397-08002B2CF9AE}" pid="4" name="KSOTemplateDocerSaveRecord">
    <vt:lpwstr>eyJoZGlkIjoiNDRlZjkwZmE5YWNhZjgxMjE5ZjQxMDZjNjU0MDg2MDIiLCJ1c2VySWQiOiI4ODEwNTYwNjYifQ==</vt:lpwstr>
  </property>
</Properties>
</file>