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019BA3">
      <w:pPr>
        <w:pStyle w:val="5"/>
        <w:bidi w:val="0"/>
        <w:rPr>
          <w:rFonts w:hint="default"/>
          <w:lang w:val="en-US" w:eastAsia="zh-CN"/>
        </w:rPr>
      </w:pPr>
      <w:r>
        <w:rPr>
          <w:rFonts w:hint="eastAsia"/>
          <w:lang w:val="en-US" w:eastAsia="zh-CN"/>
        </w:rPr>
        <w:t>1.板栗土特产品</w:t>
      </w:r>
    </w:p>
    <w:p w14:paraId="4BD1BB18">
      <w:pPr>
        <w:bidi w:val="0"/>
      </w:pPr>
      <w:r>
        <w:t>针对本省板栗土特产品进行土壤适宜性评价，明确了板栗土特产品的优势产区空间布局，并根据适宜性评价结果提出优化布局方向和发展建议。板栗土特产品2023年种植面积为304953hm²，适宜区加优势区总面积为291214.1636hm²，实有面积占优适区之和的比重为104.72%，表明现实种植区位超出优势区与适宜区范围，部分板栗种植布局落到不适宜区域，同时板栗土特产品不适宜种植区面积为13738.8364hm²，占总评价面积4.36%，表明有部分区域产业规模化发展潜力大、提升空间充足。生长环境和土壤性状对不同土特产品生长适宜性的影响存在显著分异，板栗适宜土壤为片麻岩花岗岩残坡积风化的砂壤土、壤土（石砾＞1%），一月平均气温≤</w:t>
      </w:r>
      <w:r>
        <w:noBreakHyphen/>
      </w:r>
      <w:r>
        <w:t>8.5℃是其生长主要限制因子，适宜分布在迁西县、兴隆县、遵化市、青龙县、宽城县、迁安市、滦平县等地区，其中迁西、兴隆优势区占比突出，滦平县无优势区且不适宜区占比较高。后续应巩固迁西、兴隆核心优势产区，稳定种植规模，推进良种改良与标准化栽培；充分挖掘青龙县等区域适宜区生产潜力，对于宽城县实有种植面积已超出本地优适区范围的现状，严控种植规模扩张；逐步调减滦平县及其他县市零散不适宜地块的板栗种植，规避低温冻害风险；依据板栗土壤适宜指标开展土壤定向培肥改良，维持土壤pH在5.5</w:t>
      </w:r>
      <w:r>
        <w:noBreakHyphen/>
      </w:r>
      <w:r>
        <w:t>7.3，调控硼、磷、钾、锰等养分水平，坡度大于25°区域减少板栗开垦，按照优势区提质创品牌、适宜区有序开发、不适宜区有序退出的思路实现板栗产业优化布局。</w:t>
      </w:r>
    </w:p>
    <w:p w14:paraId="638457A2">
      <w:pPr>
        <w:pStyle w:val="5"/>
        <w:bidi w:val="0"/>
        <w:rPr>
          <w:rFonts w:hint="eastAsia"/>
          <w:lang w:val="en-US" w:eastAsia="zh-CN"/>
        </w:rPr>
      </w:pPr>
      <w:r>
        <w:rPr>
          <w:rFonts w:hint="eastAsia"/>
          <w:lang w:val="en-US" w:eastAsia="zh-CN"/>
        </w:rPr>
        <w:t>2.梨土特产品</w:t>
      </w:r>
    </w:p>
    <w:p w14:paraId="04E0729E">
      <w:pPr>
        <w:bidi w:val="0"/>
      </w:pPr>
      <w:r>
        <w:t>针对本省梨土特产品进行土壤适宜性评价，明确了梨土特产品的优势产区空间布局，并根据适宜性评价结果提出优化布局方向和发展建议。梨土特产品2023年种植面积为57771.52hm²，适宜区加优势区总面积为96386.02hm²，实有面积占优适区之和的比重为59.94%，表明多数梨现实种植区位与土壤适宜条件总体匹配，优适区域仍存有较大开发空间，同时梨土特产品不适宜种植区面积为2527.00hm²，占总评价面积2.55%，表明有部分区域产业规模化发展潜力大、提升空间充足。生长环境和土壤性状对不同土特产品生长适宜性的影响存在显著分异，梨适宜土壤为砂壤土、壤土，砂质土、黏壤土可栽培，忌重黏土、漏风沙土，土壤质地、海拔坡度、水热条件是其生长主要限制因子，适宜分布在辛集市、晋州市、赵县、泊头市、威县、深州市等地区，晋州市、赵县优势区面积突出，南皮县、宁晋县部分种植超出本地优适区范围，存在向不适宜区域拓展现象，后续应巩固晋州、赵县、泊头等核心优势产区，强化标准化果园建设，做强梨产业品牌，充分挖掘辛集、深州、威县等地适宜区资源潜力，在优适范围内适度发展梨种植，严控南皮县、宁晋县种植规模，避免继续向不适宜区扩张，对魏县、深州等区域已落在不适宜区的梨园逐步调整优化，依据评价指标开展土壤培肥，维持土壤pH6.0</w:t>
      </w:r>
      <w:r>
        <w:noBreakHyphen/>
      </w:r>
      <w:r>
        <w:t>8.0，保障有机质、速效钾、有效磷、有效铁处于适宜区间，优先选用海拔≤300m、坡度＜15°的地块建园，实施优势区提质增效、适宜区有序开发、不适宜区逐步调减的差异化策略，推动梨产业向水土条件适配的区域集聚发展。</w:t>
      </w:r>
    </w:p>
    <w:p w14:paraId="19F51672">
      <w:pPr>
        <w:pStyle w:val="5"/>
        <w:bidi w:val="0"/>
        <w:rPr>
          <w:rFonts w:hint="eastAsia"/>
          <w:lang w:val="en-US" w:eastAsia="zh-CN"/>
        </w:rPr>
      </w:pPr>
      <w:r>
        <w:rPr>
          <w:rFonts w:hint="eastAsia"/>
          <w:lang w:val="en-US" w:eastAsia="zh-CN"/>
        </w:rPr>
        <w:t>3.露地葡萄土特产品</w:t>
      </w:r>
    </w:p>
    <w:p w14:paraId="3AE67A98">
      <w:pPr>
        <w:bidi w:val="0"/>
      </w:pPr>
      <w:r>
        <w:t>针对本省露地葡萄土特产品进行土壤适宜性评价，明确了露地葡萄土特产品的优势产区空间布局，并根据适宜性评价结果提出优化布局方向和发展建议。露地葡萄土特产品2023年种植面积为15630.95hm²，适宜区加优势区总面积为110027.61hm²，实有面积占优适区之和的比重为14.21%，表明现实种植规模远低于适宜土地供给，优适区内仍存在大量尚未开发利用的土地资源，同时露地葡萄土特产品不适宜种植区面积为2697.39hm²，占总评价面积2.39%，表明有部分区域产业规模化发展潜力大、提升空间充足。生长环境和土壤性状对不同土特产品生长适宜性的影响存在显著分异，露地葡萄适宜土壤为砂质壤土、壤土、粉（砂）质壤土，要求有效土层厚度≥80 cm，越冬极端低温及冻害风险、排水渍涝风险是其生长主要限制因子，适宜分布在怀来县、涿鹿县、卢龙县、昌黎县、威县、饶阳县、晋州市等地区，昌黎县、卢龙县优势区占比突出，怀来县、涿鹿县优适资源储备充足但开发程度偏低，后续应做强昌黎县、卢龙县核心优势产区，巩固现有种植基础，推行标准化栽培、打造特色葡萄品牌，有序挖掘怀来县、涿鹿县、晋州市优适区生产潜力，优先选用南坡、东南坡阳坡地块，避开渍涝低洼地带，威县稳定现有种植规模、重点提质增效，严格规避在饶阳县等不适宜区新增种植，对已有种植地块视生产风险逐步调整改种，配套做好土壤培肥改良、田间排涝与埋土防寒工作，落实分区差异化发展策略，推动露地葡萄产业向土壤气候条件适宜区域集聚发展。</w:t>
      </w:r>
    </w:p>
    <w:p w14:paraId="42540B26">
      <w:pPr>
        <w:pStyle w:val="5"/>
        <w:bidi w:val="0"/>
        <w:rPr>
          <w:rFonts w:hint="eastAsia"/>
          <w:lang w:val="en-US" w:eastAsia="zh-CN"/>
        </w:rPr>
      </w:pPr>
      <w:r>
        <w:rPr>
          <w:rFonts w:hint="eastAsia"/>
          <w:lang w:val="en-US" w:eastAsia="zh-CN"/>
        </w:rPr>
        <w:t>4.马铃薯土特产品</w:t>
      </w:r>
    </w:p>
    <w:p w14:paraId="24B7F5CB">
      <w:pPr>
        <w:bidi w:val="0"/>
      </w:pPr>
      <w:r>
        <w:t>针对本省马铃薯土特产品进行土壤适宜性评价，明确了马铃薯土特产品的优势产区空间布局，并根据适宜性评价结果提出优化布局方向和发展建议。马铃薯土特产品2023年种植面积为113079.696hm²，适宜区加优势区总面积为718665.1191hm²，实有面积占优适区之和的比重为15.73%，表明现实种植规模远小于优适土地资源总量，大量适宜土地尚未开发利用，同时马铃薯土特产品不适宜种植区面积为29534.8809hm²，占总评价面积3.94%，表明有部分区域产业规模化发展潜力大、提升空间充足。生长环境和土壤性状对不同土特产品生长适宜性的影响存在显著分异，马铃薯适宜土壤为砂质壤土、壤土，要求有机质≥15g/kg、土壤容重≤1.25g/cm³、全盐含量≤1.0g/kg，海拔、坡度条件以及生育期水热条件是其生长主要限制因子，适宜分布在围场县、丰宁县、沽源县、张北县、康保县、尚义县等地区，沽源县、张北县、康保县优势区面积占比突出，围场县现有种植占优适区比重相对较高，其余各县优适资源储备充足但开发程度整体偏低，后续应做强沽源、张北、康保核心优势产区，依托优质土壤与高原气候条件推进马铃薯标准化种薯与商品薯基地建设，打造区域特色马铃薯品牌，充分挖掘丰宁、尚义等地优适区生产潜力，优先选择海拔800</w:t>
      </w:r>
      <w:r>
        <w:noBreakHyphen/>
      </w:r>
      <w:r>
        <w:t>2000m、坡度≤5°的阳坡、半阳坡地块开展规模化种植，5</w:t>
      </w:r>
      <w:r>
        <w:noBreakHyphen/>
      </w:r>
      <w:r>
        <w:t>10°地块仅布局小规模旱作生产，严控在不适宜区域扩种马铃薯，围场、康保等地零散不适宜地块逐步调减种植规模，同步做好土壤培肥改良，调控土壤pH维持5.5</w:t>
      </w:r>
      <w:r>
        <w:noBreakHyphen/>
      </w:r>
      <w:r>
        <w:t>7.5，保障有机质、速效钾、有效磷、微量元素处于适宜区间，落实优势区提质增效、适宜区有序适度开发、不适宜区退出调减的差异化布局策略，推动马铃薯产业向水土气候匹配的区域集聚发展。</w:t>
      </w:r>
    </w:p>
    <w:p w14:paraId="7D987B48">
      <w:pPr>
        <w:pStyle w:val="5"/>
        <w:bidi w:val="0"/>
        <w:rPr>
          <w:rFonts w:hint="eastAsia"/>
          <w:lang w:val="en-US" w:eastAsia="zh-CN"/>
        </w:rPr>
      </w:pPr>
      <w:r>
        <w:rPr>
          <w:rFonts w:hint="eastAsia"/>
          <w:lang w:val="en-US" w:eastAsia="zh-CN"/>
        </w:rPr>
        <w:t>5.棉花土特产品</w:t>
      </w:r>
    </w:p>
    <w:p w14:paraId="5C6EFA7C">
      <w:pPr>
        <w:bidi w:val="0"/>
      </w:pPr>
      <w:r>
        <w:t>针对本省棉花土特产品进行土壤适宜性评价，明确了棉花土特产品的优势产区空间布局，并根据适宜性评价结果提出优化布局方向和发展建议。棉花土特产品2023年种植面积为62357.3hm²，适宜区加优势区总面积为753010.23hm²，实有面积占优适区之和的比重为8.28%，表明现有棉花种植规模远低于优适土地资源总量，大量适宜土地尚未得到开发利用，同时棉花土特产品不适宜种植区面积为43321.88hm²，占总评价面积5.44%，表明有部分区域产业规模化发展潜力大、提升空间充足。生长环境和土壤性状对不同土特产品生长适宜性的影响存在显著分异，棉花适宜土壤为砂壤土、壤土、粉（砂）质壤土、粘壤土，要求土壤含盐量≤1.0g/kg，生育期积温、光照和降水条件是其生长主要限制因子，适宜分布在威县、南宫市、广宗县、清河县、冀州区、吴桥县、景县等地区，广平县、吴桥县、清河县优势区占评价范围面积占比突出，大部分评价区域优适资源储备充足但整体开发程度偏低，后续应做强广平、吴桥、清河等核心优势产区，依托优良土壤与光热条件推进棉花标准化种植基地建设，培育优质棉花特色产业，充分挖掘威县、南宫、广宗、景县等地优适区生产潜力，优先选择耕层质地适宜、土壤含盐量≤1.0g/kg的地块适度拓展棉花种植规模，严禁在不适宜区新增棉花种植，对南宫市、冀州区等区域现存不适宜地块的棉花逐步调减退出，同步开展土壤培肥改良，调节土壤pH维持6.5</w:t>
      </w:r>
      <w:r>
        <w:noBreakHyphen/>
      </w:r>
      <w:r>
        <w:t>8.5，提升有机质、全氮、全钾、有效磷养分水平，落实优势区提质增效、适宜区有序适度开发、不适宜区调减退出的差异化布局策略，推动棉花产业向水土光热条件相匹配的区域集聚发展。</w:t>
      </w:r>
    </w:p>
    <w:p w14:paraId="0BADB056">
      <w:pPr>
        <w:pStyle w:val="5"/>
        <w:bidi w:val="0"/>
        <w:rPr>
          <w:rFonts w:hint="eastAsia"/>
          <w:lang w:val="en-US" w:eastAsia="zh-CN"/>
        </w:rPr>
      </w:pPr>
      <w:r>
        <w:rPr>
          <w:rFonts w:hint="eastAsia"/>
          <w:lang w:val="en-US" w:eastAsia="zh-CN"/>
        </w:rPr>
        <w:t>6.山地苹果</w:t>
      </w:r>
    </w:p>
    <w:p w14:paraId="2E30BF11">
      <w:pPr>
        <w:bidi w:val="0"/>
      </w:pPr>
      <w:r>
        <w:t>针对本省山地苹果土特产品进行土壤适宜性评价，明确了山地苹果土特产品的优势产区空间布局，并根据适宜性评价结果提出优化布局方向和发展建议。山地苹果土特产品2023年种植面积为62423.74hm²，适宜区加优势区总面积为424544.13hm²，实有面积占优适区之和的比重为14.70%，表明现实种植规模远小于优适土地资源总量，大量适宜土地尚未得到开发利用，同时山地苹果土特产品不适宜种植区面积为55148.31hm²，占总评价面积11.40%，表明有部分区域产业规模化发展潜力大、提升空间充足。生长环境和土壤性状对不同土特产品生长适宜性的影响存在显著分异，山地苹果适宜土壤为砂质壤土、壤土、砂质黏壤土，要求有效土层厚度≥60cm，极端低温条件是其生长主要限制因子，适宜分布在兴隆县、青龙县、遵化市、信都区、宽城县、赞皇县等地区，兴隆县、青龙县优势区面积占比突出，多数区域优适资源储备充足但开发程度整体偏低，玉田县、平泉市现有种植占本地优适区比重偏高，后续应做强兴隆县、青龙县、遵化市核心优势产区，依托土壤、海拔、光热条件推进山地苹果标准化果园建设，打造山地苹果特色品牌，充分挖掘赞皇县、信都区、宽城县等地优适区生产潜力，优先选择海拔300</w:t>
      </w:r>
      <w:r>
        <w:noBreakHyphen/>
      </w:r>
      <w:r>
        <w:t>1000m、坡度≤25°的南向、东南向、东向地块适度发展山地苹果，严控在不适宜区新增种植，易县、顺平等地存在较大规模不适宜区，对落在不适宜地块的果园逐步调减优化，同步开展土壤培肥改良，保障有效土层厚度，维持土壤pH6.0</w:t>
      </w:r>
      <w:r>
        <w:noBreakHyphen/>
      </w:r>
      <w:r>
        <w:t>7.5、有机质≥10.0g/kg，做好极端低温冻害防控，落实优势区提质增效、适宜区有序适度开发、不适宜区调减退出的差异化布局策略，推动山地苹果产业向水土气候条件相匹配的区域集聚发展。</w:t>
      </w:r>
    </w:p>
    <w:p w14:paraId="364ED9BB">
      <w:pPr>
        <w:pStyle w:val="5"/>
        <w:bidi w:val="0"/>
        <w:rPr>
          <w:rFonts w:hint="eastAsia"/>
          <w:lang w:val="en-US" w:eastAsia="zh-CN"/>
        </w:rPr>
      </w:pPr>
      <w:r>
        <w:rPr>
          <w:rFonts w:hint="eastAsia"/>
          <w:lang w:val="en-US" w:eastAsia="zh-CN"/>
        </w:rPr>
        <w:t>7.冬枣</w:t>
      </w:r>
    </w:p>
    <w:p w14:paraId="25306B83">
      <w:pPr>
        <w:bidi w:val="0"/>
        <w:rPr>
          <w:rFonts w:hint="eastAsia"/>
          <w:lang w:val="en-US" w:eastAsia="zh-CN"/>
        </w:rPr>
      </w:pPr>
      <w:r>
        <w:t>针对本省冬枣土特产品进行土壤适宜性评价，明确了冬枣土特产品的优势产区空间布局，并根据适宜性评价结果提出优化布局方向和发展建议。冬枣土特产品2023年种植面积为6877.52hm²，适宜区加优势区总面积为43584.72hm²，实有面积占优适区之和的比重为15.78%，表明现实种植规模远低于优适土地资源总量，大量适宜土地尚未得到开发利用，同时冬枣土特产品不适宜种植区面积为445.28hm²，占总评价面积0.99%，表明有部分区域产业规模化发展潜力大、提升空间充足。生长环境和土壤性状对不同土特产品生长适宜性的影响存在显著分异，冬枣适宜土壤土壤容重1.20</w:t>
      </w:r>
      <w:r>
        <w:noBreakHyphen/>
      </w:r>
      <w:r>
        <w:t>1.40g/cm³、pH值7.2</w:t>
      </w:r>
      <w:r>
        <w:noBreakHyphen/>
      </w:r>
      <w:r>
        <w:t>8.0，有机质、有效磷、全钾、有效硼、有效铁、有效锌等养分处于适宜区间，极端低温条件是其生长主要限制因子，适宜分布在泊头市、沧县、黄骅市、海兴县、孟村县、南皮县、青县、献县等地区，泊头市、沧县优势区面积占比突出，黄骅市现有种植占本地优适区比重相对较高，其余区域优适资源储备充足但开发程度偏低，后续应做强泊头市、沧县核心优势产区，依托土壤与气候条件推进冬枣标准化果园建设，擦亮冬枣特色农产品品牌，充分挖掘献县、海兴县、孟村县等地优适区生产潜力，优先选择土壤容重、pH及各项养分指标匹配的地块适度发展冬枣种植，严禁在不适宜区新增冬枣种植，对沧县、青县现存不适宜地块的冬枣逐步调减退出，同步开展土壤定向培肥改良，调节土壤pH维持7.2</w:t>
      </w:r>
      <w:r>
        <w:noBreakHyphen/>
      </w:r>
      <w:r>
        <w:t>8.0，调控有机质、各类矿质元素至适宜范围，做好极端低温冻害防御，落实优势区提质增效、适宜区有序适度开发、不适宜区调减退出的差异化布局策略，推动冬枣产业向水土气候条件相匹配的区域集聚发展。</w:t>
      </w:r>
    </w:p>
    <w:p w14:paraId="2BEA7698">
      <w:pPr>
        <w:pStyle w:val="5"/>
        <w:bidi w:val="0"/>
        <w:rPr>
          <w:rFonts w:hint="eastAsia"/>
          <w:lang w:val="en-US" w:eastAsia="zh-CN"/>
        </w:rPr>
      </w:pPr>
      <w:r>
        <w:rPr>
          <w:rFonts w:hint="eastAsia"/>
          <w:lang w:val="en-US" w:eastAsia="zh-CN"/>
        </w:rPr>
        <w:t>8.辣椒</w:t>
      </w:r>
    </w:p>
    <w:p w14:paraId="4E53FBB2">
      <w:pPr>
        <w:bidi w:val="0"/>
        <w:rPr>
          <w:rFonts w:hint="eastAsia"/>
          <w:lang w:val="en-US" w:eastAsia="zh-CN"/>
        </w:rPr>
      </w:pPr>
      <w:r>
        <w:t>针对本省辣椒土特产品进行土壤适宜性评价，明确了辣椒土特产品的优势产区空间布局，并根据适宜性评价结果提出优化布局方向和发展建议。辣椒土特产品2023年种植面积为31745.61hm²，适宜区加优势区总面积为315555.07hm²，实有面</w:t>
      </w:r>
      <w:bookmarkStart w:id="0" w:name="_GoBack"/>
      <w:bookmarkEnd w:id="0"/>
      <w:r>
        <w:t>积占优适区之和的比重为10.06%，表明现实种植规模远低于优适土地资源总量，大量适宜土地尚未得到开发利用，同时辣椒土特产品不适宜种植区面积为3545.93hm²，占总评价面积1.11%，表明有部分区域产业规模化发展潜力大、提升空间充足。生长环境和土壤性状对不同土特产品生长适宜性的影响存在显著分异，辣椒适宜土壤为砂质壤土、壤土，要求有机质、速效钾、有效磷、中微量元素等养分处于适宜区间，生育期温度与降水条件是其生长主要限制因子，适宜分布在肥乡区、广宗县、鸡泽县、南和区、平乡县、邱县、曲周县、威县、永年区等地区，威县、永年区优势区面积占比突出，鸡泽县、曲周县现有种植占本地优适区比重相对较高，其余区域优适资源储备充足但开发程度偏低，后续应做强鸡泽县、曲周县核心优势产区，依托优良土壤与水热条件推进辣椒标准化种植基地建设，培育辣椒特色产业品牌，充分挖掘威县、邱县、南和区、平乡县等地优适区生产潜力，优先选择耕层质地优良、土壤pH6.8</w:t>
      </w:r>
      <w:r>
        <w:noBreakHyphen/>
      </w:r>
      <w:r>
        <w:t>7.8、各项养分指标匹配的地块适度扩大辣椒种植规模，严禁在不适宜区新增辣椒种植，对鸡泽县、永年区分布的不适宜地块上的辣椒逐步调减退出，同步开展土壤培肥改良，调控有机质、速效钾、有效磷及各类中微量元素维持在适宜范围，落实优势区提质增效、适宜区有序适度开发、不适宜区调减退出的差异化布局策略，推动辣椒产业向水土气候条件相匹配的区域集聚发展。</w:t>
      </w:r>
    </w:p>
    <w:p w14:paraId="12FCD48D">
      <w:pPr>
        <w:pStyle w:val="5"/>
        <w:bidi w:val="0"/>
        <w:rPr>
          <w:rFonts w:hint="eastAsia"/>
          <w:lang w:val="en-US" w:eastAsia="zh-CN"/>
        </w:rPr>
      </w:pPr>
      <w:r>
        <w:rPr>
          <w:rFonts w:hint="eastAsia"/>
          <w:lang w:val="en-US" w:eastAsia="zh-CN"/>
        </w:rPr>
        <w:t>9.北苍术</w:t>
      </w:r>
    </w:p>
    <w:p w14:paraId="5CA1A09E">
      <w:pPr>
        <w:bidi w:val="0"/>
        <w:rPr>
          <w:rFonts w:hint="default"/>
          <w:lang w:val="en-US" w:eastAsia="zh-CN"/>
        </w:rPr>
      </w:pPr>
      <w:r>
        <w:t>针对本省北苍术土特产品进行土壤适宜性评价，明确了北苍术土特产品的优势产区空间布局，并根据适宜性评价结果提出优化布局方向和发展建议。北苍术土特产品2023年种植面积为9356.51hm²，适宜区加优势区总面积为200058.30hm²，实有面积占优适区之和的比重为4.68%，表明现实种植规模远低于优适土地资源总量，大量适宜土地尚未得到开发利用，同时北苍术土特产品不适宜种植区面积为15022.70hm²，占总评价面积6.98%，表明有部分区域产业规模化发展潜力大、提升空间充足。生长环境和土壤性状对不同土特产品生长适宜性的影响存在显著分异，北苍术适宜土壤为砂质壤土、壤土，要求有机质、全钾、各类微量元素等养分满足适宜标准，7月平均气温≤22.5 ℃是其生长主要限制因子，适宜分布在青龙县、承德县、兴隆县、滦平县、隆化县、丰宁县、宽城县、围场县、平泉市等地区，兴隆县、隆化县、平泉市优势区占评价范围面积占比突出，隆化县、围场县现有种植占本地优适区比重相对较高，其余区域优适资源储备充足但开发程度偏低，后续应做强兴隆县、隆化县、平泉市核心优势产区，依托土壤、海拔与冷凉气候条件推进北苍术规范化中药材种植基地建设，打造北苍术道地药材特色品牌，充分挖掘青龙县、宽城县、承德县等地优适区生产潜力，优先选择海拔200</w:t>
      </w:r>
      <w:r>
        <w:noBreakHyphen/>
      </w:r>
      <w:r>
        <w:t>1500m、坡度≤15°的地块适度发展北苍术种植，严禁在不适宜区新增北苍术种植，对青龙县、围场县范围内不适宜地块上的北苍术逐步调减退出，同步开展土壤培肥改良，提升土壤有机质水平，调控有效磷、全钾及铁锰铜等微量元素至适宜区间，做好夏季高温防控，落实优势区提质增效、适宜区有序适度开发、不适宜区调减退出的差异化布局策略，推动北苍术产业向水土气候条件相匹配的区域集聚发展。</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88"/>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4720FE"/>
    <w:rsid w:val="002E0003"/>
    <w:rsid w:val="006B3EBE"/>
    <w:rsid w:val="012C0086"/>
    <w:rsid w:val="013D6FEB"/>
    <w:rsid w:val="015B28BB"/>
    <w:rsid w:val="01680190"/>
    <w:rsid w:val="016A4388"/>
    <w:rsid w:val="01A710AE"/>
    <w:rsid w:val="01AF1E67"/>
    <w:rsid w:val="01B137DF"/>
    <w:rsid w:val="0236055C"/>
    <w:rsid w:val="02415099"/>
    <w:rsid w:val="028A45CA"/>
    <w:rsid w:val="032C32AB"/>
    <w:rsid w:val="034A13F4"/>
    <w:rsid w:val="03777EED"/>
    <w:rsid w:val="03D86AEC"/>
    <w:rsid w:val="03FE4A84"/>
    <w:rsid w:val="040A5C7F"/>
    <w:rsid w:val="041D3F2D"/>
    <w:rsid w:val="04A91D43"/>
    <w:rsid w:val="04CB30A8"/>
    <w:rsid w:val="050A605E"/>
    <w:rsid w:val="053A7EA4"/>
    <w:rsid w:val="0568779B"/>
    <w:rsid w:val="05E73A33"/>
    <w:rsid w:val="06711913"/>
    <w:rsid w:val="070B64CA"/>
    <w:rsid w:val="074F2130"/>
    <w:rsid w:val="07A742A4"/>
    <w:rsid w:val="07E1590B"/>
    <w:rsid w:val="085D0282"/>
    <w:rsid w:val="0958083C"/>
    <w:rsid w:val="09EB057C"/>
    <w:rsid w:val="0A3210B8"/>
    <w:rsid w:val="0A7A4918"/>
    <w:rsid w:val="0A901077"/>
    <w:rsid w:val="0AB61D0E"/>
    <w:rsid w:val="0AB90560"/>
    <w:rsid w:val="0B8F45F4"/>
    <w:rsid w:val="0BAC36D6"/>
    <w:rsid w:val="0C342C7E"/>
    <w:rsid w:val="0C44122D"/>
    <w:rsid w:val="0CB45A9F"/>
    <w:rsid w:val="0D5A0848"/>
    <w:rsid w:val="0DAF79EE"/>
    <w:rsid w:val="0DF615CE"/>
    <w:rsid w:val="0E145F9C"/>
    <w:rsid w:val="0E15546C"/>
    <w:rsid w:val="0E50194F"/>
    <w:rsid w:val="0E5E3832"/>
    <w:rsid w:val="0F0A39DB"/>
    <w:rsid w:val="101745FE"/>
    <w:rsid w:val="1039546A"/>
    <w:rsid w:val="11524D3A"/>
    <w:rsid w:val="117B7017"/>
    <w:rsid w:val="11EB3D47"/>
    <w:rsid w:val="12131ED0"/>
    <w:rsid w:val="12DF0283"/>
    <w:rsid w:val="12E61A8F"/>
    <w:rsid w:val="130709A6"/>
    <w:rsid w:val="13F27EB8"/>
    <w:rsid w:val="142A265E"/>
    <w:rsid w:val="15122384"/>
    <w:rsid w:val="17255D87"/>
    <w:rsid w:val="17B4166E"/>
    <w:rsid w:val="17E44565"/>
    <w:rsid w:val="18725C9B"/>
    <w:rsid w:val="191E11DC"/>
    <w:rsid w:val="19276AFB"/>
    <w:rsid w:val="19490E13"/>
    <w:rsid w:val="1976297A"/>
    <w:rsid w:val="1A3A47B7"/>
    <w:rsid w:val="1A443A2F"/>
    <w:rsid w:val="1B133F19"/>
    <w:rsid w:val="1B4F2A4F"/>
    <w:rsid w:val="1BDE2525"/>
    <w:rsid w:val="1BEB556E"/>
    <w:rsid w:val="1C1471EE"/>
    <w:rsid w:val="1C2B0EAC"/>
    <w:rsid w:val="1C555302"/>
    <w:rsid w:val="1C612ED6"/>
    <w:rsid w:val="1CAA3424"/>
    <w:rsid w:val="1CDC7FA8"/>
    <w:rsid w:val="1CEC4AB5"/>
    <w:rsid w:val="1E7D450C"/>
    <w:rsid w:val="1EB647EF"/>
    <w:rsid w:val="1ECB7CC3"/>
    <w:rsid w:val="1ECF0616"/>
    <w:rsid w:val="1EF452BC"/>
    <w:rsid w:val="1F6C3CD3"/>
    <w:rsid w:val="20AC5BE6"/>
    <w:rsid w:val="20C066F6"/>
    <w:rsid w:val="20D871EA"/>
    <w:rsid w:val="212D12FB"/>
    <w:rsid w:val="215A42AC"/>
    <w:rsid w:val="21BD5BA9"/>
    <w:rsid w:val="21D17580"/>
    <w:rsid w:val="21F073D8"/>
    <w:rsid w:val="220F658A"/>
    <w:rsid w:val="221129D9"/>
    <w:rsid w:val="2224001F"/>
    <w:rsid w:val="22294C58"/>
    <w:rsid w:val="22CC64E9"/>
    <w:rsid w:val="22D323BE"/>
    <w:rsid w:val="22E4197A"/>
    <w:rsid w:val="2311419C"/>
    <w:rsid w:val="23DD23AE"/>
    <w:rsid w:val="242170E1"/>
    <w:rsid w:val="24EA1B9E"/>
    <w:rsid w:val="24F61365"/>
    <w:rsid w:val="25AD6A07"/>
    <w:rsid w:val="25F133CF"/>
    <w:rsid w:val="25F40FB2"/>
    <w:rsid w:val="26784120"/>
    <w:rsid w:val="268B7927"/>
    <w:rsid w:val="269824E3"/>
    <w:rsid w:val="26BF361B"/>
    <w:rsid w:val="26D20FF7"/>
    <w:rsid w:val="27BF314D"/>
    <w:rsid w:val="28287443"/>
    <w:rsid w:val="2857163F"/>
    <w:rsid w:val="28602527"/>
    <w:rsid w:val="2992471C"/>
    <w:rsid w:val="29F772B7"/>
    <w:rsid w:val="2A41114A"/>
    <w:rsid w:val="2A411D8E"/>
    <w:rsid w:val="2A432BF8"/>
    <w:rsid w:val="2A7112DA"/>
    <w:rsid w:val="2ACE1AB4"/>
    <w:rsid w:val="2ADA59EC"/>
    <w:rsid w:val="2B1B0E8D"/>
    <w:rsid w:val="2B48436E"/>
    <w:rsid w:val="2B7905B8"/>
    <w:rsid w:val="2BEA5651"/>
    <w:rsid w:val="2C021DEF"/>
    <w:rsid w:val="2C285158"/>
    <w:rsid w:val="2C424C07"/>
    <w:rsid w:val="2C4C4950"/>
    <w:rsid w:val="2C6517F3"/>
    <w:rsid w:val="2C9D48F5"/>
    <w:rsid w:val="2CD35AC2"/>
    <w:rsid w:val="2DA5378F"/>
    <w:rsid w:val="2DC82019"/>
    <w:rsid w:val="2DD1469C"/>
    <w:rsid w:val="2DED6AEC"/>
    <w:rsid w:val="2E2F29CE"/>
    <w:rsid w:val="2E9276D3"/>
    <w:rsid w:val="2EBB3566"/>
    <w:rsid w:val="2F814187"/>
    <w:rsid w:val="2F8B558E"/>
    <w:rsid w:val="2FF40B28"/>
    <w:rsid w:val="30206EE7"/>
    <w:rsid w:val="308A76CB"/>
    <w:rsid w:val="3095310D"/>
    <w:rsid w:val="30DD4A01"/>
    <w:rsid w:val="314C3426"/>
    <w:rsid w:val="318364AE"/>
    <w:rsid w:val="31DD2473"/>
    <w:rsid w:val="31F80750"/>
    <w:rsid w:val="32187258"/>
    <w:rsid w:val="32943604"/>
    <w:rsid w:val="32DE65AA"/>
    <w:rsid w:val="32F04FD3"/>
    <w:rsid w:val="339C4368"/>
    <w:rsid w:val="347F7883"/>
    <w:rsid w:val="34982F78"/>
    <w:rsid w:val="34A86D7C"/>
    <w:rsid w:val="34EA57A9"/>
    <w:rsid w:val="357A61C3"/>
    <w:rsid w:val="35A524DD"/>
    <w:rsid w:val="35C6598B"/>
    <w:rsid w:val="35EA49A6"/>
    <w:rsid w:val="36325F60"/>
    <w:rsid w:val="364A5C0A"/>
    <w:rsid w:val="368C687C"/>
    <w:rsid w:val="37066351"/>
    <w:rsid w:val="375E1F62"/>
    <w:rsid w:val="37D93A9D"/>
    <w:rsid w:val="382E1070"/>
    <w:rsid w:val="387A6406"/>
    <w:rsid w:val="388E6F9D"/>
    <w:rsid w:val="388E7705"/>
    <w:rsid w:val="399738C2"/>
    <w:rsid w:val="39D057DF"/>
    <w:rsid w:val="3A372308"/>
    <w:rsid w:val="3B2233BB"/>
    <w:rsid w:val="3B6A61E9"/>
    <w:rsid w:val="3B8D4394"/>
    <w:rsid w:val="3C3636B5"/>
    <w:rsid w:val="3CBF2E5A"/>
    <w:rsid w:val="3CEE1A4D"/>
    <w:rsid w:val="3D015651"/>
    <w:rsid w:val="3D5426F2"/>
    <w:rsid w:val="3D704AAD"/>
    <w:rsid w:val="3DAF3E80"/>
    <w:rsid w:val="3DB12B7B"/>
    <w:rsid w:val="3E804E6F"/>
    <w:rsid w:val="3E991E9D"/>
    <w:rsid w:val="3EE84C89"/>
    <w:rsid w:val="3F217805"/>
    <w:rsid w:val="3FBC6840"/>
    <w:rsid w:val="3FE460AF"/>
    <w:rsid w:val="400B50EB"/>
    <w:rsid w:val="400C6038"/>
    <w:rsid w:val="40650272"/>
    <w:rsid w:val="407B7706"/>
    <w:rsid w:val="412864C3"/>
    <w:rsid w:val="41F55E85"/>
    <w:rsid w:val="4206127E"/>
    <w:rsid w:val="42126CF0"/>
    <w:rsid w:val="430F7596"/>
    <w:rsid w:val="43726A59"/>
    <w:rsid w:val="438508CB"/>
    <w:rsid w:val="4388592B"/>
    <w:rsid w:val="441D3ACB"/>
    <w:rsid w:val="44937970"/>
    <w:rsid w:val="44A70DA2"/>
    <w:rsid w:val="452C4830"/>
    <w:rsid w:val="46782302"/>
    <w:rsid w:val="46B463BA"/>
    <w:rsid w:val="4702533F"/>
    <w:rsid w:val="47905B30"/>
    <w:rsid w:val="48686F67"/>
    <w:rsid w:val="48692901"/>
    <w:rsid w:val="48B11372"/>
    <w:rsid w:val="49075BB7"/>
    <w:rsid w:val="492A042D"/>
    <w:rsid w:val="494F7E0F"/>
    <w:rsid w:val="49C46813"/>
    <w:rsid w:val="49F71487"/>
    <w:rsid w:val="49F7516C"/>
    <w:rsid w:val="4A067AAF"/>
    <w:rsid w:val="4AD31C04"/>
    <w:rsid w:val="4AEA0233"/>
    <w:rsid w:val="4B0554B8"/>
    <w:rsid w:val="4B0A29AE"/>
    <w:rsid w:val="4BE639DB"/>
    <w:rsid w:val="4C914BE2"/>
    <w:rsid w:val="4CA257BD"/>
    <w:rsid w:val="4CD23445"/>
    <w:rsid w:val="4D6813BA"/>
    <w:rsid w:val="4D8166F8"/>
    <w:rsid w:val="4D8217C7"/>
    <w:rsid w:val="4DF032FA"/>
    <w:rsid w:val="4E0159EA"/>
    <w:rsid w:val="4E3A4E39"/>
    <w:rsid w:val="4E896592"/>
    <w:rsid w:val="4EF6667C"/>
    <w:rsid w:val="4F553FB2"/>
    <w:rsid w:val="4F9802A9"/>
    <w:rsid w:val="50597D58"/>
    <w:rsid w:val="510112B6"/>
    <w:rsid w:val="51890F5A"/>
    <w:rsid w:val="51FB6EBC"/>
    <w:rsid w:val="5227730A"/>
    <w:rsid w:val="52455A62"/>
    <w:rsid w:val="525071E9"/>
    <w:rsid w:val="539B6367"/>
    <w:rsid w:val="53C03AE0"/>
    <w:rsid w:val="53C14713"/>
    <w:rsid w:val="53D3534E"/>
    <w:rsid w:val="53D374C2"/>
    <w:rsid w:val="53F3089A"/>
    <w:rsid w:val="548726E1"/>
    <w:rsid w:val="55222994"/>
    <w:rsid w:val="55996D7B"/>
    <w:rsid w:val="55B56EB2"/>
    <w:rsid w:val="56914268"/>
    <w:rsid w:val="56D31FE4"/>
    <w:rsid w:val="57384649"/>
    <w:rsid w:val="57504512"/>
    <w:rsid w:val="57676554"/>
    <w:rsid w:val="57A44E6A"/>
    <w:rsid w:val="57A70DB7"/>
    <w:rsid w:val="57CA1363"/>
    <w:rsid w:val="57CD48A9"/>
    <w:rsid w:val="580805D6"/>
    <w:rsid w:val="58320CB5"/>
    <w:rsid w:val="584720FE"/>
    <w:rsid w:val="58E90995"/>
    <w:rsid w:val="58F64FBD"/>
    <w:rsid w:val="5922443B"/>
    <w:rsid w:val="59365714"/>
    <w:rsid w:val="596B742E"/>
    <w:rsid w:val="596C00FA"/>
    <w:rsid w:val="5982614B"/>
    <w:rsid w:val="59C31B8C"/>
    <w:rsid w:val="5ADB7B5C"/>
    <w:rsid w:val="5AE105FB"/>
    <w:rsid w:val="5B2C1F7E"/>
    <w:rsid w:val="5BA97D64"/>
    <w:rsid w:val="5BDF6EB1"/>
    <w:rsid w:val="5BEB7164"/>
    <w:rsid w:val="5BFE6F8F"/>
    <w:rsid w:val="5C700CA7"/>
    <w:rsid w:val="5CED0685"/>
    <w:rsid w:val="5CF5373B"/>
    <w:rsid w:val="5D1B43E3"/>
    <w:rsid w:val="5DBC31D3"/>
    <w:rsid w:val="5E21603E"/>
    <w:rsid w:val="5EED5EC1"/>
    <w:rsid w:val="5F0B4953"/>
    <w:rsid w:val="5F0D4F65"/>
    <w:rsid w:val="5F863300"/>
    <w:rsid w:val="5F995DB2"/>
    <w:rsid w:val="5F996C06"/>
    <w:rsid w:val="5FE2457D"/>
    <w:rsid w:val="6047232F"/>
    <w:rsid w:val="61DA24CA"/>
    <w:rsid w:val="62732974"/>
    <w:rsid w:val="6319517B"/>
    <w:rsid w:val="631C3A31"/>
    <w:rsid w:val="63260125"/>
    <w:rsid w:val="63616232"/>
    <w:rsid w:val="63E91153"/>
    <w:rsid w:val="641B0B66"/>
    <w:rsid w:val="64555A53"/>
    <w:rsid w:val="64AD62EA"/>
    <w:rsid w:val="650D0B25"/>
    <w:rsid w:val="663368E2"/>
    <w:rsid w:val="664B0FC5"/>
    <w:rsid w:val="66751506"/>
    <w:rsid w:val="668435E6"/>
    <w:rsid w:val="669B6BE6"/>
    <w:rsid w:val="66A31622"/>
    <w:rsid w:val="67144D2B"/>
    <w:rsid w:val="6716501F"/>
    <w:rsid w:val="67B149C6"/>
    <w:rsid w:val="67DB523F"/>
    <w:rsid w:val="67FB39B6"/>
    <w:rsid w:val="67FC7435"/>
    <w:rsid w:val="686C0F86"/>
    <w:rsid w:val="688C6C81"/>
    <w:rsid w:val="68F63AD6"/>
    <w:rsid w:val="690305AC"/>
    <w:rsid w:val="6920131A"/>
    <w:rsid w:val="693E01B3"/>
    <w:rsid w:val="69857F7D"/>
    <w:rsid w:val="69CF4947"/>
    <w:rsid w:val="69DD3282"/>
    <w:rsid w:val="69EE3B5A"/>
    <w:rsid w:val="6A0E2A29"/>
    <w:rsid w:val="6A790428"/>
    <w:rsid w:val="6A830C05"/>
    <w:rsid w:val="6AFD1CD1"/>
    <w:rsid w:val="6B4604E4"/>
    <w:rsid w:val="6BB432EF"/>
    <w:rsid w:val="6BB70E2B"/>
    <w:rsid w:val="6C057C2B"/>
    <w:rsid w:val="6C4E60FB"/>
    <w:rsid w:val="6C51716D"/>
    <w:rsid w:val="6C5829F8"/>
    <w:rsid w:val="6CE01E5C"/>
    <w:rsid w:val="6D7001D1"/>
    <w:rsid w:val="6DAC2679"/>
    <w:rsid w:val="6DC700F6"/>
    <w:rsid w:val="6E0064E0"/>
    <w:rsid w:val="6E7306E3"/>
    <w:rsid w:val="6F167E4F"/>
    <w:rsid w:val="6F8B2FC1"/>
    <w:rsid w:val="6FDB025B"/>
    <w:rsid w:val="70556F3F"/>
    <w:rsid w:val="718F21E6"/>
    <w:rsid w:val="71A65F62"/>
    <w:rsid w:val="71BF31B7"/>
    <w:rsid w:val="71E31F36"/>
    <w:rsid w:val="73D14BB8"/>
    <w:rsid w:val="74014011"/>
    <w:rsid w:val="74220C76"/>
    <w:rsid w:val="74A468EC"/>
    <w:rsid w:val="751429D1"/>
    <w:rsid w:val="754D490E"/>
    <w:rsid w:val="759658DE"/>
    <w:rsid w:val="759F0588"/>
    <w:rsid w:val="75F2196E"/>
    <w:rsid w:val="762A15F1"/>
    <w:rsid w:val="765704BB"/>
    <w:rsid w:val="76902390"/>
    <w:rsid w:val="76D96C9A"/>
    <w:rsid w:val="76F00F44"/>
    <w:rsid w:val="77FB13EA"/>
    <w:rsid w:val="798F4FFD"/>
    <w:rsid w:val="799942A2"/>
    <w:rsid w:val="79B15E05"/>
    <w:rsid w:val="79FA4E93"/>
    <w:rsid w:val="79FB56D9"/>
    <w:rsid w:val="7A804167"/>
    <w:rsid w:val="7AEE1BDF"/>
    <w:rsid w:val="7B1E403B"/>
    <w:rsid w:val="7BCF1D8B"/>
    <w:rsid w:val="7BFF7723"/>
    <w:rsid w:val="7C975531"/>
    <w:rsid w:val="7D213628"/>
    <w:rsid w:val="7D4B12F7"/>
    <w:rsid w:val="7D6E0973"/>
    <w:rsid w:val="7E834DEE"/>
    <w:rsid w:val="7E946C17"/>
    <w:rsid w:val="7FE253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topLinePunct/>
      <w:autoSpaceDE/>
      <w:adjustRightInd w:val="0"/>
      <w:snapToGrid w:val="0"/>
      <w:spacing w:line="240" w:lineRule="auto"/>
      <w:ind w:firstLine="643" w:firstLineChars="200"/>
      <w:jc w:val="left"/>
    </w:pPr>
    <w:rPr>
      <w:rFonts w:ascii="Times New Roman" w:hAnsi="Times New Roman" w:eastAsia="宋体" w:cs="Times New Roman"/>
      <w:kern w:val="2"/>
      <w:sz w:val="24"/>
      <w:szCs w:val="22"/>
      <w:lang w:val="en-US" w:eastAsia="zh-CN" w:bidi="ar-SA"/>
    </w:rPr>
  </w:style>
  <w:style w:type="paragraph" w:styleId="2">
    <w:name w:val="heading 1"/>
    <w:basedOn w:val="1"/>
    <w:next w:val="1"/>
    <w:link w:val="20"/>
    <w:qFormat/>
    <w:uiPriority w:val="0"/>
    <w:pPr>
      <w:keepNext/>
      <w:keepLines/>
      <w:adjustRightInd w:val="0"/>
      <w:snapToGrid w:val="0"/>
      <w:spacing w:before="50" w:beforeLines="50" w:after="50" w:afterLines="50" w:line="240" w:lineRule="auto"/>
      <w:ind w:firstLine="0" w:firstLineChars="0"/>
      <w:jc w:val="center"/>
      <w:outlineLvl w:val="0"/>
    </w:pPr>
    <w:rPr>
      <w:rFonts w:asciiTheme="majorAscii" w:hAnsiTheme="majorAscii" w:cstheme="majorBidi"/>
      <w:b/>
      <w:bCs/>
      <w:color w:val="000000" w:themeColor="text1"/>
      <w:sz w:val="36"/>
      <w:szCs w:val="28"/>
      <w14:textFill>
        <w14:solidFill>
          <w14:schemeClr w14:val="tx1"/>
        </w14:solidFill>
      </w14:textFill>
    </w:rPr>
  </w:style>
  <w:style w:type="paragraph" w:styleId="3">
    <w:name w:val="heading 2"/>
    <w:basedOn w:val="1"/>
    <w:next w:val="1"/>
    <w:link w:val="26"/>
    <w:semiHidden/>
    <w:unhideWhenUsed/>
    <w:qFormat/>
    <w:uiPriority w:val="0"/>
    <w:pPr>
      <w:keepNext/>
      <w:keepLines/>
      <w:adjustRightInd w:val="0"/>
      <w:snapToGrid w:val="0"/>
      <w:spacing w:before="50" w:beforeLines="50" w:after="50" w:afterLines="50" w:line="240" w:lineRule="auto"/>
      <w:ind w:firstLine="883" w:firstLineChars="200"/>
      <w:outlineLvl w:val="1"/>
    </w:pPr>
    <w:rPr>
      <w:rFonts w:ascii="Times New Roman" w:hAnsi="Times New Roman" w:eastAsia="黑体" w:cstheme="majorBidi"/>
      <w:color w:val="000000" w:themeColor="text1"/>
      <w:sz w:val="32"/>
      <w:szCs w:val="32"/>
      <w14:textFill>
        <w14:solidFill>
          <w14:schemeClr w14:val="tx1"/>
        </w14:solidFill>
      </w14:textFill>
    </w:rPr>
  </w:style>
  <w:style w:type="paragraph" w:styleId="4">
    <w:name w:val="heading 3"/>
    <w:basedOn w:val="1"/>
    <w:next w:val="1"/>
    <w:link w:val="21"/>
    <w:semiHidden/>
    <w:unhideWhenUsed/>
    <w:qFormat/>
    <w:uiPriority w:val="0"/>
    <w:pPr>
      <w:keepNext/>
      <w:keepLines/>
      <w:adjustRightInd w:val="0"/>
      <w:snapToGrid w:val="0"/>
      <w:spacing w:before="50" w:beforeLines="50" w:after="50" w:afterLines="50" w:line="240" w:lineRule="auto"/>
      <w:outlineLvl w:val="2"/>
    </w:pPr>
    <w:rPr>
      <w:rFonts w:ascii="Times New Roman" w:hAnsi="Times New Roman" w:eastAsia="宋体" w:cstheme="majorBidi"/>
      <w:b/>
      <w:bCs/>
      <w:color w:val="000000" w:themeColor="text1"/>
      <w:sz w:val="28"/>
      <w:szCs w:val="28"/>
      <w14:textFill>
        <w14:solidFill>
          <w14:schemeClr w14:val="tx1"/>
        </w14:solidFill>
      </w14:textFill>
    </w:rPr>
  </w:style>
  <w:style w:type="paragraph" w:styleId="5">
    <w:name w:val="heading 4"/>
    <w:basedOn w:val="1"/>
    <w:next w:val="1"/>
    <w:link w:val="25"/>
    <w:unhideWhenUsed/>
    <w:qFormat/>
    <w:uiPriority w:val="0"/>
    <w:pPr>
      <w:keepNext/>
      <w:keepLines/>
      <w:adjustRightInd w:val="0"/>
      <w:snapToGrid w:val="0"/>
      <w:spacing w:before="50" w:beforeLines="50" w:beforeAutospacing="0" w:after="50" w:afterLines="50" w:afterAutospacing="0" w:line="240" w:lineRule="auto"/>
      <w:jc w:val="left"/>
      <w:outlineLvl w:val="3"/>
    </w:pPr>
    <w:rPr>
      <w:rFonts w:ascii="Times New Roman" w:hAnsi="Times New Roman" w:eastAsia="黑体"/>
      <w:kern w:val="2"/>
      <w:szCs w:val="24"/>
      <w:lang w:eastAsia="zh-CN"/>
    </w:rPr>
  </w:style>
  <w:style w:type="paragraph" w:styleId="6">
    <w:name w:val="heading 5"/>
    <w:link w:val="33"/>
    <w:semiHidden/>
    <w:unhideWhenUsed/>
    <w:qFormat/>
    <w:uiPriority w:val="0"/>
    <w:pPr>
      <w:widowControl w:val="0"/>
      <w:autoSpaceDE w:val="0"/>
      <w:autoSpaceDN w:val="0"/>
      <w:spacing w:before="0" w:after="0" w:line="360" w:lineRule="auto"/>
      <w:ind w:left="0" w:right="0"/>
      <w:jc w:val="left"/>
      <w:outlineLvl w:val="4"/>
    </w:pPr>
    <w:rPr>
      <w:rFonts w:ascii="Times New Roman" w:hAnsi="Times New Roman" w:eastAsia="宋体" w:cstheme="minorBidi"/>
      <w:color w:val="000000"/>
      <w:sz w:val="28"/>
      <w:szCs w:val="28"/>
      <w:lang w:val="en-US" w:eastAsia="en-US" w:bidi="ar-SA"/>
    </w:rPr>
  </w:style>
  <w:style w:type="paragraph" w:styleId="7">
    <w:name w:val="heading 6"/>
    <w:basedOn w:val="1"/>
    <w:next w:val="1"/>
    <w:semiHidden/>
    <w:unhideWhenUsed/>
    <w:qFormat/>
    <w:uiPriority w:val="0"/>
    <w:pPr>
      <w:keepNext/>
      <w:keepLines/>
      <w:spacing w:beforeAutospacing="0" w:afterAutospacing="0" w:line="240" w:lineRule="auto"/>
      <w:outlineLvl w:val="5"/>
    </w:pPr>
    <w:rPr>
      <w:rFonts w:ascii="Times New Roman" w:hAnsi="Times New Roman"/>
    </w:rPr>
  </w:style>
  <w:style w:type="character" w:default="1" w:styleId="18">
    <w:name w:val="Default Paragraph Font"/>
    <w:semiHidden/>
    <w:unhideWhenUsed/>
    <w:qFormat/>
    <w:uiPriority w:val="1"/>
  </w:style>
  <w:style w:type="table" w:default="1" w:styleId="17">
    <w:name w:val="Normal Table"/>
    <w:semiHidden/>
    <w:qFormat/>
    <w:uiPriority w:val="0"/>
    <w:tblPr>
      <w:tblCellMar>
        <w:top w:w="0" w:type="dxa"/>
        <w:left w:w="108" w:type="dxa"/>
        <w:bottom w:w="0" w:type="dxa"/>
        <w:right w:w="108" w:type="dxa"/>
      </w:tblCellMar>
    </w:tblPr>
  </w:style>
  <w:style w:type="paragraph" w:styleId="8">
    <w:name w:val="Normal Indent"/>
    <w:basedOn w:val="1"/>
    <w:qFormat/>
    <w:uiPriority w:val="0"/>
    <w:pPr>
      <w:ind w:firstLine="420" w:firstLineChars="200"/>
    </w:pPr>
  </w:style>
  <w:style w:type="paragraph" w:styleId="9">
    <w:name w:val="caption"/>
    <w:basedOn w:val="1"/>
    <w:next w:val="1"/>
    <w:semiHidden/>
    <w:unhideWhenUsed/>
    <w:qFormat/>
    <w:uiPriority w:val="0"/>
    <w:pPr>
      <w:adjustRightInd w:val="0"/>
      <w:snapToGrid w:val="0"/>
      <w:jc w:val="left"/>
    </w:pPr>
    <w:rPr>
      <w:rFonts w:ascii="Times New Roman" w:hAnsi="Times New Roman" w:eastAsia="黑体"/>
      <w:kern w:val="2"/>
      <w:sz w:val="21"/>
      <w:szCs w:val="21"/>
      <w:lang w:eastAsia="zh-CN"/>
    </w:rPr>
  </w:style>
  <w:style w:type="paragraph" w:styleId="10">
    <w:name w:val="Body Text"/>
    <w:basedOn w:val="1"/>
    <w:qFormat/>
    <w:uiPriority w:val="0"/>
    <w:rPr>
      <w:rFonts w:ascii="宋体" w:hAnsi="宋体" w:cs="宋体"/>
      <w:sz w:val="28"/>
      <w:szCs w:val="28"/>
      <w:lang w:eastAsia="en-US"/>
    </w:rPr>
  </w:style>
  <w:style w:type="paragraph" w:styleId="11">
    <w:name w:val="toc 3"/>
    <w:basedOn w:val="1"/>
    <w:next w:val="1"/>
    <w:qFormat/>
    <w:uiPriority w:val="0"/>
    <w:pPr>
      <w:ind w:left="480" w:leftChars="200"/>
    </w:pPr>
    <w:rPr>
      <w:rFonts w:ascii="Times New Roman" w:hAnsi="Times New Roman" w:eastAsia="宋体"/>
      <w:kern w:val="2"/>
      <w:szCs w:val="24"/>
      <w:lang w:eastAsia="zh-CN"/>
    </w:rPr>
  </w:style>
  <w:style w:type="paragraph" w:styleId="12">
    <w:name w:val="toc 1"/>
    <w:basedOn w:val="1"/>
    <w:next w:val="1"/>
    <w:link w:val="22"/>
    <w:qFormat/>
    <w:uiPriority w:val="0"/>
    <w:pPr>
      <w:spacing w:line="400" w:lineRule="exact"/>
      <w:jc w:val="left"/>
    </w:pPr>
    <w:rPr>
      <w:rFonts w:ascii="Times New Roman" w:hAnsi="Times New Roman" w:eastAsia="黑体" w:cs="宋体"/>
      <w:snapToGrid w:val="0"/>
      <w:color w:val="000000"/>
      <w:kern w:val="0"/>
      <w:sz w:val="24"/>
      <w:szCs w:val="28"/>
      <w:lang w:eastAsia="en-US"/>
    </w:rPr>
  </w:style>
  <w:style w:type="paragraph" w:styleId="13">
    <w:name w:val="toc 4"/>
    <w:basedOn w:val="1"/>
    <w:next w:val="1"/>
    <w:qFormat/>
    <w:uiPriority w:val="0"/>
    <w:pPr>
      <w:ind w:left="960" w:leftChars="400"/>
    </w:pPr>
    <w:rPr>
      <w:rFonts w:ascii="Times New Roman" w:hAnsi="Times New Roman" w:eastAsia="宋体"/>
      <w:kern w:val="2"/>
      <w:szCs w:val="24"/>
      <w:lang w:eastAsia="zh-CN"/>
    </w:rPr>
  </w:style>
  <w:style w:type="paragraph" w:styleId="14">
    <w:name w:val="table of figures"/>
    <w:basedOn w:val="1"/>
    <w:next w:val="1"/>
    <w:qFormat/>
    <w:uiPriority w:val="0"/>
    <w:pPr>
      <w:ind w:leftChars="200" w:hanging="200" w:hangingChars="200"/>
    </w:pPr>
    <w:rPr>
      <w:rFonts w:ascii="Times New Roman" w:hAnsi="Times New Roman" w:eastAsia="宋体" w:cs="Times New Roman"/>
      <w:kern w:val="2"/>
      <w:szCs w:val="22"/>
      <w:lang w:eastAsia="zh-CN"/>
    </w:rPr>
  </w:style>
  <w:style w:type="paragraph" w:styleId="15">
    <w:name w:val="toc 2"/>
    <w:basedOn w:val="1"/>
    <w:next w:val="1"/>
    <w:link w:val="39"/>
    <w:qFormat/>
    <w:uiPriority w:val="0"/>
    <w:pPr>
      <w:ind w:left="0" w:leftChars="0"/>
    </w:pPr>
    <w:rPr>
      <w:rFonts w:ascii="Times New Roman" w:hAnsi="Times New Roman" w:eastAsia="黑体"/>
      <w:kern w:val="2"/>
      <w:szCs w:val="24"/>
      <w:lang w:eastAsia="zh-CN"/>
    </w:rPr>
  </w:style>
  <w:style w:type="paragraph" w:styleId="16">
    <w:name w:val="Normal (Web)"/>
    <w:basedOn w:val="1"/>
    <w:uiPriority w:val="0"/>
    <w:pPr>
      <w:spacing w:before="0" w:beforeAutospacing="1" w:after="0" w:afterAutospacing="1"/>
      <w:ind w:left="0" w:right="0"/>
      <w:jc w:val="left"/>
    </w:pPr>
    <w:rPr>
      <w:kern w:val="0"/>
      <w:sz w:val="24"/>
      <w:lang w:val="en-US" w:eastAsia="zh-CN" w:bidi="ar"/>
    </w:rPr>
  </w:style>
  <w:style w:type="character" w:styleId="19">
    <w:name w:val="Strong"/>
    <w:basedOn w:val="18"/>
    <w:qFormat/>
    <w:uiPriority w:val="0"/>
    <w:rPr>
      <w:b/>
    </w:rPr>
  </w:style>
  <w:style w:type="character" w:customStyle="1" w:styleId="20">
    <w:name w:val="标题 1 Char"/>
    <w:basedOn w:val="18"/>
    <w:link w:val="2"/>
    <w:qFormat/>
    <w:uiPriority w:val="99"/>
    <w:rPr>
      <w:rFonts w:ascii="宋体" w:hAnsi="宋体" w:eastAsia="宋体" w:cs="宋体"/>
      <w:b/>
      <w:snapToGrid w:val="0"/>
      <w:color w:val="000000"/>
      <w:kern w:val="44"/>
      <w:sz w:val="36"/>
      <w:szCs w:val="36"/>
    </w:rPr>
  </w:style>
  <w:style w:type="character" w:customStyle="1" w:styleId="21">
    <w:name w:val="标题 3 Char"/>
    <w:link w:val="4"/>
    <w:qFormat/>
    <w:uiPriority w:val="0"/>
    <w:rPr>
      <w:rFonts w:hint="eastAsia" w:ascii="Times New Roman" w:hAnsi="Times New Roman" w:eastAsia="宋体" w:cs="Times New Roman"/>
      <w:b/>
      <w:snapToGrid w:val="0"/>
      <w:color w:val="000000"/>
      <w:kern w:val="2"/>
      <w:sz w:val="28"/>
      <w:szCs w:val="22"/>
      <w:lang w:eastAsia="zh-CN" w:bidi="ar"/>
    </w:rPr>
  </w:style>
  <w:style w:type="character" w:customStyle="1" w:styleId="22">
    <w:name w:val="目录 1 Char"/>
    <w:link w:val="12"/>
    <w:qFormat/>
    <w:uiPriority w:val="0"/>
    <w:rPr>
      <w:rFonts w:ascii="Times New Roman" w:hAnsi="Times New Roman" w:eastAsia="黑体" w:cs="宋体"/>
      <w:snapToGrid w:val="0"/>
      <w:color w:val="000000"/>
      <w:kern w:val="0"/>
      <w:sz w:val="24"/>
      <w:szCs w:val="28"/>
      <w:lang w:eastAsia="en-US"/>
    </w:rPr>
  </w:style>
  <w:style w:type="paragraph" w:customStyle="1" w:styleId="23">
    <w:name w:val="表格名称"/>
    <w:basedOn w:val="1"/>
    <w:link w:val="24"/>
    <w:qFormat/>
    <w:uiPriority w:val="0"/>
    <w:pPr>
      <w:spacing w:before="120" w:after="60" w:line="240" w:lineRule="auto"/>
      <w:ind w:firstLine="0" w:firstLineChars="0"/>
      <w:jc w:val="center"/>
      <w:outlineLvl w:val="4"/>
    </w:pPr>
    <w:rPr>
      <w:rFonts w:hint="eastAsia" w:ascii="Times New Roman" w:hAnsi="Times New Roman" w:eastAsia="黑体" w:cs="Times New Roman"/>
      <w:sz w:val="21"/>
      <w:szCs w:val="22"/>
    </w:rPr>
  </w:style>
  <w:style w:type="character" w:customStyle="1" w:styleId="24">
    <w:name w:val="表格名称 Char"/>
    <w:link w:val="23"/>
    <w:qFormat/>
    <w:uiPriority w:val="0"/>
    <w:rPr>
      <w:rFonts w:hint="eastAsia" w:ascii="Times New Roman" w:hAnsi="Times New Roman" w:eastAsia="黑体" w:cs="Times New Roman"/>
      <w:sz w:val="21"/>
      <w:szCs w:val="22"/>
    </w:rPr>
  </w:style>
  <w:style w:type="character" w:customStyle="1" w:styleId="25">
    <w:name w:val="标题 4 Char"/>
    <w:link w:val="5"/>
    <w:qFormat/>
    <w:uiPriority w:val="0"/>
    <w:rPr>
      <w:rFonts w:ascii="Times New Roman" w:hAnsi="Times New Roman" w:eastAsia="黑体"/>
      <w:kern w:val="2"/>
      <w:sz w:val="24"/>
      <w:szCs w:val="24"/>
      <w:lang w:eastAsia="zh-CN"/>
    </w:rPr>
  </w:style>
  <w:style w:type="character" w:customStyle="1" w:styleId="26">
    <w:name w:val="标题 2 Char"/>
    <w:link w:val="3"/>
    <w:qFormat/>
    <w:uiPriority w:val="0"/>
    <w:rPr>
      <w:rFonts w:hint="eastAsia" w:ascii="Times New Roman" w:hAnsi="Times New Roman" w:eastAsia="宋体" w:cs="宋体"/>
      <w:b/>
      <w:bCs/>
      <w:snapToGrid w:val="0"/>
      <w:color w:val="000000"/>
      <w:kern w:val="2"/>
      <w:sz w:val="36"/>
      <w:szCs w:val="22"/>
      <w:lang w:val="en-US" w:eastAsia="zh-CN" w:bidi="ar"/>
    </w:rPr>
  </w:style>
  <w:style w:type="paragraph" w:customStyle="1" w:styleId="27">
    <w:name w:val="表头"/>
    <w:basedOn w:val="1"/>
    <w:link w:val="36"/>
    <w:qFormat/>
    <w:uiPriority w:val="0"/>
    <w:pPr>
      <w:keepNext/>
      <w:widowControl w:val="0"/>
      <w:overflowPunct w:val="0"/>
      <w:topLinePunct w:val="0"/>
      <w:autoSpaceDE/>
      <w:snapToGrid w:val="0"/>
      <w:spacing w:before="120" w:after="60" w:line="240" w:lineRule="auto"/>
      <w:ind w:firstLine="0" w:firstLineChars="0"/>
      <w:jc w:val="center"/>
      <w:outlineLvl w:val="6"/>
    </w:pPr>
    <w:rPr>
      <w:rFonts w:hint="eastAsia" w:ascii="Times New Roman" w:hAnsi="Times New Roman" w:eastAsia="黑体" w:cs="Times New Roman"/>
      <w:sz w:val="21"/>
    </w:rPr>
  </w:style>
  <w:style w:type="paragraph" w:customStyle="1" w:styleId="28">
    <w:name w:val="表格内容"/>
    <w:basedOn w:val="1"/>
    <w:qFormat/>
    <w:uiPriority w:val="0"/>
    <w:pPr>
      <w:spacing w:line="240" w:lineRule="auto"/>
      <w:ind w:firstLine="0" w:firstLineChars="0"/>
      <w:jc w:val="center"/>
    </w:pPr>
    <w:rPr>
      <w:rFonts w:ascii="Times New Roman" w:hAnsi="Times New Roman" w:cs="Times New Roman"/>
      <w:sz w:val="21"/>
    </w:rPr>
  </w:style>
  <w:style w:type="paragraph" w:customStyle="1" w:styleId="29">
    <w:name w:val="图标题"/>
    <w:basedOn w:val="1"/>
    <w:link w:val="35"/>
    <w:qFormat/>
    <w:uiPriority w:val="0"/>
    <w:pPr>
      <w:autoSpaceDE w:val="0"/>
      <w:autoSpaceDN w:val="0"/>
      <w:spacing w:before="60" w:after="120"/>
      <w:ind w:firstLine="0" w:firstLineChars="0"/>
      <w:jc w:val="center"/>
      <w:outlineLvl w:val="5"/>
    </w:pPr>
    <w:rPr>
      <w:rFonts w:ascii="Times New Roman" w:hAnsi="Times New Roman" w:eastAsia="黑体" w:cs="Times New Roman"/>
      <w:kern w:val="2"/>
      <w:sz w:val="21"/>
      <w:lang w:eastAsia="zh-CN"/>
    </w:rPr>
  </w:style>
  <w:style w:type="paragraph" w:customStyle="1" w:styleId="30">
    <w:name w:val="表格"/>
    <w:basedOn w:val="28"/>
    <w:qFormat/>
    <w:uiPriority w:val="0"/>
    <w:pPr>
      <w:widowControl w:val="0"/>
      <w:spacing w:line="240" w:lineRule="auto"/>
      <w:ind w:firstLine="0" w:firstLineChars="0"/>
      <w:jc w:val="center"/>
    </w:pPr>
    <w:rPr>
      <w:rFonts w:ascii="Times New Roman" w:hAnsi="Times New Roman" w:eastAsia="宋体" w:cstheme="minorBidi"/>
      <w:kern w:val="2"/>
      <w:szCs w:val="22"/>
      <w:lang w:eastAsia="zh-CN"/>
    </w:rPr>
  </w:style>
  <w:style w:type="paragraph" w:customStyle="1" w:styleId="31">
    <w:name w:val="表名"/>
    <w:basedOn w:val="23"/>
    <w:next w:val="23"/>
    <w:qFormat/>
    <w:uiPriority w:val="0"/>
    <w:pPr>
      <w:spacing w:before="120" w:after="60" w:line="240" w:lineRule="auto"/>
      <w:jc w:val="center"/>
    </w:pPr>
    <w:rPr>
      <w:rFonts w:ascii="Times New Roman" w:hAnsi="Times New Roman" w:cs="Times New Roman"/>
      <w14:ligatures w14:val="standardContextual"/>
    </w:rPr>
  </w:style>
  <w:style w:type="paragraph" w:customStyle="1" w:styleId="32">
    <w:name w:val="图"/>
    <w:basedOn w:val="1"/>
    <w:next w:val="29"/>
    <w:qFormat/>
    <w:uiPriority w:val="0"/>
    <w:pPr>
      <w:ind w:firstLine="0" w:firstLineChars="0"/>
      <w:jc w:val="center"/>
    </w:pPr>
    <w:rPr>
      <w:rFonts w:ascii="Times New Roman" w:hAnsi="Times New Roman" w:eastAsia="宋体" w:cs="Times New Roman"/>
      <w:snapToGrid w:val="0"/>
      <w:color w:val="000000"/>
      <w:kern w:val="0"/>
      <w:lang w:eastAsia="en-US"/>
    </w:rPr>
  </w:style>
  <w:style w:type="character" w:customStyle="1" w:styleId="33">
    <w:name w:val="标题 5 字符"/>
    <w:basedOn w:val="18"/>
    <w:link w:val="6"/>
    <w:semiHidden/>
    <w:qFormat/>
    <w:uiPriority w:val="9"/>
    <w:rPr>
      <w:rFonts w:ascii="Times New Roman" w:hAnsi="Times New Roman" w:eastAsia="宋体" w:cs="宋体"/>
      <w:b/>
      <w:color w:val="000000" w:themeColor="text1"/>
      <w:kern w:val="2"/>
      <w:sz w:val="24"/>
      <w:szCs w:val="21"/>
      <w:lang w:eastAsia="zh-CN"/>
      <w14:textFill>
        <w14:solidFill>
          <w14:schemeClr w14:val="tx1"/>
        </w14:solidFill>
      </w14:textFill>
    </w:rPr>
  </w:style>
  <w:style w:type="paragraph" w:customStyle="1" w:styleId="34">
    <w:name w:val="图目录"/>
    <w:basedOn w:val="1"/>
    <w:qFormat/>
    <w:uiPriority w:val="0"/>
    <w:pPr>
      <w:spacing w:before="60" w:after="120"/>
      <w:jc w:val="left"/>
    </w:pPr>
    <w:rPr>
      <w:rFonts w:hint="eastAsia" w:eastAsia="黑体" w:cs="Times New Roman"/>
      <w:color w:val="000000"/>
      <w:sz w:val="21"/>
      <w:szCs w:val="28"/>
    </w:rPr>
  </w:style>
  <w:style w:type="character" w:customStyle="1" w:styleId="35">
    <w:name w:val="图标题 Char1"/>
    <w:link w:val="29"/>
    <w:qFormat/>
    <w:uiPriority w:val="0"/>
    <w:rPr>
      <w:rFonts w:hint="eastAsia" w:ascii="Times New Roman" w:hAnsi="Times New Roman" w:eastAsia="黑体" w:cs="Times New Roman"/>
      <w:color w:val="000000" w:themeColor="text1"/>
      <w:kern w:val="2"/>
      <w:sz w:val="21"/>
      <w:szCs w:val="24"/>
      <w:highlight w:val="none"/>
      <w:lang w:eastAsia="zh-CN"/>
      <w14:textFill>
        <w14:solidFill>
          <w14:schemeClr w14:val="tx1"/>
        </w14:solidFill>
      </w14:textFill>
    </w:rPr>
  </w:style>
  <w:style w:type="character" w:customStyle="1" w:styleId="36">
    <w:name w:val="表头 Char"/>
    <w:link w:val="27"/>
    <w:qFormat/>
    <w:uiPriority w:val="0"/>
    <w:rPr>
      <w:rFonts w:hint="eastAsia" w:ascii="Times New Roman" w:hAnsi="Times New Roman" w:eastAsia="黑体" w:cs="Times New Roman"/>
      <w:kern w:val="2"/>
      <w:sz w:val="21"/>
      <w:szCs w:val="22"/>
      <w:lang w:eastAsia="zh-CN"/>
    </w:rPr>
  </w:style>
  <w:style w:type="paragraph" w:customStyle="1" w:styleId="37">
    <w:name w:val="表格内部"/>
    <w:basedOn w:val="1"/>
    <w:qFormat/>
    <w:uiPriority w:val="0"/>
    <w:pPr>
      <w:widowControl w:val="0"/>
      <w:autoSpaceDE/>
      <w:autoSpaceDN/>
      <w:ind w:firstLine="0" w:firstLineChars="0"/>
      <w:jc w:val="center"/>
      <w:textAlignment w:val="auto"/>
    </w:pPr>
    <w:rPr>
      <w:sz w:val="21"/>
    </w:rPr>
  </w:style>
  <w:style w:type="paragraph" w:customStyle="1" w:styleId="38">
    <w:name w:val="注"/>
    <w:qFormat/>
    <w:uiPriority w:val="0"/>
    <w:pPr>
      <w:kinsoku w:val="0"/>
      <w:autoSpaceDE w:val="0"/>
      <w:autoSpaceDN w:val="0"/>
      <w:adjustRightInd w:val="0"/>
      <w:snapToGrid w:val="0"/>
      <w:spacing w:line="240" w:lineRule="auto"/>
      <w:ind w:firstLine="480" w:firstLineChars="200"/>
      <w:jc w:val="both"/>
      <w:textAlignment w:val="baseline"/>
    </w:pPr>
    <w:rPr>
      <w:rFonts w:hint="eastAsia" w:ascii="Times New Roman" w:hAnsi="Times New Roman" w:eastAsia="宋体" w:cs="Times New Roman"/>
      <w:snapToGrid w:val="0"/>
      <w:color w:val="000000"/>
      <w:kern w:val="0"/>
      <w:sz w:val="21"/>
      <w:szCs w:val="21"/>
      <w:lang w:val="en-US" w:eastAsia="zh-CN" w:bidi="ar-SA"/>
    </w:rPr>
  </w:style>
  <w:style w:type="character" w:customStyle="1" w:styleId="39">
    <w:name w:val="目录 2 Char"/>
    <w:link w:val="15"/>
    <w:qFormat/>
    <w:uiPriority w:val="0"/>
    <w:rPr>
      <w:rFonts w:ascii="Times New Roman" w:hAnsi="Times New Roman" w:eastAsia="黑体"/>
      <w:kern w:val="2"/>
      <w:szCs w:val="24"/>
      <w:lang w:eastAsia="zh-C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4598</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2026-08-28T10:22:00Z</dcterms:created>
  <dc:creator>王雨</dc:creator>
  <cp:lastModifiedBy>王雨</cp:lastModifiedBy>
  <dcterms:modified xsi:type="dcterms:W3CDTF">2026-08-28T11:22:05Z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FFB243C3B1D84D3CB4A461C93D2696F2_11</vt:lpwstr>
  </property>
  <property fmtid="{D5CDD505-2E9C-101B-9397-08002B2CF9AE}" pid="4" name="KSOTemplateDocerSaveRecord">
    <vt:lpwstr>eyJoZGlkIjoiNTA2YjM0MzY5MTAwYzhhMDMxMjhkMjVkZmZkZGY2OTYiLCJ1c2VySWQiOiIxMTA2NDk5MzY3In0=</vt:lpwstr>
  </property>
</Properties>
</file>