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DAFF0">
      <w:pPr>
        <w:jc w:val="center"/>
        <w:rPr>
          <w:rFonts w:hint="eastAsia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  <w:t>晋州</w:t>
      </w:r>
      <w:r>
        <w:rPr>
          <w:rFonts w:hint="eastAsia"/>
          <w:b/>
          <w:bCs/>
          <w:color w:val="auto"/>
          <w:sz w:val="28"/>
          <w:szCs w:val="36"/>
          <w:lang w:val="en-US" w:eastAsia="zh-CN"/>
        </w:rPr>
        <w:t>市土壤属性与制图专题成果验收评分表</w:t>
      </w:r>
    </w:p>
    <w:p w14:paraId="3112B7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sz w:val="22"/>
          <w:szCs w:val="28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本报告验收评分表总分值100分。评分等级划分标准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90分及以上为优秀，80~90分为良好，70~80分为合格，低于70分为不合格。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828"/>
        <w:gridCol w:w="1991"/>
        <w:gridCol w:w="3290"/>
        <w:gridCol w:w="800"/>
        <w:gridCol w:w="757"/>
      </w:tblGrid>
      <w:tr w14:paraId="065D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4DB111C"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项目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17DBD"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分值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7AD24"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验收内容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FE3E3"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评分要点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B8006"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得分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1E218">
            <w:r>
              <w:t>76</w:t>
            </w:r>
          </w:p>
        </w:tc>
      </w:tr>
      <w:tr w14:paraId="73E8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D8930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现状分析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C1F77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456A0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分土壤物理性质、化学性质、有机质与氮磷钾养分、中微量元素与其他元素五大类，每个属性分别展开描述和分析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12810"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分类分区差异对比充分，成因分析合理；土壤属性数据准确，结果与结论可靠，符合实际。</w:t>
            </w:r>
          </w:p>
          <w:p w14:paraId="76C7AD86"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根据偏离程度每个属性酌情扣0~3分；如某个属性存在数据、结果或结论严重错误，单次扣10分，扣完为止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B3D3B">
            <w:r>
              <w:t>36</w:t>
            </w:r>
          </w:p>
        </w:tc>
        <w:tc>
          <w:tcPr>
            <w:tcW w:w="7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8C39E"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B0C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05A99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历史变化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AD38D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E06DF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对比土壤二普、测土配方施肥等历史数据阐述变化趋势和程度；结合成土环境和土壤利用等分析变化原因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0889F"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历史属性数据准确、全面；分类分区差异对比合理、充分；结果与结论可靠，符合实际。</w:t>
            </w:r>
          </w:p>
          <w:p w14:paraId="243FF5DA"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根据偏离程度每个属性酌情扣0~4分；如某个属性存在数据、结果或结论严重错误，单次扣10分，扣完为止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687D9">
            <w:r>
              <w:t>16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A9487"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4EE10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E5B59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属性制图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349CF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41A1F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制图过程：包括技术路线、数据收集与制备、制图建模。</w:t>
            </w:r>
          </w:p>
          <w:p w14:paraId="1100F922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制图结果：包括土壤属性图验证评价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22F539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技术路线合理、数据处理正确、环境变量指标与模型选择合理；</w:t>
            </w:r>
          </w:p>
          <w:p w14:paraId="7C1B7BFA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结果验证方法正确，验证过程充分，制图结果符合规律、符合实际。</w:t>
            </w:r>
          </w:p>
          <w:p w14:paraId="5E4C9D27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根据偏离程度每个属性酌情扣0~2分；如某属性数据错误、方法不当或制图结果严重失真，单次扣10分，扣完为止；结果验证不充分或缺失，扣10~20分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C08425">
            <w:r>
              <w:t>11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4DFE4"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8D0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E21CC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图面表达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BD3064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F4A18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图面内容配置、要素搭配；</w:t>
            </w:r>
          </w:p>
          <w:p w14:paraId="124B2620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着色、注记；</w:t>
            </w:r>
          </w:p>
          <w:p w14:paraId="643B4B2E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图例、比例尺、署名等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4DF7C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图面配置合理、符合规范及相关制图标准要求，易读、美观。</w:t>
            </w:r>
          </w:p>
          <w:p w14:paraId="54A70B8F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根据偏离程度酌情扣0~10分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C21BA">
            <w:r>
              <w:t>6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E4282"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45E2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670B3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报告质量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F2AE5"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AE845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规范性、逻辑性、专业性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72DE5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撰写认真，文字简练，表述清晰，逻辑性强，数据正确，结果与结论可靠，建议可行。</w:t>
            </w:r>
          </w:p>
          <w:p w14:paraId="4E33FE37"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根据偏离程度酌情扣0~10分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D03B7D">
            <w:r>
              <w:t>7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EC9BF"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7F12B004">
      <w:pPr>
        <w:numPr>
          <w:ilvl w:val="0"/>
          <w:numId w:val="0"/>
        </w:numPr>
        <w:ind w:leftChars="0" w:firstLine="409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注：某一土壤类型或属性存在问题，导致在不同项目评分要点出现扣分项，各项目独立扣分。</w:t>
      </w:r>
    </w:p>
    <w:p w14:paraId="3879ABC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总评：建议在现状分析口径、历史变化基期、制图精度、图面表达及元数据方面进行修改，并且建议结合历次报告的意见类似问题进行进一步的核查修改。</w:t>
      </w:r>
    </w:p>
    <w:p w14:paraId="34052C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A24249"/>
    <w:rsid w:val="00A66A37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777DB1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6E12FD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4B588A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17E34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634AAA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771</Words>
  <Characters>819</Characters>
  <Lines>0</Lines>
  <Paragraphs>0</Paragraphs>
  <TotalTime>1</TotalTime>
  <ScaleCrop>false</ScaleCrop>
  <LinksUpToDate>false</LinksUpToDate>
  <CharactersWithSpaces>819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2026-06-04T05:38:00Z</dcterms:created>
  <dc:creator>江婉婷</dc:creator>
  <cp:lastModifiedBy>Mi Manchi</cp:lastModifiedBy>
  <dcterms:modified xsi:type="dcterms:W3CDTF">2026-10-20T12:53:10Z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765BABE6207E48349E9D835F9A6456FD_13</vt:lpwstr>
  </property>
  <property fmtid="{D5CDD505-2E9C-101B-9397-08002B2CF9AE}" pid="4" name="KSOTemplateDocerSaveRecord">
    <vt:lpwstr>eyJoZGlkIjoiZWQ4NWNlMWZjNThhMjZjMDQyMTU5MmU3YTNkMzg1ZmEiLCJ1c2VySWQiOiIxMjQ2MDU4ODU1In0=</vt:lpwstr>
  </property>
</Properties>
</file>