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4F0BF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0D7DF7A8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70DE645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3678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F566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lang w:val="en-US" w:eastAsia="zh-CN"/>
              </w:rPr>
              <w:t>北京元图科技发展有限公司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2C56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35D4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晋州市</w:t>
            </w:r>
          </w:p>
        </w:tc>
      </w:tr>
      <w:tr w14:paraId="67B02C8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85205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8B12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存在问题，整改后复核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D0A7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00E34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2026年10月20日</w:t>
            </w:r>
          </w:p>
        </w:tc>
      </w:tr>
    </w:tbl>
    <w:p w14:paraId="107768D4">
      <w:pPr>
        <w:spacing w:after="40"/>
      </w:pPr>
    </w:p>
    <w:p w14:paraId="5153944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0"/>
        <w:gridCol w:w="2092"/>
        <w:gridCol w:w="1008"/>
      </w:tblGrid>
      <w:tr w14:paraId="22A3E34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BB6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20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BA5B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510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357B08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31A4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2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494A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A906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4AB0653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743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2BC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46B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37E91F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CFC4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2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149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629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1AFAC4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83E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B3D2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E57A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57CE9E8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5921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2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6C07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B29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7D97509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0FDF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E01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D8C7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404B4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2A2D">
            <w:pPr>
              <w:spacing w:after="0" w:line="269" w:lineRule="auto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1E1E1E"/>
                <w:sz w:val="16"/>
              </w:rPr>
              <w:t>GB/T 4</w:t>
            </w:r>
            <w:r>
              <w:rPr>
                <w:rFonts w:hint="eastAsia"/>
                <w:color w:val="1E1E1E"/>
                <w:sz w:val="16"/>
                <w:lang w:val="en-US" w:eastAsia="zh-CN"/>
              </w:rPr>
              <w:t>5298</w:t>
            </w:r>
            <w:r>
              <w:rPr>
                <w:rFonts w:ascii="Calibri" w:hAnsi="Calibri" w:eastAsia="宋体"/>
                <w:color w:val="1E1E1E"/>
                <w:sz w:val="16"/>
              </w:rPr>
              <w:t>—202</w:t>
            </w:r>
            <w:r>
              <w:rPr>
                <w:rFonts w:hint="eastAsia"/>
                <w:color w:val="1E1E1E"/>
                <w:sz w:val="16"/>
                <w:lang w:val="en-US" w:eastAsia="zh-CN"/>
              </w:rPr>
              <w:t>5</w:t>
            </w:r>
            <w:r>
              <w:rPr>
                <w:rFonts w:ascii="Calibri" w:hAnsi="Calibri" w:eastAsia="宋体"/>
                <w:color w:val="1E1E1E"/>
                <w:sz w:val="16"/>
              </w:rPr>
              <w:t>《</w:t>
            </w:r>
            <w:r>
              <w:rPr>
                <w:rFonts w:hint="eastAsia"/>
                <w:color w:val="1E1E1E"/>
                <w:sz w:val="16"/>
                <w:lang w:val="en-US" w:eastAsia="zh-CN"/>
              </w:rPr>
              <w:t>土壤制图</w:t>
            </w:r>
            <w:r>
              <w:rPr>
                <w:rFonts w:ascii="Calibri" w:hAnsi="Calibri" w:eastAsia="宋体"/>
                <w:color w:val="1E1E1E"/>
                <w:sz w:val="16"/>
              </w:rPr>
              <w:t>1∶25 000～1∶500 000土壤</w:t>
            </w:r>
            <w:r>
              <w:rPr>
                <w:rFonts w:hint="eastAsia"/>
                <w:color w:val="1E1E1E"/>
                <w:sz w:val="16"/>
                <w:lang w:val="en-US" w:eastAsia="zh-CN"/>
              </w:rPr>
              <w:t>质地、酸碱度、盐渍化图的图式、用色及图例</w:t>
            </w:r>
            <w:r>
              <w:rPr>
                <w:rFonts w:ascii="Calibri" w:hAnsi="Calibri" w:eastAsia="宋体"/>
                <w:color w:val="1E1E1E"/>
                <w:sz w:val="16"/>
              </w:rPr>
              <w:t>规范》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C457">
            <w:pPr>
              <w:spacing w:after="0" w:line="269" w:lineRule="auto"/>
              <w:jc w:val="center"/>
              <w:rPr>
                <w:rFonts w:hint="default" w:ascii="Calibri" w:hAnsi="Calibri" w:eastAsia="宋体"/>
                <w:color w:val="1E1E1E"/>
                <w:sz w:val="16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eastAsia="zh-CN"/>
              </w:rPr>
              <w:t>《</w:t>
            </w:r>
            <w:r>
              <w:rPr>
                <w:rFonts w:hint="eastAsia"/>
                <w:color w:val="1E1E1E"/>
                <w:sz w:val="16"/>
                <w:lang w:val="en-US" w:eastAsia="zh-CN"/>
              </w:rPr>
              <w:t>土壤制图规范》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36A3">
            <w:pPr>
              <w:spacing w:after="0" w:line="269" w:lineRule="auto"/>
              <w:jc w:val="center"/>
              <w:rPr>
                <w:rFonts w:hint="default" w:ascii="Calibri" w:hAnsi="Calibri" w:eastAsia="宋体"/>
                <w:color w:val="1E1E1E"/>
                <w:sz w:val="16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国家标准</w:t>
            </w:r>
          </w:p>
        </w:tc>
      </w:tr>
      <w:tr w14:paraId="067058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A17C">
            <w:pPr>
              <w:spacing w:after="0" w:line="269" w:lineRule="auto"/>
              <w:rPr>
                <w:rFonts w:hint="default" w:ascii="Calibri" w:hAnsi="Calibri" w:eastAsia="宋体"/>
                <w:color w:val="1E1E1E"/>
                <w:sz w:val="16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GB/T 21010—2017《土地利用现状分类》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AEBD">
            <w:pPr>
              <w:spacing w:after="0" w:line="269" w:lineRule="auto"/>
              <w:jc w:val="center"/>
              <w:rPr>
                <w:rFonts w:hint="eastAsia"/>
                <w:color w:val="1E1E1E"/>
                <w:sz w:val="16"/>
                <w:lang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《土地利用现状分类》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F014">
            <w:pPr>
              <w:spacing w:after="0" w:line="269" w:lineRule="auto"/>
              <w:jc w:val="center"/>
              <w:rPr>
                <w:rFonts w:hint="eastAsia"/>
                <w:color w:val="1E1E1E"/>
                <w:sz w:val="16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国家标准</w:t>
            </w:r>
          </w:p>
        </w:tc>
      </w:tr>
      <w:tr w14:paraId="2DF11EE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9B47">
            <w:pPr>
              <w:spacing w:after="0" w:line="26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GB/T 24354—2023《公共地理信息通用地图符号》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E350">
            <w:pPr>
              <w:spacing w:after="0" w:line="269" w:lineRule="auto"/>
              <w:jc w:val="center"/>
              <w:rPr>
                <w:rFonts w:hint="default"/>
                <w:color w:val="1E1E1E"/>
                <w:sz w:val="16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《地图符号》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2D42">
            <w:pPr>
              <w:spacing w:after="0" w:line="269" w:lineRule="auto"/>
              <w:jc w:val="center"/>
              <w:rPr>
                <w:rFonts w:hint="eastAsia"/>
                <w:color w:val="1E1E1E"/>
                <w:sz w:val="16"/>
                <w:lang w:val="en-US" w:eastAsia="zh-CN"/>
              </w:rPr>
            </w:pPr>
            <w:r>
              <w:rPr>
                <w:rFonts w:hint="eastAsia"/>
                <w:color w:val="1E1E1E"/>
                <w:sz w:val="16"/>
                <w:lang w:val="en-US" w:eastAsia="zh-CN"/>
              </w:rPr>
              <w:t>国家标准</w:t>
            </w:r>
          </w:p>
        </w:tc>
      </w:tr>
      <w:tr w14:paraId="07C6A3F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68C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20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F8A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234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29FF94A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92C1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6EE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DA2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19AC2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3382">
            <w:pPr>
              <w:spacing w:after="0" w:line="269" w:lineRule="auto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培训资料：《土壤属性图审核要点》</w:t>
            </w:r>
          </w:p>
        </w:tc>
        <w:tc>
          <w:tcPr>
            <w:tcW w:w="20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BEA1">
            <w:pPr>
              <w:spacing w:after="0" w:line="269" w:lineRule="auto"/>
              <w:jc w:val="center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14A8">
            <w:pPr>
              <w:spacing w:after="0" w:line="269" w:lineRule="auto"/>
              <w:jc w:val="center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599DA1CA">
      <w:pPr>
        <w:spacing w:after="40"/>
        <w:rPr>
          <w:rFonts w:hint="eastAsia" w:ascii="Calibri" w:hAnsi="Calibri" w:eastAsia="黑体"/>
          <w:b/>
          <w:color w:val="2E74B5"/>
          <w:sz w:val="32"/>
          <w:lang w:eastAsia="zh-CN"/>
        </w:rPr>
      </w:pPr>
    </w:p>
    <w:p w14:paraId="36B8858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</w:t>
      </w:r>
      <w:r>
        <w:rPr>
          <w:rFonts w:hint="eastAsia" w:ascii="Calibri" w:hAnsi="Calibri" w:eastAsia="黑体"/>
          <w:b/>
          <w:color w:val="2E74B5"/>
          <w:sz w:val="32"/>
          <w:lang w:val="en-US" w:eastAsia="zh-CN"/>
        </w:rPr>
        <w:t>组织形式</w:t>
      </w:r>
      <w:r>
        <w:rPr>
          <w:rFonts w:ascii="Calibri" w:hAnsi="Calibri" w:eastAsia="黑体"/>
          <w:b/>
          <w:color w:val="2E74B5"/>
          <w:sz w:val="32"/>
        </w:rPr>
        <w:t>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34B322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CC2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D95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58EB60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6FE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300" w:lineRule="auto"/>
              <w:textAlignment w:val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提交成果应按规定目录结构组织并保证数据完整：以“行政区划代码6位+县级行政区名称”命名成果目录。</w:t>
            </w:r>
          </w:p>
          <w:p w14:paraId="63F175FF">
            <w:pPr>
              <w:spacing w:after="0" w:line="259" w:lineRule="auto"/>
              <w:rPr>
                <w:rFonts w:ascii="Calibri" w:hAnsi="Calibri" w:eastAsia="宋体"/>
                <w:color w:val="5A5A5A"/>
                <w:sz w:val="15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来源：培训资料《土壤属性图审核要点》“目录结构”</w:t>
            </w:r>
            <w:r>
              <w:rPr>
                <w:rFonts w:hint="eastAsia"/>
                <w:color w:val="5A5A5A"/>
                <w:sz w:val="15"/>
                <w:lang w:eastAsia="zh-CN"/>
              </w:rPr>
              <w:t>、</w:t>
            </w:r>
            <w:r>
              <w:rPr>
                <w:rFonts w:ascii="Calibri" w:hAnsi="Calibri" w:eastAsia="宋体"/>
                <w:color w:val="5A5A5A"/>
                <w:sz w:val="15"/>
              </w:rPr>
              <w:t>“完整性”</w:t>
            </w:r>
            <w:r>
              <w:rPr>
                <w:rFonts w:hint="eastAsia"/>
                <w:color w:val="5A5A5A"/>
                <w:sz w:val="15"/>
                <w:lang w:eastAsia="zh-CN"/>
              </w:rPr>
              <w:t>、</w:t>
            </w:r>
            <w:r>
              <w:rPr>
                <w:rFonts w:ascii="Calibri" w:hAnsi="Calibri" w:eastAsia="宋体"/>
                <w:color w:val="5A5A5A"/>
                <w:sz w:val="15"/>
              </w:rPr>
              <w:t>“规范性”核查项。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0DB682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494BAC8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5EB60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80E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60" w:line="300" w:lineRule="auto"/>
              <w:textAlignment w:val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成果库（GDB）包含矢量要素（县级行政区、乡镇行政区、道路、水系、2023年国土变更调查数据、调查样点、土壤类型图等）、基础数据（环境变量、训练集及验证集、元数据）、成果数据（土壤属性专题数据集，含含量图、分级图等GeoTiff）、数字化图件成果（土壤属性图）和文字成果（土壤属性与制图专题报告）；提交成果的文件名称应与目录结构中的文件名称要求保持一致。</w:t>
            </w:r>
          </w:p>
          <w:p w14:paraId="047F4F49">
            <w:pPr>
              <w:spacing w:after="0" w:line="259" w:lineRule="auto"/>
              <w:rPr>
                <w:rFonts w:ascii="Calibri" w:hAnsi="Calibri" w:eastAsia="宋体"/>
                <w:color w:val="5A5A5A"/>
                <w:sz w:val="15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来源：培训资料《土壤属性图审核要点》“目录结构”</w:t>
            </w:r>
            <w:r>
              <w:rPr>
                <w:rFonts w:hint="eastAsia"/>
                <w:color w:val="5A5A5A"/>
                <w:sz w:val="15"/>
                <w:lang w:eastAsia="zh-CN"/>
              </w:rPr>
              <w:t>、</w:t>
            </w:r>
            <w:r>
              <w:rPr>
                <w:rFonts w:ascii="Calibri" w:hAnsi="Calibri" w:eastAsia="宋体"/>
                <w:color w:val="5A5A5A"/>
                <w:sz w:val="15"/>
              </w:rPr>
              <w:t>“完整性”</w:t>
            </w:r>
            <w:r>
              <w:rPr>
                <w:rFonts w:hint="eastAsia"/>
                <w:color w:val="5A5A5A"/>
                <w:sz w:val="15"/>
                <w:lang w:eastAsia="zh-CN"/>
              </w:rPr>
              <w:t>、</w:t>
            </w:r>
            <w:r>
              <w:rPr>
                <w:rFonts w:ascii="Calibri" w:hAnsi="Calibri" w:eastAsia="宋体"/>
                <w:color w:val="5A5A5A"/>
                <w:sz w:val="15"/>
              </w:rPr>
              <w:t>“规范性”核查项。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583C55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474820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2F53A3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4748364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5A75449">
            <w:pPr>
              <w:spacing w:after="0"/>
            </w:pPr>
          </w:p>
        </w:tc>
      </w:tr>
      <w:tr w14:paraId="667E68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B1A90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中</w:t>
            </w:r>
            <w:r>
              <w:rPr>
                <w:rFonts w:ascii="Calibri" w:hAnsi="Calibri" w:eastAsia="宋体"/>
                <w:color w:val="1E1E1E"/>
                <w:sz w:val="18"/>
              </w:rPr>
              <w:t>微量元素或特殊元素等当地适用属性的现状分析；缺少应分析属性时应逐项记录。</w:t>
            </w:r>
          </w:p>
          <w:p w14:paraId="1164D41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C964AC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474522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706281D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474714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7DA83AE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属性覆盖不足，见本类备注1。</w:t>
            </w:r>
          </w:p>
        </w:tc>
      </w:tr>
      <w:tr w14:paraId="5256037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CC132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调查</w:t>
            </w:r>
            <w:r>
              <w:rPr>
                <w:rFonts w:ascii="Calibri" w:hAnsi="Calibri" w:eastAsia="宋体"/>
                <w:color w:val="1E1E1E"/>
                <w:sz w:val="18"/>
              </w:rPr>
              <w:t>样点和环境变量等基础数据、训练与验证等过程数据、属性含量和分级等成果数据、数字化图件、元数据及文字报告。</w:t>
            </w:r>
          </w:p>
          <w:p w14:paraId="027C94C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F14CEE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F85DC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84B255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元数据缺项，见第七类备注1。</w:t>
            </w:r>
          </w:p>
        </w:tc>
      </w:tr>
      <w:tr w14:paraId="707CAD0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1AC7F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44AE6E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01906C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474643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6E1942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474805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737BD94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仅核县级组织。</w:t>
            </w:r>
          </w:p>
        </w:tc>
      </w:tr>
      <w:tr w14:paraId="6002C11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B85F10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数字化图件成果应齐全，图件未列出、未见土壤属性分布图（有机质、酸碱度、质地、全氮、全磷、全钾、有效磷、速效钾、阳离子交换量、耕层厚度、容重、有效铁等分布图）等应逐项记录。</w:t>
            </w:r>
          </w:p>
          <w:p w14:paraId="312F7E1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来源：培训资料《土壤属性图审核要点》“目录结构”“图件缺失”核查项。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4DB61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474829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B1CD3D4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474598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03516C4">
      <w:pPr>
        <w:spacing w:after="40"/>
      </w:pPr>
    </w:p>
    <w:p w14:paraId="0830571E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4447E4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2E9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B29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578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D4F174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3356A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2301C">
            <w:pPr>
              <w:spacing w:after="0"/>
            </w:pPr>
            <w:r>
              <w:drawing>
                <wp:inline distT="0" distB="0" distL="0" distR="0">
                  <wp:extent cx="3721100" cy="2474595"/>
                  <wp:effectExtent l="0" t="0" r="12700" b="9525"/>
                  <wp:docPr id="10001" name="质控证据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" name="质控证据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47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E761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表2.1机械组成三列均为空值标记，PDF第87页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C499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现状及分区分析缺项。第一章未分别分析砂、粉、黏粒；表2.1机械组成列均为“—”（报告PDF第87—89页）。pH、CEC、中微量元素乡镇比较及本县土类实证不足。</w:t>
            </w:r>
          </w:p>
          <w:p w14:paraId="01ABE312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建议补齐适用属性的数量、空间及分类分区分析；不认定颗粒组分图件缺失。</w:t>
            </w:r>
          </w:p>
        </w:tc>
      </w:tr>
      <w:tr w14:paraId="2599F9D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AF0FB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A63E5">
            <w:pPr>
              <w:spacing w:after="0"/>
              <w:rPr>
                <w:rFonts w:ascii="Calibri" w:hAnsi="Calibri" w:eastAsia="宋体"/>
                <w:sz w:val="18"/>
              </w:rPr>
            </w:pPr>
            <w:r>
              <w:drawing>
                <wp:inline distT="0" distB="0" distL="114300" distR="114300">
                  <wp:extent cx="1638935" cy="3307080"/>
                  <wp:effectExtent l="0" t="0" r="698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330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D49D2">
            <w:pPr>
              <w:spacing w:after="0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 w:ascii="Calibri" w:hAnsi="Calibri" w:eastAsia="宋体"/>
                <w:sz w:val="18"/>
                <w:lang w:val="en-US" w:eastAsia="zh-CN"/>
              </w:rPr>
              <w:t>图面表达（图件缺失）——土壤属性图件成果要求包括栅格图（Geotiff格式）和专题图（jpg格式）两种类型，但现提交的只有jpg格式。</w:t>
            </w:r>
          </w:p>
          <w:p w14:paraId="3D8916B5">
            <w:pPr>
              <w:spacing w:after="0"/>
              <w:rPr>
                <w:rFonts w:ascii="Calibri" w:hAnsi="Calibri" w:eastAsia="宋体"/>
                <w:sz w:val="18"/>
              </w:rPr>
            </w:pPr>
          </w:p>
        </w:tc>
      </w:tr>
    </w:tbl>
    <w:p w14:paraId="42CD3D4C">
      <w:pPr>
        <w:spacing w:after="40"/>
      </w:pPr>
    </w:p>
    <w:p w14:paraId="41E0BCFA">
      <w:pPr>
        <w:spacing w:after="40"/>
      </w:pPr>
    </w:p>
    <w:p w14:paraId="6F028C34">
      <w:pPr>
        <w:pStyle w:val="3"/>
        <w:keepNext/>
        <w:spacing w:before="360" w:after="200"/>
        <w:rPr>
          <w:rFonts w:hint="eastAsia" w:eastAsia="黑体"/>
          <w:lang w:eastAsia="zh-CN"/>
        </w:rPr>
      </w:pPr>
      <w:r>
        <w:rPr>
          <w:rFonts w:ascii="Calibri" w:hAnsi="Calibri" w:eastAsia="黑体"/>
          <w:b/>
          <w:color w:val="2E74B5"/>
          <w:sz w:val="32"/>
        </w:rPr>
        <w:t>问题类别二：属性现状分析与历史变化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5C17844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0CD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85B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6B20F2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E92BAC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14967AC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1C8D37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F42175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0F395BB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见第一类备注1及本类备注1、2。</w:t>
            </w:r>
          </w:p>
        </w:tc>
      </w:tr>
      <w:tr w14:paraId="6CE67CF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43668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671FB73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D2996A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4E992AB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2116FA5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统计口径及汇总不一，见备注1、2及第六类备注2。</w:t>
            </w:r>
          </w:p>
        </w:tc>
      </w:tr>
      <w:tr w14:paraId="4BE1D4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4C7B69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现状分析应深入、成因分析应合理；应开展土地利用类型、土壤类型分类分区差异对比（各乡镇间进行对比）；现状指标分析应完整，不得缺失物理指标、中微量元素等。</w:t>
            </w:r>
          </w:p>
          <w:p w14:paraId="6F8CEC5A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来源：培训资料《土壤属性图审核要点》“报告-现状分析”核查项。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2A8A7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3CB531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5E2F87B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分区属性覆盖不足，见第一类备注1。</w:t>
            </w:r>
          </w:p>
        </w:tc>
      </w:tr>
      <w:tr w14:paraId="08E7AB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47E8B3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现状土壤属性间应开展规范关联分析（如有机质和全氮的关联）；乡镇土壤属性分析应结合当地土壤问题，针对性提出土壤培肥改良措施，不得仅呈现数据。</w:t>
            </w:r>
          </w:p>
          <w:p w14:paraId="087BDF43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来源：培训资料《土壤属性图审核要点》“报告-现状分析”核查项。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BB29A8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765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27FCF88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4747620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D1BE29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碳氮比命名错误，见第九类备注2。</w:t>
            </w:r>
          </w:p>
        </w:tc>
      </w:tr>
      <w:tr w14:paraId="53F5CA1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C52791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现状数据应完整，不得缺失分级表、中微量元素数据等；图表应与现状数据匹配。</w:t>
            </w:r>
          </w:p>
          <w:p w14:paraId="2AF2D228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auto"/>
                <w:sz w:val="15"/>
              </w:rPr>
              <w:t>来源：培训资料《土壤属性图审核要点》“报告-现状分析”核查项。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48E57C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732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FBB8711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4746839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5BCEE32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分级占比错误，见本类备注1。</w:t>
            </w:r>
          </w:p>
        </w:tc>
      </w:tr>
      <w:tr w14:paraId="09784BE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C7DD72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样点统计结果与制图统计结果应一致，不得出现显著差异；数据不得存在明显错误或存疑，部分指标单位（如亩或万亩）应正确。</w:t>
            </w:r>
          </w:p>
          <w:p w14:paraId="20C5BC09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来源：培训资料《土壤属性图审核要点》“报告-现状分析”核查项。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2EA7B8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525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A0C9B9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474622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A7DA7DF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见本类备注1、2；不以点面均值不同直接判错。</w:t>
            </w:r>
          </w:p>
        </w:tc>
      </w:tr>
      <w:tr w14:paraId="505DFD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F6EEB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</w:t>
            </w:r>
            <w:r>
              <w:rPr>
                <w:rFonts w:hint="eastAsia"/>
                <w:color w:val="1E1E1E"/>
                <w:sz w:val="18"/>
                <w:lang w:eastAsia="zh-CN"/>
              </w:rPr>
              <w:t>（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采集时间应为2008-2010年）</w:t>
            </w:r>
            <w:r>
              <w:rPr>
                <w:rFonts w:hint="eastAsia"/>
                <w:color w:val="1E1E1E"/>
                <w:sz w:val="18"/>
                <w:lang w:eastAsia="zh-CN"/>
              </w:rPr>
              <w:t>、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耕地地力监测样点数据等</w:t>
            </w:r>
            <w:r>
              <w:rPr>
                <w:rFonts w:ascii="Calibri" w:hAnsi="Calibri" w:eastAsia="宋体"/>
                <w:color w:val="1E1E1E"/>
                <w:sz w:val="18"/>
              </w:rPr>
              <w:t>可靠历史数据。</w:t>
            </w:r>
          </w:p>
          <w:p w14:paraId="30ACE49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15CBDB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5C58FDC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FC7EFB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基期替代未说明，见备注3。</w:t>
            </w:r>
          </w:p>
        </w:tc>
      </w:tr>
      <w:tr w14:paraId="6638E58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02729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历史变化应说明变化方向、幅度、空间差异及可能原因；缺少有效对比或存在数据、结果和结论严重错误时，按评分表对应项目记录。</w:t>
            </w:r>
          </w:p>
          <w:p w14:paraId="1302DC9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E6BB4E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604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88AF3D0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474619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27317B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历史量化依据不足，见备注4。</w:t>
            </w:r>
          </w:p>
        </w:tc>
      </w:tr>
      <w:tr w14:paraId="733E5B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506837">
            <w:pPr>
              <w:spacing w:after="60" w:line="276" w:lineRule="auto"/>
              <w:rPr>
                <w:rFonts w:hint="eastAsia"/>
                <w:color w:val="auto"/>
                <w:sz w:val="18"/>
                <w:lang w:eastAsia="zh-CN"/>
              </w:rPr>
            </w:pPr>
            <w:r>
              <w:rPr>
                <w:rFonts w:hint="eastAsia" w:ascii="Calibri" w:hAnsi="Calibri" w:eastAsia="宋体"/>
                <w:color w:val="auto"/>
                <w:sz w:val="18"/>
              </w:rPr>
              <w:t>土壤pH、有机质、全氮、有效磷、速效钾历史样点和栅格数据是否完整</w:t>
            </w:r>
            <w:r>
              <w:rPr>
                <w:rFonts w:hint="eastAsia" w:ascii="Calibri" w:hAnsi="Calibri" w:eastAsia="宋体"/>
                <w:color w:val="1E1E1E"/>
                <w:sz w:val="18"/>
              </w:rPr>
              <w:t>准确</w:t>
            </w:r>
            <w:r>
              <w:rPr>
                <w:rFonts w:hint="eastAsia"/>
                <w:color w:val="auto"/>
                <w:sz w:val="18"/>
                <w:lang w:eastAsia="zh-CN"/>
              </w:rPr>
              <w:t>。</w:t>
            </w:r>
          </w:p>
          <w:p w14:paraId="26AC7DAD">
            <w:pPr>
              <w:spacing w:after="0" w:line="259" w:lineRule="auto"/>
              <w:rPr>
                <w:rFonts w:hint="eastAsia"/>
                <w:color w:val="auto"/>
                <w:sz w:val="18"/>
                <w:lang w:eastAsia="zh-CN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来源：培训资料《土壤属性图审核要点》“报告-历史变化及成因”核查项。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6C1E3A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801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D3BE691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474726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2641154">
            <w:pPr>
              <w:spacing w:after="0"/>
            </w:pPr>
          </w:p>
        </w:tc>
      </w:tr>
      <w:tr w14:paraId="52A64D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83D450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历史变化分析不得缺</w:t>
            </w:r>
            <w:r>
              <w:rPr>
                <w:rFonts w:hint="eastAsia"/>
                <w:color w:val="auto"/>
                <w:sz w:val="18"/>
                <w:lang w:val="en-US" w:eastAsia="zh-CN"/>
              </w:rPr>
              <w:t>失</w:t>
            </w:r>
            <w:r>
              <w:rPr>
                <w:rFonts w:ascii="Calibri" w:hAnsi="Calibri" w:eastAsia="宋体"/>
                <w:color w:val="auto"/>
                <w:sz w:val="18"/>
              </w:rPr>
              <w:t>，土壤属性指标分析不得缺失或不完整。</w:t>
            </w:r>
          </w:p>
          <w:p w14:paraId="1C7C5931">
            <w:pPr>
              <w:spacing w:after="0" w:line="259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来源：培训资料《土壤属性图审核要点》“报告-历史变化及成因”核查项。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B07A44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834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AE8543B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474757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51265EE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部分历史比较不足，见备注4。</w:t>
            </w:r>
          </w:p>
        </w:tc>
      </w:tr>
      <w:tr w14:paraId="414FCC2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2758E9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历史变化应进行图表统计对比，不得仅文字分析；成因分析应充分结合成土环境、土壤利用和农田管理，历史变化成因分析应充分合理。</w:t>
            </w:r>
          </w:p>
          <w:p w14:paraId="5062C452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来源：培训资料《土壤属性图审核要点》“报告-历史变化及成因”核查项。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47E60C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723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4AA28C5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474673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3512321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部分历史结论缺少图表依据，见备注4。</w:t>
            </w:r>
          </w:p>
        </w:tc>
      </w:tr>
      <w:tr w14:paraId="72076E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79AE45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历史变化应开展分类分区差异对比；变化幅度、趋势方向等表述应准确，结论应进行定量分析，不得仅描述现象。</w:t>
            </w:r>
          </w:p>
          <w:p w14:paraId="2DF43CE2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来源：培训资料《土壤属性图审核要点》“报告-历史变化及成因”核查项。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A78AA6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671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CCF80A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4748352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42577D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历史定量论证不足，见备注3、4。</w:t>
            </w:r>
          </w:p>
        </w:tc>
      </w:tr>
      <w:tr w14:paraId="745DEFE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DDD5AC">
            <w:pPr>
              <w:spacing w:after="60" w:line="276" w:lineRule="auto"/>
              <w:rPr>
                <w:color w:val="auto"/>
              </w:rPr>
            </w:pPr>
            <w:r>
              <w:rPr>
                <w:rFonts w:ascii="Calibri" w:hAnsi="Calibri" w:eastAsia="宋体"/>
                <w:color w:val="auto"/>
                <w:sz w:val="18"/>
              </w:rPr>
              <w:t>历史变化部分不得无内容或无相关内容，制表和单位应符合规范。</w:t>
            </w:r>
          </w:p>
          <w:p w14:paraId="31F36356">
            <w:pPr>
              <w:spacing w:after="0" w:line="259" w:lineRule="auto"/>
              <w:rPr>
                <w:rFonts w:ascii="Calibri" w:hAnsi="Calibri" w:eastAsia="宋体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来源：培训资料《土壤属性图审核要点》“报告-历史变化及成因”核查项。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4487C6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474594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B6BB3CB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09_存在问题"/>
                <w:tag w:val="AT-09_存在问题"/>
                <w:id w:val="1474514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EC6253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F20E57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F18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EC2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78C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26C24C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1EDC">
            <w:pPr>
              <w:keepNext/>
              <w:spacing w:after="0"/>
              <w:jc w:val="center"/>
              <w:rPr>
                <w:rFonts w:hint="eastAsia" w:ascii="Calibri" w:hAnsi="Calibri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18"/>
                <w:lang w:val="en-US" w:eastAsia="zh-CN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FCB61">
            <w:pPr>
              <w:spacing w:after="0"/>
            </w:pPr>
            <w:r>
              <w:drawing>
                <wp:inline distT="0" distB="0" distL="0" distR="0">
                  <wp:extent cx="3721100" cy="1943100"/>
                  <wp:effectExtent l="0" t="0" r="12700" b="7620"/>
                  <wp:docPr id="10002" name="质控证据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" name="质控证据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94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BAC50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表1.7同时出现&gt;9.0样点与8.34—8.86总体范围，PDF第17页</w:t>
            </w:r>
          </w:p>
          <w:p w14:paraId="33F4F1EA">
            <w:pPr>
              <w:spacing w:after="0"/>
            </w:pPr>
            <w:r>
              <w:drawing>
                <wp:inline distT="0" distB="0" distL="0" distR="0">
                  <wp:extent cx="3721100" cy="2451735"/>
                  <wp:effectExtent l="0" t="0" r="12700" b="1905"/>
                  <wp:docPr id="10003" name="质控证据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" name="质控证据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45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53BC2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表1.8样点数及占比原表，PDF第20页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E3B1F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①实测/制图口径混用：pH称实测8.34—8.86，表1.9/3.1样点8.04—9.18；容重、有机质同类（PDF第9—40、105页）。②样点占比不能复算：CEC V级8/435应1.84%，原表1.71%；全钾6/435应1.38%，原表1.47%（PDF第20、34页等，共28格）。</w:t>
            </w:r>
          </w:p>
          <w:p w14:paraId="616ACC1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建议区分点面统计，并按最终清单重算数量、占比和正文。</w:t>
            </w:r>
          </w:p>
        </w:tc>
      </w:tr>
      <w:tr w14:paraId="3D45042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D923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79CA">
            <w:pPr>
              <w:spacing w:after="0"/>
            </w:pPr>
            <w:r>
              <w:drawing>
                <wp:inline distT="0" distB="0" distL="0" distR="0">
                  <wp:extent cx="3721100" cy="1697355"/>
                  <wp:effectExtent l="0" t="0" r="12700" b="9525"/>
                  <wp:docPr id="10004" name="质控证据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" name="质控证据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697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5B91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表1.21园地各二级类型与合计，PDF第43页</w:t>
            </w:r>
          </w:p>
          <w:p w14:paraId="320CD995">
            <w:pPr>
              <w:spacing w:after="0"/>
            </w:pPr>
            <w:r>
              <w:drawing>
                <wp:inline distT="0" distB="0" distL="0" distR="0">
                  <wp:extent cx="3721100" cy="1263015"/>
                  <wp:effectExtent l="0" t="0" r="12700" b="1905"/>
                  <wp:docPr id="10005" name="质控证据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" name="质控证据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26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FF55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表1.49原始面积及合计，PDF第75页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3692B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①园地合计不相容：有机质果园268020亩、10.43，其他园地69亩、13.40，合计11.91；按表内面积加权约10.43（表1.21，PDF第43页），多属性同类。②正文交换性钾8.5%/8.3%应为85.58%/83.32%；有效磷林地4.21与表内24.31不符（PDF第47—48、74—75页）。</w:t>
            </w:r>
          </w:p>
          <w:p w14:paraId="38AD5DE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建议统一权重和范围重算，逐句校正引用。</w:t>
            </w:r>
          </w:p>
        </w:tc>
      </w:tr>
      <w:tr w14:paraId="369D5F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A589F">
            <w:pPr>
              <w:keepNext/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386B5">
            <w:pPr>
              <w:spacing w:after="0"/>
            </w:pPr>
            <w:r>
              <w:drawing>
                <wp:inline distT="0" distB="0" distL="0" distR="0">
                  <wp:extent cx="3721100" cy="1034415"/>
                  <wp:effectExtent l="0" t="0" r="12700" b="1905"/>
                  <wp:docPr id="10006" name="质控证据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" name="质控证据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03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3BE0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表1.13历史基期标为2013年，PDF第26页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938EF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历史测土资料取期不符。报告历史对比及已交5种样点使用2013年；原质控表指定2008—2010年，未说明替代依据（表1.13—1.14、1.31—1.38，PDF第26—27、52—59页）。</w:t>
            </w:r>
          </w:p>
          <w:p w14:paraId="7A5EC50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建议核明正式基期；替代使用须说明适用依据及可比性，不据此认定2013年数据虚假。</w:t>
            </w:r>
          </w:p>
        </w:tc>
      </w:tr>
      <w:tr w14:paraId="71ADB1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909F6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FE446">
            <w:pPr>
              <w:spacing w:after="0"/>
            </w:pPr>
            <w:r>
              <w:drawing>
                <wp:inline distT="0" distB="0" distL="0" distR="0">
                  <wp:extent cx="3721100" cy="2348865"/>
                  <wp:effectExtent l="0" t="0" r="12700" b="13335"/>
                  <wp:docPr id="10007" name="质控证据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" name="质控证据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34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7917B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小结对容重和CEC历史稳定性的结论，PDF第133页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646B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部分二普结论缺少定量支撑。小结称容重较历史无显著变化、CEC与二普无明显波动，未列相应历史值、样本或比较表；耕层厚度对比口径亦未建立（PDF第133页）。</w:t>
            </w:r>
          </w:p>
          <w:p w14:paraId="16884DA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建议补充可追溯来源及同口径对比，无法补足时收窄结论。</w:t>
            </w:r>
          </w:p>
        </w:tc>
      </w:tr>
    </w:tbl>
    <w:p w14:paraId="4B4E108C">
      <w:pPr>
        <w:spacing w:after="40"/>
      </w:pPr>
    </w:p>
    <w:p w14:paraId="6BEEC1CF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116954C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F35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F64C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CBB9D2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A93A64">
            <w:pPr>
              <w:spacing w:after="6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lang w:val="en-US" w:eastAsia="zh-CN"/>
              </w:rPr>
              <w:t>调查</w:t>
            </w:r>
            <w:r>
              <w:rPr>
                <w:rFonts w:ascii="Calibri" w:hAnsi="Calibri" w:eastAsia="宋体"/>
                <w:color w:val="auto"/>
                <w:sz w:val="18"/>
              </w:rPr>
              <w:t>样点</w:t>
            </w:r>
            <w:r>
              <w:rPr>
                <w:rFonts w:hint="eastAsia"/>
                <w:color w:val="auto"/>
                <w:sz w:val="18"/>
                <w:lang w:val="en-US" w:eastAsia="zh-CN"/>
              </w:rPr>
              <w:t>数据</w:t>
            </w:r>
            <w:r>
              <w:rPr>
                <w:rFonts w:ascii="Calibri" w:hAnsi="Calibri" w:eastAsia="宋体"/>
                <w:color w:val="auto"/>
                <w:sz w:val="18"/>
              </w:rPr>
              <w:t>应提交shp矢量数据，样点经纬度应为定位经纬度、采用CGCS2000坐标系；</w:t>
            </w: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14E38E0A">
            <w:pPr>
              <w:spacing w:after="0" w:line="259" w:lineRule="auto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E99434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767B6BE">
            <w:pPr>
              <w:spacing w:after="0"/>
              <w:jc w:val="left"/>
              <w:rPr>
                <w:rFonts w:ascii="Calibri" w:hAnsi="Calibri" w:eastAsia="宋体" w:cstheme="minorBidi"/>
                <w:sz w:val="22"/>
                <w:szCs w:val="22"/>
                <w:lang w:val="en-US" w:eastAsia="en-US" w:bidi="ar-SA"/>
              </w:rPr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23406FE9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字段与版本问题，见本类备注1、2。</w:t>
            </w:r>
          </w:p>
        </w:tc>
      </w:tr>
      <w:tr w14:paraId="15C690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B844EB">
            <w:pPr>
              <w:spacing w:after="60" w:line="276" w:lineRule="auto"/>
              <w:rPr>
                <w:rFonts w:hint="eastAsia" w:ascii="Calibri" w:hAnsi="Calibri" w:eastAsia="宋体"/>
                <w:color w:val="1E1E1E"/>
                <w:sz w:val="18"/>
                <w:lang w:val="en-US" w:eastAsia="zh-CN"/>
              </w:rPr>
            </w:pPr>
            <w:r>
              <w:rPr>
                <w:rFonts w:hint="eastAsia" w:ascii="Calibri" w:hAnsi="Calibri" w:eastAsia="宋体"/>
                <w:color w:val="1E1E1E"/>
                <w:sz w:val="18"/>
                <w:lang w:val="en-US" w:eastAsia="zh-CN"/>
              </w:rPr>
              <w:t>对调查样点中属性数据进行正态</w:t>
            </w:r>
            <w:r>
              <w:rPr>
                <w:rFonts w:hint="eastAsia" w:ascii="Calibri" w:hAnsi="Calibri" w:eastAsia="宋体"/>
                <w:color w:val="auto"/>
                <w:sz w:val="18"/>
                <w:lang w:val="en-US" w:eastAsia="zh-CN"/>
              </w:rPr>
              <w:t>分布</w:t>
            </w:r>
            <w:r>
              <w:rPr>
                <w:rFonts w:hint="eastAsia" w:ascii="Calibri" w:hAnsi="Calibri" w:eastAsia="宋体"/>
                <w:color w:val="1E1E1E"/>
                <w:sz w:val="18"/>
                <w:lang w:val="en-US" w:eastAsia="zh-CN"/>
              </w:rPr>
              <w:t>检验。</w:t>
            </w:r>
          </w:p>
          <w:p w14:paraId="4E9B4B21">
            <w:pPr>
              <w:spacing w:after="0" w:line="259" w:lineRule="auto"/>
              <w:rPr>
                <w:rFonts w:hint="default" w:ascii="Calibri" w:hAnsi="Calibri" w:eastAsia="宋体"/>
                <w:color w:val="1E1E1E"/>
                <w:sz w:val="18"/>
                <w:lang w:val="en-US" w:eastAsia="zh-CN"/>
              </w:rPr>
            </w:pPr>
            <w:r>
              <w:rPr>
                <w:rFonts w:hint="eastAsia"/>
                <w:color w:val="5A5A5A"/>
                <w:sz w:val="15"/>
                <w:lang w:val="en-US" w:eastAsia="zh-CN"/>
              </w:rPr>
              <w:t>来源：</w:t>
            </w:r>
            <w:r>
              <w:rPr>
                <w:rFonts w:ascii="Calibri" w:hAnsi="Calibri" w:eastAsia="宋体"/>
                <w:color w:val="5A5A5A"/>
                <w:sz w:val="15"/>
              </w:rPr>
              <w:t>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F64EB3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474526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28C4F11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474730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42C156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B0EE36">
            <w:pPr>
              <w:spacing w:after="60" w:line="276" w:lineRule="auto"/>
            </w:pPr>
            <w:r>
              <w:rPr>
                <w:rFonts w:hint="eastAsia"/>
                <w:color w:val="1E1E1E"/>
                <w:sz w:val="18"/>
                <w:lang w:val="en-US" w:eastAsia="zh-CN"/>
              </w:rPr>
              <w:t>调查样点中土壤属性数据的</w:t>
            </w: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16882FB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3A5B37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8FF1331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A283AEB">
            <w:pPr>
              <w:spacing w:after="0"/>
            </w:pPr>
          </w:p>
        </w:tc>
      </w:tr>
      <w:tr w14:paraId="2CEF5CB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79CD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6A13DC0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92686F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C81765D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EBEDED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已交21对划分互斥。</w:t>
            </w:r>
          </w:p>
        </w:tc>
      </w:tr>
      <w:tr w14:paraId="5570806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18E391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F6506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DADA33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460D0A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F5EEFC0">
            <w:pPr>
              <w:spacing w:after="0"/>
            </w:pPr>
          </w:p>
        </w:tc>
      </w:tr>
      <w:tr w14:paraId="4306118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0081C2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入模样点应针对每个土壤属性指标划分训练集与验证集。</w:t>
            </w:r>
          </w:p>
          <w:p w14:paraId="33A2A1A2">
            <w:pPr>
              <w:spacing w:after="0" w:line="259" w:lineRule="auto"/>
              <w:rPr>
                <w:b w:val="0"/>
                <w:bCs/>
                <w:color w:val="auto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来源：培训资料《土壤属性图审核要点》“三普样点”核查项。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2F4145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474571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3C59349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474577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4DC1C8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pH字段及版本不统一，见备注1、2；其余清单待核。</w:t>
            </w:r>
          </w:p>
        </w:tc>
      </w:tr>
      <w:tr w14:paraId="4D64A3D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756572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耕层厚度制图应只对耕地范围内的样点按耕地范围出图；耕地样点中耕层厚度为0的点应过滤。</w:t>
            </w:r>
          </w:p>
          <w:p w14:paraId="46987092">
            <w:pPr>
              <w:spacing w:after="0" w:line="259" w:lineRule="auto"/>
              <w:rPr>
                <w:b w:val="0"/>
                <w:bCs/>
                <w:color w:val="auto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来源：培训资料《土壤属性图审核要点》问题清单“耕层厚度的制图要求”。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2BFC70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474799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D2F3429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474820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782C691F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耕层范围冲突，见第六类备注1；过滤过程待核。</w:t>
            </w:r>
          </w:p>
        </w:tc>
      </w:tr>
    </w:tbl>
    <w:p w14:paraId="10A6844A">
      <w:pPr>
        <w:spacing w:after="40"/>
      </w:pPr>
    </w:p>
    <w:p w14:paraId="7741F1D7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440"/>
        <w:gridCol w:w="3200"/>
      </w:tblGrid>
      <w:tr w14:paraId="1E708C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2B2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5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DFF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EEF4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7642C1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4CA4B">
            <w:pPr>
              <w:keepNext/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D1743">
            <w:pPr>
              <w:spacing w:after="0"/>
            </w:pPr>
            <w:r>
              <w:drawing>
                <wp:inline distT="0" distB="0" distL="0" distR="0">
                  <wp:extent cx="3289300" cy="1104900"/>
                  <wp:effectExtent l="0" t="0" r="2540" b="7620"/>
                  <wp:docPr id="10008" name="质控证据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" name="质控证据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1105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3E32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交付数据核对记录（据原文件提取，非原报告截图）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F806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pH入模字段与原测值不一致。按DCYD_YDBH关联435条，入模ph全部不同于原测TRHXXZ_PH；其中可关联训练验证的433条均等于raster_val。</w:t>
            </w:r>
          </w:p>
          <w:p w14:paraId="38BEB7DB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定位：基础数据/样点/总样点/pH.dbf、入模样点/pH.dbf、训练及验证pH文件。</w:t>
            </w:r>
          </w:p>
          <w:p w14:paraId="11D1ADBF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建议明确保留原测与栅格字段并核明实际建模版本。未据此认定实际用预测值建模或数据泄漏。</w:t>
            </w:r>
          </w:p>
        </w:tc>
      </w:tr>
      <w:tr w14:paraId="43861E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B6DDE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5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22B83">
            <w:pPr>
              <w:spacing w:after="0"/>
            </w:pPr>
            <w:r>
              <w:drawing>
                <wp:inline distT="0" distB="0" distL="0" distR="0">
                  <wp:extent cx="3289300" cy="1473200"/>
                  <wp:effectExtent l="0" t="0" r="2540" b="5080"/>
                  <wp:docPr id="10009" name="质控证据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" name="质控证据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147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96CC7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表3.1的有效样本数及范围，PDF第105页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3736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样点版本不能对齐。表3.1有效磷435条、均值26.00、最大127；入模AP为435条、均值31.14566、最大167；训练/验证共408条。速效钾435对398条，有效硫426对394条；全钾最小值亦不一致（PDF第105—106页及各属性DBF）。</w:t>
            </w:r>
          </w:p>
          <w:p w14:paraId="714258D9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建议统一最终版本、筛选数量和统计。数量差不直接认定为提高精度大量剔点。</w:t>
            </w:r>
          </w:p>
        </w:tc>
      </w:tr>
    </w:tbl>
    <w:p w14:paraId="1549D681">
      <w:pPr>
        <w:spacing w:after="40"/>
      </w:pPr>
    </w:p>
    <w:p w14:paraId="03501B13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56D991E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65B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BD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6048C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C3A53D">
            <w:pPr>
              <w:spacing w:after="6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</w:t>
            </w:r>
            <w:r>
              <w:rPr>
                <w:rFonts w:ascii="Calibri" w:hAnsi="Calibri" w:eastAsia="宋体"/>
                <w:color w:val="auto"/>
                <w:sz w:val="18"/>
              </w:rPr>
              <w:t>土因素。如无母岩母质图，可用二普或三普土壤类型图代替。</w:t>
            </w:r>
            <w:r>
              <w:rPr>
                <w:rFonts w:hint="eastAsia"/>
                <w:color w:val="auto"/>
                <w:sz w:val="18"/>
                <w:lang w:val="en-US" w:eastAsia="zh-CN"/>
              </w:rPr>
              <w:t>环境变量的筛选方法和过程需说明。</w:t>
            </w:r>
          </w:p>
          <w:p w14:paraId="512F00F3">
            <w:pPr>
              <w:spacing w:after="0" w:line="25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  <w:r>
              <w:rPr>
                <w:rFonts w:hint="eastAsia"/>
                <w:color w:val="5A5A5A"/>
                <w:sz w:val="15"/>
                <w:lang w:eastAsia="zh-CN"/>
              </w:rPr>
              <w:t>《</w:t>
            </w:r>
            <w:r>
              <w:rPr>
                <w:rFonts w:hint="eastAsia"/>
                <w:color w:val="5A5A5A"/>
                <w:sz w:val="15"/>
                <w:lang w:val="en-US" w:eastAsia="zh-CN"/>
              </w:rPr>
              <w:t>土壤属性图审核要点》“制图模型确定不合理”核查项。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840543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A59738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D90DF68">
            <w:pPr>
              <w:spacing w:after="0"/>
            </w:pPr>
          </w:p>
        </w:tc>
      </w:tr>
      <w:tr w14:paraId="12B7F72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7AE8A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72966FB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02329A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3AC9028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268C169">
            <w:pPr>
              <w:spacing w:after="0"/>
            </w:pPr>
          </w:p>
        </w:tc>
      </w:tr>
      <w:tr w14:paraId="12441E9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11A52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30*30</w:t>
            </w:r>
            <w:r>
              <w:rPr>
                <w:rFonts w:ascii="Calibri" w:hAnsi="Calibri" w:eastAsia="宋体"/>
                <w:color w:val="1E1E1E"/>
                <w:sz w:val="18"/>
              </w:rPr>
              <w:t>、范围、行列数和像元对齐应一致；类别变量应按模型要求处理，不能把类别代码直接当作连续量解释。</w:t>
            </w:r>
          </w:p>
          <w:p w14:paraId="698830F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B1D6F4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FBC886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463D71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16项分5组网格，见备注1。</w:t>
            </w:r>
          </w:p>
        </w:tc>
      </w:tr>
      <w:tr w14:paraId="6947B2D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EC772A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41B9C9B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6F53F4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BBAA5F7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8BE1F15">
            <w:pPr>
              <w:spacing w:after="0"/>
            </w:pPr>
          </w:p>
        </w:tc>
      </w:tr>
      <w:tr w14:paraId="38C2E1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C5A6D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4609CD9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84261A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D8D5B7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2ED6F997">
            <w:pPr>
              <w:spacing w:after="0"/>
            </w:pPr>
          </w:p>
        </w:tc>
      </w:tr>
      <w:tr w14:paraId="28801D2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C1F3F1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环境变量坐标系应统一，统一使用三度带且所有环境变量在同一分带下；像元大小统一为30 m×30 m，水文、气象等因子不得使用1000 m×1000 m像元；环境变量按行政区划切分应保证覆盖行政区划全域；环境变量制备的年限应在报告中说明。</w:t>
            </w:r>
          </w:p>
          <w:p w14:paraId="6167CE62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来源：培训资料《土壤属性图审核要点》“环境变量”核查项。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6F573A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474528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086774D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4746725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3353FD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网格及取期不一，见备注1、2。</w:t>
            </w:r>
          </w:p>
        </w:tc>
      </w:tr>
      <w:tr w14:paraId="5216C5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EC89D1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气候变量一般应采用20年以上均值，植被变量一般应采用5～10年均值；土地利用现状图、土壤类型图、母岩母质图等类别型变量应进行数值化处理；环境变量图层数据的空间分布应准确合理，不得存在明显的条带状或斑点噪声。</w:t>
            </w:r>
          </w:p>
          <w:p w14:paraId="120B960F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来源：培训资料《土壤属性图审核要点》“环境变量制备未按规范要求”核查项。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045BB4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474626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EACCF13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474618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E33EA1F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气候取期短于一般要求，见备注2。</w:t>
            </w:r>
          </w:p>
        </w:tc>
      </w:tr>
      <w:tr w14:paraId="09675ED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3EB20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环境变量图层应按照国土三调县级行政边界（2023年度）进行裁剪处理；土地利用环境变量图层应使用2023年度国土变更调查数据；各环境变量图层在空间上应严格匹配（栅格四至一一对应、像素空间完全吻合）。</w:t>
            </w:r>
          </w:p>
          <w:p w14:paraId="2AA8B0BB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来源：培训资料《土壤属性图审核要点》“环境变量”核查项。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9546A2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474830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6FDC619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474540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2B1919E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未严格对齐，见备注1；2023年版本待核。</w:t>
            </w:r>
          </w:p>
        </w:tc>
      </w:tr>
      <w:tr w14:paraId="7E57600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AA522D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入模环境变量不得使用土壤属性作为环境变量；速磷、速钾等速效养分制图的环境变量重要性排序中，人为因素应排在前面。</w:t>
            </w:r>
          </w:p>
          <w:p w14:paraId="4C57B2C4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来源：培训资料《土壤属性图审核要点》“入模环境变量的选取不合理”核查项。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827C45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474755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8390577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474764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7F94AB8B">
            <w:pPr>
              <w:spacing w:after="0"/>
            </w:pPr>
          </w:p>
        </w:tc>
      </w:tr>
    </w:tbl>
    <w:p w14:paraId="246B84E4">
      <w:pPr>
        <w:spacing w:after="40"/>
      </w:pPr>
    </w:p>
    <w:p w14:paraId="73BFE18B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5859C7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F67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91B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03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DAA7C8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1EE4A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DD2F2">
            <w:pPr>
              <w:spacing w:after="0"/>
            </w:pPr>
            <w:r>
              <w:drawing>
                <wp:inline distT="0" distB="0" distL="0" distR="0">
                  <wp:extent cx="3721100" cy="2419985"/>
                  <wp:effectExtent l="0" t="0" r="12700" b="3175"/>
                  <wp:docPr id="10010" name="质控证据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" name="质控证据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42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85119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交付数据核对记录（据原文件提取，非原报告截图）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B6662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16个环境变量分5组网格。虽均为30 m及CGCS2000三度带38带，但原点和列数不一；NDVI对DEM偏移约3.98172 m、18.76971 m，非整像元偏移。</w:t>
            </w:r>
          </w:p>
          <w:p w14:paraId="66F8AF7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定位：基础数据/环境变量/全部16个GeoTIFF。</w:t>
            </w:r>
          </w:p>
          <w:p w14:paraId="36DA6E4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建议统一参考网格、范围及Snap Raster；核明是否另有实际建模对齐版。不由交付错位直接推断建模计算用错。</w:t>
            </w:r>
          </w:p>
        </w:tc>
      </w:tr>
      <w:tr w14:paraId="3B8F9C3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89A0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155C4">
            <w:pPr>
              <w:spacing w:after="0"/>
            </w:pPr>
            <w:r>
              <w:drawing>
                <wp:inline distT="0" distB="0" distL="0" distR="0">
                  <wp:extent cx="3721100" cy="2777490"/>
                  <wp:effectExtent l="0" t="0" r="12700" b="11430"/>
                  <wp:docPr id="10011" name="质控证据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" name="质控证据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77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219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表3.2对气候资料取期及处理的说明，PDF第118页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585AA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气候变量取期说明不一致。技术路线写2015—2023年，表3.2写近5—10年，均短于质控表一般20年以上均值要求，未说明替代依据（PDF第100、118页）。</w:t>
            </w:r>
          </w:p>
          <w:p w14:paraId="565A52C7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建议统一起止年份和源资料，采用长期均值或提供认可的例外依据。实际栅格年份仍须核查。</w:t>
            </w:r>
          </w:p>
        </w:tc>
      </w:tr>
    </w:tbl>
    <w:p w14:paraId="13744FEB">
      <w:pPr>
        <w:spacing w:after="40"/>
      </w:pPr>
    </w:p>
    <w:p w14:paraId="78719A97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44EA2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5EC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BFE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056FBF2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9FE65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363F5B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D2EF63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D75938A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5CAD08B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最终参数与局部方法衔接不足，见备注1。</w:t>
            </w:r>
          </w:p>
        </w:tc>
      </w:tr>
      <w:tr w14:paraId="18FC909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0535AC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685FAA5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E2AD21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15B59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E11C22A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不适用：本次为平原县，未见该否决事实。</w:t>
            </w:r>
            <w:bookmarkStart w:id="0" w:name="_GoBack"/>
            <w:bookmarkEnd w:id="0"/>
          </w:p>
        </w:tc>
      </w:tr>
      <w:tr w14:paraId="240787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62CC2A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114EF7C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316E22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DCC4F2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2E85950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按70%/30%独立划分。</w:t>
            </w:r>
          </w:p>
        </w:tc>
      </w:tr>
      <w:tr w14:paraId="27EA355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D40BD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071C7F7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397429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E0093C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28AD086">
            <w:pPr>
              <w:spacing w:after="0"/>
            </w:pPr>
          </w:p>
        </w:tc>
      </w:tr>
      <w:tr w14:paraId="6351A4C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8349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界</w:t>
            </w:r>
            <w:r>
              <w:rPr>
                <w:rFonts w:ascii="Calibri" w:hAnsi="Calibri" w:eastAsia="宋体"/>
                <w:color w:val="1E1E1E"/>
                <w:sz w:val="18"/>
              </w:rPr>
              <w:t>接边、室内验证和必要的野外验证，形成问题反馈和修正记录。</w:t>
            </w:r>
          </w:p>
          <w:p w14:paraId="44854EA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8E1323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139A710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319BDB13">
            <w:pPr>
              <w:spacing w:after="0"/>
            </w:pPr>
          </w:p>
        </w:tc>
      </w:tr>
      <w:tr w14:paraId="0907E37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C16AC0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制图结果验证评价应充分，精度评价指标（R²、RMSE）过高或过低均应复核；土壤属性图应进行空间分布检验（分析），不得以单一精度指标替代空间分布验证。</w:t>
            </w:r>
          </w:p>
          <w:p w14:paraId="18511CF7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来源：培训资料《土壤属性图审核要点》“制图结果验证评价不充分”核查项。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0235D3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4745774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65E658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474635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B3DA6B7">
            <w:pPr>
              <w:spacing w:after="0"/>
            </w:pPr>
          </w:p>
        </w:tc>
      </w:tr>
      <w:tr w14:paraId="3329F4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CD0905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hint="eastAsia" w:ascii="Calibri" w:hAnsi="Calibri" w:eastAsia="宋体"/>
                <w:color w:val="1E1E1E"/>
                <w:sz w:val="18"/>
              </w:rPr>
              <w:t>耕层厚度采用以点带面、机器学习方法进行制图</w:t>
            </w:r>
            <w:r>
              <w:rPr>
                <w:rFonts w:hint="eastAsia"/>
                <w:color w:val="1E1E1E"/>
                <w:sz w:val="18"/>
                <w:lang w:eastAsia="zh-CN"/>
              </w:rPr>
              <w:t>；</w:t>
            </w:r>
            <w:r>
              <w:rPr>
                <w:rFonts w:ascii="Calibri" w:hAnsi="Calibri" w:eastAsia="宋体"/>
                <w:color w:val="1E1E1E"/>
                <w:sz w:val="18"/>
              </w:rPr>
              <w:t>耕层厚度制图采用以点带面赋值时</w:t>
            </w:r>
            <w:r>
              <w:rPr>
                <w:rFonts w:hint="eastAsia"/>
                <w:color w:val="1E1E1E"/>
                <w:sz w:val="18"/>
                <w:lang w:eastAsia="zh-CN"/>
              </w:rPr>
              <w:t>，</w:t>
            </w:r>
            <w:r>
              <w:rPr>
                <w:rFonts w:ascii="Calibri" w:hAnsi="Calibri" w:eastAsia="宋体"/>
                <w:color w:val="1E1E1E"/>
                <w:sz w:val="18"/>
              </w:rPr>
              <w:t>不计算R²和RMSE，但应在报告中说明制图方法。</w:t>
            </w:r>
          </w:p>
          <w:p w14:paraId="61E8DCD8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来源：培训资料《土壤属性图审核要点》“制图模型或方法选择不合理”核查项及问题清单。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E4651F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474824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202053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474819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1562EA1">
      <w:pPr>
        <w:spacing w:after="40"/>
      </w:pPr>
    </w:p>
    <w:p w14:paraId="14E999D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EB8714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E43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A6F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A06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425E370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AB2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CDCED">
            <w:pPr>
              <w:spacing w:after="0"/>
            </w:pPr>
            <w:r>
              <w:drawing>
                <wp:inline distT="0" distB="0" distL="0" distR="0">
                  <wp:extent cx="3721100" cy="2000250"/>
                  <wp:effectExtent l="0" t="0" r="12700" b="11430"/>
                  <wp:docPr id="10012" name="质控证据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" name="质控证据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00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55E5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“模型参数与变量重要性”实际内容，PDF第122页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A579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模型参数及局部处理衔接不足。“模型参数与变量重要性”未列最终实际参数；元数据L2:L25亦空。PDF第104页列稀疏、集约及灌排区多种局部方法，未说明本县实际区域和处理记录（PDF第119—129页相关章节）。</w:t>
            </w:r>
          </w:p>
          <w:p w14:paraId="0804055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建议补齐最终方法、参数及已实施局部处理。按项目既定口径不评价精度数值，不要求精度运行明细。</w:t>
            </w:r>
          </w:p>
        </w:tc>
      </w:tr>
    </w:tbl>
    <w:p w14:paraId="6848E5C3">
      <w:pPr>
        <w:spacing w:after="40"/>
      </w:pPr>
    </w:p>
    <w:p w14:paraId="551972E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D10DBD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1F6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3CA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1E7040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8D675F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6802C16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C26ECE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77E37B2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4812BFD">
            <w:pPr>
              <w:spacing w:after="0"/>
            </w:pPr>
          </w:p>
        </w:tc>
      </w:tr>
      <w:tr w14:paraId="2B632D2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D1365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属性图应与样点、地形地貌、母质、土地利用、土壤类型和邻县同类区域相互印证；异常极值和行政边界效应应逐处核查。</w:t>
            </w:r>
          </w:p>
          <w:p w14:paraId="38C930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A40380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61DC9BD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33A47062">
            <w:pPr>
              <w:spacing w:after="0"/>
            </w:pPr>
          </w:p>
        </w:tc>
      </w:tr>
      <w:tr w14:paraId="5F4AA90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E3876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5D1E25F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8C1366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CA8060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7064FF40">
            <w:pPr>
              <w:spacing w:after="0"/>
            </w:pPr>
          </w:p>
        </w:tc>
      </w:tr>
      <w:tr w14:paraId="3C1FF7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4C5C8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2A3931B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790F97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DFE4698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D434EEB">
            <w:pPr>
              <w:spacing w:after="0"/>
            </w:pPr>
          </w:p>
        </w:tc>
      </w:tr>
      <w:tr w14:paraId="01902F7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B146A1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数字化图件中的乡镇统计表应只统计耕地结果；乡镇耕地统计结果应与分地类统计的耕地结果能够对齐。</w:t>
            </w:r>
          </w:p>
          <w:p w14:paraId="06CC0FC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来源：培训资料《土壤属性图审核要点》“数字化图件成果”核查项（添加）。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FAD4C8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28BBE60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555EA0C5">
            <w:pPr>
              <w:spacing w:after="0"/>
            </w:pPr>
          </w:p>
        </w:tc>
      </w:tr>
      <w:tr w14:paraId="050835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FB1E37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报告面积统计口径：与土壤类型有关的属性统计，面积使用几何面积；其他相关统计的面积使用国土变更调查的</w:t>
            </w:r>
            <w:r>
              <w:rPr>
                <w:rFonts w:hint="eastAsia"/>
                <w:color w:val="1E1E1E"/>
                <w:sz w:val="18"/>
                <w:lang w:val="en-US" w:eastAsia="zh-CN"/>
              </w:rPr>
              <w:t>TBDLMJ</w:t>
            </w:r>
            <w:r>
              <w:rPr>
                <w:rFonts w:ascii="Calibri" w:hAnsi="Calibri" w:eastAsia="宋体"/>
                <w:color w:val="1E1E1E"/>
                <w:sz w:val="18"/>
              </w:rPr>
              <w:t>（图斑地类面积）。</w:t>
            </w:r>
          </w:p>
          <w:p w14:paraId="2E592A0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来源：培训资料《土壤属性图审核要点》问题清单“报告面积统计”。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994B9E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474583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FD95642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474527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5A265AE7">
            <w:pPr>
              <w:spacing w:after="0"/>
            </w:pPr>
          </w:p>
        </w:tc>
      </w:tr>
    </w:tbl>
    <w:p w14:paraId="6D52C4FA">
      <w:pPr>
        <w:spacing w:after="40"/>
      </w:pPr>
    </w:p>
    <w:p w14:paraId="6FD4DAC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8C162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59A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CCF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50C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E889DA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582A">
            <w:pPr>
              <w:keepNext/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A6922">
            <w:pPr>
              <w:spacing w:after="0"/>
            </w:pPr>
            <w:r>
              <w:drawing>
                <wp:inline distT="0" distB="0" distL="0" distR="0">
                  <wp:extent cx="3721100" cy="1303655"/>
                  <wp:effectExtent l="0" t="0" r="12700" b="6985"/>
                  <wp:docPr id="10015" name="质控证据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" name="质控证据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30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CF4B2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有机质原图统计表合计642423亩，其他土地0亩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7B3F0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同名统计范围未说明。报告有机质全市903139亩，原图总计642423亩、其他土地0；差260716亩恰为报告其他土地面积，图面另遮盖建设用地（PDF第28、71页等及有机质/交换性钙图）。</w:t>
            </w:r>
          </w:p>
          <w:p w14:paraId="1B0EB458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建议明确全域、调查区及建设用地掩膜，并给出跨成果衔接。本项不认定全部面积算错，也不以像元面积代替TBDLMJ。</w:t>
            </w:r>
          </w:p>
        </w:tc>
      </w:tr>
    </w:tbl>
    <w:p w14:paraId="54ADCB7C">
      <w:pPr>
        <w:spacing w:after="40"/>
      </w:pPr>
    </w:p>
    <w:p w14:paraId="14E8ED1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3FADA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DCFB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CC0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3D7D26E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4A118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56383AE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86E779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D89DCF2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3222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73E0A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县级成果比例尺和像元分辨率应与制图范围、景观破碎程度及源数据精度相匹配；一般县级成果为1∶1万～1∶5万，具体分辨率应在报告中说明。</w:t>
            </w:r>
          </w:p>
          <w:p w14:paraId="0F8642B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D99D52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A61625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C2E055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0F88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C6ACB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541185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A0087F1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77D8A827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pH及元数据问题，见第三类备注1、本类备注1。</w:t>
            </w:r>
          </w:p>
        </w:tc>
      </w:tr>
      <w:tr w14:paraId="27A82A2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6638A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065338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D78B1F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F664C84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04B064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责任单位误填、黏粒缺行，见备注1。</w:t>
            </w:r>
          </w:p>
        </w:tc>
      </w:tr>
    </w:tbl>
    <w:p w14:paraId="03A7F9DA">
      <w:pPr>
        <w:spacing w:after="40"/>
      </w:pPr>
    </w:p>
    <w:p w14:paraId="7E1F200E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6CA967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98E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690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FF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B6214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3ACA0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BE648">
            <w:pPr>
              <w:spacing w:after="0"/>
            </w:pPr>
            <w:r>
              <w:drawing>
                <wp:inline distT="0" distB="0" distL="0" distR="0">
                  <wp:extent cx="3721100" cy="1474470"/>
                  <wp:effectExtent l="0" t="0" r="12700" b="3810"/>
                  <wp:docPr id="10016" name="质控证据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" name="质控证据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4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B0E1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交付数据核对记录（据原文件提取，非原报告截图）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F947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元数据责任单位误填且黏粒缺行。元数据.xlsx“元数据”T2:T25制图单位填mg/kg、cm等计量符号；C2:C25仅24种属性，无黏粒独立行。</w:t>
            </w:r>
          </w:p>
          <w:p w14:paraId="4780634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建议填写真实责任单位/人，补齐黏粒记录，逐字段核对。参数空缺见第五类备注1；不据此判定黏粒图件缺失。</w:t>
            </w:r>
          </w:p>
        </w:tc>
      </w:tr>
    </w:tbl>
    <w:p w14:paraId="2C15E3B2">
      <w:pPr>
        <w:spacing w:after="40"/>
      </w:pPr>
    </w:p>
    <w:p w14:paraId="4930E9D2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FAF73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12C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036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11A001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28D15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435EA6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DA205D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5348F21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F6765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797D4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33CC45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6A2A56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8E2E2C3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7FED6A6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不适用：本套图采用分级/类别图例。</w:t>
            </w:r>
          </w:p>
        </w:tc>
      </w:tr>
      <w:tr w14:paraId="67691A7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A6F92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148723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7C8D0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48D228F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2E5814FD">
            <w:pPr>
              <w:spacing w:after="0"/>
            </w:pPr>
          </w:p>
        </w:tc>
      </w:tr>
      <w:tr w14:paraId="09500F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56B98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0D055FD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007C3A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4C08E62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E1D473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78557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图件制作应符合技术规范：图面内容配置、要素搭配、图例等应完整；图名、比例尺等图廓信息应符合规范；配色应符合规范；应按A3图幅出图，不得在A4纸上放置图片；基础地理要素标注应符合规范。</w:t>
            </w:r>
          </w:p>
          <w:p w14:paraId="6335E38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来源：培训资料《土壤属性图审核要点》“图件制作不符合规范”核查项。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9AD3C0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474833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E897BE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4745472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3AC009CA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内嵌幅面约A1，见备注1。</w:t>
            </w:r>
          </w:p>
        </w:tc>
      </w:tr>
      <w:tr w14:paraId="4389A98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43E412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图件信息应完整：面积统计表不得缺失或残缺；坐标、投影、高程基准、署名等图廓信息应完整。</w:t>
            </w:r>
          </w:p>
          <w:p w14:paraId="387365A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来源：培训资料《土壤属性图审核要点》“图件信息缺失”核查项。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30F488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474784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C21593F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4745743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7BD0A1B4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质地统计表题误写有效铁，见第九类备注1。</w:t>
            </w:r>
          </w:p>
        </w:tc>
      </w:tr>
      <w:tr w14:paraId="628454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E071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图件应美观、易读：着色不够美观、易读性差、图面模糊、信息看不清楚等问题应记录。</w:t>
            </w:r>
          </w:p>
          <w:p w14:paraId="6DF1A93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来源：培训资料《土壤属性图审核要点》“其他”核查项。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EC60C4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474685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5284363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474759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A890DC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D5F089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数据分级应使用全国九大农区的分级标准；分级图应具有注记；耕层质地应按12级分级标准上图，颜色按GB/T 45298—2025标准上图，酸碱度同步参考。</w:t>
            </w:r>
          </w:p>
          <w:p w14:paraId="5756AF2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来源：培训资料《土壤属性图审核要点》“数字化图件成果”核查项（添加）。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99B25C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474634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ADB6425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4745316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5E13FBEB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10 cm边界分级不符，见第六类备注1；其余标准待核。</w:t>
            </w:r>
          </w:p>
        </w:tc>
      </w:tr>
    </w:tbl>
    <w:p w14:paraId="6808C292">
      <w:pPr>
        <w:spacing w:after="40"/>
      </w:pPr>
    </w:p>
    <w:p w14:paraId="549A44E2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B66F19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B17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98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88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CC36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7810D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4D5A3">
            <w:pPr>
              <w:spacing w:after="0"/>
            </w:pPr>
            <w:r>
              <w:drawing>
                <wp:inline distT="0" distB="0" distL="0" distR="0">
                  <wp:extent cx="3721100" cy="1538605"/>
                  <wp:effectExtent l="0" t="0" r="12700" b="635"/>
                  <wp:docPr id="10017" name="质控证据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" name="质控证据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53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4AF49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交付数据核对记录（据原文件提取，非原报告截图）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F5609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50幅JPEG内嵌幅面约594×841 mm，为A1量级，与原表A3要求不一致。44幅9354×13246/400 DPI，6幅颗粒组分图7016×9934/300 DPI。</w:t>
            </w:r>
          </w:p>
          <w:p w14:paraId="407852EA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建议重新配置A3图幅、比例尺及注记；若有批准的A1交付约定，应提供依据。不得直接缩图后沿用1∶50000数字比例尺。</w:t>
            </w:r>
          </w:p>
        </w:tc>
      </w:tr>
    </w:tbl>
    <w:p w14:paraId="509EFB9A">
      <w:pPr>
        <w:spacing w:after="40"/>
      </w:pPr>
    </w:p>
    <w:p w14:paraId="56CB6D04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3E7869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EFCC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A82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06DFE5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9ED2A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5E7B036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D22E57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166857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073D28A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历史、版本和参数记录不足，见前述对应类别。</w:t>
            </w:r>
          </w:p>
        </w:tc>
      </w:tr>
      <w:tr w14:paraId="4CE14D2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39889A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7923143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FC50E0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3EB7AE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C761AB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实测口径、比例、汇总及指标命名错误，见第二类及备注2。</w:t>
            </w:r>
          </w:p>
        </w:tc>
      </w:tr>
      <w:tr w14:paraId="756D278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356AB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115944E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07D190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433229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6DBFF10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字段、版本、统计范围及元数据不一，见第三、六、七类。</w:t>
            </w:r>
          </w:p>
        </w:tc>
      </w:tr>
      <w:tr w14:paraId="122B610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09028B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报告制图过程部分应完整：属性制图技术路线图不得缺失或过于简单，技术路线内容阐述应完整、清晰；数据的来源、时间跨度、格式等应说明充分。</w:t>
            </w:r>
          </w:p>
          <w:p w14:paraId="24D1A2A8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来源：培训资料《土壤属性图审核要点》“报告-制图过程”核查项。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1DC646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6154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336FAE3E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气候取期及局部方法衔接不清，见第四、五类。</w:t>
            </w:r>
          </w:p>
        </w:tc>
      </w:tr>
      <w:tr w14:paraId="3B55D6D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738A48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报告应包含土壤样点空间分布图；环境变量制备过程应说明或说明具体；数据处理过程应合理。</w:t>
            </w:r>
          </w:p>
          <w:p w14:paraId="3499B24C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来源：培训资料《土壤属性图审核要点》“报告-制图过程”核查项。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50AC27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474701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9F2D56F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474576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5AF1459D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样点图已见；环境栅格未对齐，见第四类备注1。</w:t>
            </w:r>
          </w:p>
        </w:tc>
      </w:tr>
      <w:tr w14:paraId="5A3A22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4A6815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专题图与报告、报告中各表的统计结果在同一维度的指标应数据对齐；每个因子的环境变量重要度排序不同，应分因子说明。</w:t>
            </w:r>
          </w:p>
          <w:p w14:paraId="745721B4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来源：培训资料《土壤属性图审核要点》“报告”核查项（添加）。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603A04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474710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6B49C5F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4747542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187DA40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重要度图题及参数说明不足，见备注1、第五类备注1。</w:t>
            </w:r>
          </w:p>
        </w:tc>
      </w:tr>
      <w:tr w14:paraId="77D20E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D17A9A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报告撰写应规范，表述不得随意，文字应凝练，不得出现乱码；小结部分应进行归纳总结；分析应深入，不得仅就数据论数据。</w:t>
            </w:r>
          </w:p>
          <w:p w14:paraId="62706A7B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来源：培训资料《土壤属性图审核要点》“报告质量”核查项。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94CA1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474601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C3CE06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474615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6361A5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正文引用及C/N解释错误，见第二类备注2、本类备注2。</w:t>
            </w:r>
          </w:p>
        </w:tc>
      </w:tr>
      <w:tr w14:paraId="41ABDE7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DD3EB9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表格图表制作应规范：表格标题不得缺字，表格排版格式不得混乱，图表格式应规范，单位应规范，图表应具备自明性。</w:t>
            </w:r>
          </w:p>
          <w:p w14:paraId="5AF719AF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来源：培训资料《土壤属性图审核要点》“报告质量”核查项。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B13465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474649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C6B0DB7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4746496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6442BC1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图题、编号及C/N名称错误，见备注1、2。</w:t>
            </w:r>
          </w:p>
        </w:tc>
      </w:tr>
      <w:tr w14:paraId="51A4F40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666036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分析报告应按县级成果导引提纲要求编制；土壤属性分级应按全国九大农区分级标准。</w:t>
            </w:r>
          </w:p>
          <w:p w14:paraId="3C6B9AEB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来源：培训资料《土壤属性图审核要点》“报告质量”核查项。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93A6EB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4748253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EB86113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4747849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E898AB5">
            <w:pPr>
              <w:spacing w:after="0"/>
            </w:pPr>
          </w:p>
        </w:tc>
      </w:tr>
      <w:tr w14:paraId="2D41A00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65839A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现状分析应深入，应结合当地农业生产方式等进行成因分析，不得仅对表格数据进行简单文字转述；不得对与土壤类型无关的属性进行分析（如速磷、速钾）。</w:t>
            </w:r>
          </w:p>
          <w:p w14:paraId="58CFECDF">
            <w:pPr>
              <w:spacing w:after="60" w:line="276" w:lineRule="auto"/>
              <w:rPr>
                <w:rFonts w:ascii="Calibri" w:hAnsi="Calibri" w:eastAsia="宋体"/>
                <w:color w:val="1E1E1E"/>
                <w:sz w:val="18"/>
              </w:rPr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来源：培训资料《土壤属性图审核要点》“报告质量”核查项。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F72A6D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47481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4117578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4746805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  <w:p w14:paraId="45FCB5CC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组分及中微量分类型实证不足，见第一类备注1。</w:t>
            </w:r>
          </w:p>
        </w:tc>
      </w:tr>
    </w:tbl>
    <w:p w14:paraId="7B9C4570">
      <w:pPr>
        <w:spacing w:after="40"/>
      </w:pPr>
    </w:p>
    <w:p w14:paraId="1096DB3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F2AA63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879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69B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FE0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BD3493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89ED0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373AE">
            <w:pPr>
              <w:spacing w:after="0"/>
            </w:pPr>
            <w:r>
              <w:drawing>
                <wp:inline distT="0" distB="0" distL="0" distR="0">
                  <wp:extent cx="3721100" cy="1042035"/>
                  <wp:effectExtent l="0" t="0" r="12700" b="9525"/>
                  <wp:docPr id="10018" name="质控证据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" name="质控证据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04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46BBE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质地图中统计表误写有效铁</w:t>
            </w:r>
          </w:p>
          <w:p w14:paraId="0128399D">
            <w:pPr>
              <w:spacing w:after="0"/>
            </w:pPr>
            <w:r>
              <w:drawing>
                <wp:inline distT="0" distB="0" distL="0" distR="0">
                  <wp:extent cx="3721100" cy="1731645"/>
                  <wp:effectExtent l="0" t="0" r="12700" b="5715"/>
                  <wp:docPr id="10019" name="质控证据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" name="质控证据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73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26E5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AZN图的图题仍写有效铜，PDF第116页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CA03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图题、编号复制残留。质地地块图乡镇表误题为有效铁；PDF第82、85页不同图同号1.23；第116页AZN图题写有效铜；第125页把重要度柱状图称相关性热力图。</w:t>
            </w:r>
          </w:p>
          <w:p w14:paraId="6B37FB85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建议逐图校正属性、标题、图号及交叉引用。</w:t>
            </w:r>
          </w:p>
        </w:tc>
      </w:tr>
      <w:tr w14:paraId="128F75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CE3D1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B09C5">
            <w:pPr>
              <w:spacing w:after="0"/>
            </w:pPr>
            <w:r>
              <w:drawing>
                <wp:inline distT="0" distB="0" distL="0" distR="0">
                  <wp:extent cx="3721100" cy="1194435"/>
                  <wp:effectExtent l="0" t="0" r="12700" b="9525"/>
                  <wp:docPr id="10020" name="质控证据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" name="质控证据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119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FDD09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表1.50分子为有机质均值，PDF第84页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E6001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有机质/全氮误称碳氮比。表1.50用15.30/0.96=15.94、12.54/0.79=15.87，分子实际为有机质，并据此解释碳氮机制（PDF第83—84页）。</w:t>
            </w:r>
          </w:p>
          <w:p w14:paraId="6BE1C703">
            <w:pPr>
              <w:spacing w:after="0"/>
            </w:pPr>
            <w:r>
              <w:rPr>
                <w:rFonts w:ascii="Calibri" w:hAnsi="Calibri" w:eastAsia="宋体"/>
                <w:sz w:val="18"/>
              </w:rPr>
              <w:t>建议改为准确指标名称及解释；分析C/N须采用有机碳或有适用依据的换算，不直接以有机质替代碳量。</w:t>
            </w:r>
          </w:p>
        </w:tc>
      </w:tr>
    </w:tbl>
    <w:p w14:paraId="6034F470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13B46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A15FA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1OTA1MmVlNjM1NzJmMTJkYjlhMDM4MzAzYWIzZm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43C57"/>
    <w:rsid w:val="024F09B8"/>
    <w:rsid w:val="04CD6C68"/>
    <w:rsid w:val="04D70E27"/>
    <w:rsid w:val="0770234A"/>
    <w:rsid w:val="08230D6A"/>
    <w:rsid w:val="0A402FCB"/>
    <w:rsid w:val="0B0A5387"/>
    <w:rsid w:val="0BE5207C"/>
    <w:rsid w:val="106F4DCD"/>
    <w:rsid w:val="10BF3C2F"/>
    <w:rsid w:val="11731ED8"/>
    <w:rsid w:val="15DF34F1"/>
    <w:rsid w:val="1D1A3371"/>
    <w:rsid w:val="1E2502A1"/>
    <w:rsid w:val="1F740FB1"/>
    <w:rsid w:val="1FD430C8"/>
    <w:rsid w:val="239C6C52"/>
    <w:rsid w:val="24320BA5"/>
    <w:rsid w:val="26B752A2"/>
    <w:rsid w:val="2B492C36"/>
    <w:rsid w:val="2E792E81"/>
    <w:rsid w:val="30D07C22"/>
    <w:rsid w:val="34B63260"/>
    <w:rsid w:val="39A559CD"/>
    <w:rsid w:val="3BDC782D"/>
    <w:rsid w:val="3E2E2BDE"/>
    <w:rsid w:val="43B35926"/>
    <w:rsid w:val="44310BE7"/>
    <w:rsid w:val="459F2CCD"/>
    <w:rsid w:val="45C51FFB"/>
    <w:rsid w:val="48362D38"/>
    <w:rsid w:val="4933700B"/>
    <w:rsid w:val="4CA82D6B"/>
    <w:rsid w:val="4D914D59"/>
    <w:rsid w:val="4E7A713E"/>
    <w:rsid w:val="4EAA5196"/>
    <w:rsid w:val="51FD1E57"/>
    <w:rsid w:val="54A62248"/>
    <w:rsid w:val="58F65FAF"/>
    <w:rsid w:val="5B4A79D6"/>
    <w:rsid w:val="5E7363D3"/>
    <w:rsid w:val="63A76966"/>
    <w:rsid w:val="63BC4631"/>
    <w:rsid w:val="65B37365"/>
    <w:rsid w:val="6AAF5FDC"/>
    <w:rsid w:val="6C433ADA"/>
    <w:rsid w:val="70974D74"/>
    <w:rsid w:val="70AB16D6"/>
    <w:rsid w:val="729850A3"/>
    <w:rsid w:val="731078CF"/>
    <w:rsid w:val="74A754E5"/>
    <w:rsid w:val="756B13F7"/>
    <w:rsid w:val="77FC724F"/>
    <w:rsid w:val="7A4612E0"/>
    <w:rsid w:val="7B0E1C19"/>
    <w:rsid w:val="7BEE5100"/>
    <w:rsid w:val="7D1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759</Words>
  <Characters>847</Characters>
  <Lines>0</Lines>
  <Paragraphs>0</Paragraphs>
  <TotalTime>0</TotalTime>
  <ScaleCrop>false</ScaleCrop>
  <LinksUpToDate>false</LinksUpToDate>
  <CharactersWithSpaces>855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江婉婷</dc:creator>
  <dc:description>generated by python-docx</dc:description>
  <cp:lastModifiedBy>Mi Manchi</cp:lastModifiedBy>
  <dcterms:modified xsi:type="dcterms:W3CDTF">2026-10-20T12:56:50Z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08A9207C14874DCA9117BCBEFD605972_13</vt:lpwstr>
  </property>
</Properties>
</file>