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BF582">
      <w:pPr>
        <w:spacing w:before="200" w:after="80"/>
        <w:jc w:val="center"/>
      </w:pPr>
      <w:r>
        <w:rPr>
          <w:rFonts w:ascii="黑体" w:hAnsi="黑体" w:eastAsia="黑体" w:cs="黑体"/>
          <w:b/>
          <w:color w:val="000000"/>
          <w:sz w:val="52"/>
        </w:rPr>
        <w:t>东光县土壤资源评价与利用报告</w:t>
      </w:r>
    </w:p>
    <w:p w14:paraId="51671ED1">
      <w:pPr>
        <w:spacing w:after="320"/>
        <w:jc w:val="center"/>
      </w:pPr>
      <w:r>
        <w:rPr>
          <w:rFonts w:ascii="黑体" w:hAnsi="黑体" w:eastAsia="黑体" w:cs="黑体"/>
          <w:b/>
          <w:color w:val="000000"/>
          <w:sz w:val="64"/>
        </w:rPr>
        <w:t>质控审计意见</w:t>
      </w:r>
    </w:p>
    <w:p w14:paraId="081BB77B">
      <w:pPr>
        <w:pStyle w:val="3"/>
        <w:keepNext/>
        <w:spacing w:before="160" w:after="80"/>
      </w:pPr>
      <w:r>
        <w:rPr>
          <w:rFonts w:ascii="黑体" w:hAnsi="黑体" w:eastAsia="黑体" w:cs="黑体"/>
          <w:b/>
          <w:color w:val="1F4E79"/>
          <w:sz w:val="30"/>
        </w:rPr>
        <w:t>优先整改的六个阻断点</w:t>
      </w:r>
    </w:p>
    <w:p w14:paraId="51AB40D9">
      <w:pPr>
        <w:pStyle w:val="16"/>
        <w:spacing w:after="80" w:line="276" w:lineRule="auto"/>
      </w:pPr>
      <w:r>
        <w:rPr>
          <w:rFonts w:ascii="宋体" w:hAnsi="宋体" w:eastAsia="宋体" w:cs="宋体"/>
          <w:b w:val="0"/>
          <w:color w:val="000000"/>
          <w:sz w:val="21"/>
        </w:rPr>
        <w:t>统一三普现状土壤分类版本，解决三亚类与两亚类并存以及盐化潮土存在状态相反的问题。</w:t>
      </w:r>
    </w:p>
    <w:p w14:paraId="50EB557A">
      <w:pPr>
        <w:pStyle w:val="16"/>
        <w:spacing w:after="80" w:line="276" w:lineRule="auto"/>
      </w:pPr>
      <w:r>
        <w:rPr>
          <w:rFonts w:ascii="宋体" w:hAnsi="宋体" w:eastAsia="宋体" w:cs="宋体"/>
          <w:b w:val="0"/>
          <w:color w:val="000000"/>
          <w:sz w:val="21"/>
        </w:rPr>
        <w:t>锁定县域土壤统计底数，说明101.73、105.15、105.84万亩分别对应的边界、地类和统计对象。</w:t>
      </w:r>
    </w:p>
    <w:p w14:paraId="78E07D89">
      <w:pPr>
        <w:pStyle w:val="16"/>
        <w:spacing w:after="80" w:line="276" w:lineRule="auto"/>
      </w:pPr>
      <w:r>
        <w:rPr>
          <w:rFonts w:ascii="宋体" w:hAnsi="宋体" w:eastAsia="宋体" w:cs="宋体"/>
          <w:b w:val="0"/>
          <w:color w:val="000000"/>
          <w:sz w:val="21"/>
        </w:rPr>
        <w:t>回到属性制图工程文件逐项复核候选模型、R²、RMSE和最终模型，补齐采用非最高R²模型的判定依据。</w:t>
      </w:r>
    </w:p>
    <w:p w14:paraId="332BF108">
      <w:pPr>
        <w:pStyle w:val="16"/>
        <w:spacing w:after="80" w:line="276" w:lineRule="auto"/>
      </w:pPr>
      <w:r>
        <w:rPr>
          <w:rFonts w:ascii="宋体" w:hAnsi="宋体" w:eastAsia="宋体" w:cs="宋体"/>
          <w:b w:val="0"/>
          <w:color w:val="000000"/>
          <w:sz w:val="21"/>
        </w:rPr>
        <w:t>统一第四、第五和第八章的中微量元素缺素结论，并据最终结论同步调整施肥和改良建议。</w:t>
      </w:r>
    </w:p>
    <w:p w14:paraId="09242EC2">
      <w:pPr>
        <w:pStyle w:val="16"/>
        <w:spacing w:after="80" w:line="276" w:lineRule="auto"/>
      </w:pPr>
      <w:r>
        <w:rPr>
          <w:rFonts w:ascii="宋体" w:hAnsi="宋体" w:eastAsia="宋体" w:cs="宋体"/>
          <w:b w:val="0"/>
          <w:color w:val="000000"/>
          <w:sz w:val="21"/>
        </w:rPr>
        <w:t>修正第五章有效铜、有效锌分级阈值，使等级区间连续、互斥，并与第四章同一标准一致。</w:t>
      </w:r>
    </w:p>
    <w:p w14:paraId="3BBC6DBF">
      <w:pPr>
        <w:pStyle w:val="16"/>
        <w:spacing w:after="80" w:line="276" w:lineRule="auto"/>
      </w:pPr>
      <w:r>
        <w:rPr>
          <w:rFonts w:ascii="宋体" w:hAnsi="宋体" w:eastAsia="宋体" w:cs="宋体"/>
          <w:b w:val="0"/>
          <w:color w:val="000000"/>
          <w:sz w:val="21"/>
        </w:rPr>
        <w:t>清理适宜性和耕地质量两套结果中的面积错配：统一81.61/82.61万亩、87.25/12.75与87.15/12.85，并按等级重建表7.21。</w:t>
      </w:r>
    </w:p>
    <w:p w14:paraId="1CB28E1D">
      <w:pPr>
        <w:pStyle w:val="3"/>
        <w:keepNext/>
        <w:spacing w:before="160" w:after="80"/>
      </w:pPr>
      <w:r>
        <w:rPr>
          <w:rFonts w:ascii="黑体" w:hAnsi="黑体" w:eastAsia="黑体" w:cs="黑体"/>
          <w:b/>
          <w:color w:val="1F4E79"/>
          <w:sz w:val="30"/>
        </w:rPr>
        <w:t>问题明细</w:t>
      </w:r>
    </w:p>
    <w:p w14:paraId="3109DBF5">
      <w:pPr>
        <w:pStyle w:val="4"/>
        <w:keepNext/>
        <w:spacing w:before="120" w:after="80"/>
      </w:pPr>
      <w:r>
        <w:rPr>
          <w:rFonts w:ascii="微软雅黑" w:hAnsi="微软雅黑" w:eastAsia="微软雅黑" w:cs="微软雅黑"/>
          <w:b/>
          <w:color w:val="1F4E79"/>
          <w:sz w:val="24"/>
        </w:rPr>
        <w:t>问题类别一：前置材料、第一章和数据源表</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866"/>
        <w:gridCol w:w="2340"/>
        <w:gridCol w:w="6075"/>
      </w:tblGrid>
      <w:tr w14:paraId="7912B1D1">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866" w:type="dxa"/>
            <w:shd w:val="clear" w:color="auto" w:fill="D9EAF7"/>
            <w:tcMar>
              <w:top w:w="70" w:type="dxa"/>
              <w:left w:w="80" w:type="dxa"/>
              <w:bottom w:w="70" w:type="dxa"/>
              <w:right w:w="80" w:type="dxa"/>
            </w:tcMar>
            <w:vAlign w:val="center"/>
          </w:tcPr>
          <w:p w14:paraId="56DAC265">
            <w:pPr>
              <w:keepNext/>
              <w:spacing w:after="0"/>
              <w:jc w:val="center"/>
            </w:pPr>
            <w:r>
              <w:rPr>
                <w:rFonts w:ascii="宋体" w:hAnsi="宋体" w:eastAsia="宋体" w:cs="宋体"/>
                <w:b/>
                <w:color w:val="000000"/>
                <w:sz w:val="18"/>
              </w:rPr>
              <w:t>级别</w:t>
            </w:r>
          </w:p>
        </w:tc>
        <w:tc>
          <w:tcPr>
            <w:tcW w:w="2340" w:type="dxa"/>
            <w:shd w:val="clear" w:color="auto" w:fill="D9EAF7"/>
            <w:tcMar>
              <w:top w:w="70" w:type="dxa"/>
              <w:left w:w="80" w:type="dxa"/>
              <w:bottom w:w="70" w:type="dxa"/>
              <w:right w:w="80" w:type="dxa"/>
            </w:tcMar>
            <w:vAlign w:val="center"/>
          </w:tcPr>
          <w:p w14:paraId="1FA6E58E">
            <w:pPr>
              <w:keepNext/>
              <w:spacing w:after="0"/>
              <w:jc w:val="center"/>
            </w:pPr>
            <w:r>
              <w:rPr>
                <w:rFonts w:ascii="宋体" w:hAnsi="宋体" w:eastAsia="宋体" w:cs="宋体"/>
                <w:b/>
                <w:color w:val="000000"/>
                <w:sz w:val="18"/>
              </w:rPr>
              <w:t>PDF页</w:t>
            </w:r>
          </w:p>
        </w:tc>
        <w:tc>
          <w:tcPr>
            <w:tcW w:w="6075" w:type="dxa"/>
            <w:shd w:val="clear" w:color="auto" w:fill="D9EAF7"/>
            <w:tcMar>
              <w:top w:w="70" w:type="dxa"/>
              <w:left w:w="80" w:type="dxa"/>
              <w:bottom w:w="70" w:type="dxa"/>
              <w:right w:w="80" w:type="dxa"/>
            </w:tcMar>
            <w:vAlign w:val="center"/>
          </w:tcPr>
          <w:p w14:paraId="4EFCB8A8">
            <w:pPr>
              <w:keepNext/>
              <w:spacing w:after="0"/>
              <w:jc w:val="center"/>
            </w:pPr>
            <w:r>
              <w:rPr>
                <w:rFonts w:ascii="宋体" w:hAnsi="宋体" w:eastAsia="宋体" w:cs="宋体"/>
                <w:b/>
                <w:color w:val="000000"/>
                <w:sz w:val="18"/>
              </w:rPr>
              <w:t>问题与证据</w:t>
            </w:r>
          </w:p>
        </w:tc>
      </w:tr>
      <w:tr w14:paraId="3D280D51">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866" w:type="dxa"/>
            <w:shd w:val="clear" w:color="auto" w:fill="FCE5CD"/>
            <w:tcMar>
              <w:top w:w="70" w:type="dxa"/>
              <w:left w:w="80" w:type="dxa"/>
              <w:bottom w:w="70" w:type="dxa"/>
              <w:right w:w="80" w:type="dxa"/>
            </w:tcMar>
            <w:vAlign w:val="center"/>
          </w:tcPr>
          <w:p w14:paraId="599F8A5D">
            <w:pPr>
              <w:spacing w:after="0"/>
              <w:jc w:val="center"/>
            </w:pPr>
            <w:r>
              <w:rPr>
                <w:rFonts w:ascii="宋体" w:hAnsi="宋体" w:eastAsia="宋体" w:cs="宋体"/>
                <w:b/>
                <w:color w:val="000000"/>
                <w:sz w:val="18"/>
              </w:rPr>
              <w:t>重要</w:t>
            </w:r>
          </w:p>
        </w:tc>
        <w:tc>
          <w:tcPr>
            <w:tcW w:w="2340" w:type="dxa"/>
            <w:tcMar>
              <w:top w:w="70" w:type="dxa"/>
              <w:left w:w="80" w:type="dxa"/>
              <w:bottom w:w="70" w:type="dxa"/>
              <w:right w:w="80" w:type="dxa"/>
            </w:tcMar>
            <w:vAlign w:val="center"/>
          </w:tcPr>
          <w:p w14:paraId="344E4F40">
            <w:pPr>
              <w:spacing w:after="0"/>
              <w:jc w:val="center"/>
            </w:pPr>
            <w:r>
              <w:rPr>
                <w:rFonts w:ascii="宋体" w:hAnsi="宋体" w:eastAsia="宋体" w:cs="宋体"/>
                <w:b w:val="0"/>
                <w:color w:val="000000"/>
                <w:sz w:val="18"/>
              </w:rPr>
              <w:t>22—23</w:t>
            </w:r>
          </w:p>
        </w:tc>
        <w:tc>
          <w:tcPr>
            <w:tcW w:w="6075" w:type="dxa"/>
            <w:tcMar>
              <w:top w:w="70" w:type="dxa"/>
              <w:left w:w="80" w:type="dxa"/>
              <w:bottom w:w="70" w:type="dxa"/>
              <w:right w:w="80" w:type="dxa"/>
            </w:tcMar>
            <w:vAlign w:val="center"/>
          </w:tcPr>
          <w:p w14:paraId="1CD855D5">
            <w:pPr>
              <w:spacing w:after="0" w:line="259" w:lineRule="auto"/>
              <w:jc w:val="left"/>
            </w:pPr>
            <w:r>
              <w:rPr>
                <w:rFonts w:ascii="宋体" w:hAnsi="宋体" w:eastAsia="宋体" w:cs="宋体"/>
                <w:b/>
                <w:color w:val="000000"/>
                <w:sz w:val="18"/>
              </w:rPr>
              <w:t>质控和检测信息仍有占位符，自验收结论未落值</w:t>
            </w:r>
            <w:r>
              <w:br w:type="textWrapping"/>
            </w:r>
            <w:r>
              <w:rPr>
                <w:rFonts w:ascii="宋体" w:hAnsi="宋体" w:eastAsia="宋体" w:cs="宋体"/>
                <w:b/>
                <w:color w:val="000000"/>
                <w:sz w:val="18"/>
              </w:rPr>
              <w:t>证据：</w:t>
            </w:r>
            <w:r>
              <w:rPr>
                <w:rFonts w:ascii="宋体" w:hAnsi="宋体" w:eastAsia="宋体" w:cs="宋体"/>
                <w:b w:val="0"/>
                <w:color w:val="000000"/>
                <w:sz w:val="18"/>
              </w:rPr>
              <w:t>PDF第22页两处保留“质控单位XXX”，第23页保留“检测单位XXX”；第23页写“经专家审查评分，获得样点自验收综合得分和评定等级”，但未给出实际得分和评定等级。</w:t>
            </w:r>
          </w:p>
        </w:tc>
      </w:tr>
      <w:tr w14:paraId="10DEC53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866" w:type="dxa"/>
            <w:shd w:val="clear" w:color="auto" w:fill="FFF2CC"/>
            <w:tcMar>
              <w:top w:w="70" w:type="dxa"/>
              <w:left w:w="80" w:type="dxa"/>
              <w:bottom w:w="70" w:type="dxa"/>
              <w:right w:w="80" w:type="dxa"/>
            </w:tcMar>
            <w:vAlign w:val="center"/>
          </w:tcPr>
          <w:p w14:paraId="500EDE43">
            <w:pPr>
              <w:spacing w:after="0"/>
              <w:jc w:val="center"/>
            </w:pPr>
            <w:r>
              <w:rPr>
                <w:rFonts w:ascii="宋体" w:hAnsi="宋体" w:eastAsia="宋体" w:cs="宋体"/>
                <w:b/>
                <w:color w:val="000000"/>
                <w:sz w:val="18"/>
              </w:rPr>
              <w:t>一般</w:t>
            </w:r>
          </w:p>
        </w:tc>
        <w:tc>
          <w:tcPr>
            <w:tcW w:w="2340" w:type="dxa"/>
            <w:tcMar>
              <w:top w:w="70" w:type="dxa"/>
              <w:left w:w="80" w:type="dxa"/>
              <w:bottom w:w="70" w:type="dxa"/>
              <w:right w:w="80" w:type="dxa"/>
            </w:tcMar>
            <w:vAlign w:val="center"/>
          </w:tcPr>
          <w:p w14:paraId="7EF1EF2C">
            <w:pPr>
              <w:spacing w:after="0"/>
              <w:jc w:val="center"/>
            </w:pPr>
            <w:r>
              <w:rPr>
                <w:rFonts w:ascii="宋体" w:hAnsi="宋体" w:eastAsia="宋体" w:cs="宋体"/>
                <w:b w:val="0"/>
                <w:color w:val="000000"/>
                <w:sz w:val="18"/>
              </w:rPr>
              <w:t>18、58</w:t>
            </w:r>
          </w:p>
        </w:tc>
        <w:tc>
          <w:tcPr>
            <w:tcW w:w="6075" w:type="dxa"/>
            <w:tcMar>
              <w:top w:w="70" w:type="dxa"/>
              <w:left w:w="80" w:type="dxa"/>
              <w:bottom w:w="70" w:type="dxa"/>
              <w:right w:w="80" w:type="dxa"/>
            </w:tcMar>
            <w:vAlign w:val="center"/>
          </w:tcPr>
          <w:p w14:paraId="0BCEE16F">
            <w:pPr>
              <w:spacing w:after="0" w:line="259" w:lineRule="auto"/>
              <w:jc w:val="left"/>
            </w:pPr>
            <w:r>
              <w:rPr>
                <w:rFonts w:ascii="宋体" w:hAnsi="宋体" w:eastAsia="宋体" w:cs="宋体"/>
                <w:b/>
                <w:color w:val="000000"/>
                <w:sz w:val="18"/>
              </w:rPr>
              <w:t>其他园地面积单位漏写“万”</w:t>
            </w:r>
            <w:r>
              <w:br w:type="textWrapping"/>
            </w:r>
            <w:r>
              <w:rPr>
                <w:rFonts w:ascii="宋体" w:hAnsi="宋体" w:eastAsia="宋体" w:cs="宋体"/>
                <w:b/>
                <w:color w:val="000000"/>
                <w:sz w:val="18"/>
              </w:rPr>
              <w:t>证据：</w:t>
            </w:r>
            <w:r>
              <w:rPr>
                <w:rFonts w:ascii="宋体" w:hAnsi="宋体" w:eastAsia="宋体" w:cs="宋体"/>
                <w:b w:val="0"/>
                <w:color w:val="000000"/>
                <w:sz w:val="18"/>
              </w:rPr>
              <w:t>PDF第18页写“其他园地0.01亩”；第58页表2.1的面积单位为“万亩”，其他园地面积为0.01万亩、占园地1.84%。第18页少写“万”后，数量缩小1万倍。</w:t>
            </w:r>
          </w:p>
        </w:tc>
      </w:tr>
    </w:tbl>
    <w:p w14:paraId="73D1B20A">
      <w:pPr>
        <w:spacing w:after="0" w:line="96" w:lineRule="auto"/>
      </w:pPr>
    </w:p>
    <w:p w14:paraId="477F3F42">
      <w:pPr>
        <w:pStyle w:val="4"/>
        <w:keepNext/>
        <w:spacing w:before="120" w:after="80"/>
      </w:pPr>
      <w:r>
        <w:rPr>
          <w:rFonts w:ascii="微软雅黑" w:hAnsi="微软雅黑" w:eastAsia="微软雅黑" w:cs="微软雅黑"/>
          <w:b/>
          <w:color w:val="1F4E79"/>
          <w:sz w:val="24"/>
        </w:rPr>
        <w:t>问题类别二：第二章区域概况与本地衔接</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26"/>
        <w:gridCol w:w="2310"/>
        <w:gridCol w:w="6045"/>
      </w:tblGrid>
      <w:tr w14:paraId="56C4A105">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26" w:type="dxa"/>
            <w:shd w:val="clear" w:color="auto" w:fill="D9EAF7"/>
            <w:tcMar>
              <w:top w:w="70" w:type="dxa"/>
              <w:left w:w="80" w:type="dxa"/>
              <w:bottom w:w="70" w:type="dxa"/>
              <w:right w:w="80" w:type="dxa"/>
            </w:tcMar>
            <w:vAlign w:val="center"/>
          </w:tcPr>
          <w:p w14:paraId="1988B6A4">
            <w:pPr>
              <w:keepNext/>
              <w:spacing w:after="0"/>
              <w:jc w:val="center"/>
            </w:pPr>
            <w:r>
              <w:rPr>
                <w:rFonts w:ascii="宋体" w:hAnsi="宋体" w:eastAsia="宋体" w:cs="宋体"/>
                <w:b/>
                <w:color w:val="000000"/>
                <w:sz w:val="18"/>
              </w:rPr>
              <w:t>级别</w:t>
            </w:r>
          </w:p>
        </w:tc>
        <w:tc>
          <w:tcPr>
            <w:tcW w:w="2310" w:type="dxa"/>
            <w:shd w:val="clear" w:color="auto" w:fill="D9EAF7"/>
            <w:tcMar>
              <w:top w:w="70" w:type="dxa"/>
              <w:left w:w="80" w:type="dxa"/>
              <w:bottom w:w="70" w:type="dxa"/>
              <w:right w:w="80" w:type="dxa"/>
            </w:tcMar>
            <w:vAlign w:val="center"/>
          </w:tcPr>
          <w:p w14:paraId="1BB68F07">
            <w:pPr>
              <w:keepNext/>
              <w:spacing w:after="0"/>
              <w:jc w:val="center"/>
            </w:pPr>
            <w:r>
              <w:rPr>
                <w:rFonts w:ascii="宋体" w:hAnsi="宋体" w:eastAsia="宋体" w:cs="宋体"/>
                <w:b/>
                <w:color w:val="000000"/>
                <w:sz w:val="18"/>
              </w:rPr>
              <w:t>PDF页</w:t>
            </w:r>
          </w:p>
        </w:tc>
        <w:tc>
          <w:tcPr>
            <w:tcW w:w="6045" w:type="dxa"/>
            <w:shd w:val="clear" w:color="auto" w:fill="D9EAF7"/>
            <w:tcMar>
              <w:top w:w="70" w:type="dxa"/>
              <w:left w:w="80" w:type="dxa"/>
              <w:bottom w:w="70" w:type="dxa"/>
              <w:right w:w="80" w:type="dxa"/>
            </w:tcMar>
            <w:vAlign w:val="center"/>
          </w:tcPr>
          <w:p w14:paraId="0A91BF04">
            <w:pPr>
              <w:keepNext/>
              <w:spacing w:after="0"/>
              <w:jc w:val="center"/>
            </w:pPr>
            <w:r>
              <w:rPr>
                <w:rFonts w:ascii="宋体" w:hAnsi="宋体" w:eastAsia="宋体" w:cs="宋体"/>
                <w:b/>
                <w:color w:val="000000"/>
                <w:sz w:val="18"/>
              </w:rPr>
              <w:t>问题与证据</w:t>
            </w:r>
          </w:p>
        </w:tc>
      </w:tr>
      <w:tr w14:paraId="168D91BF">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26" w:type="dxa"/>
            <w:shd w:val="clear" w:color="auto" w:fill="FCE5CD"/>
            <w:tcMar>
              <w:top w:w="70" w:type="dxa"/>
              <w:left w:w="80" w:type="dxa"/>
              <w:bottom w:w="70" w:type="dxa"/>
              <w:right w:w="80" w:type="dxa"/>
            </w:tcMar>
            <w:vAlign w:val="center"/>
          </w:tcPr>
          <w:p w14:paraId="2732285F">
            <w:pPr>
              <w:spacing w:after="0"/>
              <w:jc w:val="center"/>
            </w:pPr>
            <w:r>
              <w:rPr>
                <w:rFonts w:ascii="宋体" w:hAnsi="宋体" w:eastAsia="宋体" w:cs="宋体"/>
                <w:b/>
                <w:color w:val="000000"/>
                <w:sz w:val="18"/>
              </w:rPr>
              <w:t>重要</w:t>
            </w:r>
          </w:p>
        </w:tc>
        <w:tc>
          <w:tcPr>
            <w:tcW w:w="2310" w:type="dxa"/>
            <w:tcMar>
              <w:top w:w="70" w:type="dxa"/>
              <w:left w:w="80" w:type="dxa"/>
              <w:bottom w:w="70" w:type="dxa"/>
              <w:right w:w="80" w:type="dxa"/>
            </w:tcMar>
            <w:vAlign w:val="center"/>
          </w:tcPr>
          <w:p w14:paraId="2B45D0AA">
            <w:pPr>
              <w:spacing w:after="0"/>
              <w:jc w:val="center"/>
            </w:pPr>
            <w:r>
              <w:rPr>
                <w:rFonts w:ascii="宋体" w:hAnsi="宋体" w:eastAsia="宋体" w:cs="宋体"/>
                <w:b w:val="0"/>
                <w:color w:val="000000"/>
                <w:sz w:val="18"/>
              </w:rPr>
              <w:t>18、55</w:t>
            </w:r>
          </w:p>
        </w:tc>
        <w:tc>
          <w:tcPr>
            <w:tcW w:w="6045" w:type="dxa"/>
            <w:tcMar>
              <w:top w:w="70" w:type="dxa"/>
              <w:left w:w="80" w:type="dxa"/>
              <w:bottom w:w="70" w:type="dxa"/>
              <w:right w:w="80" w:type="dxa"/>
            </w:tcMar>
            <w:vAlign w:val="center"/>
          </w:tcPr>
          <w:p w14:paraId="030367EF">
            <w:pPr>
              <w:spacing w:after="0" w:line="259" w:lineRule="auto"/>
              <w:jc w:val="left"/>
            </w:pPr>
            <w:r>
              <w:rPr>
                <w:rFonts w:ascii="宋体" w:hAnsi="宋体" w:eastAsia="宋体" w:cs="宋体"/>
                <w:b/>
                <w:color w:val="000000"/>
                <w:sz w:val="18"/>
              </w:rPr>
              <w:t>常住人口采用34.03万人和34.76万人两种数值</w:t>
            </w:r>
            <w:r>
              <w:br w:type="textWrapping"/>
            </w:r>
            <w:r>
              <w:rPr>
                <w:rFonts w:ascii="宋体" w:hAnsi="宋体" w:eastAsia="宋体" w:cs="宋体"/>
                <w:b/>
                <w:color w:val="000000"/>
                <w:sz w:val="18"/>
              </w:rPr>
              <w:t>证据：</w:t>
            </w:r>
            <w:r>
              <w:rPr>
                <w:rFonts w:ascii="宋体" w:hAnsi="宋体" w:eastAsia="宋体" w:cs="宋体"/>
                <w:b w:val="0"/>
                <w:color w:val="000000"/>
                <w:sz w:val="18"/>
              </w:rPr>
              <w:t>PDF第18页概述称东光县常住人口34.03万人；第55页明确写“2023东光县常住人口为34.76万人”。第18页同段随后使用2023年地区生产总值，但报告未说明34.03万人的统计年份或口径。</w:t>
            </w:r>
          </w:p>
        </w:tc>
      </w:tr>
      <w:tr w14:paraId="302F875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26" w:type="dxa"/>
            <w:shd w:val="clear" w:color="auto" w:fill="FCE5CD"/>
            <w:tcMar>
              <w:top w:w="70" w:type="dxa"/>
              <w:left w:w="80" w:type="dxa"/>
              <w:bottom w:w="70" w:type="dxa"/>
              <w:right w:w="80" w:type="dxa"/>
            </w:tcMar>
            <w:vAlign w:val="center"/>
          </w:tcPr>
          <w:p w14:paraId="36190F53">
            <w:pPr>
              <w:spacing w:after="0"/>
              <w:jc w:val="center"/>
            </w:pPr>
            <w:r>
              <w:rPr>
                <w:rFonts w:ascii="宋体" w:hAnsi="宋体" w:eastAsia="宋体" w:cs="宋体"/>
                <w:b/>
                <w:color w:val="000000"/>
                <w:sz w:val="18"/>
              </w:rPr>
              <w:t>重要</w:t>
            </w:r>
          </w:p>
        </w:tc>
        <w:tc>
          <w:tcPr>
            <w:tcW w:w="2310" w:type="dxa"/>
            <w:tcMar>
              <w:top w:w="70" w:type="dxa"/>
              <w:left w:w="80" w:type="dxa"/>
              <w:bottom w:w="70" w:type="dxa"/>
              <w:right w:w="80" w:type="dxa"/>
            </w:tcMar>
            <w:vAlign w:val="center"/>
          </w:tcPr>
          <w:p w14:paraId="45BF2E9B">
            <w:pPr>
              <w:spacing w:after="0"/>
              <w:jc w:val="center"/>
            </w:pPr>
            <w:r>
              <w:rPr>
                <w:rFonts w:ascii="宋体" w:hAnsi="宋体" w:eastAsia="宋体" w:cs="宋体"/>
                <w:b w:val="0"/>
                <w:color w:val="000000"/>
                <w:sz w:val="18"/>
              </w:rPr>
              <w:t>18、54</w:t>
            </w:r>
          </w:p>
        </w:tc>
        <w:tc>
          <w:tcPr>
            <w:tcW w:w="6045" w:type="dxa"/>
            <w:tcMar>
              <w:top w:w="70" w:type="dxa"/>
              <w:left w:w="80" w:type="dxa"/>
              <w:bottom w:w="70" w:type="dxa"/>
              <w:right w:w="80" w:type="dxa"/>
            </w:tcMar>
            <w:vAlign w:val="center"/>
          </w:tcPr>
          <w:p w14:paraId="6A9885A5">
            <w:pPr>
              <w:spacing w:after="0" w:line="259" w:lineRule="auto"/>
              <w:jc w:val="left"/>
            </w:pPr>
            <w:r>
              <w:rPr>
                <w:rFonts w:ascii="宋体" w:hAnsi="宋体" w:eastAsia="宋体" w:cs="宋体"/>
                <w:b/>
                <w:color w:val="000000"/>
                <w:sz w:val="18"/>
              </w:rPr>
              <w:t>产业结构数值与“二产主导”结论相反</w:t>
            </w:r>
            <w:r>
              <w:br w:type="textWrapping"/>
            </w:r>
            <w:r>
              <w:rPr>
                <w:rFonts w:ascii="宋体" w:hAnsi="宋体" w:eastAsia="宋体" w:cs="宋体"/>
                <w:b/>
                <w:color w:val="000000"/>
                <w:sz w:val="18"/>
              </w:rPr>
              <w:t>证据：</w:t>
            </w:r>
            <w:r>
              <w:rPr>
                <w:rFonts w:ascii="宋体" w:hAnsi="宋体" w:eastAsia="宋体" w:cs="宋体"/>
                <w:b w:val="0"/>
                <w:color w:val="000000"/>
                <w:sz w:val="18"/>
              </w:rPr>
              <w:t>PDF第18页和第54页均列三次产业结构为7.7∶32.0∶60.3，却分别概括为“二产主导”和“二产主导、三产活跃、一产稳固”。按所列占比，第三产业60.3%为最大项，不支持“二产主导”。</w:t>
            </w:r>
          </w:p>
        </w:tc>
      </w:tr>
      <w:tr w14:paraId="6DC596F8">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26" w:type="dxa"/>
            <w:shd w:val="clear" w:color="auto" w:fill="FCE5CD"/>
            <w:tcMar>
              <w:top w:w="70" w:type="dxa"/>
              <w:left w:w="80" w:type="dxa"/>
              <w:bottom w:w="70" w:type="dxa"/>
              <w:right w:w="80" w:type="dxa"/>
            </w:tcMar>
            <w:vAlign w:val="center"/>
          </w:tcPr>
          <w:p w14:paraId="568A51BC">
            <w:pPr>
              <w:spacing w:after="0"/>
              <w:jc w:val="center"/>
            </w:pPr>
            <w:r>
              <w:rPr>
                <w:rFonts w:ascii="宋体" w:hAnsi="宋体" w:eastAsia="宋体" w:cs="宋体"/>
                <w:b/>
                <w:color w:val="000000"/>
                <w:sz w:val="18"/>
              </w:rPr>
              <w:t>重要</w:t>
            </w:r>
          </w:p>
        </w:tc>
        <w:tc>
          <w:tcPr>
            <w:tcW w:w="2310" w:type="dxa"/>
            <w:tcMar>
              <w:top w:w="70" w:type="dxa"/>
              <w:left w:w="80" w:type="dxa"/>
              <w:bottom w:w="70" w:type="dxa"/>
              <w:right w:w="80" w:type="dxa"/>
            </w:tcMar>
            <w:vAlign w:val="center"/>
          </w:tcPr>
          <w:p w14:paraId="259CC6E2">
            <w:pPr>
              <w:spacing w:after="0"/>
              <w:jc w:val="center"/>
            </w:pPr>
            <w:r>
              <w:rPr>
                <w:rFonts w:ascii="宋体" w:hAnsi="宋体" w:eastAsia="宋体" w:cs="宋体"/>
                <w:b w:val="0"/>
                <w:color w:val="000000"/>
                <w:sz w:val="18"/>
              </w:rPr>
              <w:t>24、41—42</w:t>
            </w:r>
          </w:p>
        </w:tc>
        <w:tc>
          <w:tcPr>
            <w:tcW w:w="6045" w:type="dxa"/>
            <w:tcMar>
              <w:top w:w="70" w:type="dxa"/>
              <w:left w:w="80" w:type="dxa"/>
              <w:bottom w:w="70" w:type="dxa"/>
              <w:right w:w="80" w:type="dxa"/>
            </w:tcMar>
            <w:vAlign w:val="center"/>
          </w:tcPr>
          <w:p w14:paraId="0F0DB7DD">
            <w:pPr>
              <w:spacing w:after="0" w:line="259" w:lineRule="auto"/>
              <w:jc w:val="left"/>
            </w:pPr>
            <w:r>
              <w:rPr>
                <w:rFonts w:ascii="宋体" w:hAnsi="宋体" w:eastAsia="宋体" w:cs="宋体"/>
                <w:b/>
                <w:color w:val="000000"/>
                <w:sz w:val="18"/>
              </w:rPr>
              <w:t>平原县情与“山地土壤调查技术细则”设置不衔接</w:t>
            </w:r>
            <w:r>
              <w:br w:type="textWrapping"/>
            </w:r>
            <w:r>
              <w:rPr>
                <w:rFonts w:ascii="宋体" w:hAnsi="宋体" w:eastAsia="宋体" w:cs="宋体"/>
                <w:b/>
                <w:color w:val="000000"/>
                <w:sz w:val="18"/>
              </w:rPr>
              <w:t>证据：</w:t>
            </w:r>
            <w:r>
              <w:rPr>
                <w:rFonts w:ascii="宋体" w:hAnsi="宋体" w:eastAsia="宋体" w:cs="宋体"/>
                <w:b w:val="0"/>
                <w:color w:val="000000"/>
                <w:sz w:val="18"/>
              </w:rPr>
              <w:t>PDF第24页称在国家方案框架下“增设山地土壤调查技术细则”；第41页明确东光县“全境地势低平，无山脉丘陵”，第42页进一步说明整体地势平坦。报告未说明本县存在需要该细则解决的山地区域或适用对象。</w:t>
            </w:r>
          </w:p>
        </w:tc>
      </w:tr>
      <w:tr w14:paraId="41D5652A">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26" w:type="dxa"/>
            <w:shd w:val="clear" w:color="auto" w:fill="FCE5CD"/>
            <w:tcMar>
              <w:top w:w="70" w:type="dxa"/>
              <w:left w:w="80" w:type="dxa"/>
              <w:bottom w:w="70" w:type="dxa"/>
              <w:right w:w="80" w:type="dxa"/>
            </w:tcMar>
            <w:vAlign w:val="center"/>
          </w:tcPr>
          <w:p w14:paraId="7584768D">
            <w:pPr>
              <w:spacing w:after="0"/>
              <w:jc w:val="center"/>
            </w:pPr>
            <w:r>
              <w:rPr>
                <w:rFonts w:ascii="宋体" w:hAnsi="宋体" w:eastAsia="宋体" w:cs="宋体"/>
                <w:b/>
                <w:color w:val="000000"/>
                <w:sz w:val="18"/>
              </w:rPr>
              <w:t>重要</w:t>
            </w:r>
          </w:p>
        </w:tc>
        <w:tc>
          <w:tcPr>
            <w:tcW w:w="2310" w:type="dxa"/>
            <w:tcMar>
              <w:top w:w="70" w:type="dxa"/>
              <w:left w:w="80" w:type="dxa"/>
              <w:bottom w:w="70" w:type="dxa"/>
              <w:right w:w="80" w:type="dxa"/>
            </w:tcMar>
            <w:vAlign w:val="center"/>
          </w:tcPr>
          <w:p w14:paraId="79769799">
            <w:pPr>
              <w:spacing w:after="0"/>
              <w:jc w:val="center"/>
            </w:pPr>
            <w:r>
              <w:rPr>
                <w:rFonts w:ascii="宋体" w:hAnsi="宋体" w:eastAsia="宋体" w:cs="宋体"/>
                <w:b w:val="0"/>
                <w:color w:val="000000"/>
                <w:sz w:val="18"/>
              </w:rPr>
              <w:t>18、387</w:t>
            </w:r>
          </w:p>
        </w:tc>
        <w:tc>
          <w:tcPr>
            <w:tcW w:w="6045" w:type="dxa"/>
            <w:tcMar>
              <w:top w:w="70" w:type="dxa"/>
              <w:left w:w="80" w:type="dxa"/>
              <w:bottom w:w="70" w:type="dxa"/>
              <w:right w:w="80" w:type="dxa"/>
            </w:tcMar>
            <w:vAlign w:val="center"/>
          </w:tcPr>
          <w:p w14:paraId="2550243F">
            <w:pPr>
              <w:spacing w:after="0" w:line="259" w:lineRule="auto"/>
              <w:jc w:val="left"/>
            </w:pPr>
            <w:r>
              <w:rPr>
                <w:rFonts w:ascii="宋体" w:hAnsi="宋体" w:eastAsia="宋体" w:cs="宋体"/>
                <w:b/>
                <w:color w:val="000000"/>
                <w:sz w:val="18"/>
              </w:rPr>
              <w:t>东光县被误写为“豫东北”地区</w:t>
            </w:r>
            <w:r>
              <w:br w:type="textWrapping"/>
            </w:r>
            <w:r>
              <w:rPr>
                <w:rFonts w:ascii="宋体" w:hAnsi="宋体" w:eastAsia="宋体" w:cs="宋体"/>
                <w:b/>
                <w:color w:val="000000"/>
                <w:sz w:val="18"/>
              </w:rPr>
              <w:t>证据：</w:t>
            </w:r>
            <w:r>
              <w:rPr>
                <w:rFonts w:ascii="宋体" w:hAnsi="宋体" w:eastAsia="宋体" w:cs="宋体"/>
                <w:b w:val="0"/>
                <w:color w:val="000000"/>
                <w:sz w:val="18"/>
              </w:rPr>
              <w:t>PDF第387页开篇写“东光县作为豫东北重要的农业大区和生态屏障”，同页下一段及第18页均明确东光县隶属河北省沧州市、位于河北省东南部。</w:t>
            </w:r>
          </w:p>
        </w:tc>
      </w:tr>
    </w:tbl>
    <w:p w14:paraId="623D4718">
      <w:pPr>
        <w:spacing w:after="0" w:line="96" w:lineRule="auto"/>
      </w:pPr>
    </w:p>
    <w:p w14:paraId="052CDEC9">
      <w:pPr>
        <w:pStyle w:val="4"/>
        <w:keepNext/>
        <w:spacing w:before="120" w:after="80"/>
      </w:pPr>
      <w:r>
        <w:rPr>
          <w:rFonts w:ascii="微软雅黑" w:hAnsi="微软雅黑" w:eastAsia="微软雅黑" w:cs="微软雅黑"/>
          <w:b/>
          <w:color w:val="1F4E79"/>
          <w:sz w:val="24"/>
        </w:rPr>
        <w:t>问题类别三：第三章土壤类型与制图</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06"/>
        <w:gridCol w:w="2330"/>
        <w:gridCol w:w="6045"/>
      </w:tblGrid>
      <w:tr w14:paraId="3AF0B6A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06" w:type="dxa"/>
            <w:shd w:val="clear" w:color="auto" w:fill="D9EAF7"/>
            <w:tcMar>
              <w:top w:w="70" w:type="dxa"/>
              <w:left w:w="80" w:type="dxa"/>
              <w:bottom w:w="70" w:type="dxa"/>
              <w:right w:w="80" w:type="dxa"/>
            </w:tcMar>
            <w:vAlign w:val="center"/>
          </w:tcPr>
          <w:p w14:paraId="6A8A13FA">
            <w:pPr>
              <w:keepNext/>
              <w:spacing w:after="0"/>
              <w:jc w:val="center"/>
            </w:pPr>
            <w:r>
              <w:rPr>
                <w:rFonts w:ascii="宋体" w:hAnsi="宋体" w:eastAsia="宋体" w:cs="宋体"/>
                <w:b/>
                <w:color w:val="000000"/>
                <w:sz w:val="18"/>
              </w:rPr>
              <w:t>级别</w:t>
            </w:r>
          </w:p>
        </w:tc>
        <w:tc>
          <w:tcPr>
            <w:tcW w:w="2330" w:type="dxa"/>
            <w:shd w:val="clear" w:color="auto" w:fill="D9EAF7"/>
            <w:tcMar>
              <w:top w:w="70" w:type="dxa"/>
              <w:left w:w="80" w:type="dxa"/>
              <w:bottom w:w="70" w:type="dxa"/>
              <w:right w:w="80" w:type="dxa"/>
            </w:tcMar>
            <w:vAlign w:val="center"/>
          </w:tcPr>
          <w:p w14:paraId="6838EB21">
            <w:pPr>
              <w:keepNext/>
              <w:spacing w:after="0"/>
              <w:jc w:val="center"/>
            </w:pPr>
            <w:r>
              <w:rPr>
                <w:rFonts w:ascii="宋体" w:hAnsi="宋体" w:eastAsia="宋体" w:cs="宋体"/>
                <w:b/>
                <w:color w:val="000000"/>
                <w:sz w:val="18"/>
              </w:rPr>
              <w:t>PDF页</w:t>
            </w:r>
          </w:p>
        </w:tc>
        <w:tc>
          <w:tcPr>
            <w:tcW w:w="6045" w:type="dxa"/>
            <w:shd w:val="clear" w:color="auto" w:fill="D9EAF7"/>
            <w:tcMar>
              <w:top w:w="70" w:type="dxa"/>
              <w:left w:w="80" w:type="dxa"/>
              <w:bottom w:w="70" w:type="dxa"/>
              <w:right w:w="80" w:type="dxa"/>
            </w:tcMar>
            <w:vAlign w:val="center"/>
          </w:tcPr>
          <w:p w14:paraId="35577866">
            <w:pPr>
              <w:keepNext/>
              <w:spacing w:after="0"/>
              <w:jc w:val="center"/>
            </w:pPr>
            <w:r>
              <w:rPr>
                <w:rFonts w:ascii="宋体" w:hAnsi="宋体" w:eastAsia="宋体" w:cs="宋体"/>
                <w:b/>
                <w:color w:val="000000"/>
                <w:sz w:val="18"/>
              </w:rPr>
              <w:t>问题与证据</w:t>
            </w:r>
          </w:p>
        </w:tc>
      </w:tr>
      <w:tr w14:paraId="47AC45E8">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4F31FE20">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28CB990E">
            <w:pPr>
              <w:spacing w:after="0"/>
              <w:jc w:val="center"/>
            </w:pPr>
            <w:r>
              <w:rPr>
                <w:rFonts w:ascii="宋体" w:hAnsi="宋体" w:eastAsia="宋体" w:cs="宋体"/>
                <w:b w:val="0"/>
                <w:color w:val="000000"/>
                <w:sz w:val="18"/>
              </w:rPr>
              <w:t>41—42、69、136、141、387</w:t>
            </w:r>
          </w:p>
        </w:tc>
        <w:tc>
          <w:tcPr>
            <w:tcW w:w="6045" w:type="dxa"/>
            <w:tcMar>
              <w:top w:w="70" w:type="dxa"/>
              <w:left w:w="80" w:type="dxa"/>
              <w:bottom w:w="70" w:type="dxa"/>
              <w:right w:w="80" w:type="dxa"/>
            </w:tcMar>
            <w:vAlign w:val="center"/>
          </w:tcPr>
          <w:p w14:paraId="4BF10C96">
            <w:pPr>
              <w:spacing w:after="0" w:line="259" w:lineRule="auto"/>
              <w:jc w:val="left"/>
            </w:pPr>
            <w:r>
              <w:rPr>
                <w:rFonts w:ascii="宋体" w:hAnsi="宋体" w:eastAsia="宋体" w:cs="宋体"/>
                <w:b/>
                <w:color w:val="000000"/>
                <w:sz w:val="18"/>
              </w:rPr>
              <w:t>现状土壤分类同时出现三亚类和两亚类两套结论</w:t>
            </w:r>
            <w:r>
              <w:br w:type="textWrapping"/>
            </w:r>
            <w:r>
              <w:rPr>
                <w:rFonts w:ascii="宋体" w:hAnsi="宋体" w:eastAsia="宋体" w:cs="宋体"/>
                <w:b/>
                <w:color w:val="000000"/>
                <w:sz w:val="18"/>
              </w:rPr>
              <w:t>证据：</w:t>
            </w:r>
            <w:r>
              <w:rPr>
                <w:rFonts w:ascii="宋体" w:hAnsi="宋体" w:eastAsia="宋体" w:cs="宋体"/>
                <w:b w:val="0"/>
                <w:color w:val="000000"/>
                <w:sz w:val="18"/>
              </w:rPr>
              <w:t>PDF第41页称东光县现状包括典型潮土、盐化潮土、脱潮土3个亚类，并给出78.87%、19.77%、1.36%的比例；第42页又称“本次土壤三普中已无盐化潮土”。第69、136、141、387页均采用1个土类、2个亚类（典型潮土、脱潮土）、4个土属、15个土种的三普结果。</w:t>
            </w:r>
          </w:p>
        </w:tc>
      </w:tr>
      <w:tr w14:paraId="5D39E677">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686581B2">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43BDEF08">
            <w:pPr>
              <w:spacing w:after="0"/>
              <w:jc w:val="center"/>
            </w:pPr>
            <w:r>
              <w:rPr>
                <w:rFonts w:ascii="宋体" w:hAnsi="宋体" w:eastAsia="宋体" w:cs="宋体"/>
                <w:b w:val="0"/>
                <w:color w:val="000000"/>
                <w:sz w:val="18"/>
              </w:rPr>
              <w:t>69、72、136—137、145、174、179、183</w:t>
            </w:r>
          </w:p>
        </w:tc>
        <w:tc>
          <w:tcPr>
            <w:tcW w:w="6045" w:type="dxa"/>
            <w:tcMar>
              <w:top w:w="70" w:type="dxa"/>
              <w:left w:w="80" w:type="dxa"/>
              <w:bottom w:w="70" w:type="dxa"/>
              <w:right w:w="80" w:type="dxa"/>
            </w:tcMar>
            <w:vAlign w:val="center"/>
          </w:tcPr>
          <w:p w14:paraId="373F0A5D">
            <w:pPr>
              <w:spacing w:after="0" w:line="259" w:lineRule="auto"/>
              <w:jc w:val="left"/>
            </w:pPr>
            <w:r>
              <w:rPr>
                <w:rFonts w:ascii="宋体" w:hAnsi="宋体" w:eastAsia="宋体" w:cs="宋体"/>
                <w:b/>
                <w:color w:val="000000"/>
                <w:sz w:val="18"/>
              </w:rPr>
              <w:t>土壤类型和属性统计使用101.73、105.15、105.84万亩三种总面积</w:t>
            </w:r>
            <w:r>
              <w:br w:type="textWrapping"/>
            </w:r>
            <w:r>
              <w:rPr>
                <w:rFonts w:ascii="宋体" w:hAnsi="宋体" w:eastAsia="宋体" w:cs="宋体"/>
                <w:b/>
                <w:color w:val="000000"/>
                <w:sz w:val="18"/>
              </w:rPr>
              <w:t>证据：</w:t>
            </w:r>
            <w:r>
              <w:rPr>
                <w:rFonts w:ascii="宋体" w:hAnsi="宋体" w:eastAsia="宋体" w:cs="宋体"/>
                <w:b w:val="0"/>
                <w:color w:val="000000"/>
                <w:sz w:val="18"/>
              </w:rPr>
              <w:t>PDF第69页称最终将全县105.15万亩土壤划分为三普土壤类型；第72页表3.2合计101.73万亩，第136—137、145、174页也使用101.73万亩；进入属性章节后，第183页等按土壤类型统计的总面积为105.15万亩，第179页全属性分级统计又使用105.84万亩。报告未给出三种面积之间的评价范围或扣除规则。</w:t>
            </w:r>
          </w:p>
        </w:tc>
      </w:tr>
      <w:tr w14:paraId="3DEF54E3">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FF2CC"/>
            <w:tcMar>
              <w:top w:w="70" w:type="dxa"/>
              <w:left w:w="80" w:type="dxa"/>
              <w:bottom w:w="70" w:type="dxa"/>
              <w:right w:w="80" w:type="dxa"/>
            </w:tcMar>
            <w:vAlign w:val="center"/>
          </w:tcPr>
          <w:p w14:paraId="25EEB58F">
            <w:pPr>
              <w:spacing w:after="0"/>
              <w:jc w:val="center"/>
            </w:pPr>
            <w:r>
              <w:rPr>
                <w:rFonts w:ascii="宋体" w:hAnsi="宋体" w:eastAsia="宋体" w:cs="宋体"/>
                <w:b/>
                <w:color w:val="000000"/>
                <w:sz w:val="18"/>
              </w:rPr>
              <w:t>一般</w:t>
            </w:r>
          </w:p>
        </w:tc>
        <w:tc>
          <w:tcPr>
            <w:tcW w:w="2330" w:type="dxa"/>
            <w:tcMar>
              <w:top w:w="70" w:type="dxa"/>
              <w:left w:w="80" w:type="dxa"/>
              <w:bottom w:w="70" w:type="dxa"/>
              <w:right w:w="80" w:type="dxa"/>
            </w:tcMar>
            <w:vAlign w:val="center"/>
          </w:tcPr>
          <w:p w14:paraId="21E5C267">
            <w:pPr>
              <w:spacing w:after="0"/>
              <w:jc w:val="center"/>
            </w:pPr>
            <w:r>
              <w:rPr>
                <w:rFonts w:ascii="宋体" w:hAnsi="宋体" w:eastAsia="宋体" w:cs="宋体"/>
                <w:b w:val="0"/>
                <w:color w:val="000000"/>
                <w:sz w:val="18"/>
              </w:rPr>
              <w:t>141</w:t>
            </w:r>
          </w:p>
        </w:tc>
        <w:tc>
          <w:tcPr>
            <w:tcW w:w="6045" w:type="dxa"/>
            <w:tcMar>
              <w:top w:w="70" w:type="dxa"/>
              <w:left w:w="80" w:type="dxa"/>
              <w:bottom w:w="70" w:type="dxa"/>
              <w:right w:w="80" w:type="dxa"/>
            </w:tcMar>
            <w:vAlign w:val="center"/>
          </w:tcPr>
          <w:p w14:paraId="16AB61F6">
            <w:pPr>
              <w:spacing w:after="0" w:line="259" w:lineRule="auto"/>
              <w:jc w:val="left"/>
            </w:pPr>
            <w:r>
              <w:rPr>
                <w:rFonts w:ascii="宋体" w:hAnsi="宋体" w:eastAsia="宋体" w:cs="宋体"/>
                <w:b/>
                <w:color w:val="000000"/>
                <w:sz w:val="18"/>
              </w:rPr>
              <w:t>二普至三普图斑数量变化方向写反</w:t>
            </w:r>
            <w:r>
              <w:br w:type="textWrapping"/>
            </w:r>
            <w:r>
              <w:rPr>
                <w:rFonts w:ascii="宋体" w:hAnsi="宋体" w:eastAsia="宋体" w:cs="宋体"/>
                <w:b/>
                <w:color w:val="000000"/>
                <w:sz w:val="18"/>
              </w:rPr>
              <w:t>证据：</w:t>
            </w:r>
            <w:r>
              <w:rPr>
                <w:rFonts w:ascii="宋体" w:hAnsi="宋体" w:eastAsia="宋体" w:cs="宋体"/>
                <w:b w:val="0"/>
                <w:color w:val="000000"/>
                <w:sz w:val="18"/>
              </w:rPr>
              <w:t>PDF第141页表3.36列二普图斑352个、三普图斑322个，却在“变化情况”栏写“增加30个”。</w:t>
            </w:r>
          </w:p>
        </w:tc>
      </w:tr>
    </w:tbl>
    <w:p w14:paraId="3AB8FDE6">
      <w:pPr>
        <w:spacing w:after="0" w:line="96" w:lineRule="auto"/>
      </w:pPr>
    </w:p>
    <w:p w14:paraId="2E4B365D">
      <w:pPr>
        <w:pStyle w:val="4"/>
        <w:keepNext/>
        <w:spacing w:before="120" w:after="80"/>
      </w:pPr>
      <w:r>
        <w:rPr>
          <w:rFonts w:ascii="微软雅黑" w:hAnsi="微软雅黑" w:eastAsia="微软雅黑" w:cs="微软雅黑"/>
          <w:b/>
          <w:color w:val="1F4E79"/>
          <w:sz w:val="24"/>
        </w:rPr>
        <w:t>问题类别四：第四章土壤属性与制图</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06"/>
        <w:gridCol w:w="2320"/>
        <w:gridCol w:w="6055"/>
      </w:tblGrid>
      <w:tr w14:paraId="36570CF2">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06" w:type="dxa"/>
            <w:shd w:val="clear" w:color="auto" w:fill="D9EAF7"/>
            <w:tcMar>
              <w:top w:w="70" w:type="dxa"/>
              <w:left w:w="80" w:type="dxa"/>
              <w:bottom w:w="70" w:type="dxa"/>
              <w:right w:w="80" w:type="dxa"/>
            </w:tcMar>
            <w:vAlign w:val="center"/>
          </w:tcPr>
          <w:p w14:paraId="546189D1">
            <w:pPr>
              <w:keepNext/>
              <w:spacing w:after="0"/>
              <w:jc w:val="center"/>
            </w:pPr>
            <w:r>
              <w:rPr>
                <w:rFonts w:ascii="宋体" w:hAnsi="宋体" w:eastAsia="宋体" w:cs="宋体"/>
                <w:b/>
                <w:color w:val="000000"/>
                <w:sz w:val="18"/>
              </w:rPr>
              <w:t>级别</w:t>
            </w:r>
          </w:p>
        </w:tc>
        <w:tc>
          <w:tcPr>
            <w:tcW w:w="2320" w:type="dxa"/>
            <w:shd w:val="clear" w:color="auto" w:fill="D9EAF7"/>
            <w:tcMar>
              <w:top w:w="70" w:type="dxa"/>
              <w:left w:w="80" w:type="dxa"/>
              <w:bottom w:w="70" w:type="dxa"/>
              <w:right w:w="80" w:type="dxa"/>
            </w:tcMar>
            <w:vAlign w:val="center"/>
          </w:tcPr>
          <w:p w14:paraId="27111F46">
            <w:pPr>
              <w:keepNext/>
              <w:spacing w:after="0"/>
              <w:jc w:val="center"/>
            </w:pPr>
            <w:r>
              <w:rPr>
                <w:rFonts w:ascii="宋体" w:hAnsi="宋体" w:eastAsia="宋体" w:cs="宋体"/>
                <w:b/>
                <w:color w:val="000000"/>
                <w:sz w:val="18"/>
              </w:rPr>
              <w:t>PDF页</w:t>
            </w:r>
          </w:p>
        </w:tc>
        <w:tc>
          <w:tcPr>
            <w:tcW w:w="6055" w:type="dxa"/>
            <w:shd w:val="clear" w:color="auto" w:fill="D9EAF7"/>
            <w:tcMar>
              <w:top w:w="70" w:type="dxa"/>
              <w:left w:w="80" w:type="dxa"/>
              <w:bottom w:w="70" w:type="dxa"/>
              <w:right w:w="80" w:type="dxa"/>
            </w:tcMar>
            <w:vAlign w:val="center"/>
          </w:tcPr>
          <w:p w14:paraId="5BC616CC">
            <w:pPr>
              <w:keepNext/>
              <w:spacing w:after="0"/>
              <w:jc w:val="center"/>
            </w:pPr>
            <w:r>
              <w:rPr>
                <w:rFonts w:ascii="宋体" w:hAnsi="宋体" w:eastAsia="宋体" w:cs="宋体"/>
                <w:b/>
                <w:color w:val="000000"/>
                <w:sz w:val="18"/>
              </w:rPr>
              <w:t>问题与证据</w:t>
            </w:r>
          </w:p>
        </w:tc>
      </w:tr>
      <w:tr w14:paraId="0BFFF50D">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12380D10">
            <w:pPr>
              <w:spacing w:after="0"/>
              <w:jc w:val="center"/>
            </w:pPr>
            <w:r>
              <w:rPr>
                <w:rFonts w:ascii="宋体" w:hAnsi="宋体" w:eastAsia="宋体" w:cs="宋体"/>
                <w:b/>
                <w:color w:val="000000"/>
                <w:sz w:val="18"/>
              </w:rPr>
              <w:t>重要</w:t>
            </w:r>
          </w:p>
        </w:tc>
        <w:tc>
          <w:tcPr>
            <w:tcW w:w="2320" w:type="dxa"/>
            <w:tcMar>
              <w:top w:w="70" w:type="dxa"/>
              <w:left w:w="80" w:type="dxa"/>
              <w:bottom w:w="70" w:type="dxa"/>
              <w:right w:w="80" w:type="dxa"/>
            </w:tcMar>
            <w:vAlign w:val="center"/>
          </w:tcPr>
          <w:p w14:paraId="72F4463B">
            <w:pPr>
              <w:spacing w:after="0"/>
              <w:jc w:val="center"/>
            </w:pPr>
            <w:r>
              <w:rPr>
                <w:rFonts w:ascii="宋体" w:hAnsi="宋体" w:eastAsia="宋体" w:cs="宋体"/>
                <w:b w:val="0"/>
                <w:color w:val="000000"/>
                <w:sz w:val="18"/>
              </w:rPr>
              <w:t>214</w:t>
            </w:r>
          </w:p>
        </w:tc>
        <w:tc>
          <w:tcPr>
            <w:tcW w:w="6055" w:type="dxa"/>
            <w:tcMar>
              <w:top w:w="70" w:type="dxa"/>
              <w:left w:w="80" w:type="dxa"/>
              <w:bottom w:w="70" w:type="dxa"/>
              <w:right w:w="80" w:type="dxa"/>
            </w:tcMar>
            <w:vAlign w:val="center"/>
          </w:tcPr>
          <w:p w14:paraId="0A183062">
            <w:pPr>
              <w:spacing w:after="0" w:line="259" w:lineRule="auto"/>
              <w:jc w:val="left"/>
            </w:pPr>
            <w:r>
              <w:rPr>
                <w:rFonts w:ascii="宋体" w:hAnsi="宋体" w:eastAsia="宋体" w:cs="宋体"/>
                <w:b/>
                <w:color w:val="000000"/>
                <w:sz w:val="18"/>
              </w:rPr>
              <w:t>全钾土地利用统计的均值超出本组范围</w:t>
            </w:r>
            <w:r>
              <w:br w:type="textWrapping"/>
            </w:r>
            <w:r>
              <w:rPr>
                <w:rFonts w:ascii="宋体" w:hAnsi="宋体" w:eastAsia="宋体" w:cs="宋体"/>
                <w:b/>
                <w:color w:val="000000"/>
                <w:sz w:val="18"/>
              </w:rPr>
              <w:t>证据：</w:t>
            </w:r>
            <w:r>
              <w:rPr>
                <w:rFonts w:ascii="宋体" w:hAnsi="宋体" w:eastAsia="宋体" w:cs="宋体"/>
                <w:b w:val="0"/>
                <w:color w:val="000000"/>
                <w:sz w:val="18"/>
              </w:rPr>
              <w:t>PDF第214页表4.37中，水浇地全钾均值18.80g/kg、范围15.60—15.60g/kg；旱地均值18.75g/kg、范围17.20—17.20g/kg。两组均值均不在各自所列范围内。</w:t>
            </w:r>
          </w:p>
        </w:tc>
      </w:tr>
      <w:tr w14:paraId="2BB16B97">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30A113D8">
            <w:pPr>
              <w:spacing w:after="0"/>
              <w:jc w:val="center"/>
            </w:pPr>
            <w:r>
              <w:rPr>
                <w:rFonts w:ascii="宋体" w:hAnsi="宋体" w:eastAsia="宋体" w:cs="宋体"/>
                <w:b/>
                <w:color w:val="000000"/>
                <w:sz w:val="18"/>
              </w:rPr>
              <w:t>重要</w:t>
            </w:r>
          </w:p>
        </w:tc>
        <w:tc>
          <w:tcPr>
            <w:tcW w:w="2320" w:type="dxa"/>
            <w:tcMar>
              <w:top w:w="70" w:type="dxa"/>
              <w:left w:w="80" w:type="dxa"/>
              <w:bottom w:w="70" w:type="dxa"/>
              <w:right w:w="80" w:type="dxa"/>
            </w:tcMar>
            <w:vAlign w:val="center"/>
          </w:tcPr>
          <w:p w14:paraId="0AE8780A">
            <w:pPr>
              <w:spacing w:after="0"/>
              <w:jc w:val="center"/>
            </w:pPr>
            <w:r>
              <w:rPr>
                <w:rFonts w:ascii="宋体" w:hAnsi="宋体" w:eastAsia="宋体" w:cs="宋体"/>
                <w:b w:val="0"/>
                <w:color w:val="000000"/>
                <w:sz w:val="18"/>
              </w:rPr>
              <w:t>218、222、270</w:t>
            </w:r>
          </w:p>
        </w:tc>
        <w:tc>
          <w:tcPr>
            <w:tcW w:w="6055" w:type="dxa"/>
            <w:tcMar>
              <w:top w:w="70" w:type="dxa"/>
              <w:left w:w="80" w:type="dxa"/>
              <w:bottom w:w="70" w:type="dxa"/>
              <w:right w:w="80" w:type="dxa"/>
            </w:tcMar>
            <w:vAlign w:val="center"/>
          </w:tcPr>
          <w:p w14:paraId="73A682B9">
            <w:pPr>
              <w:spacing w:after="0" w:line="259" w:lineRule="auto"/>
              <w:jc w:val="left"/>
            </w:pPr>
            <w:r>
              <w:rPr>
                <w:rFonts w:ascii="宋体" w:hAnsi="宋体" w:eastAsia="宋体" w:cs="宋体"/>
                <w:b/>
                <w:color w:val="000000"/>
                <w:sz w:val="18"/>
              </w:rPr>
              <w:t>异常值剔除与属性统计表的保留口径未说明</w:t>
            </w:r>
            <w:r>
              <w:br w:type="textWrapping"/>
            </w:r>
            <w:r>
              <w:rPr>
                <w:rFonts w:ascii="宋体" w:hAnsi="宋体" w:eastAsia="宋体" w:cs="宋体"/>
                <w:b/>
                <w:color w:val="000000"/>
                <w:sz w:val="18"/>
              </w:rPr>
              <w:t>证据：</w:t>
            </w:r>
            <w:r>
              <w:rPr>
                <w:rFonts w:ascii="宋体" w:hAnsi="宋体" w:eastAsia="宋体" w:cs="宋体"/>
                <w:b w:val="0"/>
                <w:color w:val="000000"/>
                <w:sz w:val="18"/>
              </w:rPr>
              <w:t>PDF第270页表4.81、4.82明确把速效钾801mg/kg和有效磷117mg/kg列为“超过标准差”并剔除；第218页表4.41的旱地有效磷范围仍为1.61—117.00mg/kg，第222页表4.45的旱地速效钾范围仍为54—801mg/kg。两张统计表未标明其为剔除前统计，正文也未解释属性统计与制图分别采用哪个版本。</w:t>
            </w:r>
          </w:p>
        </w:tc>
      </w:tr>
      <w:tr w14:paraId="49D5CC1C">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2A418E05">
            <w:pPr>
              <w:spacing w:after="0"/>
              <w:jc w:val="center"/>
            </w:pPr>
            <w:r>
              <w:rPr>
                <w:rFonts w:ascii="宋体" w:hAnsi="宋体" w:eastAsia="宋体" w:cs="宋体"/>
                <w:b/>
                <w:color w:val="000000"/>
                <w:sz w:val="18"/>
              </w:rPr>
              <w:t>严重</w:t>
            </w:r>
          </w:p>
        </w:tc>
        <w:tc>
          <w:tcPr>
            <w:tcW w:w="2320" w:type="dxa"/>
            <w:tcMar>
              <w:top w:w="70" w:type="dxa"/>
              <w:left w:w="80" w:type="dxa"/>
              <w:bottom w:w="70" w:type="dxa"/>
              <w:right w:w="80" w:type="dxa"/>
            </w:tcMar>
            <w:vAlign w:val="center"/>
          </w:tcPr>
          <w:p w14:paraId="403EFB38">
            <w:pPr>
              <w:spacing w:after="0"/>
              <w:jc w:val="center"/>
            </w:pPr>
            <w:r>
              <w:rPr>
                <w:rFonts w:ascii="宋体" w:hAnsi="宋体" w:eastAsia="宋体" w:cs="宋体"/>
                <w:b w:val="0"/>
                <w:color w:val="000000"/>
                <w:sz w:val="18"/>
              </w:rPr>
              <w:t>277—279</w:t>
            </w:r>
          </w:p>
        </w:tc>
        <w:tc>
          <w:tcPr>
            <w:tcW w:w="6055" w:type="dxa"/>
            <w:tcMar>
              <w:top w:w="70" w:type="dxa"/>
              <w:left w:w="80" w:type="dxa"/>
              <w:bottom w:w="70" w:type="dxa"/>
              <w:right w:w="80" w:type="dxa"/>
            </w:tcMar>
            <w:vAlign w:val="center"/>
          </w:tcPr>
          <w:p w14:paraId="113AE7A5">
            <w:pPr>
              <w:spacing w:after="0" w:line="259" w:lineRule="auto"/>
              <w:jc w:val="left"/>
            </w:pPr>
            <w:r>
              <w:rPr>
                <w:rFonts w:ascii="宋体" w:hAnsi="宋体" w:eastAsia="宋体" w:cs="宋体"/>
                <w:b/>
                <w:color w:val="000000"/>
                <w:sz w:val="18"/>
              </w:rPr>
              <w:t>属性制图模型选择表不能支撑全部采用随机森林</w:t>
            </w:r>
            <w:r>
              <w:br w:type="textWrapping"/>
            </w:r>
            <w:r>
              <w:rPr>
                <w:rFonts w:ascii="宋体" w:hAnsi="宋体" w:eastAsia="宋体" w:cs="宋体"/>
                <w:b/>
                <w:color w:val="000000"/>
                <w:sz w:val="18"/>
              </w:rPr>
              <w:t>证据：</w:t>
            </w:r>
            <w:r>
              <w:rPr>
                <w:rFonts w:ascii="宋体" w:hAnsi="宋体" w:eastAsia="宋体" w:cs="宋体"/>
                <w:b w:val="0"/>
                <w:color w:val="000000"/>
                <w:sz w:val="18"/>
              </w:rPr>
              <w:t>PDF第277页明确以R²和RMSE评价模型，第278页表4.91却只给随机森林RMSE，并将所有属性的制图模型均选为随机森林；同时多项属性的随机森林R²低于其他候选模型，例如有机质0.1083低于普通克里格0.2105、全磷0.0954低于普通克里格0.2282、容重0.0400低于线性回归0.090、交换性钾0.0040低于线性回归0.051。第279页没有给出采用非最高R²模型的逐项判定依据。</w:t>
            </w:r>
          </w:p>
        </w:tc>
      </w:tr>
    </w:tbl>
    <w:p w14:paraId="7791CB1B">
      <w:pPr>
        <w:spacing w:after="0" w:line="96" w:lineRule="auto"/>
      </w:pPr>
    </w:p>
    <w:p w14:paraId="33FB79E7">
      <w:pPr>
        <w:pStyle w:val="4"/>
        <w:keepNext/>
        <w:spacing w:before="120" w:after="80"/>
      </w:pPr>
      <w:r>
        <w:rPr>
          <w:rFonts w:ascii="微软雅黑" w:hAnsi="微软雅黑" w:eastAsia="微软雅黑" w:cs="微软雅黑"/>
          <w:b/>
          <w:color w:val="1F4E79"/>
          <w:sz w:val="24"/>
        </w:rPr>
        <w:t>问题类别五：第五章退化、障碍与改良</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06"/>
        <w:gridCol w:w="2330"/>
        <w:gridCol w:w="6045"/>
      </w:tblGrid>
      <w:tr w14:paraId="602E510F">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06" w:type="dxa"/>
            <w:shd w:val="clear" w:color="auto" w:fill="D9EAF7"/>
            <w:tcMar>
              <w:top w:w="70" w:type="dxa"/>
              <w:left w:w="80" w:type="dxa"/>
              <w:bottom w:w="70" w:type="dxa"/>
              <w:right w:w="80" w:type="dxa"/>
            </w:tcMar>
            <w:vAlign w:val="center"/>
          </w:tcPr>
          <w:p w14:paraId="5623B512">
            <w:pPr>
              <w:keepNext/>
              <w:spacing w:after="0"/>
              <w:jc w:val="center"/>
            </w:pPr>
            <w:r>
              <w:rPr>
                <w:rFonts w:ascii="宋体" w:hAnsi="宋体" w:eastAsia="宋体" w:cs="宋体"/>
                <w:b/>
                <w:color w:val="000000"/>
                <w:sz w:val="18"/>
              </w:rPr>
              <w:t>级别</w:t>
            </w:r>
          </w:p>
        </w:tc>
        <w:tc>
          <w:tcPr>
            <w:tcW w:w="2330" w:type="dxa"/>
            <w:shd w:val="clear" w:color="auto" w:fill="D9EAF7"/>
            <w:tcMar>
              <w:top w:w="70" w:type="dxa"/>
              <w:left w:w="80" w:type="dxa"/>
              <w:bottom w:w="70" w:type="dxa"/>
              <w:right w:w="80" w:type="dxa"/>
            </w:tcMar>
            <w:vAlign w:val="center"/>
          </w:tcPr>
          <w:p w14:paraId="52B61A26">
            <w:pPr>
              <w:keepNext/>
              <w:spacing w:after="0"/>
              <w:jc w:val="center"/>
            </w:pPr>
            <w:r>
              <w:rPr>
                <w:rFonts w:ascii="宋体" w:hAnsi="宋体" w:eastAsia="宋体" w:cs="宋体"/>
                <w:b/>
                <w:color w:val="000000"/>
                <w:sz w:val="18"/>
              </w:rPr>
              <w:t>PDF页</w:t>
            </w:r>
          </w:p>
        </w:tc>
        <w:tc>
          <w:tcPr>
            <w:tcW w:w="6045" w:type="dxa"/>
            <w:shd w:val="clear" w:color="auto" w:fill="D9EAF7"/>
            <w:tcMar>
              <w:top w:w="70" w:type="dxa"/>
              <w:left w:w="80" w:type="dxa"/>
              <w:bottom w:w="70" w:type="dxa"/>
              <w:right w:w="80" w:type="dxa"/>
            </w:tcMar>
            <w:vAlign w:val="center"/>
          </w:tcPr>
          <w:p w14:paraId="2CB2DB57">
            <w:pPr>
              <w:keepNext/>
              <w:spacing w:after="0"/>
              <w:jc w:val="center"/>
            </w:pPr>
            <w:r>
              <w:rPr>
                <w:rFonts w:ascii="宋体" w:hAnsi="宋体" w:eastAsia="宋体" w:cs="宋体"/>
                <w:b/>
                <w:color w:val="000000"/>
                <w:sz w:val="18"/>
              </w:rPr>
              <w:t>问题与证据</w:t>
            </w:r>
          </w:p>
        </w:tc>
      </w:tr>
      <w:tr w14:paraId="10D37B69">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3314392A">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5D8BC192">
            <w:pPr>
              <w:spacing w:after="0"/>
              <w:jc w:val="center"/>
            </w:pPr>
            <w:r>
              <w:rPr>
                <w:rFonts w:ascii="宋体" w:hAnsi="宋体" w:eastAsia="宋体" w:cs="宋体"/>
                <w:b w:val="0"/>
                <w:color w:val="000000"/>
                <w:sz w:val="18"/>
              </w:rPr>
              <w:t>233、236、286</w:t>
            </w:r>
          </w:p>
        </w:tc>
        <w:tc>
          <w:tcPr>
            <w:tcW w:w="6045" w:type="dxa"/>
            <w:tcMar>
              <w:top w:w="70" w:type="dxa"/>
              <w:left w:w="80" w:type="dxa"/>
              <w:bottom w:w="70" w:type="dxa"/>
              <w:right w:w="80" w:type="dxa"/>
            </w:tcMar>
            <w:vAlign w:val="center"/>
          </w:tcPr>
          <w:p w14:paraId="1E4A0BF3">
            <w:pPr>
              <w:spacing w:after="0" w:line="259" w:lineRule="auto"/>
              <w:jc w:val="left"/>
            </w:pPr>
            <w:r>
              <w:rPr>
                <w:rFonts w:ascii="宋体" w:hAnsi="宋体" w:eastAsia="宋体" w:cs="宋体"/>
                <w:b/>
                <w:color w:val="000000"/>
                <w:sz w:val="18"/>
              </w:rPr>
              <w:t>第五章有效铜、有效锌分级标准存在重叠和缺口</w:t>
            </w:r>
            <w:r>
              <w:br w:type="textWrapping"/>
            </w:r>
            <w:r>
              <w:rPr>
                <w:rFonts w:ascii="宋体" w:hAnsi="宋体" w:eastAsia="宋体" w:cs="宋体"/>
                <w:b/>
                <w:color w:val="000000"/>
                <w:sz w:val="18"/>
              </w:rPr>
              <w:t>证据：</w:t>
            </w:r>
            <w:r>
              <w:rPr>
                <w:rFonts w:ascii="宋体" w:hAnsi="宋体" w:eastAsia="宋体" w:cs="宋体"/>
                <w:b w:val="0"/>
                <w:color w:val="000000"/>
                <w:sz w:val="18"/>
              </w:rPr>
              <w:t>PDF第286页表5.1把有效铜III级和IV级均写为0.50—1.00mg/kg，V级又写≤0.50mg/kg，区间重复且边界重叠；有效锌III级1.00—1.50mg/kg后直接接IV级0.20—0.50mg/kg，缺少0.50—1.00mg/kg区间。第233页表4.57和第236页表4.60使用的铜、锌分级又与表5.1不同。</w:t>
            </w:r>
          </w:p>
        </w:tc>
      </w:tr>
      <w:tr w14:paraId="51C887C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FF2CC"/>
            <w:tcMar>
              <w:top w:w="70" w:type="dxa"/>
              <w:left w:w="80" w:type="dxa"/>
              <w:bottom w:w="70" w:type="dxa"/>
              <w:right w:w="80" w:type="dxa"/>
            </w:tcMar>
            <w:vAlign w:val="center"/>
          </w:tcPr>
          <w:p w14:paraId="28295DBA">
            <w:pPr>
              <w:spacing w:after="0"/>
              <w:jc w:val="center"/>
            </w:pPr>
            <w:r>
              <w:rPr>
                <w:rFonts w:ascii="宋体" w:hAnsi="宋体" w:eastAsia="宋体" w:cs="宋体"/>
                <w:b/>
                <w:color w:val="000000"/>
                <w:sz w:val="18"/>
              </w:rPr>
              <w:t>一般</w:t>
            </w:r>
          </w:p>
        </w:tc>
        <w:tc>
          <w:tcPr>
            <w:tcW w:w="2330" w:type="dxa"/>
            <w:tcMar>
              <w:top w:w="70" w:type="dxa"/>
              <w:left w:w="80" w:type="dxa"/>
              <w:bottom w:w="70" w:type="dxa"/>
              <w:right w:w="80" w:type="dxa"/>
            </w:tcMar>
            <w:vAlign w:val="center"/>
          </w:tcPr>
          <w:p w14:paraId="7DE27388">
            <w:pPr>
              <w:spacing w:after="0"/>
              <w:jc w:val="center"/>
            </w:pPr>
            <w:r>
              <w:rPr>
                <w:rFonts w:ascii="宋体" w:hAnsi="宋体" w:eastAsia="宋体" w:cs="宋体"/>
                <w:b w:val="0"/>
                <w:color w:val="000000"/>
                <w:sz w:val="18"/>
              </w:rPr>
              <w:t>286、289—291、305</w:t>
            </w:r>
          </w:p>
        </w:tc>
        <w:tc>
          <w:tcPr>
            <w:tcW w:w="6045" w:type="dxa"/>
            <w:tcMar>
              <w:top w:w="70" w:type="dxa"/>
              <w:left w:w="80" w:type="dxa"/>
              <w:bottom w:w="70" w:type="dxa"/>
              <w:right w:w="80" w:type="dxa"/>
            </w:tcMar>
            <w:vAlign w:val="center"/>
          </w:tcPr>
          <w:p w14:paraId="08C127A1">
            <w:pPr>
              <w:spacing w:after="0" w:line="259" w:lineRule="auto"/>
              <w:jc w:val="left"/>
            </w:pPr>
            <w:r>
              <w:rPr>
                <w:rFonts w:ascii="宋体" w:hAnsi="宋体" w:eastAsia="宋体" w:cs="宋体"/>
                <w:b/>
                <w:color w:val="000000"/>
                <w:sz w:val="18"/>
              </w:rPr>
              <w:t>第五章多张表题显示失效的章号引用域</w:t>
            </w:r>
            <w:r>
              <w:br w:type="textWrapping"/>
            </w:r>
            <w:r>
              <w:rPr>
                <w:rFonts w:ascii="宋体" w:hAnsi="宋体" w:eastAsia="宋体" w:cs="宋体"/>
                <w:b/>
                <w:color w:val="000000"/>
                <w:sz w:val="18"/>
              </w:rPr>
              <w:t>证据：</w:t>
            </w:r>
            <w:r>
              <w:rPr>
                <w:rFonts w:ascii="宋体" w:hAnsi="宋体" w:eastAsia="宋体" w:cs="宋体"/>
                <w:b w:val="0"/>
                <w:color w:val="000000"/>
                <w:sz w:val="18"/>
              </w:rPr>
              <w:t>PDF第286、289、290、291、305页等表题均直接显示“错误!文档中没有指定样式的文字。”，表号被拼接为“.1、.2、.3……”等不完整形式，说明章号交叉引用域未正确更新。</w:t>
            </w:r>
          </w:p>
        </w:tc>
      </w:tr>
      <w:tr w14:paraId="2CA4DCD2">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3FC8A674">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3D658EE8">
            <w:pPr>
              <w:spacing w:after="0"/>
              <w:jc w:val="center"/>
            </w:pPr>
            <w:r>
              <w:rPr>
                <w:rFonts w:ascii="宋体" w:hAnsi="宋体" w:eastAsia="宋体" w:cs="宋体"/>
                <w:b w:val="0"/>
                <w:color w:val="000000"/>
                <w:sz w:val="18"/>
              </w:rPr>
              <w:t>200、289—292</w:t>
            </w:r>
          </w:p>
        </w:tc>
        <w:tc>
          <w:tcPr>
            <w:tcW w:w="6045" w:type="dxa"/>
            <w:tcMar>
              <w:top w:w="70" w:type="dxa"/>
              <w:left w:w="80" w:type="dxa"/>
              <w:bottom w:w="70" w:type="dxa"/>
              <w:right w:w="80" w:type="dxa"/>
            </w:tcMar>
            <w:vAlign w:val="center"/>
          </w:tcPr>
          <w:p w14:paraId="47868943">
            <w:pPr>
              <w:spacing w:after="0" w:line="259" w:lineRule="auto"/>
              <w:jc w:val="left"/>
            </w:pPr>
            <w:r>
              <w:rPr>
                <w:rFonts w:ascii="宋体" w:hAnsi="宋体" w:eastAsia="宋体" w:cs="宋体"/>
                <w:b/>
                <w:color w:val="000000"/>
                <w:sz w:val="18"/>
              </w:rPr>
              <w:t>有机质低水平面积出现0.36、约0.34和约0.28万亩三套结果</w:t>
            </w:r>
            <w:r>
              <w:br w:type="textWrapping"/>
            </w:r>
            <w:r>
              <w:rPr>
                <w:rFonts w:ascii="宋体" w:hAnsi="宋体" w:eastAsia="宋体" w:cs="宋体"/>
                <w:b/>
                <w:color w:val="000000"/>
                <w:sz w:val="18"/>
              </w:rPr>
              <w:t>证据：</w:t>
            </w:r>
            <w:r>
              <w:rPr>
                <w:rFonts w:ascii="宋体" w:hAnsi="宋体" w:eastAsia="宋体" w:cs="宋体"/>
                <w:b w:val="0"/>
                <w:color w:val="000000"/>
                <w:sz w:val="18"/>
              </w:rPr>
              <w:t>PDF第200页表4.24全县有机质V级（≤10g/kg）面积为0.36万亩；第289页表5.2五类用地V级面积相加约0.3424万亩；第290页表5.4相加约0.2813万亩；第292页正文又写全县总面积0.28万亩。报告未说明这些结果的评价对象或数据版本差异。</w:t>
            </w:r>
          </w:p>
        </w:tc>
      </w:tr>
      <w:tr w14:paraId="40F022D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FF2CC"/>
            <w:tcMar>
              <w:top w:w="70" w:type="dxa"/>
              <w:left w:w="80" w:type="dxa"/>
              <w:bottom w:w="70" w:type="dxa"/>
              <w:right w:w="80" w:type="dxa"/>
            </w:tcMar>
            <w:vAlign w:val="center"/>
          </w:tcPr>
          <w:p w14:paraId="698C08F5">
            <w:pPr>
              <w:spacing w:after="0"/>
              <w:jc w:val="center"/>
            </w:pPr>
            <w:r>
              <w:rPr>
                <w:rFonts w:ascii="宋体" w:hAnsi="宋体" w:eastAsia="宋体" w:cs="宋体"/>
                <w:b/>
                <w:color w:val="000000"/>
                <w:sz w:val="18"/>
              </w:rPr>
              <w:t>一般</w:t>
            </w:r>
          </w:p>
        </w:tc>
        <w:tc>
          <w:tcPr>
            <w:tcW w:w="2330" w:type="dxa"/>
            <w:tcMar>
              <w:top w:w="70" w:type="dxa"/>
              <w:left w:w="80" w:type="dxa"/>
              <w:bottom w:w="70" w:type="dxa"/>
              <w:right w:w="80" w:type="dxa"/>
            </w:tcMar>
            <w:vAlign w:val="center"/>
          </w:tcPr>
          <w:p w14:paraId="03C0C893">
            <w:pPr>
              <w:spacing w:after="0"/>
              <w:jc w:val="center"/>
            </w:pPr>
            <w:r>
              <w:rPr>
                <w:rFonts w:ascii="宋体" w:hAnsi="宋体" w:eastAsia="宋体" w:cs="宋体"/>
                <w:b w:val="0"/>
                <w:color w:val="000000"/>
                <w:sz w:val="18"/>
              </w:rPr>
              <w:t>290—291</w:t>
            </w:r>
          </w:p>
        </w:tc>
        <w:tc>
          <w:tcPr>
            <w:tcW w:w="6045" w:type="dxa"/>
            <w:tcMar>
              <w:top w:w="70" w:type="dxa"/>
              <w:left w:w="80" w:type="dxa"/>
              <w:bottom w:w="70" w:type="dxa"/>
              <w:right w:w="80" w:type="dxa"/>
            </w:tcMar>
            <w:vAlign w:val="center"/>
          </w:tcPr>
          <w:p w14:paraId="53F0F17A">
            <w:pPr>
              <w:spacing w:after="0" w:line="259" w:lineRule="auto"/>
              <w:jc w:val="left"/>
            </w:pPr>
            <w:r>
              <w:rPr>
                <w:rFonts w:ascii="宋体" w:hAnsi="宋体" w:eastAsia="宋体" w:cs="宋体"/>
                <w:b/>
                <w:color w:val="000000"/>
                <w:sz w:val="18"/>
              </w:rPr>
              <w:t>乡镇名称和有机质值域存在明显编辑错误</w:t>
            </w:r>
            <w:r>
              <w:br w:type="textWrapping"/>
            </w:r>
            <w:r>
              <w:rPr>
                <w:rFonts w:ascii="宋体" w:hAnsi="宋体" w:eastAsia="宋体" w:cs="宋体"/>
                <w:b/>
                <w:color w:val="000000"/>
                <w:sz w:val="18"/>
              </w:rPr>
              <w:t>证据：</w:t>
            </w:r>
            <w:r>
              <w:rPr>
                <w:rFonts w:ascii="宋体" w:hAnsi="宋体" w:eastAsia="宋体" w:cs="宋体"/>
                <w:b w:val="0"/>
                <w:color w:val="000000"/>
                <w:sz w:val="18"/>
              </w:rPr>
              <w:t>PDF第290页两次出现本县乡镇清单之外的“王桥镇”，而报告其他位置使用“于桥镇”；第291页表中东光镇有机质值域写为13.42—66.07g/kg，但同表平均值仅14.50g/kg，第200页全县有机质最大值为24.40g/kg。</w:t>
            </w:r>
          </w:p>
        </w:tc>
      </w:tr>
      <w:tr w14:paraId="2B005230">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0BFA4FE6">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1484F858">
            <w:pPr>
              <w:spacing w:after="0"/>
              <w:jc w:val="center"/>
            </w:pPr>
            <w:r>
              <w:rPr>
                <w:rFonts w:ascii="宋体" w:hAnsi="宋体" w:eastAsia="宋体" w:cs="宋体"/>
                <w:b w:val="0"/>
                <w:color w:val="000000"/>
                <w:sz w:val="18"/>
              </w:rPr>
              <w:t>305</w:t>
            </w:r>
          </w:p>
        </w:tc>
        <w:tc>
          <w:tcPr>
            <w:tcW w:w="6045" w:type="dxa"/>
            <w:tcMar>
              <w:top w:w="70" w:type="dxa"/>
              <w:left w:w="80" w:type="dxa"/>
              <w:bottom w:w="70" w:type="dxa"/>
              <w:right w:w="80" w:type="dxa"/>
            </w:tcMar>
            <w:vAlign w:val="center"/>
          </w:tcPr>
          <w:p w14:paraId="48CDF4D2">
            <w:pPr>
              <w:spacing w:after="0" w:line="259" w:lineRule="auto"/>
              <w:jc w:val="left"/>
            </w:pPr>
            <w:r>
              <w:rPr>
                <w:rFonts w:ascii="宋体" w:hAnsi="宋体" w:eastAsia="宋体" w:cs="宋体"/>
                <w:b/>
                <w:color w:val="000000"/>
                <w:sz w:val="18"/>
              </w:rPr>
              <w:t>有效硼面积栏多处缺失小数点</w:t>
            </w:r>
            <w:r>
              <w:br w:type="textWrapping"/>
            </w:r>
            <w:r>
              <w:rPr>
                <w:rFonts w:ascii="宋体" w:hAnsi="宋体" w:eastAsia="宋体" w:cs="宋体"/>
                <w:b/>
                <w:color w:val="000000"/>
                <w:sz w:val="18"/>
              </w:rPr>
              <w:t>证据：</w:t>
            </w:r>
            <w:r>
              <w:rPr>
                <w:rFonts w:ascii="宋体" w:hAnsi="宋体" w:eastAsia="宋体" w:cs="宋体"/>
                <w:b w:val="0"/>
                <w:color w:val="000000"/>
                <w:sz w:val="18"/>
              </w:rPr>
              <w:t>PDF第305页有效硼分级表中，耕地II级面积写548万亩、占比0.07%，耕地IV级写909万亩、占比0.12%，林地IV级写69万亩、占比0.15%。这些面积远超全县土地面积，且与对应占比不匹配。</w:t>
            </w:r>
          </w:p>
        </w:tc>
      </w:tr>
    </w:tbl>
    <w:p w14:paraId="0CD08324">
      <w:pPr>
        <w:spacing w:after="0" w:line="96" w:lineRule="auto"/>
      </w:pPr>
    </w:p>
    <w:p w14:paraId="34CA5982">
      <w:pPr>
        <w:pStyle w:val="4"/>
        <w:keepNext/>
        <w:spacing w:before="120" w:after="80"/>
      </w:pPr>
      <w:r>
        <w:rPr>
          <w:rFonts w:ascii="微软雅黑" w:hAnsi="微软雅黑" w:eastAsia="微软雅黑" w:cs="微软雅黑"/>
          <w:b/>
          <w:color w:val="1F4E79"/>
          <w:sz w:val="24"/>
        </w:rPr>
        <w:t>问题类别六：专题评价</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06"/>
        <w:gridCol w:w="2330"/>
        <w:gridCol w:w="6045"/>
      </w:tblGrid>
      <w:tr w14:paraId="3BF7E115">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06" w:type="dxa"/>
            <w:shd w:val="clear" w:color="auto" w:fill="D9EAF7"/>
            <w:tcMar>
              <w:top w:w="70" w:type="dxa"/>
              <w:left w:w="80" w:type="dxa"/>
              <w:bottom w:w="70" w:type="dxa"/>
              <w:right w:w="80" w:type="dxa"/>
            </w:tcMar>
            <w:vAlign w:val="center"/>
          </w:tcPr>
          <w:p w14:paraId="57B5E0ED">
            <w:pPr>
              <w:keepNext/>
              <w:spacing w:after="0"/>
              <w:jc w:val="center"/>
            </w:pPr>
            <w:r>
              <w:rPr>
                <w:rFonts w:ascii="宋体" w:hAnsi="宋体" w:eastAsia="宋体" w:cs="宋体"/>
                <w:b/>
                <w:color w:val="000000"/>
                <w:sz w:val="18"/>
              </w:rPr>
              <w:t>级别</w:t>
            </w:r>
          </w:p>
        </w:tc>
        <w:tc>
          <w:tcPr>
            <w:tcW w:w="2330" w:type="dxa"/>
            <w:shd w:val="clear" w:color="auto" w:fill="D9EAF7"/>
            <w:tcMar>
              <w:top w:w="70" w:type="dxa"/>
              <w:left w:w="80" w:type="dxa"/>
              <w:bottom w:w="70" w:type="dxa"/>
              <w:right w:w="80" w:type="dxa"/>
            </w:tcMar>
            <w:vAlign w:val="center"/>
          </w:tcPr>
          <w:p w14:paraId="60B44EDF">
            <w:pPr>
              <w:keepNext/>
              <w:spacing w:after="0"/>
              <w:jc w:val="center"/>
            </w:pPr>
            <w:r>
              <w:rPr>
                <w:rFonts w:ascii="宋体" w:hAnsi="宋体" w:eastAsia="宋体" w:cs="宋体"/>
                <w:b/>
                <w:color w:val="000000"/>
                <w:sz w:val="18"/>
              </w:rPr>
              <w:t>PDF页</w:t>
            </w:r>
          </w:p>
        </w:tc>
        <w:tc>
          <w:tcPr>
            <w:tcW w:w="6045" w:type="dxa"/>
            <w:shd w:val="clear" w:color="auto" w:fill="D9EAF7"/>
            <w:tcMar>
              <w:top w:w="70" w:type="dxa"/>
              <w:left w:w="80" w:type="dxa"/>
              <w:bottom w:w="70" w:type="dxa"/>
              <w:right w:w="80" w:type="dxa"/>
            </w:tcMar>
            <w:vAlign w:val="center"/>
          </w:tcPr>
          <w:p w14:paraId="3D054D82">
            <w:pPr>
              <w:keepNext/>
              <w:spacing w:after="0"/>
              <w:jc w:val="center"/>
            </w:pPr>
            <w:r>
              <w:rPr>
                <w:rFonts w:ascii="宋体" w:hAnsi="宋体" w:eastAsia="宋体" w:cs="宋体"/>
                <w:b/>
                <w:color w:val="000000"/>
                <w:sz w:val="18"/>
              </w:rPr>
              <w:t>问题与证据</w:t>
            </w:r>
          </w:p>
        </w:tc>
      </w:tr>
      <w:tr w14:paraId="429D05FA">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3F3C2D29">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0BE498F7">
            <w:pPr>
              <w:spacing w:after="0"/>
              <w:jc w:val="center"/>
            </w:pPr>
            <w:r>
              <w:rPr>
                <w:rFonts w:ascii="宋体" w:hAnsi="宋体" w:eastAsia="宋体" w:cs="宋体"/>
                <w:b w:val="0"/>
                <w:color w:val="000000"/>
                <w:sz w:val="18"/>
              </w:rPr>
              <w:t>325、327、330—332、387</w:t>
            </w:r>
          </w:p>
        </w:tc>
        <w:tc>
          <w:tcPr>
            <w:tcW w:w="6045" w:type="dxa"/>
            <w:tcMar>
              <w:top w:w="70" w:type="dxa"/>
              <w:left w:w="80" w:type="dxa"/>
              <w:bottom w:w="70" w:type="dxa"/>
              <w:right w:w="80" w:type="dxa"/>
            </w:tcMar>
            <w:vAlign w:val="center"/>
          </w:tcPr>
          <w:p w14:paraId="42319403">
            <w:pPr>
              <w:spacing w:after="0" w:line="259" w:lineRule="auto"/>
              <w:jc w:val="left"/>
            </w:pPr>
            <w:r>
              <w:rPr>
                <w:rFonts w:ascii="宋体" w:hAnsi="宋体" w:eastAsia="宋体" w:cs="宋体"/>
                <w:b/>
                <w:color w:val="000000"/>
                <w:sz w:val="18"/>
              </w:rPr>
              <w:t>适宜性评价总面积和比例存在81.61、82.61及两套百分比</w:t>
            </w:r>
            <w:r>
              <w:br w:type="textWrapping"/>
            </w:r>
            <w:r>
              <w:rPr>
                <w:rFonts w:ascii="宋体" w:hAnsi="宋体" w:eastAsia="宋体" w:cs="宋体"/>
                <w:b/>
                <w:color w:val="000000"/>
                <w:sz w:val="18"/>
              </w:rPr>
              <w:t>证据：</w:t>
            </w:r>
            <w:r>
              <w:rPr>
                <w:rFonts w:ascii="宋体" w:hAnsi="宋体" w:eastAsia="宋体" w:cs="宋体"/>
                <w:b w:val="0"/>
                <w:color w:val="000000"/>
                <w:sz w:val="18"/>
              </w:rPr>
              <w:t>PDF第330—331页统计高度适宜71.20万亩、中度适宜10.41万亩，合计81.61万亩，占比87.25%和12.75%；第327页及第387页改写为87.15%和12.85%；第332页表6.19“合计”面积写82.61万亩、占比写81.61%，第387页正文也采用82.61万亩。</w:t>
            </w:r>
          </w:p>
        </w:tc>
      </w:tr>
      <w:tr w14:paraId="3404DC5F">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7D867235">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323F435B">
            <w:pPr>
              <w:spacing w:after="0"/>
              <w:jc w:val="center"/>
            </w:pPr>
            <w:r>
              <w:rPr>
                <w:rFonts w:ascii="宋体" w:hAnsi="宋体" w:eastAsia="宋体" w:cs="宋体"/>
                <w:b w:val="0"/>
                <w:color w:val="000000"/>
                <w:sz w:val="18"/>
              </w:rPr>
              <w:t>328、371—384</w:t>
            </w:r>
          </w:p>
        </w:tc>
        <w:tc>
          <w:tcPr>
            <w:tcW w:w="6045" w:type="dxa"/>
            <w:tcMar>
              <w:top w:w="70" w:type="dxa"/>
              <w:left w:w="80" w:type="dxa"/>
              <w:bottom w:w="70" w:type="dxa"/>
              <w:right w:w="80" w:type="dxa"/>
            </w:tcMar>
            <w:vAlign w:val="center"/>
          </w:tcPr>
          <w:p w14:paraId="77EB16D8">
            <w:pPr>
              <w:spacing w:after="0" w:line="259" w:lineRule="auto"/>
              <w:jc w:val="left"/>
            </w:pPr>
            <w:r>
              <w:rPr>
                <w:rFonts w:ascii="宋体" w:hAnsi="宋体" w:eastAsia="宋体" w:cs="宋体"/>
                <w:b/>
                <w:color w:val="000000"/>
                <w:sz w:val="18"/>
              </w:rPr>
              <w:t>排水能力评价在第六、七章给出相反分布</w:t>
            </w:r>
            <w:r>
              <w:br w:type="textWrapping"/>
            </w:r>
            <w:r>
              <w:rPr>
                <w:rFonts w:ascii="宋体" w:hAnsi="宋体" w:eastAsia="宋体" w:cs="宋体"/>
                <w:b/>
                <w:color w:val="000000"/>
                <w:sz w:val="18"/>
              </w:rPr>
              <w:t>证据：</w:t>
            </w:r>
            <w:r>
              <w:rPr>
                <w:rFonts w:ascii="宋体" w:hAnsi="宋体" w:eastAsia="宋体" w:cs="宋体"/>
                <w:b w:val="0"/>
                <w:color w:val="000000"/>
                <w:sz w:val="18"/>
              </w:rPr>
              <w:t>PDF第328页称全县排水能力只有2级“满足”和3级“基本满足”，明确“全县无4级（不满足）排水能力区域分布”；第371—373页却说明五、六、七等耕地存在或以“不满足”为主，第384页表7.22统计排水“不满足”341572亩，占耕地45.41%。报告未解释同一指标在两套评价中的阈值或评价单元差异。</w:t>
            </w:r>
          </w:p>
        </w:tc>
      </w:tr>
      <w:tr w14:paraId="603EC2DB">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2A7EA61F">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74EEE59F">
            <w:pPr>
              <w:spacing w:after="0"/>
              <w:jc w:val="center"/>
            </w:pPr>
            <w:r>
              <w:rPr>
                <w:rFonts w:ascii="宋体" w:hAnsi="宋体" w:eastAsia="宋体" w:cs="宋体"/>
                <w:b w:val="0"/>
                <w:color w:val="000000"/>
                <w:sz w:val="18"/>
              </w:rPr>
              <w:t>339、362、367</w:t>
            </w:r>
          </w:p>
        </w:tc>
        <w:tc>
          <w:tcPr>
            <w:tcW w:w="6045" w:type="dxa"/>
            <w:tcMar>
              <w:top w:w="70" w:type="dxa"/>
              <w:left w:w="80" w:type="dxa"/>
              <w:bottom w:w="70" w:type="dxa"/>
              <w:right w:w="80" w:type="dxa"/>
            </w:tcMar>
            <w:vAlign w:val="center"/>
          </w:tcPr>
          <w:p w14:paraId="487C981A">
            <w:pPr>
              <w:spacing w:after="0" w:line="259" w:lineRule="auto"/>
              <w:jc w:val="left"/>
            </w:pPr>
            <w:r>
              <w:rPr>
                <w:rFonts w:ascii="宋体" w:hAnsi="宋体" w:eastAsia="宋体" w:cs="宋体"/>
                <w:b/>
                <w:color w:val="000000"/>
                <w:sz w:val="18"/>
              </w:rPr>
              <w:t>耕地质量面积单位和计算分母多处错误</w:t>
            </w:r>
            <w:r>
              <w:br w:type="textWrapping"/>
            </w:r>
            <w:r>
              <w:rPr>
                <w:rFonts w:ascii="宋体" w:hAnsi="宋体" w:eastAsia="宋体" w:cs="宋体"/>
                <w:b/>
                <w:color w:val="000000"/>
                <w:sz w:val="18"/>
              </w:rPr>
              <w:t>证据：</w:t>
            </w:r>
            <w:r>
              <w:rPr>
                <w:rFonts w:ascii="宋体" w:hAnsi="宋体" w:eastAsia="宋体" w:cs="宋体"/>
                <w:b w:val="0"/>
                <w:color w:val="000000"/>
                <w:sz w:val="18"/>
              </w:rPr>
              <w:t>PDF第339页将高等级耕地4189亩写成“4189万亩”；第362页将耕地总面积写为75.51万亩并用于复种指数计算，而第367页表中总面积为752224亩（75.2224万亩），第58页土地利用耕地面积也为75.22万亩。</w:t>
            </w:r>
          </w:p>
        </w:tc>
      </w:tr>
      <w:tr w14:paraId="6B2E7F11">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4CCCC"/>
            <w:tcMar>
              <w:top w:w="70" w:type="dxa"/>
              <w:left w:w="80" w:type="dxa"/>
              <w:bottom w:w="70" w:type="dxa"/>
              <w:right w:w="80" w:type="dxa"/>
            </w:tcMar>
            <w:vAlign w:val="center"/>
          </w:tcPr>
          <w:p w14:paraId="7A0ED5CF">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71A2FD15">
            <w:pPr>
              <w:spacing w:after="0"/>
              <w:jc w:val="center"/>
            </w:pPr>
            <w:r>
              <w:rPr>
                <w:rFonts w:ascii="宋体" w:hAnsi="宋体" w:eastAsia="宋体" w:cs="宋体"/>
                <w:b w:val="0"/>
                <w:color w:val="000000"/>
                <w:sz w:val="18"/>
              </w:rPr>
              <w:t>362、383</w:t>
            </w:r>
          </w:p>
        </w:tc>
        <w:tc>
          <w:tcPr>
            <w:tcW w:w="6045" w:type="dxa"/>
            <w:tcMar>
              <w:top w:w="70" w:type="dxa"/>
              <w:left w:w="80" w:type="dxa"/>
              <w:bottom w:w="70" w:type="dxa"/>
              <w:right w:w="80" w:type="dxa"/>
            </w:tcMar>
            <w:vAlign w:val="center"/>
          </w:tcPr>
          <w:p w14:paraId="6552E7FF">
            <w:pPr>
              <w:spacing w:after="0" w:line="259" w:lineRule="auto"/>
              <w:jc w:val="left"/>
            </w:pPr>
            <w:r>
              <w:rPr>
                <w:rFonts w:ascii="宋体" w:hAnsi="宋体" w:eastAsia="宋体" w:cs="宋体"/>
                <w:b/>
                <w:color w:val="000000"/>
                <w:sz w:val="18"/>
              </w:rPr>
              <w:t>表7.21将各等级耕地总面积整行错配</w:t>
            </w:r>
            <w:r>
              <w:br w:type="textWrapping"/>
            </w:r>
            <w:r>
              <w:rPr>
                <w:rFonts w:ascii="宋体" w:hAnsi="宋体" w:eastAsia="宋体" w:cs="宋体"/>
                <w:b/>
                <w:color w:val="000000"/>
                <w:sz w:val="18"/>
              </w:rPr>
              <w:t>证据：</w:t>
            </w:r>
            <w:r>
              <w:rPr>
                <w:rFonts w:ascii="宋体" w:hAnsi="宋体" w:eastAsia="宋体" w:cs="宋体"/>
                <w:b w:val="0"/>
                <w:color w:val="000000"/>
                <w:sz w:val="18"/>
              </w:rPr>
              <w:t>PDF第362页及表7.9给出的三至七等面积依次为4189、187362、324862、158649、77161亩；第383页表7.21“水资源条件的耕地面积分布”同一等级的总计却依次写成158649、77161、4189、187362、324862亩，五个等级的总量全部发生置换。</w:t>
            </w:r>
          </w:p>
        </w:tc>
      </w:tr>
      <w:tr w14:paraId="7805CB66">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68F27D89">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42471D6C">
            <w:pPr>
              <w:spacing w:after="0"/>
              <w:jc w:val="center"/>
            </w:pPr>
            <w:r>
              <w:rPr>
                <w:rFonts w:ascii="宋体" w:hAnsi="宋体" w:eastAsia="宋体" w:cs="宋体"/>
                <w:b w:val="0"/>
                <w:color w:val="000000"/>
                <w:sz w:val="18"/>
              </w:rPr>
              <w:t>222、282、285、383、385</w:t>
            </w:r>
          </w:p>
        </w:tc>
        <w:tc>
          <w:tcPr>
            <w:tcW w:w="6045" w:type="dxa"/>
            <w:tcMar>
              <w:top w:w="70" w:type="dxa"/>
              <w:left w:w="80" w:type="dxa"/>
              <w:bottom w:w="70" w:type="dxa"/>
              <w:right w:w="80" w:type="dxa"/>
            </w:tcMar>
            <w:vAlign w:val="center"/>
          </w:tcPr>
          <w:p w14:paraId="5A4BDE34">
            <w:pPr>
              <w:spacing w:after="0" w:line="259" w:lineRule="auto"/>
              <w:jc w:val="left"/>
            </w:pPr>
            <w:r>
              <w:rPr>
                <w:rFonts w:ascii="宋体" w:hAnsi="宋体" w:eastAsia="宋体" w:cs="宋体"/>
                <w:b/>
                <w:color w:val="000000"/>
                <w:sz w:val="18"/>
              </w:rPr>
              <w:t>耕地质量问题段的缺钾结论与前述结果相反</w:t>
            </w:r>
            <w:r>
              <w:br w:type="textWrapping"/>
            </w:r>
            <w:r>
              <w:rPr>
                <w:rFonts w:ascii="宋体" w:hAnsi="宋体" w:eastAsia="宋体" w:cs="宋体"/>
                <w:b/>
                <w:color w:val="000000"/>
                <w:sz w:val="18"/>
              </w:rPr>
              <w:t>证据：</w:t>
            </w:r>
            <w:r>
              <w:rPr>
                <w:rFonts w:ascii="宋体" w:hAnsi="宋体" w:eastAsia="宋体" w:cs="宋体"/>
                <w:b w:val="0"/>
                <w:color w:val="000000"/>
                <w:sz w:val="18"/>
              </w:rPr>
              <w:t>PDF第222页速效钾样点均值148mg/kg、制图均值152mg/kg；第282页称均值由131.21升至146.61mg/kg且“未出现明显缺钾”，第285页称速效钾中等至较高、无养分缺乏或失衡障碍；第383页表7.20全部耕地均为2级或3级。第385页却称“速效钾含量下降”、形成“钾匮乏、微缺失”的失衡状态。</w:t>
            </w:r>
          </w:p>
        </w:tc>
      </w:tr>
      <w:tr w14:paraId="035A1945">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06" w:type="dxa"/>
            <w:shd w:val="clear" w:color="auto" w:fill="FCE5CD"/>
            <w:tcMar>
              <w:top w:w="70" w:type="dxa"/>
              <w:left w:w="80" w:type="dxa"/>
              <w:bottom w:w="70" w:type="dxa"/>
              <w:right w:w="80" w:type="dxa"/>
            </w:tcMar>
            <w:vAlign w:val="center"/>
          </w:tcPr>
          <w:p w14:paraId="73138DAB">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159795DC">
            <w:pPr>
              <w:spacing w:after="0"/>
              <w:jc w:val="center"/>
            </w:pPr>
            <w:r>
              <w:rPr>
                <w:rFonts w:ascii="宋体" w:hAnsi="宋体" w:eastAsia="宋体" w:cs="宋体"/>
                <w:b w:val="0"/>
                <w:color w:val="000000"/>
                <w:sz w:val="18"/>
              </w:rPr>
              <w:t>3—6、387—392</w:t>
            </w:r>
          </w:p>
        </w:tc>
        <w:tc>
          <w:tcPr>
            <w:tcW w:w="6045" w:type="dxa"/>
            <w:tcMar>
              <w:top w:w="70" w:type="dxa"/>
              <w:left w:w="80" w:type="dxa"/>
              <w:bottom w:w="70" w:type="dxa"/>
              <w:right w:w="80" w:type="dxa"/>
            </w:tcMar>
            <w:vAlign w:val="center"/>
          </w:tcPr>
          <w:p w14:paraId="7EF4DA4E">
            <w:pPr>
              <w:spacing w:after="0" w:line="259" w:lineRule="auto"/>
              <w:jc w:val="left"/>
            </w:pPr>
            <w:r>
              <w:rPr>
                <w:rFonts w:ascii="宋体" w:hAnsi="宋体" w:eastAsia="宋体" w:cs="宋体"/>
                <w:b/>
                <w:color w:val="000000"/>
                <w:sz w:val="18"/>
              </w:rPr>
              <w:t>未说明土特产品土壤适宜性评价任务是否适用</w:t>
            </w:r>
            <w:r>
              <w:br w:type="textWrapping"/>
            </w:r>
            <w:r>
              <w:rPr>
                <w:rFonts w:ascii="宋体" w:hAnsi="宋体" w:eastAsia="宋体" w:cs="宋体"/>
                <w:b/>
                <w:color w:val="000000"/>
                <w:sz w:val="18"/>
              </w:rPr>
              <w:t>证据：</w:t>
            </w:r>
            <w:r>
              <w:rPr>
                <w:rFonts w:ascii="宋体" w:hAnsi="宋体" w:eastAsia="宋体" w:cs="宋体"/>
                <w:b w:val="0"/>
                <w:color w:val="000000"/>
                <w:sz w:val="18"/>
              </w:rPr>
              <w:t>目录PDF第3—6页从第七章耕地质量等级评价直接进入第八章土壤资源综合利用建议；正文第387—392页也直接为综合利用建议。全文未设置土特产品土壤适宜性评价章节，也未说明该专题未开展或不适用。</w:t>
            </w:r>
          </w:p>
        </w:tc>
      </w:tr>
    </w:tbl>
    <w:p w14:paraId="35443BF4">
      <w:pPr>
        <w:spacing w:after="0" w:line="96" w:lineRule="auto"/>
      </w:pPr>
    </w:p>
    <w:p w14:paraId="29E0EEE9">
      <w:pPr>
        <w:pStyle w:val="4"/>
        <w:keepNext/>
        <w:spacing w:before="120" w:after="80"/>
      </w:pPr>
      <w:r>
        <w:rPr>
          <w:rFonts w:ascii="微软雅黑" w:hAnsi="微软雅黑" w:eastAsia="微软雅黑" w:cs="微软雅黑"/>
          <w:b/>
          <w:color w:val="1F4E79"/>
          <w:sz w:val="24"/>
        </w:rPr>
        <w:t>问题类别七：土壤资源综合利用建议</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26"/>
        <w:gridCol w:w="2330"/>
        <w:gridCol w:w="6025"/>
      </w:tblGrid>
      <w:tr w14:paraId="48C3DE8F">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26" w:type="dxa"/>
            <w:shd w:val="clear" w:color="auto" w:fill="D9EAF7"/>
            <w:tcMar>
              <w:top w:w="70" w:type="dxa"/>
              <w:left w:w="80" w:type="dxa"/>
              <w:bottom w:w="70" w:type="dxa"/>
              <w:right w:w="80" w:type="dxa"/>
            </w:tcMar>
            <w:vAlign w:val="center"/>
          </w:tcPr>
          <w:p w14:paraId="0B612CE4">
            <w:pPr>
              <w:keepNext/>
              <w:spacing w:after="0"/>
              <w:jc w:val="center"/>
            </w:pPr>
            <w:r>
              <w:rPr>
                <w:rFonts w:ascii="宋体" w:hAnsi="宋体" w:eastAsia="宋体" w:cs="宋体"/>
                <w:b/>
                <w:color w:val="000000"/>
                <w:sz w:val="18"/>
              </w:rPr>
              <w:t>级别</w:t>
            </w:r>
          </w:p>
        </w:tc>
        <w:tc>
          <w:tcPr>
            <w:tcW w:w="2330" w:type="dxa"/>
            <w:shd w:val="clear" w:color="auto" w:fill="D9EAF7"/>
            <w:tcMar>
              <w:top w:w="70" w:type="dxa"/>
              <w:left w:w="80" w:type="dxa"/>
              <w:bottom w:w="70" w:type="dxa"/>
              <w:right w:w="80" w:type="dxa"/>
            </w:tcMar>
            <w:vAlign w:val="center"/>
          </w:tcPr>
          <w:p w14:paraId="2685A0AA">
            <w:pPr>
              <w:keepNext/>
              <w:spacing w:after="0"/>
              <w:jc w:val="center"/>
            </w:pPr>
            <w:r>
              <w:rPr>
                <w:rFonts w:ascii="宋体" w:hAnsi="宋体" w:eastAsia="宋体" w:cs="宋体"/>
                <w:b/>
                <w:color w:val="000000"/>
                <w:sz w:val="18"/>
              </w:rPr>
              <w:t>PDF页</w:t>
            </w:r>
          </w:p>
        </w:tc>
        <w:tc>
          <w:tcPr>
            <w:tcW w:w="6025" w:type="dxa"/>
            <w:shd w:val="clear" w:color="auto" w:fill="D9EAF7"/>
            <w:tcMar>
              <w:top w:w="70" w:type="dxa"/>
              <w:left w:w="80" w:type="dxa"/>
              <w:bottom w:w="70" w:type="dxa"/>
              <w:right w:w="80" w:type="dxa"/>
            </w:tcMar>
            <w:vAlign w:val="center"/>
          </w:tcPr>
          <w:p w14:paraId="5E531F6B">
            <w:pPr>
              <w:keepNext/>
              <w:spacing w:after="0"/>
              <w:jc w:val="center"/>
            </w:pPr>
            <w:r>
              <w:rPr>
                <w:rFonts w:ascii="宋体" w:hAnsi="宋体" w:eastAsia="宋体" w:cs="宋体"/>
                <w:b/>
                <w:color w:val="000000"/>
                <w:sz w:val="18"/>
              </w:rPr>
              <w:t>问题与证据</w:t>
            </w:r>
          </w:p>
        </w:tc>
      </w:tr>
      <w:tr w14:paraId="19FBCF08">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26" w:type="dxa"/>
            <w:shd w:val="clear" w:color="auto" w:fill="FCE5CD"/>
            <w:tcMar>
              <w:top w:w="70" w:type="dxa"/>
              <w:left w:w="80" w:type="dxa"/>
              <w:bottom w:w="70" w:type="dxa"/>
              <w:right w:w="80" w:type="dxa"/>
            </w:tcMar>
            <w:vAlign w:val="center"/>
          </w:tcPr>
          <w:p w14:paraId="2CCF4E89">
            <w:pPr>
              <w:spacing w:after="0"/>
              <w:jc w:val="center"/>
            </w:pPr>
            <w:r>
              <w:rPr>
                <w:rFonts w:ascii="宋体" w:hAnsi="宋体" w:eastAsia="宋体" w:cs="宋体"/>
                <w:b/>
                <w:color w:val="000000"/>
                <w:sz w:val="18"/>
              </w:rPr>
              <w:t>重要</w:t>
            </w:r>
          </w:p>
        </w:tc>
        <w:tc>
          <w:tcPr>
            <w:tcW w:w="2330" w:type="dxa"/>
            <w:tcMar>
              <w:top w:w="70" w:type="dxa"/>
              <w:left w:w="80" w:type="dxa"/>
              <w:bottom w:w="70" w:type="dxa"/>
              <w:right w:w="80" w:type="dxa"/>
            </w:tcMar>
            <w:vAlign w:val="center"/>
          </w:tcPr>
          <w:p w14:paraId="740A1B1F">
            <w:pPr>
              <w:spacing w:after="0"/>
              <w:jc w:val="center"/>
            </w:pPr>
            <w:r>
              <w:rPr>
                <w:rFonts w:ascii="宋体" w:hAnsi="宋体" w:eastAsia="宋体" w:cs="宋体"/>
                <w:b w:val="0"/>
                <w:color w:val="000000"/>
                <w:sz w:val="18"/>
              </w:rPr>
              <w:t>391</w:t>
            </w:r>
          </w:p>
        </w:tc>
        <w:tc>
          <w:tcPr>
            <w:tcW w:w="6025" w:type="dxa"/>
            <w:tcMar>
              <w:top w:w="70" w:type="dxa"/>
              <w:left w:w="80" w:type="dxa"/>
              <w:bottom w:w="70" w:type="dxa"/>
              <w:right w:w="80" w:type="dxa"/>
            </w:tcMar>
            <w:vAlign w:val="center"/>
          </w:tcPr>
          <w:p w14:paraId="1B046451">
            <w:pPr>
              <w:spacing w:after="0" w:line="259" w:lineRule="auto"/>
              <w:jc w:val="left"/>
            </w:pPr>
            <w:r>
              <w:rPr>
                <w:rFonts w:ascii="宋体" w:hAnsi="宋体" w:eastAsia="宋体" w:cs="宋体"/>
                <w:b/>
                <w:color w:val="000000"/>
                <w:sz w:val="18"/>
              </w:rPr>
              <w:t>政策建议仍保留补贴比例占位符</w:t>
            </w:r>
            <w:r>
              <w:br w:type="textWrapping"/>
            </w:r>
            <w:r>
              <w:rPr>
                <w:rFonts w:ascii="宋体" w:hAnsi="宋体" w:eastAsia="宋体" w:cs="宋体"/>
                <w:b/>
                <w:color w:val="000000"/>
                <w:sz w:val="18"/>
              </w:rPr>
              <w:t>证据：</w:t>
            </w:r>
            <w:r>
              <w:rPr>
                <w:rFonts w:ascii="宋体" w:hAnsi="宋体" w:eastAsia="宋体" w:cs="宋体"/>
                <w:b w:val="0"/>
                <w:color w:val="000000"/>
                <w:sz w:val="18"/>
              </w:rPr>
              <w:t>PDF第391页“小农户与现代农业有机衔接机制”中写“由政府补贴×%”，没有给出实际比例、测算依据或删除占位符。</w:t>
            </w:r>
          </w:p>
        </w:tc>
      </w:tr>
    </w:tbl>
    <w:p w14:paraId="3DDF1C81">
      <w:pPr>
        <w:spacing w:after="0" w:line="96" w:lineRule="auto"/>
      </w:pPr>
    </w:p>
    <w:p w14:paraId="18EF5C54">
      <w:pPr>
        <w:pStyle w:val="4"/>
        <w:keepNext/>
        <w:spacing w:before="120" w:after="80"/>
      </w:pPr>
      <w:r>
        <w:rPr>
          <w:rFonts w:ascii="微软雅黑" w:hAnsi="微软雅黑" w:eastAsia="微软雅黑" w:cs="微软雅黑"/>
          <w:b/>
          <w:color w:val="1F4E79"/>
          <w:sz w:val="24"/>
        </w:rPr>
        <w:t>问题类别八：章节、专题及面积口径一致性</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46"/>
        <w:gridCol w:w="2330"/>
        <w:gridCol w:w="6005"/>
      </w:tblGrid>
      <w:tr w14:paraId="437DF5C2">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46" w:type="dxa"/>
            <w:shd w:val="clear" w:color="auto" w:fill="D9EAF7"/>
            <w:tcMar>
              <w:top w:w="70" w:type="dxa"/>
              <w:left w:w="80" w:type="dxa"/>
              <w:bottom w:w="70" w:type="dxa"/>
              <w:right w:w="80" w:type="dxa"/>
            </w:tcMar>
            <w:vAlign w:val="center"/>
          </w:tcPr>
          <w:p w14:paraId="015EC4CA">
            <w:pPr>
              <w:keepNext/>
              <w:spacing w:after="0"/>
              <w:jc w:val="center"/>
            </w:pPr>
            <w:r>
              <w:rPr>
                <w:rFonts w:ascii="宋体" w:hAnsi="宋体" w:eastAsia="宋体" w:cs="宋体"/>
                <w:b/>
                <w:color w:val="000000"/>
                <w:sz w:val="18"/>
              </w:rPr>
              <w:t>级别</w:t>
            </w:r>
          </w:p>
        </w:tc>
        <w:tc>
          <w:tcPr>
            <w:tcW w:w="2330" w:type="dxa"/>
            <w:shd w:val="clear" w:color="auto" w:fill="D9EAF7"/>
            <w:tcMar>
              <w:top w:w="70" w:type="dxa"/>
              <w:left w:w="80" w:type="dxa"/>
              <w:bottom w:w="70" w:type="dxa"/>
              <w:right w:w="80" w:type="dxa"/>
            </w:tcMar>
            <w:vAlign w:val="center"/>
          </w:tcPr>
          <w:p w14:paraId="70E0797A">
            <w:pPr>
              <w:keepNext/>
              <w:spacing w:after="0"/>
              <w:jc w:val="center"/>
            </w:pPr>
            <w:r>
              <w:rPr>
                <w:rFonts w:ascii="宋体" w:hAnsi="宋体" w:eastAsia="宋体" w:cs="宋体"/>
                <w:b/>
                <w:color w:val="000000"/>
                <w:sz w:val="18"/>
              </w:rPr>
              <w:t>PDF页</w:t>
            </w:r>
          </w:p>
        </w:tc>
        <w:tc>
          <w:tcPr>
            <w:tcW w:w="6005" w:type="dxa"/>
            <w:shd w:val="clear" w:color="auto" w:fill="D9EAF7"/>
            <w:tcMar>
              <w:top w:w="70" w:type="dxa"/>
              <w:left w:w="80" w:type="dxa"/>
              <w:bottom w:w="70" w:type="dxa"/>
              <w:right w:w="80" w:type="dxa"/>
            </w:tcMar>
            <w:vAlign w:val="center"/>
          </w:tcPr>
          <w:p w14:paraId="146112B9">
            <w:pPr>
              <w:keepNext/>
              <w:spacing w:after="0"/>
              <w:jc w:val="center"/>
            </w:pPr>
            <w:r>
              <w:rPr>
                <w:rFonts w:ascii="宋体" w:hAnsi="宋体" w:eastAsia="宋体" w:cs="宋体"/>
                <w:b/>
                <w:color w:val="000000"/>
                <w:sz w:val="18"/>
              </w:rPr>
              <w:t>问题与证据</w:t>
            </w:r>
          </w:p>
        </w:tc>
      </w:tr>
      <w:tr w14:paraId="3AD38D21">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46" w:type="dxa"/>
            <w:shd w:val="clear" w:color="auto" w:fill="F4CCCC"/>
            <w:tcMar>
              <w:top w:w="70" w:type="dxa"/>
              <w:left w:w="80" w:type="dxa"/>
              <w:bottom w:w="70" w:type="dxa"/>
              <w:right w:w="80" w:type="dxa"/>
            </w:tcMar>
            <w:vAlign w:val="center"/>
          </w:tcPr>
          <w:p w14:paraId="2E6109D6">
            <w:pPr>
              <w:spacing w:after="0"/>
              <w:jc w:val="center"/>
            </w:pPr>
            <w:r>
              <w:rPr>
                <w:rFonts w:ascii="宋体" w:hAnsi="宋体" w:eastAsia="宋体" w:cs="宋体"/>
                <w:b/>
                <w:color w:val="000000"/>
                <w:sz w:val="18"/>
              </w:rPr>
              <w:t>严重</w:t>
            </w:r>
          </w:p>
        </w:tc>
        <w:tc>
          <w:tcPr>
            <w:tcW w:w="2330" w:type="dxa"/>
            <w:tcMar>
              <w:top w:w="70" w:type="dxa"/>
              <w:left w:w="80" w:type="dxa"/>
              <w:bottom w:w="70" w:type="dxa"/>
              <w:right w:w="80" w:type="dxa"/>
            </w:tcMar>
            <w:vAlign w:val="center"/>
          </w:tcPr>
          <w:p w14:paraId="5957EC9D">
            <w:pPr>
              <w:spacing w:after="0"/>
              <w:jc w:val="center"/>
            </w:pPr>
            <w:r>
              <w:rPr>
                <w:rFonts w:ascii="宋体" w:hAnsi="宋体" w:eastAsia="宋体" w:cs="宋体"/>
                <w:b w:val="0"/>
                <w:color w:val="000000"/>
                <w:sz w:val="18"/>
              </w:rPr>
              <w:t>282—285、388</w:t>
            </w:r>
          </w:p>
        </w:tc>
        <w:tc>
          <w:tcPr>
            <w:tcW w:w="6005" w:type="dxa"/>
            <w:tcMar>
              <w:top w:w="70" w:type="dxa"/>
              <w:left w:w="80" w:type="dxa"/>
              <w:bottom w:w="70" w:type="dxa"/>
              <w:right w:w="80" w:type="dxa"/>
            </w:tcMar>
            <w:vAlign w:val="center"/>
          </w:tcPr>
          <w:p w14:paraId="184B0F76">
            <w:pPr>
              <w:spacing w:after="0" w:line="259" w:lineRule="auto"/>
              <w:jc w:val="left"/>
            </w:pPr>
            <w:r>
              <w:rPr>
                <w:rFonts w:ascii="宋体" w:hAnsi="宋体" w:eastAsia="宋体" w:cs="宋体"/>
                <w:b/>
                <w:color w:val="000000"/>
                <w:sz w:val="18"/>
              </w:rPr>
              <w:t>中微量元素缺素结论在第四章与第五、八章相反</w:t>
            </w:r>
            <w:r>
              <w:br w:type="textWrapping"/>
            </w:r>
            <w:r>
              <w:rPr>
                <w:rFonts w:ascii="宋体" w:hAnsi="宋体" w:eastAsia="宋体" w:cs="宋体"/>
                <w:b/>
                <w:color w:val="000000"/>
                <w:sz w:val="18"/>
              </w:rPr>
              <w:t>证据：</w:t>
            </w:r>
            <w:r>
              <w:rPr>
                <w:rFonts w:ascii="宋体" w:hAnsi="宋体" w:eastAsia="宋体" w:cs="宋体"/>
                <w:b w:val="0"/>
                <w:color w:val="000000"/>
                <w:sz w:val="18"/>
              </w:rPr>
              <w:t>PDF第282页第四章结论称“硼、钼普遍缺乏，锌、锰、硫部分区域偏低”，第283页据此提出全面推广硼肥、钼肥；第285页第五章却称全县仅存在有效硫缺乏，有效铁、锰、铜、锌、硼、钼均无缺素；第388页综合建议再次称“全县仅存在有效硫缺素问题”。</w:t>
            </w:r>
          </w:p>
        </w:tc>
      </w:tr>
    </w:tbl>
    <w:p w14:paraId="286FD5A1">
      <w:pPr>
        <w:spacing w:after="0" w:line="96" w:lineRule="auto"/>
      </w:pPr>
    </w:p>
    <w:p w14:paraId="477F39A1">
      <w:pPr>
        <w:pStyle w:val="4"/>
        <w:keepNext/>
        <w:spacing w:before="120" w:after="80"/>
      </w:pPr>
      <w:r>
        <w:rPr>
          <w:rFonts w:ascii="微软雅黑" w:hAnsi="微软雅黑" w:eastAsia="微软雅黑" w:cs="微软雅黑"/>
          <w:b/>
          <w:color w:val="1F4E79"/>
          <w:sz w:val="24"/>
        </w:rPr>
        <w:t>问题类别九：报告格式、文件格式和数据库质检</w:t>
      </w:r>
    </w:p>
    <w:tbl>
      <w:tblPr>
        <w:tblStyle w:val="35"/>
        <w:tblW w:w="0" w:type="auto"/>
        <w:jc w:val="center"/>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Layout w:type="fixed"/>
        <w:tblCellMar>
          <w:top w:w="0" w:type="dxa"/>
          <w:left w:w="108" w:type="dxa"/>
          <w:bottom w:w="0" w:type="dxa"/>
          <w:right w:w="108" w:type="dxa"/>
        </w:tblCellMar>
      </w:tblPr>
      <w:tblGrid>
        <w:gridCol w:w="1976"/>
        <w:gridCol w:w="2340"/>
        <w:gridCol w:w="5965"/>
      </w:tblGrid>
      <w:tr w14:paraId="18F8976A">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tblHeader/>
          <w:jc w:val="center"/>
        </w:trPr>
        <w:tc>
          <w:tcPr>
            <w:tcW w:w="1976" w:type="dxa"/>
            <w:shd w:val="clear" w:color="auto" w:fill="D9EAF7"/>
            <w:tcMar>
              <w:top w:w="70" w:type="dxa"/>
              <w:left w:w="80" w:type="dxa"/>
              <w:bottom w:w="70" w:type="dxa"/>
              <w:right w:w="80" w:type="dxa"/>
            </w:tcMar>
            <w:vAlign w:val="center"/>
          </w:tcPr>
          <w:p w14:paraId="05EA50B4">
            <w:pPr>
              <w:keepNext/>
              <w:spacing w:after="0"/>
              <w:jc w:val="center"/>
            </w:pPr>
            <w:r>
              <w:rPr>
                <w:rFonts w:ascii="宋体" w:hAnsi="宋体" w:eastAsia="宋体" w:cs="宋体"/>
                <w:b/>
                <w:color w:val="000000"/>
                <w:sz w:val="18"/>
              </w:rPr>
              <w:t>级别</w:t>
            </w:r>
          </w:p>
        </w:tc>
        <w:tc>
          <w:tcPr>
            <w:tcW w:w="2340" w:type="dxa"/>
            <w:shd w:val="clear" w:color="auto" w:fill="D9EAF7"/>
            <w:tcMar>
              <w:top w:w="70" w:type="dxa"/>
              <w:left w:w="80" w:type="dxa"/>
              <w:bottom w:w="70" w:type="dxa"/>
              <w:right w:w="80" w:type="dxa"/>
            </w:tcMar>
            <w:vAlign w:val="center"/>
          </w:tcPr>
          <w:p w14:paraId="6AFB9409">
            <w:pPr>
              <w:keepNext/>
              <w:spacing w:after="0"/>
              <w:jc w:val="center"/>
            </w:pPr>
            <w:r>
              <w:rPr>
                <w:rFonts w:ascii="宋体" w:hAnsi="宋体" w:eastAsia="宋体" w:cs="宋体"/>
                <w:b/>
                <w:color w:val="000000"/>
                <w:sz w:val="18"/>
              </w:rPr>
              <w:t>PDF页</w:t>
            </w:r>
          </w:p>
        </w:tc>
        <w:tc>
          <w:tcPr>
            <w:tcW w:w="5965" w:type="dxa"/>
            <w:shd w:val="clear" w:color="auto" w:fill="D9EAF7"/>
            <w:tcMar>
              <w:top w:w="70" w:type="dxa"/>
              <w:left w:w="80" w:type="dxa"/>
              <w:bottom w:w="70" w:type="dxa"/>
              <w:right w:w="80" w:type="dxa"/>
            </w:tcMar>
            <w:vAlign w:val="center"/>
          </w:tcPr>
          <w:p w14:paraId="789E52D8">
            <w:pPr>
              <w:keepNext/>
              <w:spacing w:after="0"/>
              <w:jc w:val="center"/>
            </w:pPr>
            <w:r>
              <w:rPr>
                <w:rFonts w:ascii="宋体" w:hAnsi="宋体" w:eastAsia="宋体" w:cs="宋体"/>
                <w:b/>
                <w:color w:val="000000"/>
                <w:sz w:val="18"/>
              </w:rPr>
              <w:t>问题与证据</w:t>
            </w:r>
          </w:p>
        </w:tc>
      </w:tr>
      <w:tr w14:paraId="374BD643">
        <w:tblPrEx>
          <w:tblBorders>
            <w:top w:val="single" w:color="7F8C8D" w:sz="4" w:space="0"/>
            <w:left w:val="single" w:color="7F8C8D" w:sz="4" w:space="0"/>
            <w:bottom w:val="single" w:color="7F8C8D" w:sz="4" w:space="0"/>
            <w:right w:val="single" w:color="7F8C8D" w:sz="4" w:space="0"/>
            <w:insideH w:val="single" w:color="7F8C8D" w:sz="4" w:space="0"/>
            <w:insideV w:val="single" w:color="7F8C8D" w:sz="4" w:space="0"/>
          </w:tblBorders>
          <w:tblCellMar>
            <w:top w:w="0" w:type="dxa"/>
            <w:left w:w="108" w:type="dxa"/>
            <w:bottom w:w="0" w:type="dxa"/>
            <w:right w:w="108" w:type="dxa"/>
          </w:tblCellMar>
        </w:tblPrEx>
        <w:trPr>
          <w:cantSplit/>
          <w:jc w:val="center"/>
        </w:trPr>
        <w:tc>
          <w:tcPr>
            <w:tcW w:w="1976" w:type="dxa"/>
            <w:shd w:val="clear" w:color="auto" w:fill="FFF2CC"/>
            <w:tcMar>
              <w:top w:w="70" w:type="dxa"/>
              <w:left w:w="80" w:type="dxa"/>
              <w:bottom w:w="70" w:type="dxa"/>
              <w:right w:w="80" w:type="dxa"/>
            </w:tcMar>
            <w:vAlign w:val="center"/>
          </w:tcPr>
          <w:p w14:paraId="608039EB">
            <w:pPr>
              <w:spacing w:after="0"/>
              <w:jc w:val="center"/>
            </w:pPr>
            <w:r>
              <w:rPr>
                <w:rFonts w:ascii="宋体" w:hAnsi="宋体" w:eastAsia="宋体" w:cs="宋体"/>
                <w:b/>
                <w:color w:val="000000"/>
                <w:sz w:val="18"/>
              </w:rPr>
              <w:t>一般</w:t>
            </w:r>
          </w:p>
        </w:tc>
        <w:tc>
          <w:tcPr>
            <w:tcW w:w="2340" w:type="dxa"/>
            <w:tcMar>
              <w:top w:w="70" w:type="dxa"/>
              <w:left w:w="80" w:type="dxa"/>
              <w:bottom w:w="70" w:type="dxa"/>
              <w:right w:w="80" w:type="dxa"/>
            </w:tcMar>
            <w:vAlign w:val="center"/>
          </w:tcPr>
          <w:p w14:paraId="766F9D92">
            <w:pPr>
              <w:spacing w:after="0"/>
              <w:jc w:val="center"/>
            </w:pPr>
            <w:r>
              <w:rPr>
                <w:rFonts w:ascii="宋体" w:hAnsi="宋体" w:eastAsia="宋体" w:cs="宋体"/>
                <w:b w:val="0"/>
                <w:color w:val="000000"/>
                <w:sz w:val="18"/>
              </w:rPr>
              <w:t>5、10、12—14、328—329</w:t>
            </w:r>
          </w:p>
        </w:tc>
        <w:tc>
          <w:tcPr>
            <w:tcW w:w="5965" w:type="dxa"/>
            <w:tcMar>
              <w:top w:w="70" w:type="dxa"/>
              <w:left w:w="80" w:type="dxa"/>
              <w:bottom w:w="70" w:type="dxa"/>
              <w:right w:w="80" w:type="dxa"/>
            </w:tcMar>
            <w:vAlign w:val="center"/>
          </w:tcPr>
          <w:p w14:paraId="6EEE7A84">
            <w:pPr>
              <w:spacing w:after="0" w:line="259" w:lineRule="auto"/>
              <w:jc w:val="left"/>
            </w:pPr>
            <w:r>
              <w:rPr>
                <w:rFonts w:ascii="宋体" w:hAnsi="宋体" w:eastAsia="宋体" w:cs="宋体"/>
                <w:b/>
                <w:color w:val="000000"/>
                <w:sz w:val="18"/>
              </w:rPr>
              <w:t>目录和图表编号存在重复、跳号与同号</w:t>
            </w:r>
            <w:r>
              <w:br w:type="textWrapping"/>
            </w:r>
            <w:r>
              <w:rPr>
                <w:rFonts w:ascii="宋体" w:hAnsi="宋体" w:eastAsia="宋体" w:cs="宋体"/>
                <w:b/>
                <w:color w:val="000000"/>
                <w:sz w:val="18"/>
              </w:rPr>
              <w:t>证据：</w:t>
            </w:r>
            <w:r>
              <w:rPr>
                <w:rFonts w:ascii="宋体" w:hAnsi="宋体" w:eastAsia="宋体" w:cs="宋体"/>
                <w:b w:val="0"/>
                <w:color w:val="000000"/>
                <w:sz w:val="18"/>
              </w:rPr>
              <w:t>PDF第5页第五章目录连续出现两个“（三）”；第10页表目录由表3.7直接跳到表3.9，第12页由表4.72直接跳到表4.74；第13—14页表目录把排水能力和土壤质地都编号为表6.15，正文第328—329页也重复使用表6.15。</w:t>
            </w:r>
          </w:p>
        </w:tc>
      </w:tr>
    </w:tbl>
    <w:p w14:paraId="6339E772">
      <w:pPr>
        <w:pStyle w:val="16"/>
        <w:numPr>
          <w:numId w:val="0"/>
        </w:numPr>
        <w:spacing w:after="80" w:line="276" w:lineRule="auto"/>
        <w:ind w:leftChars="0"/>
      </w:pPr>
      <w:bookmarkStart w:id="0" w:name="_GoBack"/>
      <w:bookmarkEnd w:id="0"/>
    </w:p>
    <w:sectPr>
      <w:headerReference r:id="rId5" w:type="default"/>
      <w:footerReference r:id="rId6" w:type="default"/>
      <w:pgSz w:w="12240" w:h="15840"/>
      <w:pgMar w:top="979" w:right="979" w:bottom="936" w:left="979"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5E9783">
    <w:pPr>
      <w:pStyle w:val="24"/>
      <w:jc w:val="center"/>
    </w:pPr>
    <w:r>
      <w:rPr>
        <w:color w:val="666666"/>
        <w:sz w:val="18"/>
      </w:rPr>
      <w:t xml:space="preserve">第 </w:t>
    </w:r>
    <w:r>
      <w:rPr>
        <w:color w:val="666666"/>
        <w:sz w:val="18"/>
      </w:rPr>
      <w:fldChar w:fldCharType="begin"/>
    </w:r>
    <w:r>
      <w:rPr>
        <w:color w:val="666666"/>
        <w:sz w:val="18"/>
      </w:rPr>
      <w:instrText xml:space="preserve">PAGE</w:instrText>
    </w:r>
    <w:r>
      <w:rPr>
        <w:color w:val="666666"/>
        <w:sz w:val="18"/>
      </w:rPr>
      <w:fldChar w:fldCharType="separate"/>
    </w:r>
    <w:r>
      <w:rPr>
        <w:color w:val="666666"/>
        <w:sz w:val="18"/>
      </w:rPr>
      <w:t>1</w:t>
    </w:r>
    <w:r>
      <w:rPr>
        <w:color w:val="666666"/>
        <w:sz w:val="18"/>
      </w:rPr>
      <w:fldChar w:fldCharType="end"/>
    </w:r>
    <w:r>
      <w:rPr>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CA79">
    <w:pPr>
      <w:pStyle w:val="25"/>
      <w:spacing w:after="0"/>
      <w:jc w:val="center"/>
    </w:pPr>
    <w:r>
      <w:rPr>
        <w:rFonts w:ascii="宋体" w:hAnsi="宋体" w:eastAsia="宋体" w:cs="宋体"/>
        <w:b w:val="0"/>
        <w:color w:val="000000"/>
        <w:sz w:val="18"/>
      </w:rPr>
      <w:t>东光县土壤资源评价与利用报告｜质控审计意见（复核稿）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16ED0"/>
    <w:rsid w:val="00AA1D8D"/>
    <w:rsid w:val="00B47730"/>
    <w:rsid w:val="00B64C7F"/>
    <w:rsid w:val="00CB0664"/>
    <w:rsid w:val="00EE5EB0"/>
    <w:rsid w:val="00FC693F"/>
    <w:rsid w:val="02D80E4A"/>
    <w:rsid w:val="0CFD41D5"/>
    <w:rsid w:val="16F72C63"/>
    <w:rsid w:val="1B585293"/>
    <w:rsid w:val="2A037A86"/>
    <w:rsid w:val="38D25BA2"/>
    <w:rsid w:val="59D03A57"/>
    <w:rsid w:val="5BA71B9B"/>
    <w:rsid w:val="611F2A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41"/>
    <w:qFormat/>
    <w:uiPriority w:val="9"/>
    <w:pPr>
      <w:keepNext/>
      <w:keepLines/>
      <w:spacing w:before="240" w:after="120"/>
      <w:outlineLvl w:val="0"/>
    </w:pPr>
    <w:rPr>
      <w:rFonts w:asciiTheme="majorHAnsi" w:hAnsiTheme="majorHAnsi" w:eastAsiaTheme="majorEastAsia" w:cstheme="majorBidi"/>
      <w:b/>
      <w:bCs/>
      <w:color w:val="17365D"/>
      <w:sz w:val="34"/>
      <w:szCs w:val="28"/>
    </w:rPr>
  </w:style>
  <w:style w:type="paragraph" w:styleId="4">
    <w:name w:val="heading 2"/>
    <w:basedOn w:val="1"/>
    <w:next w:val="1"/>
    <w:link w:val="142"/>
    <w:unhideWhenUsed/>
    <w:qFormat/>
    <w:uiPriority w:val="9"/>
    <w:pPr>
      <w:keepNext/>
      <w:keepLines/>
      <w:spacing w:before="160" w:after="120"/>
      <w:outlineLvl w:val="1"/>
    </w:pPr>
    <w:rPr>
      <w:rFonts w:asciiTheme="majorHAnsi" w:hAnsiTheme="majorHAnsi" w:eastAsiaTheme="majorEastAsia" w:cstheme="majorBidi"/>
      <w:b/>
      <w:bCs/>
      <w:color w:val="2F5597"/>
      <w:sz w:val="28"/>
      <w:szCs w:val="26"/>
    </w:rPr>
  </w:style>
  <w:style w:type="paragraph" w:styleId="5">
    <w:name w:val="heading 3"/>
    <w:basedOn w:val="1"/>
    <w:next w:val="1"/>
    <w:link w:val="143"/>
    <w:unhideWhenUsed/>
    <w:qFormat/>
    <w:uiPriority w:val="9"/>
    <w:pPr>
      <w:keepNext/>
      <w:keepLines/>
      <w:spacing w:before="160" w:after="120"/>
      <w:outlineLvl w:val="2"/>
    </w:pPr>
    <w:rPr>
      <w:rFonts w:asciiTheme="majorHAnsi" w:hAnsiTheme="majorHAnsi" w:eastAsiaTheme="majorEastAsia" w:cstheme="majorBidi"/>
      <w:b/>
      <w:bCs/>
      <w:color w:val="2F5597"/>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666666"/>
      <w:spacing w:val="15"/>
      <w:sz w:val="24"/>
      <w:szCs w:val="24"/>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50"/>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Audit Callout"/>
    <w:qFormat/>
    <w:uiPriority w:val="0"/>
    <w:pPr>
      <w:spacing w:before="100" w:after="100" w:line="300" w:lineRule="auto"/>
      <w:ind w:left="198" w:right="198"/>
    </w:pPr>
    <w:rPr>
      <w:rFonts w:ascii="宋体" w:hAnsi="宋体" w:eastAsia="宋体" w:cstheme="minorBidi"/>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4483</Words>
  <Characters>5702</Characters>
  <Lines>484</Lines>
  <Paragraphs>482</Paragraphs>
  <TotalTime>90</TotalTime>
  <ScaleCrop>false</ScaleCrop>
  <LinksUpToDate>false</LinksUpToDate>
  <CharactersWithSpaces>5709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土壤资源评价与利用报告质控复核</dc:creator>
  <dc:description>generated by python-docx</dc:description>
  <cp:keywords>东光县, 土壤资源评价与利用, 质控, 审计意见</cp:keywords>
  <cp:lastModifiedBy>Mi Manchi</cp:lastModifiedBy>
  <dcterms:modified xsi:type="dcterms:W3CDTF">2026-09-23T10:52:57Z</dcterms:modified>
  <dc:subject>第三次全国土壤普查土壤资源评价与利用报告质控</dc:subject>
  <dc:title>东光县土壤资源评价与利用报告质控审计意见</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eyJoZGlkIjoiZWQ4NWNlMWZjNThhMjZjMDQyMTU5MmU3YTNkMzg1ZmEiLCJ1c2VySWQiOiIxMjQ2MDU4ODU1In0=</vt:lpwstr>
  </property>
  <property fmtid="{D5CDD505-2E9C-101B-9397-08002B2CF9AE}" pid="3" name="KSOProductBuildVer">
    <vt:lpwstr>2052-12.1.0.28043</vt:lpwstr>
  </property>
  <property fmtid="{D5CDD505-2E9C-101B-9397-08002B2CF9AE}" pid="4" name="ICV">
    <vt:lpwstr>48F01E5F7BF046A986208F8686ABF3A7_12</vt:lpwstr>
  </property>
</Properties>
</file>