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3823C">
      <w:pPr>
        <w:spacing w:before="200" w:after="80"/>
        <w:jc w:val="center"/>
      </w:pPr>
      <w:r>
        <w:rPr>
          <w:rFonts w:ascii="黑体" w:hAnsi="黑体" w:eastAsia="黑体"/>
          <w:b/>
          <w:sz w:val="52"/>
        </w:rPr>
        <w:t>吴桥县土壤资源评价与利用报告</w:t>
      </w:r>
    </w:p>
    <w:p w14:paraId="60DCB9CF">
      <w:pPr>
        <w:spacing w:after="320"/>
        <w:jc w:val="center"/>
      </w:pPr>
      <w:r>
        <w:rPr>
          <w:rFonts w:ascii="黑体" w:hAnsi="黑体" w:eastAsia="黑体"/>
          <w:b/>
          <w:sz w:val="64"/>
        </w:rPr>
        <w:t>质控审计意见</w:t>
      </w:r>
    </w:p>
    <w:p w14:paraId="669451D8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优先整改的四个阻断点</w:t>
      </w:r>
    </w:p>
    <w:p w14:paraId="73B2E636">
      <w:pPr>
        <w:pStyle w:val="16"/>
        <w:spacing w:after="60"/>
      </w:pPr>
      <w:r>
        <w:t>表2.1采样点统计表全部乡镇均为正定县（130123）乡镇/街道（南岗镇、三里屯街道办事处等），全县345个样点与第一章“表层样点438个、剖面样点13个”不符，须以吴桥县10个乡镇（桑园镇、铁城镇、于集镇、梁集镇、安陵镇、曹家洼乡、沟店铺乡、何庄乡、宋门乡、杨家寺乡）替换该表并全报告核对样点数。</w:t>
      </w:r>
    </w:p>
    <w:p w14:paraId="75697643">
      <w:pPr>
        <w:pStyle w:val="16"/>
        <w:spacing w:after="60"/>
      </w:pPr>
      <w:r>
        <w:t>表6.19砂质石灰性潮土宜耕面积267469亩（占38.59%）与表3.8、表3.9该土属面积15839亩（占1.91%）相差约16.9倍，须回查第六章适宜性评价采用的土壤图与评价单元口径。</w:t>
      </w:r>
    </w:p>
    <w:p w14:paraId="62FEA36D">
      <w:pPr>
        <w:pStyle w:val="16"/>
        <w:spacing w:after="60"/>
      </w:pPr>
      <w:r>
        <w:t>表6.21标题为“耕地后备资源”但其总计693018亩为全部评价面积（表6.20后备资源为73508亩），园地、林地、草地、其他土地四列与表6.18同地类面积全部相差约9.4倍，须更正标题或数据。</w:t>
      </w:r>
    </w:p>
    <w:p w14:paraId="48B52560">
      <w:pPr>
        <w:pStyle w:val="16"/>
        <w:spacing w:after="60"/>
      </w:pPr>
      <w:r>
        <w:t>全县土壤面积三个口径互不一致且无说明：第三章829545亩、第四章各属性表“全区”870583亩、第六章评价面积693018亩，须统一面积口径并在报告注明。</w:t>
      </w:r>
    </w:p>
    <w:p w14:paraId="59E9460A">
      <w:pPr>
        <w:pStyle w:val="3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问题明细</w:t>
      </w:r>
    </w:p>
    <w:p w14:paraId="07C41E6F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问题类别一：前置材料、第一章和数据源表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53631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4E124650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2A3D3DC3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34E7D0B2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3967D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4CCCC"/>
          </w:tcPr>
          <w:p w14:paraId="48C67152"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w="822" w:type="dxa"/>
          </w:tcPr>
          <w:p w14:paraId="19F86F88">
            <w:pPr>
              <w:jc w:val="center"/>
            </w:pPr>
            <w:r>
              <w:t>37、21、22</w:t>
            </w:r>
          </w:p>
        </w:tc>
        <w:tc>
          <w:tcPr>
            <w:tcW w:w="7597" w:type="dxa"/>
          </w:tcPr>
          <w:p w14:paraId="094C6860">
            <w:r>
              <w:t>表2.1采样点统计表乡镇全部为外县乡镇，样点总数与第一章不符</w:t>
            </w:r>
          </w:p>
          <w:p w14:paraId="5A91C01F">
            <w:r>
              <w:t>证据：表2.1“吴桥县土壤采样点统计表”（p37）所列11个乡镇/街道为：南岗镇、三里屯街道办事处、北早现乡、南楼乡、南牛乡、新城铺镇、新安镇、曲阳桥乡、吴桥镇、西平乐乡、诸福屯街道办事处，全县合计345个样点。其中三里屯街道办事处、诸福屯街道办事处、北早现乡、南楼乡、南牛乡、新城铺镇、新安镇、曲阳桥乡、西平乐乡均为正定县（130123）辖乡镇/街道，“吴桥镇”亦非吴桥县辖镇。第一章（p21）载明“普查空间范围涉及全县10个乡镇（桑园镇、铁城镇、于集镇、梁集镇、安陵镇、曹家洼乡、何庄乡、沟店铺乡、杨家寺乡、东宋门乡），共计473个行政村”，并载明“最终确定表层样点438个、剖面样点13个”（p22）。表2.1乡镇与吴桥县10个乡镇无一行对应，样点总数345个亦与表层样点438个不符。</w:t>
            </w:r>
          </w:p>
        </w:tc>
      </w:tr>
      <w:tr w14:paraId="50776B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14947443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61579485">
            <w:pPr>
              <w:jc w:val="center"/>
            </w:pPr>
            <w:r>
              <w:t>26、398</w:t>
            </w:r>
          </w:p>
        </w:tc>
        <w:tc>
          <w:tcPr>
            <w:tcW w:w="7597" w:type="dxa"/>
          </w:tcPr>
          <w:p w14:paraId="0B298DC2">
            <w:r>
              <w:t>土地利用现状数据年份口径不一致（2022年与2023年）</w:t>
            </w:r>
          </w:p>
          <w:p w14:paraId="14386095">
            <w:r>
              <w:t>证据：第一章数据来源表表1.1（p26）土地利用现状数据年份为“2022年12月31日”；第六章表6.18“吴桥县2023年土地利用现状”（p398）采用2023年度数据。同报告两处土地利用现状数据年份相差一年，且未记录口径差异。</w:t>
            </w:r>
          </w:p>
          <w:p w14:paraId="663F8DD5">
            <w:r>
              <w:t>复算：表1.1所载土地利用现状数据时点为2022年12月31日（2022年度），表6.18为2023年度，两者为不同年度口径。</w:t>
            </w:r>
          </w:p>
        </w:tc>
      </w:tr>
    </w:tbl>
    <w:p w14:paraId="2C56CA5C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问题类别二：第二章区域概况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75FDC7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390EB7A0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0D5F110F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7B1217AB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58BF3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61A1E91C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0882FF2F">
            <w:pPr>
              <w:jc w:val="center"/>
            </w:pPr>
            <w:r>
              <w:t>38、398</w:t>
            </w:r>
          </w:p>
        </w:tc>
        <w:tc>
          <w:tcPr>
            <w:tcW w:w="7597" w:type="dxa"/>
          </w:tcPr>
          <w:p w14:paraId="316909A6">
            <w:r>
              <w:t>耕地面积69.30万亩与三普耕地619510亩矛盾且无口径说明</w:t>
            </w:r>
          </w:p>
          <w:p w14:paraId="1FC41B30">
            <w:r>
              <w:t>证据：第二章（p38）：“全县耕地面积约为69.30万亩，占土地总面积的近80%。”同页载全县土地面积583平方千米（合87.45万亩）。第六章表6.18“吴桥县2023年土地利用现状”（p398）耕地合计619510亩（61.95万亩）。69.30万亩与61.95万亩相差7.35万亩，且69.30/87.45=79.2%、61.95/87.45=70.8%，“占近80%”只与69.30万亩吻合，报告未说明两数口径。</w:t>
            </w:r>
          </w:p>
          <w:p w14:paraId="62D747E6">
            <w:r>
              <w:t>复算：69.30−61.95=7.35万亩；61.95/87.45=70.8%；69.30/87.45=79.2%。</w:t>
            </w:r>
          </w:p>
          <w:p w14:paraId="2088128F">
            <w:r>
              <w:t>质控依据：质控表问题类别三R2“土地利用至少列一级、二级地类面积和分布”；问题类别三R3“自然、社会和农业生产概况应与后续评价对象、限制因素和利用建议衔接”；问题类别九“章节、专题、县市成果和面积口径不一致”。</w:t>
            </w:r>
          </w:p>
        </w:tc>
      </w:tr>
    </w:tbl>
    <w:p w14:paraId="576CAD4D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问题类别三：第三章土壤类型与制图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302E0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4D1E39B8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77A93346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098DB431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1588E0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0DA49113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08D9CCE5">
            <w:pPr>
              <w:jc w:val="center"/>
            </w:pPr>
            <w:r>
              <w:t>46</w:t>
            </w:r>
          </w:p>
        </w:tc>
        <w:tc>
          <w:tcPr>
            <w:tcW w:w="7597" w:type="dxa"/>
          </w:tcPr>
          <w:p w14:paraId="3CBE513C">
            <w:r>
              <w:t>表3.3土种划分指标列多余右括号</w:t>
            </w:r>
          </w:p>
          <w:p w14:paraId="06E5AF00">
            <w:r>
              <w:t>证据：表3.3“吴桥县土壤命名规则”（p46）“土种划分指标”列全部9行均为“表层5级质地、土体质地构型/（砾石层或砂姜层部位））”，“部位”后有两个右括号，多一个。</w:t>
            </w:r>
          </w:p>
        </w:tc>
      </w:tr>
      <w:tr w14:paraId="29689E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6F2CC6BD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1182FFD0">
            <w:pPr>
              <w:jc w:val="center"/>
            </w:pPr>
            <w:r>
              <w:t>52、142</w:t>
            </w:r>
          </w:p>
        </w:tc>
        <w:tc>
          <w:tcPr>
            <w:tcW w:w="7597" w:type="dxa"/>
          </w:tcPr>
          <w:p w14:paraId="22DE32A0">
            <w:r>
              <w:t>“高山地带”与“高上地带”表述不一</w:t>
            </w:r>
          </w:p>
          <w:p w14:paraId="32BDC017">
            <w:r>
              <w:t>证据：第三章（p52）称脱潮土“于靠近河岸的局部高上地带，间有分布”；同章（p142）同一内容写作“于靠近河岸的局部高山地带间有分布”。两处为同一内容的重复表述，用词不一致。</w:t>
            </w:r>
          </w:p>
        </w:tc>
      </w:tr>
      <w:tr w14:paraId="5B8E6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545FD412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26BC642F">
            <w:pPr>
              <w:jc w:val="center"/>
            </w:pPr>
            <w:r>
              <w:t>8、143</w:t>
            </w:r>
          </w:p>
        </w:tc>
        <w:tc>
          <w:tcPr>
            <w:tcW w:w="7597" w:type="dxa"/>
          </w:tcPr>
          <w:p w14:paraId="7B77B4B1">
            <w:r>
              <w:t>图3.41图题“杨家乡”应为“杨家寺乡”</w:t>
            </w:r>
          </w:p>
          <w:p w14:paraId="48AE2C12">
            <w:r>
              <w:t>证据：图目录（p8）与正文（p143）中图3.41图题均为“杨家乡”；第一章10乡镇名录为“杨家寺乡”（p21），表3.9乡镇列亦作“杨家寺乡”（p53），全县无“杨家乡”。</w:t>
            </w:r>
          </w:p>
          <w:p w14:paraId="6DD17A6F">
            <w:r>
              <w:t>复算：图目录p8与正文p143图题一致为“杨家乡”，与第一章10乡镇名录（p21）及表3.9（p53）的“杨家寺乡”不一致</w:t>
            </w:r>
          </w:p>
        </w:tc>
      </w:tr>
    </w:tbl>
    <w:p w14:paraId="2DABDCA3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问题类别四：第四章土壤属性与制图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3235B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6A90A4FA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57900392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5E3CE88C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73E983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5D7A69A1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6B1E5D3A">
            <w:pPr>
              <w:jc w:val="center"/>
            </w:pPr>
            <w:r>
              <w:t>151、153、356</w:t>
            </w:r>
          </w:p>
        </w:tc>
        <w:tc>
          <w:tcPr>
            <w:tcW w:w="7597" w:type="dxa"/>
          </w:tcPr>
          <w:p w14:paraId="01C9A6EC">
            <w:r>
              <w:t>砂粒分级采用两套分级标准且正文与表4.1不符</w:t>
            </w:r>
          </w:p>
          <w:p w14:paraId="07F2499B">
            <w:r>
              <w:t>证据：表4.1（p151）采用土壤三普砂粒分级（≤60/60-65/65-70/＞70）；其正文（p151）：“II级为各分级中样点占比最高的单一等级，样点41个，占比18.39%”，与表4.1“Ⅱ级130个、占比58.39%”矛盾；同段“存在鲜明的分布反差，I级(≤60%)样点占比近五成”，与表4.1“I级21个、占比9.33%”矛盾。表4.3正文（p153）与第四章小结（p356）又按“Ⅳ级（60%～80%）为主（占比56.5%）、Ⅲ级（40%～60%）占35.43%”表述，与表4.1四档值域（无60-80、40-60区间）不一致，两套分级在第四章内混用。</w:t>
            </w:r>
          </w:p>
        </w:tc>
      </w:tr>
      <w:tr w14:paraId="3E8E1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22BF8360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40991BC6">
            <w:pPr>
              <w:jc w:val="center"/>
            </w:pPr>
            <w:r>
              <w:t>166、172、180、184、356</w:t>
            </w:r>
          </w:p>
        </w:tc>
        <w:tc>
          <w:tcPr>
            <w:tcW w:w="7597" w:type="dxa"/>
          </w:tcPr>
          <w:p w14:paraId="4D9C5E55">
            <w:r>
              <w:t>四张属性分级表样点分项之和不等于全区合计</w:t>
            </w:r>
          </w:p>
          <w:p w14:paraId="3F011CCB">
            <w:r>
              <w:t>证据：表4.11容重分级（p166）I级3个+Ⅱ级215个+Ⅲ级168个=386个≠全区429个；表4.15酸碱度分级（p172）I级202个+Ⅱ级165个+Ⅲ级73个=440个≠全区438个；表4.20阳离子交换量分级（p180）I级27个+Ⅱ级225个+Ⅲ级188个=440个≠全区438个；表4.22有机质分级（p184）I级71个+Ⅱ级83个+Ⅲ级90个+Ⅳ级120个=364个≠全区438个，各占比合计16.19%+18.63%+20.62%+27.49%=82.93%≠100%。且第四章小结（p356）称“全区440个样点容重”“计入分级的样点393个、Ⅱ级占比44.02%”，与表4.11（全区429个样点、Ⅱ级215个占50.02%、Ⅲ级168个占39.19%）不一致。</w:t>
            </w:r>
          </w:p>
        </w:tc>
      </w:tr>
      <w:tr w14:paraId="742CE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6CC8473F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55A840A4">
            <w:pPr>
              <w:jc w:val="center"/>
            </w:pPr>
            <w:r>
              <w:t>179、180、362</w:t>
            </w:r>
          </w:p>
        </w:tc>
        <w:tc>
          <w:tcPr>
            <w:tcW w:w="7597" w:type="dxa"/>
          </w:tcPr>
          <w:p w14:paraId="0D4A7403">
            <w:r>
              <w:t>CEC统计三处数据互不一致（表4.20、表5.2、正文）</w:t>
            </w:r>
          </w:p>
          <w:p w14:paraId="499E24DC">
            <w:r>
              <w:t>证据：表4.20（p180）全区范围6.14～14.50cmol/kg、均值9.3；第五章表5.2（p362）同为438个样点的CEC分级统计，全区范围6.14～17.10cmol/kg、均值9.33，两表范围上界与均值不一致。表4.20前正文（p179）：“样点统计中，Ⅲ级样点占比42.54%，Ⅱ级31.4%，I级26.06%”——而表4.20与表5.2均为Ⅱ级51.4%、I级6.06%，正文所述Ⅱ级、I级占比与两表均不符。</w:t>
            </w:r>
          </w:p>
        </w:tc>
      </w:tr>
      <w:tr w14:paraId="024861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5A2C5409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31A07A7D">
            <w:pPr>
              <w:jc w:val="center"/>
            </w:pPr>
            <w:r>
              <w:t>10、353</w:t>
            </w:r>
          </w:p>
        </w:tc>
        <w:tc>
          <w:tcPr>
            <w:tcW w:w="7597" w:type="dxa"/>
          </w:tcPr>
          <w:p w14:paraId="010D42A4">
            <w:r>
              <w:t>图4.83图题“吴桥线”应为“吴桥县”</w:t>
            </w:r>
          </w:p>
          <w:p w14:paraId="74811525">
            <w:r>
              <w:t>证据：图目录（p10）与正文（p353）图4.83图题为“吴桥线土壤属性图点-面分布验证”，“吴桥线”应为“吴桥县”。</w:t>
            </w:r>
          </w:p>
        </w:tc>
      </w:tr>
      <w:tr w14:paraId="43F680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1A355D86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472D4085">
            <w:pPr>
              <w:jc w:val="center"/>
            </w:pPr>
            <w:r>
              <w:t>184</w:t>
            </w:r>
          </w:p>
        </w:tc>
        <w:tc>
          <w:tcPr>
            <w:tcW w:w="7597" w:type="dxa"/>
          </w:tcPr>
          <w:p w14:paraId="3D05F61F">
            <w:r>
              <w:t>表4.22有机质分级未覆盖全区范围且面积单位标注错误</w:t>
            </w:r>
          </w:p>
          <w:p w14:paraId="71C9B60C">
            <w:r>
              <w:t>证据：表4.22（p184）有机质分级四档值域为10.0-15.0、15.0-17.5、17.5-20.0、20.0-25.0g/kg，而表内“全区范围”为3.74～33.3g/kg——低于10g/kg和高于25g/kg的样点无对应分级（364个样点仅占全区438个的83.1%）。另“制图统计”面积列表头为“面积/万亩”，但分级行数值3944、162399、507040、197194为亩级数值（I级3944亩=0.39万亩、0.39/87.33=0.45%与I级面积占比0.45%吻合），仅“全区”行87.33为万亩，单位与数值不符。</w:t>
            </w:r>
          </w:p>
        </w:tc>
      </w:tr>
      <w:tr w14:paraId="53CD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718107CE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0F0C50E5">
            <w:pPr>
              <w:jc w:val="center"/>
            </w:pPr>
            <w:r>
              <w:t>214-254（共10页）</w:t>
            </w:r>
          </w:p>
        </w:tc>
        <w:tc>
          <w:tcPr>
            <w:tcW w:w="7597" w:type="dxa"/>
          </w:tcPr>
          <w:p w14:paraId="6D42324E">
            <w:r>
              <w:t>“缩放样点”错字10处（应为“有效样点”）</w:t>
            </w:r>
          </w:p>
          <w:p w14:paraId="1BB98E26">
            <w:r>
              <w:t>证据：第四章微量元素与交换性盐基各节（表4.42、表4.46、表4.49、表4.52、表4.55、表4.58、表4.66、表4.69、表4.73、表4.76对应正文）均表述为“共统计缩放样点436个”（或433、435、437个），“缩放样点”在三普技术用语中不存在；同章小结（p356）同类表述为“全区450个有效样点”。</w:t>
            </w:r>
          </w:p>
          <w:p w14:paraId="16CB191C">
            <w:r>
              <w:t>检查范围：已逐页核对第四章p214-254全部微量元素与交换性盐基小节，共10处“缩放样点”，该章其余同类表述均为“有效样点”。</w:t>
            </w:r>
          </w:p>
        </w:tc>
      </w:tr>
      <w:tr w14:paraId="44E461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28D75C28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307B46B1">
            <w:pPr>
              <w:jc w:val="center"/>
            </w:pPr>
            <w:r>
              <w:t>272、14</w:t>
            </w:r>
          </w:p>
        </w:tc>
        <w:tc>
          <w:tcPr>
            <w:tcW w:w="7597" w:type="dxa"/>
          </w:tcPr>
          <w:p w14:paraId="00E98E13">
            <w:r>
              <w:t>表4.84标题“土壤土壤容重”重复</w:t>
            </w:r>
          </w:p>
          <w:p w14:paraId="49B23935">
            <w:r>
              <w:t>证据：表目录（p14）与正文（p272）中表4.84标题为“吴桥县各乡镇土壤土壤容重分级面积统计表”，“土壤”二字重复。</w:t>
            </w:r>
          </w:p>
          <w:p w14:paraId="6D58858A">
            <w:r>
              <w:t>质控依据：质控表问题类别十R1（标题规范）。</w:t>
            </w:r>
          </w:p>
        </w:tc>
      </w:tr>
      <w:tr w14:paraId="2E9468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6EA43F77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1A6D7B20">
            <w:pPr>
              <w:jc w:val="center"/>
            </w:pPr>
            <w:r>
              <w:t>8、257、360</w:t>
            </w:r>
          </w:p>
        </w:tc>
        <w:tc>
          <w:tcPr>
            <w:tcW w:w="7597" w:type="dxa"/>
          </w:tcPr>
          <w:p w14:paraId="39668BEE">
            <w:r>
              <w:t>54个图题带“.N”编号尾缀</w:t>
            </w:r>
          </w:p>
          <w:p w14:paraId="18A6E212">
            <w:r>
              <w:t>证据：图目录（p8）与正文（p257起）中图4.26.1～图4.31.6、图4.34.1～图4.56.23、图4.57.1～图4.81.25等54个图题以“图4.26.1”式带小数点尾缀编号（图目录与正文一致），与全书其余图题“图4.1、图4.2”式整数编号体例不统一。</w:t>
            </w:r>
          </w:p>
        </w:tc>
      </w:tr>
    </w:tbl>
    <w:p w14:paraId="3BB8B43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问题类别五：第五章退化、障碍与改良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3A201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6A61BDB3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0E777786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2E935F8E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79B996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6D237787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347F59D0">
            <w:pPr>
              <w:jc w:val="center"/>
            </w:pPr>
            <w:r>
              <w:t>361</w:t>
            </w:r>
          </w:p>
        </w:tc>
        <w:tc>
          <w:tcPr>
            <w:tcW w:w="7597" w:type="dxa"/>
          </w:tcPr>
          <w:p w14:paraId="4A7CA4FE">
            <w:r>
              <w:t>“限值了”应为“限制了”</w:t>
            </w:r>
          </w:p>
          <w:p w14:paraId="4F6FD05D">
            <w:r>
              <w:t>证据：第五章（p361）：“这从先天条件上限值了土体的保肥能力”，“限值了”应为“限制了”。</w:t>
            </w:r>
          </w:p>
        </w:tc>
      </w:tr>
      <w:tr w14:paraId="58A5A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4FF375D9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6C0F8BBE">
            <w:pPr>
              <w:jc w:val="center"/>
            </w:pPr>
            <w:r>
              <w:t>361、362、363、365、479、480</w:t>
            </w:r>
          </w:p>
        </w:tc>
        <w:tc>
          <w:tcPr>
            <w:tcW w:w="7597" w:type="dxa"/>
          </w:tcPr>
          <w:p w14:paraId="03B8BEB6">
            <w:r>
              <w:t>第五章仅概述一种退化障碍类型，未覆盖当地土体障碍</w:t>
            </w:r>
          </w:p>
          <w:p w14:paraId="3F3802BC">
            <w:r>
              <w:t>证据：第五章（p361-365）退化障碍仅概述“保肥能力下降”一种类型，表5.2（p362）、表5.3（p363）亦均仅涉及阳离子交换量（CEC）指标；而第七章载“19.51%容重偏大地块”（p365、p479）、第八章建议“缓解19.51%容重偏大地块的紧实度”（p480）及第七章“强降雨或汛期易出现渍涝隐患”（p480）等退化障碍内容均未纳入第五章概述。</w:t>
            </w:r>
          </w:p>
          <w:p w14:paraId="4EC5D5E8">
            <w:r>
              <w:t>检查范围：已通读第五章全部正文及表5.1、表5.2、表5.3（p361-365），全章仅涉及“保肥能力下降”一种退化障碍类型。</w:t>
            </w:r>
          </w:p>
        </w:tc>
      </w:tr>
    </w:tbl>
    <w:p w14:paraId="68437F4B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问题类别六：第六章土壤农业利用适宜性评价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211BA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5337923C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6340B7CD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0DD5001E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16A6D8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4CCCC"/>
          </w:tcPr>
          <w:p w14:paraId="351E93F0"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w="822" w:type="dxa"/>
          </w:tcPr>
          <w:p w14:paraId="543B7A55">
            <w:pPr>
              <w:jc w:val="center"/>
            </w:pPr>
            <w:r>
              <w:t>398、399、400、403</w:t>
            </w:r>
          </w:p>
        </w:tc>
        <w:tc>
          <w:tcPr>
            <w:tcW w:w="7597" w:type="dxa"/>
          </w:tcPr>
          <w:p w14:paraId="1CA45B6F">
            <w:r>
              <w:t>表6.21标题为“耕地后备资源”但数据为全部评价面积</w:t>
            </w:r>
          </w:p>
          <w:p w14:paraId="4352091E">
            <w:r>
              <w:t>证据：表6.21标题为“吴桥县各镇(街道)耕地后备资源土地利用现状面积统计表”（p403），但其“总计”行693018亩恰为第六章评价对象全部面积（表6.19总计693018亩，p399；表6.18总计693018亩，p398），其中园地列合计47769亩与表6.18“吴桥县2023年土地利用现状”（p398）园地5067亩相差约9.4倍，林地553867亩对58749亩、草地42768亩对4536亩、其他土地48613亩对5156亩亦全面不一致；而表6.20“吴桥县可耕地资源潜力面积统计表”（p399-400）载后备资源总计73508亩。同一章内后备资源面积出现73508亩与693018亩两个数字，表6.21实为全部评价地类面积统计却冠以“耕地后备资源”之名。</w:t>
            </w:r>
          </w:p>
        </w:tc>
      </w:tr>
      <w:tr w14:paraId="7590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4CCCC"/>
          </w:tcPr>
          <w:p w14:paraId="02A19DAF"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w="822" w:type="dxa"/>
          </w:tcPr>
          <w:p w14:paraId="2FFE0188">
            <w:pPr>
              <w:jc w:val="center"/>
            </w:pPr>
            <w:r>
              <w:t>50、53、399</w:t>
            </w:r>
          </w:p>
        </w:tc>
        <w:tc>
          <w:tcPr>
            <w:tcW w:w="7597" w:type="dxa"/>
          </w:tcPr>
          <w:p w14:paraId="019790B4">
            <w:r>
              <w:t>表6.19砂质石灰性潮土宜耕面积与第三章土壤面积相差16.9倍</w:t>
            </w:r>
          </w:p>
          <w:p w14:paraId="0E213CF1">
            <w:r>
              <w:t>证据：表6.19“吴桥县各土属的适宜类分布面积统计”（p399）载砂质石灰性潮土宜耕面积267469亩、占38.59%；表3.8“三普土种信息一览表”（p50）中砂质石灰性潮土4个土种合计13155+786+396+1502=15839亩，仅占全县土壤面积829545亩的1.91%；表3.9（p53）中该土属合计亦为15839亩。第六章评价单元中该土属面积（267469亩）超出第三章制图面积（15839亩）约16.9倍，报告未作任何口径说明。</w:t>
            </w:r>
          </w:p>
        </w:tc>
      </w:tr>
    </w:tbl>
    <w:p w14:paraId="3E59BCE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问题类别七：第七章耕地质量等级评价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27EEB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31D39A5C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4FB7C041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16B0CC4D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5F45E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1A51BBCF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62E30F6E">
            <w:pPr>
              <w:jc w:val="center"/>
            </w:pPr>
            <w:r>
              <w:t>429</w:t>
            </w:r>
          </w:p>
        </w:tc>
        <w:tc>
          <w:tcPr>
            <w:tcW w:w="7597" w:type="dxa"/>
          </w:tcPr>
          <w:p w14:paraId="54E0CB52">
            <w:r>
              <w:t>表7.10合计与分项和相差100亩</w:t>
            </w:r>
          </w:p>
          <w:p w14:paraId="5D958741">
            <w:r>
              <w:t>证据：表7.10“吴桥县2021年与三普耕地质量等级状况对比”（p429）2021年面积行：2等0亩、3等62100亩、4等441700亩、5等108300亩、6等0亩，合计行612200亩；分项之和为612100亩，相差100亩。</w:t>
            </w:r>
          </w:p>
        </w:tc>
      </w:tr>
      <w:tr w14:paraId="60587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45CB3480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1DE2EF1A">
            <w:pPr>
              <w:jc w:val="center"/>
            </w:pPr>
            <w:r>
              <w:t>429</w:t>
            </w:r>
          </w:p>
        </w:tc>
        <w:tc>
          <w:tcPr>
            <w:tcW w:w="7597" w:type="dxa"/>
          </w:tcPr>
          <w:p w14:paraId="302BF276">
            <w:r>
              <w:t>第七章出现“褐土”“石灰性褐土”模板残留及有机质数据错误</w:t>
            </w:r>
          </w:p>
          <w:p w14:paraId="069EE3D3">
            <w:r>
              <w:t>证据：第七章（p429）：“高等级耕地集中分布于桑园镇、铁城镇、于集镇等核心农业区域……以潮土、褐土为主”；“中等级耕地……土壤以潮土、石灰性褐土为主，土层厚度60~80cm，保水保肥性能中等（有机质含量1.0%-1.5%）”。吴桥县土壤全部为潮土（p52“吴桥县土壤类型全部为潮土”，类型清单及全部属性表中无褐土、石灰性褐土），全县有机质样点均值18.65g/kg（p184、p356），“1.0%-1.5%”与全县及任何等级耕地有机质水平均不符，系套用模板残留。</w:t>
            </w:r>
          </w:p>
        </w:tc>
      </w:tr>
      <w:tr w14:paraId="10E13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44247185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2F5D339A">
            <w:pPr>
              <w:jc w:val="center"/>
            </w:pPr>
            <w:r>
              <w:t>414</w:t>
            </w:r>
          </w:p>
        </w:tc>
        <w:tc>
          <w:tcPr>
            <w:tcW w:w="7597" w:type="dxa"/>
          </w:tcPr>
          <w:p w14:paraId="11236742">
            <w:r>
              <w:t>表7.4标题“鲁豫低洼平原农业区”缺“冀”</w:t>
            </w:r>
          </w:p>
          <w:p w14:paraId="64054314">
            <w:r>
              <w:t>证据：表7.4（p414）标题为“鲁豫低洼平原农业区耕地质量等级评价指标体系表”，全国九大农区名称应为“冀鲁豫低洼平原农业区”，缺“冀”字。</w:t>
            </w:r>
          </w:p>
        </w:tc>
      </w:tr>
      <w:tr w14:paraId="3AC885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5E93A15B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12B9C25C">
            <w:pPr>
              <w:jc w:val="center"/>
            </w:pPr>
            <w:r>
              <w:t>464</w:t>
            </w:r>
          </w:p>
        </w:tc>
        <w:tc>
          <w:tcPr>
            <w:tcW w:w="7597" w:type="dxa"/>
          </w:tcPr>
          <w:p w14:paraId="2FCF4856">
            <w:r>
              <w:t>表230有机质分级标准“2级（20.0-250.0）”应为25.0</w:t>
            </w:r>
          </w:p>
          <w:p w14:paraId="28E85081">
            <w:r>
              <w:t>证据：表230（p464）表头有机质分级标准中“2级（20.0-250.0）”应为“2级（20.0-25.0）”；同表3级（15.0-20.0）、4级（10.0-15.0）相邻分级均以5g/kg为步长，250.0g/kg远超土壤有机质可能范围（全区范围3.74～33.3g/kg，p184），系“25.0”多写“0”。耕地质量评价专题报告（03专题）表29存在同样笔误。</w:t>
            </w:r>
          </w:p>
        </w:tc>
      </w:tr>
    </w:tbl>
    <w:p w14:paraId="4D84FBDE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问题类别九：章节、专题、县市成果与面积口径一致性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43D831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56F6474A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606EBD7D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361CDDD3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3D47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4CCCC"/>
          </w:tcPr>
          <w:p w14:paraId="23C1652F">
            <w:pPr>
              <w:jc w:val="center"/>
            </w:pPr>
            <w:r>
              <w:rPr>
                <w:b/>
              </w:rPr>
              <w:t>严重</w:t>
            </w:r>
          </w:p>
        </w:tc>
        <w:tc>
          <w:tcPr>
            <w:tcW w:w="822" w:type="dxa"/>
          </w:tcPr>
          <w:p w14:paraId="3A925E22">
            <w:pPr>
              <w:jc w:val="center"/>
            </w:pPr>
            <w:r>
              <w:t>52、151、366</w:t>
            </w:r>
          </w:p>
        </w:tc>
        <w:tc>
          <w:tcPr>
            <w:tcW w:w="7597" w:type="dxa"/>
          </w:tcPr>
          <w:p w14:paraId="7631774C">
            <w:r>
              <w:t>全县土壤面积三个口径互不一致且无说明</w:t>
            </w:r>
          </w:p>
          <w:p w14:paraId="5AD67787">
            <w:r>
              <w:t>证据：第三章“吴桥县土壤类型全部为潮土，面积共计829545亩”（p52），表3.8总计829545亩亦同；第四章各属性分级表“全区”制图面积均为870583亩（p151表4.1、p166表4.11、p172表4.15、p180表4.20、p184表4.22）；第六章评价对象总面积693018亩（p366起，表6.19总计p399）。三者相差41038亩（870583−829545）与17565亩（870583−693018），报告未说明任何两套面积之间的口径关系。</w:t>
            </w:r>
          </w:p>
        </w:tc>
      </w:tr>
      <w:tr w14:paraId="72EB8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18498C68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68F025B3">
            <w:pPr>
              <w:jc w:val="center"/>
            </w:pPr>
            <w:r>
              <w:t>17-478（共7页）</w:t>
            </w:r>
          </w:p>
        </w:tc>
        <w:tc>
          <w:tcPr>
            <w:tcW w:w="7597" w:type="dxa"/>
          </w:tcPr>
          <w:p w14:paraId="2B284712">
            <w:r>
              <w:t>“盐化潮土”第三章已全部脱盐、第四/七章却作为现行亚类统计</w:t>
            </w:r>
          </w:p>
          <w:p w14:paraId="6A72D5BB">
            <w:r>
              <w:t>证据：第三章（p128）：“目前三普盐化土壤全部实现脱盐，脱盐率为100%。”同章（p142）将盐化潮土按二普历史类型叙述（“在二普中……面积为82580亩”）；摘要（p17）：“吴桥县原有的盐化潮土已全部实现脱盐。”而第四章表4.3（p155）将“盐化潮土”（硫酸盐盐化潮土26个样点，制图面积“—”）与典型潮土（185个样点）、脱潮土（9个样点）并列统计，表4.3正文（p153）及表4.42～4.76等10张微量元素表正文（p214-254）均称样点“覆盖典型潮土、盐化潮土、脱潮土三大主要土壤亚类”；第七章（p478）亦称区域土壤“辅以硫酸盐盐化潮土、脱潮壤土等类型”。第四章、第七章把第三章已声明“全部脱盐、现行仅2个亚类（典型潮土、脱潮土）”的盐化潮土当作现行亚类参与统计。</w:t>
            </w:r>
          </w:p>
        </w:tc>
      </w:tr>
      <w:tr w14:paraId="54DAF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0670164B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73387CC3">
            <w:pPr>
              <w:jc w:val="center"/>
            </w:pPr>
            <w:r>
              <w:t>17、184、356、365、442、480</w:t>
            </w:r>
          </w:p>
        </w:tc>
        <w:tc>
          <w:tcPr>
            <w:tcW w:w="7597" w:type="dxa"/>
          </w:tcPr>
          <w:p w14:paraId="42945FAD">
            <w:r>
              <w:t>全县有机质均值19.04g/kg与第四章18.65g/kg矛盾（19.04实为四等地均值）</w:t>
            </w:r>
          </w:p>
          <w:p w14:paraId="03A0C8C9">
            <w:r>
              <w:t>证据：摘要（p17）：“部分地块存在有机质含量有待进一步提升（平均约19.04g/kg）”；第五章（p365）：“力争将全县耕地平均有机质从现有的19.04g/kg稳步提升至20g/kg以上”；第八章（p480）：“三普数据显示，全县土壤有机质平均水平约19.04g/kg”；而第四章表4.22（p184）全区样点均值18.65g/kg、小结（p356）“全区有机质均值为18.65g/kg”。第七章（p442）：“四等地土壤有机质含量在13.21–24.99g/kg之间，平均约19.04g/kg”——19.04g/kg为四等地（单一质量等级）均值，摘要、第五章、第八章将其表述为“全县”均值。</w:t>
            </w:r>
          </w:p>
        </w:tc>
      </w:tr>
      <w:tr w14:paraId="16048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251D5F1A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58F69F98">
            <w:pPr>
              <w:jc w:val="center"/>
            </w:pPr>
            <w:r>
              <w:t>21、53、363、403、481</w:t>
            </w:r>
          </w:p>
        </w:tc>
        <w:tc>
          <w:tcPr>
            <w:tcW w:w="7597" w:type="dxa"/>
          </w:tcPr>
          <w:p w14:paraId="5BC7F355">
            <w:r>
              <w:t>乡镇名称“东宋门乡”与“宋门乡”混用</w:t>
            </w:r>
          </w:p>
          <w:p w14:paraId="48E4D3B4">
            <w:r>
              <w:t>证据：第一章10乡镇名录用“东宋门乡”（p21），第五章表5.3（p363）及第八章（p481）亦用“东宋门乡”；而表3.9乡镇分布（p53）、表6.21（p403）、表7.2等表用“宋门乡”。吴桥县现行乡镇名为“宋门乡”（“东宋门乡”为旧名），同一报告内两种名称混用。另表5.3标题为“吴桥县不同乡镇（镇/乡/街道）耕地CEC统计”（p363），吴桥县无街道办事处建制，“（镇/乡/街道）”为模板残留。</w:t>
            </w:r>
          </w:p>
        </w:tc>
      </w:tr>
    </w:tbl>
    <w:p w14:paraId="7AE41F65">
      <w:pPr>
        <w:pStyle w:val="4"/>
        <w:rPr>
          <w:rFonts w:hint="eastAsia" w:ascii="黑体" w:hAnsi="黑体" w:eastAsia="黑体" w:cs="黑体"/>
        </w:rPr>
      </w:pPr>
      <w:r>
        <w:rPr>
          <w:rFonts w:hint="eastAsia" w:ascii="黑体" w:hAnsi="黑体" w:eastAsia="黑体" w:cs="黑体"/>
        </w:rPr>
        <w:t>问题类别十：报告格式、文件格式和数据库质检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9"/>
        <w:gridCol w:w="822"/>
        <w:gridCol w:w="7597"/>
      </w:tblGrid>
      <w:tr w14:paraId="65095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709" w:type="dxa"/>
            <w:shd w:val="clear" w:color="auto" w:fill="D9EAF7"/>
          </w:tcPr>
          <w:p w14:paraId="48310CF8">
            <w:pPr>
              <w:jc w:val="center"/>
            </w:pPr>
            <w:r>
              <w:rPr>
                <w:b/>
              </w:rPr>
              <w:t>级别</w:t>
            </w:r>
          </w:p>
        </w:tc>
        <w:tc>
          <w:tcPr>
            <w:tcW w:w="822" w:type="dxa"/>
            <w:shd w:val="clear" w:color="auto" w:fill="D9EAF7"/>
          </w:tcPr>
          <w:p w14:paraId="089D56AC">
            <w:pPr>
              <w:jc w:val="center"/>
            </w:pPr>
            <w:r>
              <w:rPr>
                <w:b/>
              </w:rPr>
              <w:t>PDF页</w:t>
            </w:r>
          </w:p>
        </w:tc>
        <w:tc>
          <w:tcPr>
            <w:tcW w:w="7597" w:type="dxa"/>
            <w:shd w:val="clear" w:color="auto" w:fill="D9EAF7"/>
          </w:tcPr>
          <w:p w14:paraId="0729920F">
            <w:pPr>
              <w:jc w:val="left"/>
            </w:pPr>
            <w:r>
              <w:rPr>
                <w:b/>
              </w:rPr>
              <w:t>问题与证据</w:t>
            </w:r>
          </w:p>
        </w:tc>
      </w:tr>
      <w:tr w14:paraId="16C46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CE5CD"/>
          </w:tcPr>
          <w:p w14:paraId="03C68945">
            <w:pPr>
              <w:jc w:val="center"/>
            </w:pPr>
            <w:r>
              <w:rPr>
                <w:b/>
              </w:rPr>
              <w:t>重要</w:t>
            </w:r>
          </w:p>
        </w:tc>
        <w:tc>
          <w:tcPr>
            <w:tcW w:w="822" w:type="dxa"/>
          </w:tcPr>
          <w:p w14:paraId="7C7C20FF">
            <w:pPr>
              <w:jc w:val="center"/>
            </w:pPr>
            <w:r>
              <w:t>405-485（共41页）</w:t>
            </w:r>
          </w:p>
        </w:tc>
        <w:tc>
          <w:tcPr>
            <w:tcW w:w="7597" w:type="dxa"/>
          </w:tcPr>
          <w:p w14:paraId="6946687A">
            <w:r>
              <w:t>页眉“第九章 土壤资源综合利用建议”覆盖第六至八章且全书仅此一个页眉章节名</w:t>
            </w:r>
          </w:p>
          <w:p w14:paraId="10C04C01">
            <w:r>
              <w:t>证据：本报告共八章（第一章p18、第二章p29、第三章p42、第四章p150、第五章p361、第六章p366、第七章p409、第八章p480），无“第九章”；而p405至p485共41个奇数页页眉均为“第九章 土壤资源综合利用建议”，覆盖第六章、第七章、第八章全部范围，且第一至五章（p17-403）页眉无章节名。页眉章节名与正文章节结构不符。</w:t>
            </w:r>
          </w:p>
        </w:tc>
      </w:tr>
      <w:tr w14:paraId="7929A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54087D7A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092C7DA2">
            <w:pPr>
              <w:jc w:val="center"/>
            </w:pPr>
            <w:r>
              <w:t>486</w:t>
            </w:r>
          </w:p>
        </w:tc>
        <w:tc>
          <w:tcPr>
            <w:tcW w:w="7597" w:type="dxa"/>
          </w:tcPr>
          <w:p w14:paraId="381F8931">
            <w:r>
              <w:t>全文无“参考文献”章节</w:t>
            </w:r>
          </w:p>
          <w:p w14:paraId="701A1809">
            <w:r>
              <w:t>证据：全书正文及目录均未出现“参考文献”章节或条目：DOCX全部3023个正文段落、236个表格检索“参考文献”字样无命中；PDF第486页为报告结尾。</w:t>
            </w:r>
          </w:p>
          <w:p w14:paraId="1A813821">
            <w:r>
              <w:t>检查范围：已对DOCX全部3023个正文段落及236个表格、PDF全部486页检索“参考文献”，均无该章节或条目。</w:t>
            </w:r>
          </w:p>
        </w:tc>
      </w:tr>
      <w:tr w14:paraId="4D449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709" w:type="dxa"/>
            <w:shd w:val="clear" w:color="auto" w:fill="FFF2CC"/>
          </w:tcPr>
          <w:p w14:paraId="30D21844">
            <w:pPr>
              <w:jc w:val="center"/>
            </w:pPr>
            <w:r>
              <w:rPr>
                <w:b/>
              </w:rPr>
              <w:t>一般</w:t>
            </w:r>
          </w:p>
        </w:tc>
        <w:tc>
          <w:tcPr>
            <w:tcW w:w="822" w:type="dxa"/>
          </w:tcPr>
          <w:p w14:paraId="5CDB96E9">
            <w:pPr>
              <w:jc w:val="center"/>
            </w:pPr>
            <w:r>
              <w:t>5、361</w:t>
            </w:r>
          </w:p>
        </w:tc>
        <w:tc>
          <w:tcPr>
            <w:tcW w:w="7597" w:type="dxa"/>
          </w:tcPr>
          <w:p w14:paraId="63041B5F">
            <w:r>
              <w:t>第五章标题“第五章 第五章”编号重复</w:t>
            </w:r>
          </w:p>
          <w:p w14:paraId="2BC6D5AA">
            <w:r>
              <w:t>证据：目录（p5）与第五章标题页（p361）显示为“第五章 第五章 土壤退化、障碍与改良……”——章编号出现两次（自动编号与手输编号叠加）；第六章标题页（p366）无此问题，仅第五章重复。</w:t>
            </w:r>
            <w:bookmarkStart w:id="0" w:name="_GoBack"/>
            <w:bookmarkEnd w:id="0"/>
          </w:p>
        </w:tc>
      </w:tr>
    </w:tbl>
    <w:p w14:paraId="79780886">
      <w:pPr>
        <w:pStyle w:val="16"/>
        <w:numPr>
          <w:numId w:val="0"/>
        </w:numPr>
        <w:spacing w:after="60"/>
        <w:ind w:leftChars="0"/>
      </w:pPr>
    </w:p>
    <w:sectPr>
      <w:headerReference r:id="rId5" w:type="default"/>
      <w:footerReference r:id="rId6" w:type="default"/>
      <w:pgSz w:w="12240" w:h="15840"/>
      <w:pgMar w:top="979" w:right="979" w:bottom="936" w:left="979" w:header="432" w:footer="432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ESRI AMFM Electric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ESRI AMFM Electric">
    <w:panose1 w:val="02000400000000000000"/>
    <w:charset w:val="00"/>
    <w:family w:val="auto"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5E9783">
    <w:pPr>
      <w:pStyle w:val="24"/>
      <w:jc w:val="center"/>
    </w:pPr>
    <w:r>
      <w:rPr>
        <w:color w:val="666666"/>
        <w:sz w:val="18"/>
      </w:rPr>
      <w:t xml:space="preserve">第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PAGE</w:instrText>
    </w:r>
    <w:r>
      <w:rPr>
        <w:color w:val="666666"/>
        <w:sz w:val="18"/>
      </w:rPr>
      <w:fldChar w:fldCharType="separate"/>
    </w:r>
    <w:r>
      <w:rPr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EECA79">
    <w:pPr>
      <w:pStyle w:val="25"/>
      <w:jc w:val="center"/>
    </w:pPr>
    <w:r>
      <w:rPr>
        <w:rFonts w:ascii="宋体" w:hAnsi="宋体" w:eastAsia="宋体"/>
        <w:sz w:val="18"/>
      </w:rPr>
      <w:t>吴桥县土壤资源评价与利用报告｜质控审计意见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6ED0"/>
    <w:rsid w:val="00AA1D8D"/>
    <w:rsid w:val="00B47730"/>
    <w:rsid w:val="00B64C7F"/>
    <w:rsid w:val="00CB0664"/>
    <w:rsid w:val="00EE5EB0"/>
    <w:rsid w:val="00FC693F"/>
    <w:rsid w:val="02D80E4A"/>
    <w:rsid w:val="0CFD41D5"/>
    <w:rsid w:val="16F72C63"/>
    <w:rsid w:val="2A037A86"/>
    <w:rsid w:val="59D03A57"/>
    <w:rsid w:val="5BA71B9B"/>
    <w:rsid w:val="611F2AAF"/>
    <w:rsid w:val="655F0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bCs/>
      <w:color w:val="17365D"/>
      <w:sz w:val="34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160" w:after="120"/>
      <w:outlineLvl w:val="1"/>
    </w:pPr>
    <w:rPr>
      <w:rFonts w:asciiTheme="majorHAnsi" w:hAnsiTheme="majorHAnsi" w:eastAsiaTheme="majorEastAsia" w:cstheme="majorBidi"/>
      <w:b/>
      <w:bCs/>
      <w:color w:val="2F5597"/>
      <w:sz w:val="28"/>
      <w:szCs w:val="26"/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160" w:after="120"/>
      <w:outlineLvl w:val="2"/>
    </w:pPr>
    <w:rPr>
      <w:rFonts w:asciiTheme="majorHAnsi" w:hAnsiTheme="majorHAnsi" w:eastAsiaTheme="majorEastAsia" w:cstheme="majorBidi"/>
      <w:b/>
      <w:bCs/>
      <w:color w:val="2F5597"/>
      <w:sz w:val="24"/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qFormat/>
    <w:uiPriority w:val="1"/>
  </w:style>
  <w:style w:type="table" w:default="1" w:styleId="3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next w:val="1"/>
    <w:autoRedefine/>
    <w:unhideWhenUsed/>
    <w:qFormat/>
    <w:uiPriority w:val="39"/>
  </w:style>
  <w:style w:type="paragraph" w:styleId="27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666666"/>
      <w:spacing w:val="15"/>
      <w:sz w:val="24"/>
      <w:szCs w:val="24"/>
    </w:r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toc 2"/>
    <w:basedOn w:val="1"/>
    <w:next w:val="1"/>
    <w:autoRedefine/>
    <w:unhideWhenUsed/>
    <w:qFormat/>
    <w:uiPriority w:val="39"/>
    <w:pPr>
      <w:ind w:left="420" w:leftChars="200"/>
    </w:pPr>
  </w:style>
  <w:style w:type="paragraph" w:styleId="30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31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/>
      <w:spacing w:val="5"/>
      <w:kern w:val="28"/>
      <w:sz w:val="50"/>
      <w:szCs w:val="52"/>
    </w:rPr>
  </w:style>
  <w:style w:type="table" w:styleId="35">
    <w:name w:val="Table Grid"/>
    <w:basedOn w:val="34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36">
    <w:name w:val="Light Shading"/>
    <w:basedOn w:val="34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styleId="137">
    <w:name w:val="Hyperlink"/>
    <w:basedOn w:val="13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8">
    <w:name w:val="页眉 字符"/>
    <w:basedOn w:val="134"/>
    <w:link w:val="25"/>
    <w:qFormat/>
    <w:uiPriority w:val="99"/>
  </w:style>
  <w:style w:type="character" w:customStyle="1" w:styleId="139">
    <w:name w:val="页脚 字符"/>
    <w:basedOn w:val="134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标题 1 字符"/>
    <w:basedOn w:val="134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标题 2 字符"/>
    <w:basedOn w:val="134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标题 3 字符"/>
    <w:basedOn w:val="134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标题 字符"/>
    <w:basedOn w:val="134"/>
    <w:link w:val="33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副标题 字符"/>
    <w:basedOn w:val="134"/>
    <w:link w:val="2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正文文本 字符"/>
    <w:basedOn w:val="134"/>
    <w:link w:val="19"/>
    <w:qFormat/>
    <w:uiPriority w:val="99"/>
  </w:style>
  <w:style w:type="character" w:customStyle="1" w:styleId="148">
    <w:name w:val="正文文本 2 字符"/>
    <w:basedOn w:val="134"/>
    <w:link w:val="30"/>
    <w:qFormat/>
    <w:uiPriority w:val="99"/>
  </w:style>
  <w:style w:type="character" w:customStyle="1" w:styleId="149">
    <w:name w:val="正文文本 3 字符"/>
    <w:basedOn w:val="134"/>
    <w:link w:val="17"/>
    <w:qFormat/>
    <w:uiPriority w:val="99"/>
    <w:rPr>
      <w:sz w:val="16"/>
      <w:szCs w:val="16"/>
    </w:rPr>
  </w:style>
  <w:style w:type="character" w:customStyle="1" w:styleId="150">
    <w:name w:val="宏文本 字符"/>
    <w:basedOn w:val="134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引用 字符"/>
    <w:basedOn w:val="134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标题 4 字符"/>
    <w:basedOn w:val="134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标题 5 字符"/>
    <w:basedOn w:val="134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标题 6 字符"/>
    <w:basedOn w:val="134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标题 7 字符"/>
    <w:basedOn w:val="134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标题 8 字符"/>
    <w:basedOn w:val="134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标题 9 字符"/>
    <w:basedOn w:val="134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明显引用 字符"/>
    <w:basedOn w:val="134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Audit Callout"/>
    <w:qFormat/>
    <w:uiPriority w:val="0"/>
    <w:pPr>
      <w:spacing w:before="100" w:after="100" w:line="300" w:lineRule="auto"/>
      <w:ind w:left="198" w:right="198"/>
    </w:pPr>
    <w:rPr>
      <w:rFonts w:ascii="宋体" w:hAnsi="宋体" w:eastAsia="宋体" w:cstheme="minorBidi"/>
      <w:sz w:val="20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9712</Words>
  <Characters>12681</Characters>
  <Lines>484</Lines>
  <Paragraphs>482</Paragraphs>
  <TotalTime>94</TotalTime>
  <ScaleCrop>false</ScaleCrop>
  <LinksUpToDate>false</LinksUpToDate>
  <CharactersWithSpaces>12686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OpenAI Codex</dc:creator>
  <dc:description>generated by python-docx</dc:description>
  <cp:keywords>土壤三普, 质控, 河间市, 审计意见</cp:keywords>
  <cp:lastModifiedBy>Mi Manchi</cp:lastModifiedBy>
  <dcterms:modified xsi:type="dcterms:W3CDTF">2026-09-22T07:19:03Z</dcterms:modified>
  <dc:subject>依据既定流程和质控标准重新核查</dc:subject>
  <dc:title>黄骅市土壤资源评价与利用报告质控审计意见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eyJoZGlkIjoiZWQ4NWNlMWZjNThhMjZjMDQyMTU5MmU3YTNkMzg1ZmEiLCJ1c2VySWQiOiIxMjQ2MDU4ODU1In0=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48F01E5F7BF046A986208F8686ABF3A7_12</vt:lpwstr>
  </property>
</Properties>
</file>