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AA9412">
      <w:pPr>
        <w:spacing w:before="200" w:after="80"/>
        <w:jc w:val="center"/>
      </w:pPr>
      <w:r>
        <w:rPr>
          <w:rFonts w:ascii="黑体" w:hAnsi="黑体" w:eastAsia="黑体"/>
          <w:b/>
          <w:sz w:val="52"/>
        </w:rPr>
        <w:t>泊头市土壤资源评价与利用报告</w:t>
      </w:r>
    </w:p>
    <w:p w14:paraId="6BB73BE2">
      <w:pPr>
        <w:spacing w:after="320"/>
        <w:jc w:val="center"/>
      </w:pPr>
      <w:r>
        <w:rPr>
          <w:rFonts w:ascii="黑体" w:hAnsi="黑体" w:eastAsia="黑体"/>
          <w:b/>
          <w:sz w:val="64"/>
        </w:rPr>
        <w:t>质控审计意见</w:t>
      </w:r>
    </w:p>
    <w:p w14:paraId="1C3D73CA">
      <w:pPr>
        <w:pStyle w:val="4"/>
        <w:keepNext/>
      </w:pPr>
      <w:r>
        <w:rPr>
          <w:rFonts w:ascii="微软雅黑" w:hAnsi="微软雅黑" w:eastAsia="微软雅黑"/>
        </w:rPr>
        <w:t>优先整改的六个阻断点</w:t>
      </w:r>
    </w:p>
    <w:p w14:paraId="56A6BA27">
      <w:pPr>
        <w:pStyle w:val="16"/>
        <w:spacing w:after="60" w:line="276" w:lineRule="auto"/>
      </w:pPr>
      <w:r>
        <w:rPr>
          <w:rFonts w:ascii="宋体" w:hAnsi="宋体" w:eastAsia="宋体"/>
          <w:sz w:val="21"/>
        </w:rPr>
        <w:t>第八章仍为带“XX”占位符的苹果模板，评价对象、自然条件、参数、阈值和结果均未完成，不能支撑第九章鸭梨产业布局建议。</w:t>
      </w:r>
    </w:p>
    <w:p w14:paraId="2666B652">
      <w:pPr>
        <w:pStyle w:val="16"/>
        <w:spacing w:after="60" w:line="276" w:lineRule="auto"/>
      </w:pPr>
      <w:r>
        <w:rPr>
          <w:rFonts w:ascii="宋体" w:hAnsi="宋体" w:eastAsia="宋体"/>
          <w:sz w:val="21"/>
        </w:rPr>
        <w:t>第七章指标数量、权重、面积单位和生产潜力均存在互相矛盾的口径，耕地质量等级结果尚不可复现。</w:t>
      </w:r>
    </w:p>
    <w:p w14:paraId="7EC5A874">
      <w:pPr>
        <w:pStyle w:val="16"/>
        <w:spacing w:after="60" w:line="276" w:lineRule="auto"/>
      </w:pPr>
      <w:r>
        <w:rPr>
          <w:rFonts w:ascii="宋体" w:hAnsi="宋体" w:eastAsia="宋体"/>
          <w:sz w:val="21"/>
        </w:rPr>
        <w:t>第四章多项面积、比例、量纲和统计值不能闭合，并保留“科学回调”“修正原稿”等编辑文字，属性成果需按原始数据统一重算。</w:t>
      </w:r>
    </w:p>
    <w:p w14:paraId="7FE4B3D6">
      <w:pPr>
        <w:pStyle w:val="16"/>
        <w:spacing w:after="60" w:line="276" w:lineRule="auto"/>
      </w:pPr>
      <w:r>
        <w:rPr>
          <w:rFonts w:ascii="宋体" w:hAnsi="宋体" w:eastAsia="宋体"/>
          <w:sz w:val="21"/>
        </w:rPr>
        <w:t>第六章适宜性总量、单位、等级和分地类结果不能闭合，且大规模退林退园还耕建议缺少可追溯实地验证和规划约束核验。</w:t>
      </w:r>
    </w:p>
    <w:p w14:paraId="24519F3F">
      <w:pPr>
        <w:pStyle w:val="16"/>
        <w:spacing w:after="60" w:line="276" w:lineRule="auto"/>
      </w:pPr>
      <w:r>
        <w:rPr>
          <w:rFonts w:ascii="宋体" w:hAnsi="宋体" w:eastAsia="宋体"/>
          <w:sz w:val="21"/>
        </w:rPr>
        <w:t>样品总数、土地利用年份和面积、土壤分类层级、地貌与气候等基础底数在多章冲突，需先锁定统一的数据版本。</w:t>
      </w:r>
    </w:p>
    <w:p w14:paraId="62B8A90E">
      <w:pPr>
        <w:pStyle w:val="16"/>
        <w:spacing w:after="60" w:line="276" w:lineRule="auto"/>
      </w:pPr>
      <w:r>
        <w:rPr>
          <w:rFonts w:ascii="宋体" w:hAnsi="宋体" w:eastAsia="宋体"/>
          <w:sz w:val="21"/>
        </w:rPr>
        <w:t>第五章和第六章分别引用河南省分级标准或技术文件，但未说明对河北泊头的适用性和本地化校准，评价依据需重新确认。</w:t>
      </w:r>
    </w:p>
    <w:p w14:paraId="6CD89195">
      <w:pPr>
        <w:pStyle w:val="3"/>
        <w:keepNext/>
      </w:pPr>
      <w:r>
        <w:rPr>
          <w:rFonts w:ascii="黑体" w:hAnsi="黑体" w:eastAsia="黑体"/>
        </w:rPr>
        <w:t>问题明细</w:t>
      </w:r>
    </w:p>
    <w:p w14:paraId="019B13D8">
      <w:pPr>
        <w:pStyle w:val="4"/>
        <w:keepNext/>
      </w:pPr>
      <w:r>
        <w:rPr>
          <w:rFonts w:ascii="微软雅黑" w:hAnsi="微软雅黑" w:eastAsia="微软雅黑"/>
        </w:rPr>
        <w:t>问题类别一：前置材料、第一章和数据源表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6"/>
        <w:gridCol w:w="1980"/>
        <w:gridCol w:w="6345"/>
      </w:tblGrid>
      <w:tr w14:paraId="42C3FD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56" w:type="dxa"/>
            <w:shd w:val="clear" w:color="auto" w:fill="D9EAF7"/>
            <w:vAlign w:val="center"/>
          </w:tcPr>
          <w:p w14:paraId="617481D1">
            <w:pPr>
              <w:keepNext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级别</w:t>
            </w:r>
          </w:p>
        </w:tc>
        <w:tc>
          <w:tcPr>
            <w:tcW w:w="1980" w:type="dxa"/>
            <w:shd w:val="clear" w:color="auto" w:fill="D9EAF7"/>
            <w:vAlign w:val="center"/>
          </w:tcPr>
          <w:p w14:paraId="47C7BE02">
            <w:pPr>
              <w:keepNext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PDF页</w:t>
            </w:r>
          </w:p>
        </w:tc>
        <w:tc>
          <w:tcPr>
            <w:tcW w:w="6345" w:type="dxa"/>
            <w:shd w:val="clear" w:color="auto" w:fill="D9EAF7"/>
            <w:vAlign w:val="center"/>
          </w:tcPr>
          <w:p w14:paraId="082B8B48">
            <w:pPr>
              <w:keepNext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问题与证据</w:t>
            </w:r>
          </w:p>
        </w:tc>
      </w:tr>
      <w:tr w14:paraId="6DA223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56" w:type="dxa"/>
            <w:shd w:val="clear" w:color="auto" w:fill="F4CCCC"/>
            <w:vAlign w:val="center"/>
          </w:tcPr>
          <w:p w14:paraId="6810FC9B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严重</w:t>
            </w:r>
          </w:p>
        </w:tc>
        <w:tc>
          <w:tcPr>
            <w:tcW w:w="1980" w:type="dxa"/>
            <w:vAlign w:val="center"/>
          </w:tcPr>
          <w:p w14:paraId="584DEA61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9、20</w:t>
            </w:r>
          </w:p>
        </w:tc>
        <w:tc>
          <w:tcPr>
            <w:tcW w:w="6345" w:type="dxa"/>
            <w:vAlign w:val="center"/>
          </w:tcPr>
          <w:p w14:paraId="3BCD2E42">
            <w:pPr>
              <w:keepNext w:val="0"/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检测样品总数出现两套口径</w:t>
            </w:r>
            <w:r>
              <w:rPr>
                <w:rFonts w:ascii="宋体" w:hAnsi="宋体" w:eastAsia="宋体"/>
                <w:b w:val="0"/>
                <w:sz w:val="18"/>
              </w:rP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证据：摘要写累计检测土壤样品928个；第一章在同一项目和同一批646个调查点的说明中写共完成1464个土壤样品。报告未说明两者对应的样品层次、检测批次或统计范围。</w:t>
            </w:r>
          </w:p>
        </w:tc>
      </w:tr>
      <w:tr w14:paraId="3EFC2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56" w:type="dxa"/>
            <w:shd w:val="clear" w:color="auto" w:fill="F4CCCC"/>
            <w:vAlign w:val="center"/>
          </w:tcPr>
          <w:p w14:paraId="4000A0F4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严重</w:t>
            </w:r>
          </w:p>
        </w:tc>
        <w:tc>
          <w:tcPr>
            <w:tcW w:w="1980" w:type="dxa"/>
            <w:vAlign w:val="center"/>
          </w:tcPr>
          <w:p w14:paraId="3BFBF99E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12—13</w:t>
            </w:r>
          </w:p>
        </w:tc>
        <w:tc>
          <w:tcPr>
            <w:tcW w:w="6345" w:type="dxa"/>
            <w:vAlign w:val="center"/>
          </w:tcPr>
          <w:p w14:paraId="463BB67E">
            <w:pPr>
              <w:keepNext w:val="0"/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工作进度仍保留未填写的时间占位符</w:t>
            </w:r>
            <w:r>
              <w:rPr>
                <w:rFonts w:ascii="宋体" w:hAnsi="宋体" w:eastAsia="宋体"/>
                <w:b w:val="0"/>
                <w:sz w:val="18"/>
              </w:rP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证据：准备、外业、内业和成果形成阶段的起止时间均写成“XX年7月—XX年12月”等模板文字，无法核验实际实施周期。</w:t>
            </w:r>
          </w:p>
        </w:tc>
      </w:tr>
      <w:tr w14:paraId="5AA5B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56" w:type="dxa"/>
            <w:shd w:val="clear" w:color="auto" w:fill="FCE5CD"/>
            <w:vAlign w:val="center"/>
          </w:tcPr>
          <w:p w14:paraId="28DC7604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重要</w:t>
            </w:r>
          </w:p>
        </w:tc>
        <w:tc>
          <w:tcPr>
            <w:tcW w:w="1980" w:type="dxa"/>
            <w:vAlign w:val="center"/>
          </w:tcPr>
          <w:p w14:paraId="4037A3B1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2、18</w:t>
            </w:r>
          </w:p>
        </w:tc>
        <w:tc>
          <w:tcPr>
            <w:tcW w:w="6345" w:type="dxa"/>
            <w:vAlign w:val="center"/>
          </w:tcPr>
          <w:p w14:paraId="0542BBAA">
            <w:pPr>
              <w:keepNext w:val="0"/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数据统一时点与土地利用底数年份不一致</w:t>
            </w:r>
            <w:r>
              <w:rPr>
                <w:rFonts w:ascii="宋体" w:hAnsi="宋体" w:eastAsia="宋体"/>
                <w:b w:val="0"/>
                <w:sz w:val="18"/>
              </w:rP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证据：前言称各项数据统一到2023年12月31日；表1.1登记的土地利用现状数据时点为2022年12月31日。报告未说明版本转换或年度衔接方法。</w:t>
            </w:r>
          </w:p>
        </w:tc>
      </w:tr>
    </w:tbl>
    <w:p w14:paraId="6717B8A8"/>
    <w:p w14:paraId="13FA16AA">
      <w:pPr>
        <w:pStyle w:val="4"/>
        <w:keepNext/>
      </w:pPr>
      <w:r>
        <w:rPr>
          <w:rFonts w:ascii="微软雅黑" w:hAnsi="微软雅黑" w:eastAsia="微软雅黑"/>
        </w:rPr>
        <w:t>问题类别二：第二章区域概况与本地衔接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6"/>
        <w:gridCol w:w="2010"/>
        <w:gridCol w:w="6335"/>
      </w:tblGrid>
      <w:tr w14:paraId="01DD44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  <w:jc w:val="center"/>
        </w:trPr>
        <w:tc>
          <w:tcPr>
            <w:tcW w:w="1936" w:type="dxa"/>
            <w:shd w:val="clear" w:color="auto" w:fill="D9EAF7"/>
            <w:vAlign w:val="center"/>
          </w:tcPr>
          <w:p w14:paraId="25FA742D">
            <w:pPr>
              <w:keepNext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级别</w:t>
            </w:r>
          </w:p>
        </w:tc>
        <w:tc>
          <w:tcPr>
            <w:tcW w:w="2010" w:type="dxa"/>
            <w:shd w:val="clear" w:color="auto" w:fill="D9EAF7"/>
            <w:vAlign w:val="center"/>
          </w:tcPr>
          <w:p w14:paraId="0585418D">
            <w:pPr>
              <w:keepNext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PDF页</w:t>
            </w:r>
          </w:p>
        </w:tc>
        <w:tc>
          <w:tcPr>
            <w:tcW w:w="6335" w:type="dxa"/>
            <w:shd w:val="clear" w:color="auto" w:fill="D9EAF7"/>
            <w:vAlign w:val="center"/>
          </w:tcPr>
          <w:p w14:paraId="46235B65">
            <w:pPr>
              <w:keepNext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问题与证据</w:t>
            </w:r>
          </w:p>
        </w:tc>
      </w:tr>
      <w:tr w14:paraId="1E0872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36" w:type="dxa"/>
            <w:shd w:val="clear" w:color="auto" w:fill="F4CCCC"/>
            <w:vAlign w:val="center"/>
          </w:tcPr>
          <w:p w14:paraId="2B8715B8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严重</w:t>
            </w:r>
          </w:p>
        </w:tc>
        <w:tc>
          <w:tcPr>
            <w:tcW w:w="2010" w:type="dxa"/>
            <w:vAlign w:val="center"/>
          </w:tcPr>
          <w:p w14:paraId="59216AD7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30</w:t>
            </w:r>
          </w:p>
        </w:tc>
        <w:tc>
          <w:tcPr>
            <w:tcW w:w="6335" w:type="dxa"/>
            <w:vAlign w:val="center"/>
          </w:tcPr>
          <w:p w14:paraId="03B626CA">
            <w:pPr>
              <w:keepNext w:val="0"/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混入与泊头市无关的台前县规划内容</w:t>
            </w:r>
            <w:r>
              <w:rPr>
                <w:rFonts w:ascii="宋体" w:hAnsi="宋体" w:eastAsia="宋体"/>
                <w:b w:val="0"/>
                <w:sz w:val="18"/>
              </w:rP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证据：区域规划段落直接叙述“台前县”“一核三带多片区”“省际物流枢纽”和羽绒产业等内容，属于明显异地文本残留。</w:t>
            </w:r>
          </w:p>
        </w:tc>
      </w:tr>
      <w:tr w14:paraId="5CA615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36" w:type="dxa"/>
            <w:shd w:val="clear" w:color="auto" w:fill="F4CCCC"/>
            <w:vAlign w:val="center"/>
          </w:tcPr>
          <w:p w14:paraId="260EC9E0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严重</w:t>
            </w:r>
          </w:p>
        </w:tc>
        <w:tc>
          <w:tcPr>
            <w:tcW w:w="2010" w:type="dxa"/>
            <w:vAlign w:val="center"/>
          </w:tcPr>
          <w:p w14:paraId="41B3A257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11、31</w:t>
            </w:r>
          </w:p>
        </w:tc>
        <w:tc>
          <w:tcPr>
            <w:tcW w:w="6335" w:type="dxa"/>
            <w:vAlign w:val="center"/>
          </w:tcPr>
          <w:p w14:paraId="52D0082E">
            <w:pPr>
              <w:keepNext w:val="0"/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土地总面积出现数量级错误</w:t>
            </w:r>
            <w:r>
              <w:rPr>
                <w:rFonts w:ascii="宋体" w:hAnsi="宋体" w:eastAsia="宋体"/>
                <w:b w:val="0"/>
                <w:sz w:val="18"/>
              </w:rP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证据：第二章写土地总面积18133.5万亩；报告前文给出的辖区面积为1008.9平方千米，折合约151.34万亩，两者相差约120倍。</w:t>
            </w:r>
          </w:p>
        </w:tc>
      </w:tr>
      <w:tr w14:paraId="2B6459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36" w:type="dxa"/>
            <w:shd w:val="clear" w:color="auto" w:fill="F4CCCC"/>
            <w:vAlign w:val="center"/>
          </w:tcPr>
          <w:p w14:paraId="09BE00F9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严重</w:t>
            </w:r>
          </w:p>
        </w:tc>
        <w:tc>
          <w:tcPr>
            <w:tcW w:w="2010" w:type="dxa"/>
            <w:vAlign w:val="center"/>
          </w:tcPr>
          <w:p w14:paraId="77FB2D48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31—32</w:t>
            </w:r>
          </w:p>
        </w:tc>
        <w:tc>
          <w:tcPr>
            <w:tcW w:w="6335" w:type="dxa"/>
            <w:vAlign w:val="center"/>
          </w:tcPr>
          <w:p w14:paraId="37D62BC2">
            <w:pPr>
              <w:keepNext w:val="0"/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同为2023年的土地利用面积前后不一致</w:t>
            </w:r>
            <w:r>
              <w:rPr>
                <w:rFonts w:ascii="宋体" w:hAnsi="宋体" w:eastAsia="宋体"/>
                <w:b w:val="0"/>
                <w:sz w:val="18"/>
              </w:rP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证据：现状表中耕地、园地、林地、草地分别为757429、158072、241468、8416亩；下一页历史变化表的2023年数值分别为758791、159015、267970、9371亩，四类均不能对应。</w:t>
            </w:r>
          </w:p>
        </w:tc>
      </w:tr>
      <w:tr w14:paraId="02DC6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36" w:type="dxa"/>
            <w:shd w:val="clear" w:color="auto" w:fill="FCE5CD"/>
            <w:vAlign w:val="center"/>
          </w:tcPr>
          <w:p w14:paraId="08F2DF95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重要</w:t>
            </w:r>
          </w:p>
        </w:tc>
        <w:tc>
          <w:tcPr>
            <w:tcW w:w="2010" w:type="dxa"/>
            <w:vAlign w:val="center"/>
          </w:tcPr>
          <w:p w14:paraId="4318BEB7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31</w:t>
            </w:r>
          </w:p>
        </w:tc>
        <w:tc>
          <w:tcPr>
            <w:tcW w:w="6335" w:type="dxa"/>
            <w:vAlign w:val="center"/>
          </w:tcPr>
          <w:p w14:paraId="57E9CDF3">
            <w:pPr>
              <w:keepNext w:val="0"/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社会经济统计存在缺项和数量关系异常</w:t>
            </w:r>
            <w:r>
              <w:rPr>
                <w:rFonts w:ascii="宋体" w:hAnsi="宋体" w:eastAsia="宋体"/>
                <w:b w:val="0"/>
                <w:sz w:val="18"/>
              </w:rP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证据：第一产业增加值仅有指标名称而无数值；同页写农村人口30.04万人、乡村劳动力50.0万人，劳动力人数高于农村人口，需回查原始统计表和单位。</w:t>
            </w:r>
          </w:p>
        </w:tc>
      </w:tr>
      <w:tr w14:paraId="10379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36" w:type="dxa"/>
            <w:shd w:val="clear" w:color="auto" w:fill="F4CCCC"/>
            <w:vAlign w:val="center"/>
          </w:tcPr>
          <w:p w14:paraId="4A6324D8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严重</w:t>
            </w:r>
          </w:p>
        </w:tc>
        <w:tc>
          <w:tcPr>
            <w:tcW w:w="2010" w:type="dxa"/>
            <w:vAlign w:val="center"/>
          </w:tcPr>
          <w:p w14:paraId="0BED89F8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33</w:t>
            </w:r>
          </w:p>
        </w:tc>
        <w:tc>
          <w:tcPr>
            <w:tcW w:w="6335" w:type="dxa"/>
            <w:vAlign w:val="center"/>
          </w:tcPr>
          <w:p w14:paraId="3C890E89">
            <w:pPr>
              <w:keepNext w:val="0"/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有效灌溉面积和覆盖率无法成立</w:t>
            </w:r>
            <w:r>
              <w:rPr>
                <w:rFonts w:ascii="宋体" w:hAnsi="宋体" w:eastAsia="宋体"/>
                <w:b w:val="0"/>
                <w:sz w:val="18"/>
              </w:rP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证据：正文称有效灌溉面积稳定在85万亩以上，覆盖全市80%的耕地；本章耕地总面积为75.7429万亩，85万亩已超过耕地总量，按该总量计算约为112.2%，不是80%。</w:t>
            </w:r>
          </w:p>
        </w:tc>
      </w:tr>
      <w:tr w14:paraId="505DF3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36" w:type="dxa"/>
            <w:shd w:val="clear" w:color="auto" w:fill="F4CCCC"/>
            <w:vAlign w:val="center"/>
          </w:tcPr>
          <w:p w14:paraId="5A3DB746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严重</w:t>
            </w:r>
          </w:p>
        </w:tc>
        <w:tc>
          <w:tcPr>
            <w:tcW w:w="2010" w:type="dxa"/>
            <w:vAlign w:val="center"/>
          </w:tcPr>
          <w:p w14:paraId="7C4494EC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31、34</w:t>
            </w:r>
          </w:p>
        </w:tc>
        <w:tc>
          <w:tcPr>
            <w:tcW w:w="6335" w:type="dxa"/>
            <w:vAlign w:val="center"/>
          </w:tcPr>
          <w:p w14:paraId="19B75DE4">
            <w:pPr>
              <w:keepNext w:val="0"/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农业现状中的面积合计与土地利用底数冲突</w:t>
            </w:r>
            <w:r>
              <w:rPr>
                <w:rFonts w:ascii="宋体" w:hAnsi="宋体" w:eastAsia="宋体"/>
                <w:b w:val="0"/>
                <w:sz w:val="18"/>
              </w:rP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证据：第34页称南部平原有85万亩水浇地，超过第31页全市水浇地63.3004万亩，也超过全市耕地75.7429万亩；粮食播种面积称102万亩，但同段小麦40万亩与玉米52万亩合计仅92万亩；苹果基地25万亩又超过全市园地15.8072万亩。</w:t>
            </w:r>
          </w:p>
        </w:tc>
      </w:tr>
      <w:tr w14:paraId="32B88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36" w:type="dxa"/>
            <w:shd w:val="clear" w:color="auto" w:fill="F4CCCC"/>
            <w:vAlign w:val="center"/>
          </w:tcPr>
          <w:p w14:paraId="7DBA255B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严重</w:t>
            </w:r>
          </w:p>
        </w:tc>
        <w:tc>
          <w:tcPr>
            <w:tcW w:w="2010" w:type="dxa"/>
            <w:vAlign w:val="center"/>
          </w:tcPr>
          <w:p w14:paraId="193A7ED8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10—11、15、23、34、185、210—215</w:t>
            </w:r>
          </w:p>
        </w:tc>
        <w:tc>
          <w:tcPr>
            <w:tcW w:w="6335" w:type="dxa"/>
            <w:vAlign w:val="center"/>
          </w:tcPr>
          <w:p w14:paraId="43106DA2">
            <w:pPr>
              <w:keepNext w:val="0"/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地貌基础判断在多章出现互相排斥的描述</w:t>
            </w:r>
            <w:r>
              <w:rPr>
                <w:rFonts w:ascii="宋体" w:hAnsi="宋体" w:eastAsia="宋体"/>
                <w:b w:val="0"/>
                <w:sz w:val="18"/>
              </w:rP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证据：报告多处认定泊头市全境为平原、无山地丘陵；另有“山区乡镇”“山地地貌技术”“丘陵梯田”“南部丘陵”，第八章又以北部丘陵、坡地和花岗岩母质开展评价。上述空间背景不能同时成立。</w:t>
            </w:r>
          </w:p>
        </w:tc>
      </w:tr>
      <w:tr w14:paraId="577C35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36" w:type="dxa"/>
            <w:shd w:val="clear" w:color="auto" w:fill="FCE5CD"/>
            <w:vAlign w:val="center"/>
          </w:tcPr>
          <w:p w14:paraId="360D88B6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重要</w:t>
            </w:r>
          </w:p>
        </w:tc>
        <w:tc>
          <w:tcPr>
            <w:tcW w:w="2010" w:type="dxa"/>
            <w:vAlign w:val="center"/>
          </w:tcPr>
          <w:p w14:paraId="4DAEB8EE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11、21、23、39—40</w:t>
            </w:r>
          </w:p>
        </w:tc>
        <w:tc>
          <w:tcPr>
            <w:tcW w:w="6335" w:type="dxa"/>
            <w:vAlign w:val="center"/>
          </w:tcPr>
          <w:p w14:paraId="689D87A4">
            <w:pPr>
              <w:keepNext w:val="0"/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基础自然地理数据在章节间未统一</w:t>
            </w:r>
            <w:r>
              <w:rPr>
                <w:rFonts w:ascii="宋体" w:hAnsi="宋体" w:eastAsia="宋体"/>
                <w:b w:val="0"/>
                <w:sz w:val="18"/>
              </w:rP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证据：年降水量分别写543毫米、520—620毫米和680毫米；海拔分别写最高21.0米、最低10.2米与0—15米。报告未标明不同数据源、时段或统计口径。</w:t>
            </w:r>
          </w:p>
        </w:tc>
      </w:tr>
    </w:tbl>
    <w:p w14:paraId="5289C189"/>
    <w:p w14:paraId="52AE9268">
      <w:pPr>
        <w:pStyle w:val="4"/>
        <w:keepNext/>
      </w:pPr>
      <w:r>
        <w:rPr>
          <w:rFonts w:ascii="微软雅黑" w:hAnsi="微软雅黑" w:eastAsia="微软雅黑"/>
        </w:rPr>
        <w:t>问题类别三：第三章土壤类型与制图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6"/>
        <w:gridCol w:w="2030"/>
        <w:gridCol w:w="6325"/>
      </w:tblGrid>
      <w:tr w14:paraId="0C744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26" w:type="dxa"/>
            <w:shd w:val="clear" w:color="auto" w:fill="D9EAF7"/>
            <w:vAlign w:val="center"/>
          </w:tcPr>
          <w:p w14:paraId="093896B7">
            <w:pPr>
              <w:keepNext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级别</w:t>
            </w:r>
          </w:p>
        </w:tc>
        <w:tc>
          <w:tcPr>
            <w:tcW w:w="2030" w:type="dxa"/>
            <w:shd w:val="clear" w:color="auto" w:fill="D9EAF7"/>
            <w:vAlign w:val="center"/>
          </w:tcPr>
          <w:p w14:paraId="458390FE">
            <w:pPr>
              <w:keepNext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PDF页</w:t>
            </w:r>
          </w:p>
        </w:tc>
        <w:tc>
          <w:tcPr>
            <w:tcW w:w="6325" w:type="dxa"/>
            <w:shd w:val="clear" w:color="auto" w:fill="D9EAF7"/>
            <w:vAlign w:val="center"/>
          </w:tcPr>
          <w:p w14:paraId="32C4BD83">
            <w:pPr>
              <w:keepNext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问题与证据</w:t>
            </w:r>
          </w:p>
        </w:tc>
      </w:tr>
      <w:tr w14:paraId="385F1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6" w:type="dxa"/>
            <w:shd w:val="clear" w:color="auto" w:fill="F4CCCC"/>
            <w:vAlign w:val="center"/>
          </w:tcPr>
          <w:p w14:paraId="6BC6AC65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严重</w:t>
            </w:r>
          </w:p>
        </w:tc>
        <w:tc>
          <w:tcPr>
            <w:tcW w:w="2030" w:type="dxa"/>
            <w:vAlign w:val="center"/>
          </w:tcPr>
          <w:p w14:paraId="44072E06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36—38、49—51</w:t>
            </w:r>
          </w:p>
        </w:tc>
        <w:tc>
          <w:tcPr>
            <w:tcW w:w="6325" w:type="dxa"/>
            <w:vAlign w:val="center"/>
          </w:tcPr>
          <w:p w14:paraId="32D3AA5F">
            <w:pPr>
              <w:keepNext w:val="0"/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三普土壤分类层级和数量表述互相矛盾</w:t>
            </w:r>
            <w:r>
              <w:rPr>
                <w:rFonts w:ascii="宋体" w:hAnsi="宋体" w:eastAsia="宋体"/>
                <w:b w:val="0"/>
                <w:sz w:val="18"/>
              </w:rP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证据：第37页先称三普将盐化潮土并入典型潮土、全市仅1个亚类，随后又称三普把潮土分为潮土和石灰性潮土2个亚类；第38页称三普形成20余个土种，而后续分类表实际列出11个土种。</w:t>
            </w:r>
          </w:p>
        </w:tc>
      </w:tr>
      <w:tr w14:paraId="410A5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6" w:type="dxa"/>
            <w:shd w:val="clear" w:color="auto" w:fill="F4CCCC"/>
            <w:vAlign w:val="center"/>
          </w:tcPr>
          <w:p w14:paraId="458E8D10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严重</w:t>
            </w:r>
          </w:p>
        </w:tc>
        <w:tc>
          <w:tcPr>
            <w:tcW w:w="2030" w:type="dxa"/>
            <w:vAlign w:val="center"/>
          </w:tcPr>
          <w:p w14:paraId="388B4375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40、46、52</w:t>
            </w:r>
          </w:p>
        </w:tc>
        <w:tc>
          <w:tcPr>
            <w:tcW w:w="6325" w:type="dxa"/>
            <w:vAlign w:val="center"/>
          </w:tcPr>
          <w:p w14:paraId="26FEEEB0">
            <w:pPr>
              <w:keepNext w:val="0"/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土壤图斑变化数量不能闭合且概念混用</w:t>
            </w:r>
            <w:r>
              <w:rPr>
                <w:rFonts w:ascii="宋体" w:hAnsi="宋体" w:eastAsia="宋体"/>
                <w:b w:val="0"/>
                <w:sz w:val="18"/>
              </w:rP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证据：第40页列新增14个、土体构型变化30个、表层质地变化1个、脱盐90个，合计135个；第46页却称变化图斑共121个，同时又列新增33个、脱盐90个，二者已合计123个。第52页还将“脱盐潮土”直接称为新增优质耕地6470亩，与前述脱盐图斑面积和新增耕地图斑概念未作区分。</w:t>
            </w:r>
          </w:p>
        </w:tc>
      </w:tr>
    </w:tbl>
    <w:p w14:paraId="26434801"/>
    <w:p w14:paraId="781EA2A6">
      <w:pPr>
        <w:pStyle w:val="4"/>
        <w:keepNext/>
      </w:pPr>
      <w:r>
        <w:rPr>
          <w:rFonts w:ascii="微软雅黑" w:hAnsi="微软雅黑" w:eastAsia="微软雅黑"/>
        </w:rPr>
        <w:t>问题类别四：第四章土壤属性与制图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6"/>
        <w:gridCol w:w="2060"/>
        <w:gridCol w:w="6305"/>
      </w:tblGrid>
      <w:tr w14:paraId="43B415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16" w:type="dxa"/>
            <w:shd w:val="clear" w:color="auto" w:fill="D9EAF7"/>
            <w:vAlign w:val="center"/>
          </w:tcPr>
          <w:p w14:paraId="1C27320D">
            <w:pPr>
              <w:keepNext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级别</w:t>
            </w:r>
          </w:p>
        </w:tc>
        <w:tc>
          <w:tcPr>
            <w:tcW w:w="2060" w:type="dxa"/>
            <w:shd w:val="clear" w:color="auto" w:fill="D9EAF7"/>
            <w:vAlign w:val="center"/>
          </w:tcPr>
          <w:p w14:paraId="4509C662">
            <w:pPr>
              <w:keepNext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PDF页</w:t>
            </w:r>
          </w:p>
        </w:tc>
        <w:tc>
          <w:tcPr>
            <w:tcW w:w="6305" w:type="dxa"/>
            <w:shd w:val="clear" w:color="auto" w:fill="D9EAF7"/>
            <w:vAlign w:val="center"/>
          </w:tcPr>
          <w:p w14:paraId="6865699F">
            <w:pPr>
              <w:keepNext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问题与证据</w:t>
            </w:r>
          </w:p>
        </w:tc>
      </w:tr>
      <w:tr w14:paraId="0B0F66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16" w:type="dxa"/>
            <w:shd w:val="clear" w:color="auto" w:fill="F4CCCC"/>
            <w:vAlign w:val="center"/>
          </w:tcPr>
          <w:p w14:paraId="059DC974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严重</w:t>
            </w:r>
          </w:p>
        </w:tc>
        <w:tc>
          <w:tcPr>
            <w:tcW w:w="2060" w:type="dxa"/>
            <w:vAlign w:val="center"/>
          </w:tcPr>
          <w:p w14:paraId="1F00C40F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53</w:t>
            </w:r>
          </w:p>
        </w:tc>
        <w:tc>
          <w:tcPr>
            <w:tcW w:w="6305" w:type="dxa"/>
            <w:vAlign w:val="center"/>
          </w:tcPr>
          <w:p w14:paraId="30737284">
            <w:pPr>
              <w:keepNext w:val="0"/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机械组成面积表的单位和总计错位</w:t>
            </w:r>
            <w:r>
              <w:rPr>
                <w:rFonts w:ascii="宋体" w:hAnsi="宋体" w:eastAsia="宋体"/>
                <w:b w:val="0"/>
                <w:sz w:val="18"/>
              </w:rP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证据：表4.1各级面积为2.0、6.1、23.1、98.9、21.2，合计151.3，显然按万亩表达，但表头标为“亩”；全市行又把1165385填入面积栏、151.3填入百分比栏，列值无法按表头解释。表4.2、表4.3也沿用151.3或151.4作为面积值。</w:t>
            </w:r>
          </w:p>
        </w:tc>
      </w:tr>
      <w:tr w14:paraId="1A3C9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16" w:type="dxa"/>
            <w:shd w:val="clear" w:color="auto" w:fill="F4CCCC"/>
            <w:vAlign w:val="center"/>
          </w:tcPr>
          <w:p w14:paraId="2CCAB7C2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严重</w:t>
            </w:r>
          </w:p>
        </w:tc>
        <w:tc>
          <w:tcPr>
            <w:tcW w:w="2060" w:type="dxa"/>
            <w:vAlign w:val="center"/>
          </w:tcPr>
          <w:p w14:paraId="52359C03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56—57</w:t>
            </w:r>
          </w:p>
        </w:tc>
        <w:tc>
          <w:tcPr>
            <w:tcW w:w="6305" w:type="dxa"/>
            <w:vAlign w:val="center"/>
          </w:tcPr>
          <w:p w14:paraId="64EA0212">
            <w:pPr>
              <w:keepNext w:val="0"/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土地利用和土壤类型面积表均不能与总计闭合</w:t>
            </w:r>
            <w:r>
              <w:rPr>
                <w:rFonts w:ascii="宋体" w:hAnsi="宋体" w:eastAsia="宋体"/>
                <w:b w:val="0"/>
                <w:sz w:val="18"/>
              </w:rP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证据：表4.4水浇地633000亩与旱地24400亩合计657400亩，比表中耕地757400亩少100000亩；四类土地合计1165400亩，与总计1165385亩相差15亩。表4.5所列土壤类型面积合计1453344亩，而总计写1165385亩，相差287959亩。</w:t>
            </w:r>
          </w:p>
        </w:tc>
      </w:tr>
      <w:tr w14:paraId="7B0EA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16" w:type="dxa"/>
            <w:shd w:val="clear" w:color="auto" w:fill="F4CCCC"/>
            <w:vAlign w:val="center"/>
          </w:tcPr>
          <w:p w14:paraId="3DBBF4A2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严重</w:t>
            </w:r>
          </w:p>
        </w:tc>
        <w:tc>
          <w:tcPr>
            <w:tcW w:w="2060" w:type="dxa"/>
            <w:vAlign w:val="center"/>
          </w:tcPr>
          <w:p w14:paraId="1999C3EA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63—64</w:t>
            </w:r>
          </w:p>
        </w:tc>
        <w:tc>
          <w:tcPr>
            <w:tcW w:w="6305" w:type="dxa"/>
            <w:vAlign w:val="center"/>
          </w:tcPr>
          <w:p w14:paraId="3B9AF076">
            <w:pPr>
              <w:keepNext w:val="0"/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pH统计存在量纲错填和整段错置</w:t>
            </w:r>
            <w:r>
              <w:rPr>
                <w:rFonts w:ascii="宋体" w:hAnsi="宋体" w:eastAsia="宋体"/>
                <w:b w:val="0"/>
                <w:sz w:val="18"/>
              </w:rP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证据：表4.7全市pH范围写13.80—23.00，与第60页给出的7.57—8.76不符，明显混入耕层厚度数值；“不同土壤类型pH差异”段落实际叙述耕层厚度，未给出pH分类结果。</w:t>
            </w:r>
          </w:p>
        </w:tc>
      </w:tr>
      <w:tr w14:paraId="09F886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16" w:type="dxa"/>
            <w:shd w:val="clear" w:color="auto" w:fill="F4CCCC"/>
            <w:vAlign w:val="center"/>
          </w:tcPr>
          <w:p w14:paraId="1E7D2A5E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严重</w:t>
            </w:r>
          </w:p>
        </w:tc>
        <w:tc>
          <w:tcPr>
            <w:tcW w:w="2060" w:type="dxa"/>
            <w:vAlign w:val="center"/>
          </w:tcPr>
          <w:p w14:paraId="5DE8383A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69—70</w:t>
            </w:r>
          </w:p>
        </w:tc>
        <w:tc>
          <w:tcPr>
            <w:tcW w:w="6305" w:type="dxa"/>
            <w:vAlign w:val="center"/>
          </w:tcPr>
          <w:p w14:paraId="76E5B868">
            <w:pPr>
              <w:keepNext w:val="0"/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有机质分级面积及比例不匹配</w:t>
            </w:r>
            <w:r>
              <w:rPr>
                <w:rFonts w:ascii="宋体" w:hAnsi="宋体" w:eastAsia="宋体"/>
                <w:b w:val="0"/>
                <w:sz w:val="18"/>
              </w:rP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证据：表4.9中Ⅴ级面积1693亩、比例写59.94%，并与Ⅲ级比例重复；按全市1165385亩计算，1693亩约占0.15%，不是59.94%。</w:t>
            </w:r>
          </w:p>
        </w:tc>
      </w:tr>
      <w:tr w14:paraId="2F50CC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16" w:type="dxa"/>
            <w:shd w:val="clear" w:color="auto" w:fill="F4CCCC"/>
            <w:vAlign w:val="center"/>
          </w:tcPr>
          <w:p w14:paraId="7A5495E5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严重</w:t>
            </w:r>
          </w:p>
        </w:tc>
        <w:tc>
          <w:tcPr>
            <w:tcW w:w="2060" w:type="dxa"/>
            <w:vAlign w:val="center"/>
          </w:tcPr>
          <w:p w14:paraId="3BDDF136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94</w:t>
            </w:r>
          </w:p>
        </w:tc>
        <w:tc>
          <w:tcPr>
            <w:tcW w:w="6305" w:type="dxa"/>
            <w:vAlign w:val="center"/>
          </w:tcPr>
          <w:p w14:paraId="60A5888C">
            <w:pPr>
              <w:keepNext w:val="0"/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有效硫统计出现均值落在极值范围之外</w:t>
            </w:r>
            <w:r>
              <w:rPr>
                <w:rFonts w:ascii="宋体" w:hAnsi="宋体" w:eastAsia="宋体"/>
                <w:b w:val="0"/>
                <w:sz w:val="18"/>
              </w:rP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证据：土地利用汇总表中林地有效硫范围为11.90—34.80mg/kg，样点均值却为2.20mg/kg，数学上不可能，需回查字段或小数点。</w:t>
            </w:r>
          </w:p>
        </w:tc>
      </w:tr>
      <w:tr w14:paraId="25A30A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16" w:type="dxa"/>
            <w:shd w:val="clear" w:color="auto" w:fill="F4CCCC"/>
            <w:vAlign w:val="center"/>
          </w:tcPr>
          <w:p w14:paraId="18F508E6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严重</w:t>
            </w:r>
          </w:p>
        </w:tc>
        <w:tc>
          <w:tcPr>
            <w:tcW w:w="2060" w:type="dxa"/>
            <w:vAlign w:val="center"/>
          </w:tcPr>
          <w:p w14:paraId="3BFC9BA8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96</w:t>
            </w:r>
          </w:p>
        </w:tc>
        <w:tc>
          <w:tcPr>
            <w:tcW w:w="6305" w:type="dxa"/>
            <w:vAlign w:val="center"/>
          </w:tcPr>
          <w:p w14:paraId="03942CA7">
            <w:pPr>
              <w:keepNext w:val="0"/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有效锰正文分级面积与表格完全不对应</w:t>
            </w:r>
            <w:r>
              <w:rPr>
                <w:rFonts w:ascii="宋体" w:hAnsi="宋体" w:eastAsia="宋体"/>
                <w:b w:val="0"/>
                <w:sz w:val="18"/>
              </w:rP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证据：正文称30—40mg/kg的3级面积70.9万亩、40—50mg/kg的2级面积58.1万亩；表4.16采用“＞30”和“15—30”两档，面积分别为1142606亩和22779亩，分级区间及面积均无法对应。</w:t>
            </w:r>
          </w:p>
        </w:tc>
      </w:tr>
      <w:tr w14:paraId="267DA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16" w:type="dxa"/>
            <w:shd w:val="clear" w:color="auto" w:fill="F4CCCC"/>
            <w:vAlign w:val="center"/>
          </w:tcPr>
          <w:p w14:paraId="76F6B832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严重</w:t>
            </w:r>
          </w:p>
        </w:tc>
        <w:tc>
          <w:tcPr>
            <w:tcW w:w="2060" w:type="dxa"/>
            <w:vAlign w:val="center"/>
          </w:tcPr>
          <w:p w14:paraId="75ADBA98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53、58、117—120、141、170</w:t>
            </w:r>
          </w:p>
        </w:tc>
        <w:tc>
          <w:tcPr>
            <w:tcW w:w="6305" w:type="dxa"/>
            <w:vAlign w:val="center"/>
          </w:tcPr>
          <w:p w14:paraId="76346843">
            <w:pPr>
              <w:keepNext w:val="0"/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土壤质地与耕层厚度核心统计跨章节冲突</w:t>
            </w:r>
            <w:r>
              <w:rPr>
                <w:rFonts w:ascii="宋体" w:hAnsi="宋体" w:eastAsia="宋体"/>
                <w:b w:val="0"/>
                <w:sz w:val="18"/>
              </w:rP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证据：第53页机械组成均值为砂粒88.8%、粉粒7.5%、黏粒3.9%；第119—120页又为44.46%、3.77%、1.76%，三者合计仅49.99%。第58页耕层厚度均值17.84厘米，第120页变为14.67厘米；第141页又称65%耕地耕层不足18厘米，与前述99.78%集中在15—20厘米的分级结果缺少衔接。第170页称96.9%为砂质土，也与第141页“主要为粉砂壤土和轻黏土”不一致。</w:t>
            </w:r>
          </w:p>
        </w:tc>
      </w:tr>
      <w:tr w14:paraId="24493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16" w:type="dxa"/>
            <w:shd w:val="clear" w:color="auto" w:fill="F4CCCC"/>
            <w:vAlign w:val="center"/>
          </w:tcPr>
          <w:p w14:paraId="3FE51F8F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严重</w:t>
            </w:r>
          </w:p>
        </w:tc>
        <w:tc>
          <w:tcPr>
            <w:tcW w:w="2060" w:type="dxa"/>
            <w:vAlign w:val="center"/>
          </w:tcPr>
          <w:p w14:paraId="6DE5E6F9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69、141—144</w:t>
            </w:r>
          </w:p>
        </w:tc>
        <w:tc>
          <w:tcPr>
            <w:tcW w:w="6305" w:type="dxa"/>
            <w:vAlign w:val="center"/>
          </w:tcPr>
          <w:p w14:paraId="4F53595B">
            <w:pPr>
              <w:keepNext w:val="0"/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章节总结改写了前文数据并保留编辑过程文字</w:t>
            </w:r>
            <w:r>
              <w:rPr>
                <w:rFonts w:ascii="宋体" w:hAnsi="宋体" w:eastAsia="宋体"/>
                <w:b w:val="0"/>
                <w:sz w:val="18"/>
              </w:rP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证据：前文有机质均值为15.82g/kg，第142页写现状13.5g/kg、当前13.4g/kg；第143页称80.33%区域存在紧实犁底层、有效耕作层普遍不足15厘米，与前述耕层厚度表冲突。正文还保留“原稿1.2个单位过大……此处做了科学回调”“修正原稿”等编辑说明，不属于成果结论。</w:t>
            </w:r>
          </w:p>
        </w:tc>
      </w:tr>
      <w:tr w14:paraId="39043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16" w:type="dxa"/>
            <w:shd w:val="clear" w:color="auto" w:fill="FCE5CD"/>
            <w:vAlign w:val="center"/>
          </w:tcPr>
          <w:p w14:paraId="502B3091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重要</w:t>
            </w:r>
          </w:p>
        </w:tc>
        <w:tc>
          <w:tcPr>
            <w:tcW w:w="2060" w:type="dxa"/>
            <w:vAlign w:val="center"/>
          </w:tcPr>
          <w:p w14:paraId="6D7C4110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19、136、183</w:t>
            </w:r>
          </w:p>
        </w:tc>
        <w:tc>
          <w:tcPr>
            <w:tcW w:w="6305" w:type="dxa"/>
            <w:vAlign w:val="center"/>
          </w:tcPr>
          <w:p w14:paraId="63EB2251">
            <w:pPr>
              <w:keepNext w:val="0"/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异常值处理规则前后不统一</w:t>
            </w:r>
            <w:r>
              <w:rPr>
                <w:rFonts w:ascii="宋体" w:hAnsi="宋体" w:eastAsia="宋体"/>
                <w:b w:val="0"/>
                <w:sz w:val="18"/>
              </w:rP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证据：第一章同时出现μ±5σ和μ±3σ；第四章采用|Z|＞3并对软异常值进行K近邻或历史平滑；第七章又使用Grubbs检验并删除异常值。报告未说明各章节为何采用不同规则以及最终保留样本数量。</w:t>
            </w:r>
          </w:p>
        </w:tc>
      </w:tr>
      <w:tr w14:paraId="5A150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16" w:type="dxa"/>
            <w:shd w:val="clear" w:color="auto" w:fill="FCE5CD"/>
            <w:vAlign w:val="center"/>
          </w:tcPr>
          <w:p w14:paraId="13A5B4FA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重要</w:t>
            </w:r>
          </w:p>
        </w:tc>
        <w:tc>
          <w:tcPr>
            <w:tcW w:w="2060" w:type="dxa"/>
            <w:vAlign w:val="center"/>
          </w:tcPr>
          <w:p w14:paraId="0AF10331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139—141</w:t>
            </w:r>
          </w:p>
        </w:tc>
        <w:tc>
          <w:tcPr>
            <w:tcW w:w="6305" w:type="dxa"/>
            <w:vAlign w:val="center"/>
          </w:tcPr>
          <w:p w14:paraId="16BDF25C">
            <w:pPr>
              <w:keepNext w:val="0"/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属性图验证部分仍停留在通用方法描述</w:t>
            </w:r>
            <w:r>
              <w:rPr>
                <w:rFonts w:ascii="宋体" w:hAnsi="宋体" w:eastAsia="宋体"/>
                <w:b w:val="0"/>
                <w:sz w:val="18"/>
              </w:rP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证据：该节以“某研究区域”、山地、丘陵和平原等泛化示例说明验证流程，未列泊头市各指标的验证样点数、误差指标、未通过图件或具体修正记录，无法复核验证结论。</w:t>
            </w:r>
          </w:p>
        </w:tc>
      </w:tr>
    </w:tbl>
    <w:p w14:paraId="432284DA"/>
    <w:p w14:paraId="405715CC">
      <w:pPr>
        <w:pStyle w:val="4"/>
        <w:keepNext/>
      </w:pPr>
      <w:r>
        <w:rPr>
          <w:rFonts w:ascii="微软雅黑" w:hAnsi="微软雅黑" w:eastAsia="微软雅黑"/>
        </w:rPr>
        <w:t>问题类别五：第五章退化、障碍与改良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6"/>
        <w:gridCol w:w="2070"/>
        <w:gridCol w:w="6305"/>
      </w:tblGrid>
      <w:tr w14:paraId="55994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06" w:type="dxa"/>
            <w:shd w:val="clear" w:color="auto" w:fill="D9EAF7"/>
            <w:vAlign w:val="center"/>
          </w:tcPr>
          <w:p w14:paraId="5A08F651">
            <w:pPr>
              <w:keepNext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级别</w:t>
            </w:r>
          </w:p>
        </w:tc>
        <w:tc>
          <w:tcPr>
            <w:tcW w:w="2070" w:type="dxa"/>
            <w:shd w:val="clear" w:color="auto" w:fill="D9EAF7"/>
            <w:vAlign w:val="center"/>
          </w:tcPr>
          <w:p w14:paraId="0D862341">
            <w:pPr>
              <w:keepNext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PDF页</w:t>
            </w:r>
          </w:p>
        </w:tc>
        <w:tc>
          <w:tcPr>
            <w:tcW w:w="6305" w:type="dxa"/>
            <w:shd w:val="clear" w:color="auto" w:fill="D9EAF7"/>
            <w:vAlign w:val="center"/>
          </w:tcPr>
          <w:p w14:paraId="7C84920F">
            <w:pPr>
              <w:keepNext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问题与证据</w:t>
            </w:r>
          </w:p>
        </w:tc>
      </w:tr>
      <w:tr w14:paraId="7BBA3B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06" w:type="dxa"/>
            <w:shd w:val="clear" w:color="auto" w:fill="F4CCCC"/>
            <w:vAlign w:val="center"/>
          </w:tcPr>
          <w:p w14:paraId="79EA4041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严重</w:t>
            </w:r>
          </w:p>
        </w:tc>
        <w:tc>
          <w:tcPr>
            <w:tcW w:w="2070" w:type="dxa"/>
            <w:vAlign w:val="center"/>
          </w:tcPr>
          <w:p w14:paraId="44EB3F7F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146、150</w:t>
            </w:r>
          </w:p>
        </w:tc>
        <w:tc>
          <w:tcPr>
            <w:tcW w:w="6305" w:type="dxa"/>
            <w:vAlign w:val="center"/>
          </w:tcPr>
          <w:p w14:paraId="683DA4A8">
            <w:pPr>
              <w:keepNext w:val="0"/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养分分级依据的适用区域前后不一致</w:t>
            </w:r>
            <w:r>
              <w:rPr>
                <w:rFonts w:ascii="宋体" w:hAnsi="宋体" w:eastAsia="宋体"/>
                <w:b w:val="0"/>
                <w:sz w:val="18"/>
              </w:rP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证据：本章开头写四幅专题图“严格参考河南省土壤养分指标分级标准”；后文又称采用黄淮海区耕地土壤养分分级标准。报告位于河北省，未说明采用河南标准的依据，也未统一最终分级口径。</w:t>
            </w:r>
          </w:p>
        </w:tc>
      </w:tr>
      <w:tr w14:paraId="0D9BF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06" w:type="dxa"/>
            <w:shd w:val="clear" w:color="auto" w:fill="FCE5CD"/>
            <w:vAlign w:val="center"/>
          </w:tcPr>
          <w:p w14:paraId="217A6C23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重要</w:t>
            </w:r>
          </w:p>
        </w:tc>
        <w:tc>
          <w:tcPr>
            <w:tcW w:w="2070" w:type="dxa"/>
            <w:vAlign w:val="center"/>
          </w:tcPr>
          <w:p w14:paraId="2B51E47C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150—153</w:t>
            </w:r>
          </w:p>
        </w:tc>
        <w:tc>
          <w:tcPr>
            <w:tcW w:w="6305" w:type="dxa"/>
            <w:vAlign w:val="center"/>
          </w:tcPr>
          <w:p w14:paraId="57C79B72">
            <w:pPr>
              <w:keepNext w:val="0"/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文字所述其他土地缺素面积与表格为零冲突，表号还发生重复</w:t>
            </w:r>
            <w:r>
              <w:rPr>
                <w:rFonts w:ascii="宋体" w:hAnsi="宋体" w:eastAsia="宋体"/>
                <w:b w:val="0"/>
                <w:sz w:val="18"/>
              </w:rP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证据：有效磷段落称其他土地低等级面积5859亩，表5.6对应栏为0；相邻养分段落称其他土地2310亩，表5.7对应栏也为0。有效硫表和有效铁表又连续使用“表5.8”，后续表号及目录引用易错位。</w:t>
            </w:r>
          </w:p>
        </w:tc>
      </w:tr>
      <w:tr w14:paraId="6CFDA5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06" w:type="dxa"/>
            <w:shd w:val="clear" w:color="auto" w:fill="FCE5CD"/>
            <w:vAlign w:val="center"/>
          </w:tcPr>
          <w:p w14:paraId="2DAE5B79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重要</w:t>
            </w:r>
          </w:p>
        </w:tc>
        <w:tc>
          <w:tcPr>
            <w:tcW w:w="2070" w:type="dxa"/>
            <w:vAlign w:val="center"/>
          </w:tcPr>
          <w:p w14:paraId="0C35F397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141—156、202—203、218</w:t>
            </w:r>
          </w:p>
        </w:tc>
        <w:tc>
          <w:tcPr>
            <w:tcW w:w="6305" w:type="dxa"/>
            <w:vAlign w:val="center"/>
          </w:tcPr>
          <w:p w14:paraId="155D92E2">
            <w:pPr>
              <w:keepNext w:val="0"/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本章未形成与报告已识别问题相匹配的退化障碍体系</w:t>
            </w:r>
            <w:r>
              <w:rPr>
                <w:rFonts w:ascii="宋体" w:hAnsi="宋体" w:eastAsia="宋体"/>
                <w:b w:val="0"/>
                <w:sz w:val="18"/>
              </w:rP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证据：第五章仅展开养分缺素，而第四章总结已提出耕层浅薄、犁底层紧实等障碍，第七章和第九章又涉及盐渍化。报告未在本章统一给出这些退化或障碍类型的面积、程度、成因、空间分布和改良分区，也未说明未评价原因。</w:t>
            </w:r>
          </w:p>
        </w:tc>
      </w:tr>
    </w:tbl>
    <w:p w14:paraId="00BE42AE"/>
    <w:p w14:paraId="0A567D5E">
      <w:pPr>
        <w:pStyle w:val="4"/>
        <w:keepNext/>
      </w:pPr>
      <w:r>
        <w:rPr>
          <w:rFonts w:ascii="微软雅黑" w:hAnsi="微软雅黑" w:eastAsia="微软雅黑"/>
        </w:rPr>
        <w:t>问题类别六：第六章土壤农业利用适宜性评价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6"/>
        <w:gridCol w:w="2070"/>
        <w:gridCol w:w="6305"/>
      </w:tblGrid>
      <w:tr w14:paraId="57E67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06" w:type="dxa"/>
            <w:shd w:val="clear" w:color="auto" w:fill="D9EAF7"/>
            <w:vAlign w:val="center"/>
          </w:tcPr>
          <w:p w14:paraId="4A1F65D7">
            <w:pPr>
              <w:keepNext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级别</w:t>
            </w:r>
          </w:p>
        </w:tc>
        <w:tc>
          <w:tcPr>
            <w:tcW w:w="2070" w:type="dxa"/>
            <w:shd w:val="clear" w:color="auto" w:fill="D9EAF7"/>
            <w:vAlign w:val="center"/>
          </w:tcPr>
          <w:p w14:paraId="1236DDB7">
            <w:pPr>
              <w:keepNext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PDF页</w:t>
            </w:r>
          </w:p>
        </w:tc>
        <w:tc>
          <w:tcPr>
            <w:tcW w:w="6305" w:type="dxa"/>
            <w:shd w:val="clear" w:color="auto" w:fill="D9EAF7"/>
            <w:vAlign w:val="center"/>
          </w:tcPr>
          <w:p w14:paraId="5FC473EA">
            <w:pPr>
              <w:keepNext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问题与证据</w:t>
            </w:r>
          </w:p>
        </w:tc>
      </w:tr>
      <w:tr w14:paraId="14D72E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06" w:type="dxa"/>
            <w:shd w:val="clear" w:color="auto" w:fill="F4CCCC"/>
            <w:vAlign w:val="center"/>
          </w:tcPr>
          <w:p w14:paraId="5DAAAA1A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严重</w:t>
            </w:r>
          </w:p>
        </w:tc>
        <w:tc>
          <w:tcPr>
            <w:tcW w:w="2070" w:type="dxa"/>
            <w:vAlign w:val="center"/>
          </w:tcPr>
          <w:p w14:paraId="6321334A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159、161</w:t>
            </w:r>
          </w:p>
        </w:tc>
        <w:tc>
          <w:tcPr>
            <w:tcW w:w="6305" w:type="dxa"/>
            <w:vAlign w:val="center"/>
          </w:tcPr>
          <w:p w14:paraId="4C5696C5">
            <w:pPr>
              <w:keepNext w:val="0"/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评价对象范围和技术依据登记不完整</w:t>
            </w:r>
            <w:r>
              <w:rPr>
                <w:rFonts w:ascii="宋体" w:hAnsi="宋体" w:eastAsia="宋体"/>
                <w:b w:val="0"/>
                <w:sz w:val="18"/>
              </w:rP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证据：表6.3只列水浇地、旱地、乔木林地和果园，正文结果却覆盖其他园地、其他林地、草地及其他土地；方法依据又写采用“河南省相关技术文件”，未列文件名称、版本、适用性或本地化调整。</w:t>
            </w:r>
          </w:p>
        </w:tc>
      </w:tr>
      <w:tr w14:paraId="6E927E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06" w:type="dxa"/>
            <w:shd w:val="clear" w:color="auto" w:fill="FCE5CD"/>
            <w:vAlign w:val="center"/>
          </w:tcPr>
          <w:p w14:paraId="66A26904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重要</w:t>
            </w:r>
          </w:p>
        </w:tc>
        <w:tc>
          <w:tcPr>
            <w:tcW w:w="2070" w:type="dxa"/>
            <w:vAlign w:val="center"/>
          </w:tcPr>
          <w:p w14:paraId="0D52BA6C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164</w:t>
            </w:r>
          </w:p>
        </w:tc>
        <w:tc>
          <w:tcPr>
            <w:tcW w:w="6305" w:type="dxa"/>
            <w:vAlign w:val="center"/>
          </w:tcPr>
          <w:p w14:paraId="5A8F9ECD">
            <w:pPr>
              <w:keepNext w:val="0"/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结果验证与修正缺少可追溯记录</w:t>
            </w:r>
            <w:r>
              <w:rPr>
                <w:rFonts w:ascii="宋体" w:hAnsi="宋体" w:eastAsia="宋体"/>
                <w:b w:val="0"/>
                <w:sz w:val="18"/>
              </w:rP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证据：验证段仅称室内验证与实际土地利用匹配度高、个别不一致单元已调整，未给出验证单元数量、抽样位置、调整前后结果、专家签字或现场记录。</w:t>
            </w:r>
          </w:p>
        </w:tc>
      </w:tr>
      <w:tr w14:paraId="7D8735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06" w:type="dxa"/>
            <w:shd w:val="clear" w:color="auto" w:fill="F4CCCC"/>
            <w:vAlign w:val="center"/>
          </w:tcPr>
          <w:p w14:paraId="6FFF420F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严重</w:t>
            </w:r>
          </w:p>
        </w:tc>
        <w:tc>
          <w:tcPr>
            <w:tcW w:w="2070" w:type="dxa"/>
            <w:vAlign w:val="center"/>
          </w:tcPr>
          <w:p w14:paraId="12FE6604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169</w:t>
            </w:r>
          </w:p>
        </w:tc>
        <w:tc>
          <w:tcPr>
            <w:tcW w:w="6305" w:type="dxa"/>
            <w:vAlign w:val="center"/>
          </w:tcPr>
          <w:p w14:paraId="50121A78">
            <w:pPr>
              <w:keepNext w:val="0"/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同一适宜等级面积在表后立即发生变化</w:t>
            </w:r>
            <w:r>
              <w:rPr>
                <w:rFonts w:ascii="宋体" w:hAnsi="宋体" w:eastAsia="宋体"/>
                <w:b w:val="0"/>
                <w:sz w:val="18"/>
              </w:rP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证据：表6.12的3级评价单元面积为59936亩，紧接正文写3级面积55936亩，相差4000亩。</w:t>
            </w:r>
          </w:p>
        </w:tc>
      </w:tr>
      <w:tr w14:paraId="39342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06" w:type="dxa"/>
            <w:shd w:val="clear" w:color="auto" w:fill="F4CCCC"/>
            <w:vAlign w:val="center"/>
          </w:tcPr>
          <w:p w14:paraId="52F887E5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严重</w:t>
            </w:r>
          </w:p>
        </w:tc>
        <w:tc>
          <w:tcPr>
            <w:tcW w:w="2070" w:type="dxa"/>
            <w:vAlign w:val="center"/>
          </w:tcPr>
          <w:p w14:paraId="2E2220BD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171—174</w:t>
            </w:r>
          </w:p>
        </w:tc>
        <w:tc>
          <w:tcPr>
            <w:tcW w:w="6305" w:type="dxa"/>
            <w:vAlign w:val="center"/>
          </w:tcPr>
          <w:p w14:paraId="40FA27CA">
            <w:pPr>
              <w:keepNext w:val="0"/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宜耕结果的单位、等级描述和面积总计均不一致</w:t>
            </w:r>
            <w:r>
              <w:rPr>
                <w:rFonts w:ascii="宋体" w:hAnsi="宋体" w:eastAsia="宋体"/>
                <w:b w:val="0"/>
                <w:sz w:val="18"/>
              </w:rP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证据：表6.15表头标“面积（万亩）”，表内却填29220、574948等亩级数值；正文称“无勉强适宜等级”，表中却有570466亩勉强适宜地。正文称评价覆盖95.51万亩，表中总计1174633亩，即117.46万亩。表6.16分地类数值合计1165384亩，而总计仍写1174633亩，恰少列其他土地9249亩。</w:t>
            </w:r>
          </w:p>
        </w:tc>
      </w:tr>
      <w:tr w14:paraId="58BF1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06" w:type="dxa"/>
            <w:shd w:val="clear" w:color="auto" w:fill="F4CCCC"/>
            <w:vAlign w:val="center"/>
          </w:tcPr>
          <w:p w14:paraId="14FE7E75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严重</w:t>
            </w:r>
          </w:p>
        </w:tc>
        <w:tc>
          <w:tcPr>
            <w:tcW w:w="2070" w:type="dxa"/>
            <w:vAlign w:val="center"/>
          </w:tcPr>
          <w:p w14:paraId="7AD757F3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175—176</w:t>
            </w:r>
          </w:p>
        </w:tc>
        <w:tc>
          <w:tcPr>
            <w:tcW w:w="6305" w:type="dxa"/>
            <w:vAlign w:val="center"/>
          </w:tcPr>
          <w:p w14:paraId="2C5AE108">
            <w:pPr>
              <w:keepNext w:val="0"/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潜在宜耕地汇总表不能闭合且文字否定了表内结果</w:t>
            </w:r>
            <w:r>
              <w:rPr>
                <w:rFonts w:ascii="宋体" w:hAnsi="宋体" w:eastAsia="宋体"/>
                <w:b w:val="0"/>
                <w:sz w:val="18"/>
              </w:rP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证据：正文称潜在宜耕地无勉强适宜地块，表6.18却列勉强适宜194963亩；表中园地、林地、草地合计407955亩，总计写417204亩，相差9249亩，正好是未列出的其他土地面积。</w:t>
            </w:r>
          </w:p>
        </w:tc>
      </w:tr>
      <w:tr w14:paraId="0153EA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06" w:type="dxa"/>
            <w:shd w:val="clear" w:color="auto" w:fill="F4CCCC"/>
            <w:vAlign w:val="center"/>
          </w:tcPr>
          <w:p w14:paraId="0DFEC759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严重</w:t>
            </w:r>
          </w:p>
        </w:tc>
        <w:tc>
          <w:tcPr>
            <w:tcW w:w="2070" w:type="dxa"/>
            <w:vAlign w:val="center"/>
          </w:tcPr>
          <w:p w14:paraId="0A2E36DA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164、174—181</w:t>
            </w:r>
          </w:p>
        </w:tc>
        <w:tc>
          <w:tcPr>
            <w:tcW w:w="6305" w:type="dxa"/>
            <w:vAlign w:val="center"/>
          </w:tcPr>
          <w:p w14:paraId="5E1F2BD7">
            <w:pPr>
              <w:keepNext w:val="0"/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大规模退林退园还耕建议缺少足够的验证与约束条件证据</w:t>
            </w:r>
            <w:r>
              <w:rPr>
                <w:rFonts w:ascii="宋体" w:hAnsi="宋体" w:eastAsia="宋体"/>
                <w:b w:val="0"/>
                <w:sz w:val="18"/>
              </w:rP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证据：报告将全部林地241467亩、园地158072亩、草地8416亩及其他土地9249亩评价为宜耕，并据此提出错配整改和退林退园还耕；但验证节未提供可追溯抽样与修正记录，也未叠加说明国土空间规划、生态保护、林果产业和审批约束，现有证据链不足以直接支撑大规模结构调整。</w:t>
            </w:r>
          </w:p>
        </w:tc>
      </w:tr>
    </w:tbl>
    <w:p w14:paraId="2B4CC585"/>
    <w:p w14:paraId="5FC0CA72">
      <w:pPr>
        <w:pStyle w:val="4"/>
        <w:keepNext/>
      </w:pPr>
      <w:r>
        <w:rPr>
          <w:rFonts w:ascii="微软雅黑" w:hAnsi="微软雅黑" w:eastAsia="微软雅黑"/>
        </w:rPr>
        <w:t>问题类别七：第七章耕地质量等级评价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6"/>
        <w:gridCol w:w="2050"/>
        <w:gridCol w:w="6315"/>
      </w:tblGrid>
      <w:tr w14:paraId="353CC5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16" w:type="dxa"/>
            <w:shd w:val="clear" w:color="auto" w:fill="D9EAF7"/>
            <w:vAlign w:val="center"/>
          </w:tcPr>
          <w:p w14:paraId="296D5B96">
            <w:pPr>
              <w:keepNext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级别</w:t>
            </w:r>
          </w:p>
        </w:tc>
        <w:tc>
          <w:tcPr>
            <w:tcW w:w="2050" w:type="dxa"/>
            <w:shd w:val="clear" w:color="auto" w:fill="D9EAF7"/>
            <w:vAlign w:val="center"/>
          </w:tcPr>
          <w:p w14:paraId="21005819">
            <w:pPr>
              <w:keepNext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PDF页</w:t>
            </w:r>
          </w:p>
        </w:tc>
        <w:tc>
          <w:tcPr>
            <w:tcW w:w="6315" w:type="dxa"/>
            <w:shd w:val="clear" w:color="auto" w:fill="D9EAF7"/>
            <w:vAlign w:val="center"/>
          </w:tcPr>
          <w:p w14:paraId="342716A0">
            <w:pPr>
              <w:keepNext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问题与证据</w:t>
            </w:r>
          </w:p>
        </w:tc>
      </w:tr>
      <w:tr w14:paraId="6BAB8C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16" w:type="dxa"/>
            <w:shd w:val="clear" w:color="auto" w:fill="F4CCCC"/>
            <w:vAlign w:val="center"/>
          </w:tcPr>
          <w:p w14:paraId="7A9D2561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严重</w:t>
            </w:r>
          </w:p>
        </w:tc>
        <w:tc>
          <w:tcPr>
            <w:tcW w:w="2050" w:type="dxa"/>
            <w:vAlign w:val="center"/>
          </w:tcPr>
          <w:p w14:paraId="574F386C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37—38、181—182</w:t>
            </w:r>
          </w:p>
        </w:tc>
        <w:tc>
          <w:tcPr>
            <w:tcW w:w="6315" w:type="dxa"/>
            <w:vAlign w:val="center"/>
          </w:tcPr>
          <w:p w14:paraId="2368BEF4">
            <w:pPr>
              <w:keepNext w:val="0"/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耕地质量章节采用的土壤分类版本与第三章冲突</w:t>
            </w:r>
            <w:r>
              <w:rPr>
                <w:rFonts w:ascii="宋体" w:hAnsi="宋体" w:eastAsia="宋体"/>
                <w:b w:val="0"/>
                <w:sz w:val="18"/>
              </w:rP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证据：第七章按典型潮土、盐化潮土、脱盐潮土3个亚类统计，面积分别为71.28、4.39、0.07万亩；第三章却称三普已将盐化潮土和脱盐潮土并入典型潮土，仅保留1个亚类。报告未说明第七章使用二普还是三普分类底图。</w:t>
            </w:r>
          </w:p>
        </w:tc>
      </w:tr>
      <w:tr w14:paraId="178B9A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16" w:type="dxa"/>
            <w:shd w:val="clear" w:color="auto" w:fill="F4CCCC"/>
            <w:vAlign w:val="center"/>
          </w:tcPr>
          <w:p w14:paraId="188C677D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严重</w:t>
            </w:r>
          </w:p>
        </w:tc>
        <w:tc>
          <w:tcPr>
            <w:tcW w:w="2050" w:type="dxa"/>
            <w:vAlign w:val="center"/>
          </w:tcPr>
          <w:p w14:paraId="258A796B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184—185</w:t>
            </w:r>
          </w:p>
        </w:tc>
        <w:tc>
          <w:tcPr>
            <w:tcW w:w="6315" w:type="dxa"/>
            <w:vAlign w:val="center"/>
          </w:tcPr>
          <w:p w14:paraId="27C0A16A">
            <w:pPr>
              <w:keepNext w:val="0"/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评价指标数量和权重均无法复现</w:t>
            </w:r>
            <w:r>
              <w:rPr>
                <w:rFonts w:ascii="宋体" w:hAnsi="宋体" w:eastAsia="宋体"/>
                <w:b w:val="0"/>
                <w:sz w:val="18"/>
              </w:rP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证据：正文称选取12项指标，实际列出4项立地条件、3项剖面性状、4项理化性状和2项管理条件，共13项；公式仍以n=12计算。指标体系表中的权重均以“—”表示，未给出最终权重。</w:t>
            </w:r>
          </w:p>
        </w:tc>
      </w:tr>
      <w:tr w14:paraId="43DFD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16" w:type="dxa"/>
            <w:shd w:val="clear" w:color="auto" w:fill="F4CCCC"/>
            <w:vAlign w:val="center"/>
          </w:tcPr>
          <w:p w14:paraId="3272A1B8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严重</w:t>
            </w:r>
          </w:p>
        </w:tc>
        <w:tc>
          <w:tcPr>
            <w:tcW w:w="2050" w:type="dxa"/>
            <w:vAlign w:val="center"/>
          </w:tcPr>
          <w:p w14:paraId="5401C18B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60、185</w:t>
            </w:r>
          </w:p>
        </w:tc>
        <w:tc>
          <w:tcPr>
            <w:tcW w:w="6315" w:type="dxa"/>
            <w:vAlign w:val="center"/>
          </w:tcPr>
          <w:p w14:paraId="64E958A6">
            <w:pPr>
              <w:keepNext w:val="0"/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评价分区的地形和酸碱性描述与前文实测统计矛盾</w:t>
            </w:r>
            <w:r>
              <w:rPr>
                <w:rFonts w:ascii="宋体" w:hAnsi="宋体" w:eastAsia="宋体"/>
                <w:b w:val="0"/>
                <w:sz w:val="18"/>
              </w:rP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证据：第185页称南部为丘陵、西部局部pH低于6.5；前文明确全境为平原，第四章实测pH范围为7.57—8.76，均为碱性范围。</w:t>
            </w:r>
          </w:p>
        </w:tc>
      </w:tr>
      <w:tr w14:paraId="38F5C6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16" w:type="dxa"/>
            <w:shd w:val="clear" w:color="auto" w:fill="FCE5CD"/>
            <w:vAlign w:val="center"/>
          </w:tcPr>
          <w:p w14:paraId="31ECEA8A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重要</w:t>
            </w:r>
          </w:p>
        </w:tc>
        <w:tc>
          <w:tcPr>
            <w:tcW w:w="2050" w:type="dxa"/>
            <w:vAlign w:val="center"/>
          </w:tcPr>
          <w:p w14:paraId="06F8FCDD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186</w:t>
            </w:r>
          </w:p>
        </w:tc>
        <w:tc>
          <w:tcPr>
            <w:tcW w:w="6315" w:type="dxa"/>
            <w:vAlign w:val="center"/>
          </w:tcPr>
          <w:p w14:paraId="1D2F1359">
            <w:pPr>
              <w:keepNext w:val="0"/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耕地质量验证文字保留模糊占位表达</w:t>
            </w:r>
            <w:r>
              <w:rPr>
                <w:rFonts w:ascii="宋体" w:hAnsi="宋体" w:eastAsia="宋体"/>
                <w:b w:val="0"/>
                <w:sz w:val="18"/>
              </w:rP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证据：仅称“随机抽取多个评价单元”“其中单元……一致”“多名专家”，未给出样本数量、抽取规则、不一致单元、修正记录和专家名单；产能验证给出R²但未给出样本数和数据来源。</w:t>
            </w:r>
          </w:p>
        </w:tc>
      </w:tr>
      <w:tr w14:paraId="5905A7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16" w:type="dxa"/>
            <w:shd w:val="clear" w:color="auto" w:fill="F4CCCC"/>
            <w:vAlign w:val="center"/>
          </w:tcPr>
          <w:p w14:paraId="27C4EF03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严重</w:t>
            </w:r>
          </w:p>
        </w:tc>
        <w:tc>
          <w:tcPr>
            <w:tcW w:w="2050" w:type="dxa"/>
            <w:vAlign w:val="center"/>
          </w:tcPr>
          <w:p w14:paraId="1D1D9B2D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186—188</w:t>
            </w:r>
          </w:p>
        </w:tc>
        <w:tc>
          <w:tcPr>
            <w:tcW w:w="6315" w:type="dxa"/>
            <w:vAlign w:val="center"/>
          </w:tcPr>
          <w:p w14:paraId="25BC7721">
            <w:pPr>
              <w:keepNext w:val="0"/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耕地质量面积单位和分区统计出现数量级与算术错误</w:t>
            </w:r>
            <w:r>
              <w:rPr>
                <w:rFonts w:ascii="宋体" w:hAnsi="宋体" w:eastAsia="宋体"/>
                <w:b w:val="0"/>
                <w:sz w:val="18"/>
              </w:rP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证据：表7.1面积表头标“亩”，总面积仅50495.27，约为全市耕地757429亩的1/15，实际更像公顷；正文高等级面积19400亩与表中1292.93也呈15倍关系。产业园区段又写耕地总面积5200亩、高等级1100亩、中等级21100亩，分项已超过总量。</w:t>
            </w:r>
          </w:p>
        </w:tc>
      </w:tr>
      <w:tr w14:paraId="1FD664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16" w:type="dxa"/>
            <w:shd w:val="clear" w:color="auto" w:fill="F4CCCC"/>
            <w:vAlign w:val="center"/>
          </w:tcPr>
          <w:p w14:paraId="5F589D43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严重</w:t>
            </w:r>
          </w:p>
        </w:tc>
        <w:tc>
          <w:tcPr>
            <w:tcW w:w="2050" w:type="dxa"/>
            <w:vAlign w:val="center"/>
          </w:tcPr>
          <w:p w14:paraId="320D51BD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186—187、206—207</w:t>
            </w:r>
          </w:p>
        </w:tc>
        <w:tc>
          <w:tcPr>
            <w:tcW w:w="6315" w:type="dxa"/>
            <w:vAlign w:val="center"/>
          </w:tcPr>
          <w:p w14:paraId="233CC4A6">
            <w:pPr>
              <w:keepNext w:val="0"/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粮食生产潜力形成两套互不相容的结果</w:t>
            </w:r>
            <w:r>
              <w:rPr>
                <w:rFonts w:ascii="宋体" w:hAnsi="宋体" w:eastAsia="宋体"/>
                <w:b w:val="0"/>
                <w:sz w:val="18"/>
              </w:rP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证据：表7.1全市平均生产潜力为946kg/亩，各等级约788.70—1076.84kg/亩；第206页又称全市范围515.07—757.59kg/亩、平均656.71kg/亩。报告未说明两套模型、年份或折算关系。</w:t>
            </w:r>
          </w:p>
        </w:tc>
      </w:tr>
      <w:tr w14:paraId="5FC0F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16" w:type="dxa"/>
            <w:shd w:val="clear" w:color="auto" w:fill="F4CCCC"/>
            <w:vAlign w:val="center"/>
          </w:tcPr>
          <w:p w14:paraId="641E1461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严重</w:t>
            </w:r>
          </w:p>
        </w:tc>
        <w:tc>
          <w:tcPr>
            <w:tcW w:w="2050" w:type="dxa"/>
            <w:vAlign w:val="center"/>
          </w:tcPr>
          <w:p w14:paraId="06566EE7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202—203、218</w:t>
            </w:r>
          </w:p>
        </w:tc>
        <w:tc>
          <w:tcPr>
            <w:tcW w:w="6315" w:type="dxa"/>
            <w:vAlign w:val="center"/>
          </w:tcPr>
          <w:p w14:paraId="3712DA3E">
            <w:pPr>
              <w:keepNext w:val="0"/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盐渍化判断与本报告其他章节相互否定</w:t>
            </w:r>
            <w:r>
              <w:rPr>
                <w:rFonts w:ascii="宋体" w:hAnsi="宋体" w:eastAsia="宋体"/>
                <w:b w:val="0"/>
                <w:sz w:val="18"/>
              </w:rP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证据：第七章称全市75.74万亩耕地均无盐渍化；同章前文仍列盐化潮土4.39万亩，第九章又称东部低洼区存在轻度盐渍化。应统一盐渍化指标、底图和面积口径。</w:t>
            </w:r>
          </w:p>
        </w:tc>
      </w:tr>
      <w:tr w14:paraId="475773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16" w:type="dxa"/>
            <w:shd w:val="clear" w:color="auto" w:fill="F4CCCC"/>
            <w:vAlign w:val="center"/>
          </w:tcPr>
          <w:p w14:paraId="0C9F7E8F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严重</w:t>
            </w:r>
          </w:p>
        </w:tc>
        <w:tc>
          <w:tcPr>
            <w:tcW w:w="2050" w:type="dxa"/>
            <w:vAlign w:val="center"/>
          </w:tcPr>
          <w:p w14:paraId="01BE3928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206</w:t>
            </w:r>
          </w:p>
        </w:tc>
        <w:tc>
          <w:tcPr>
            <w:tcW w:w="6315" w:type="dxa"/>
            <w:vAlign w:val="center"/>
          </w:tcPr>
          <w:p w14:paraId="0E651A9C">
            <w:pPr>
              <w:keepNext w:val="0"/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乡镇高标准农田潜力表的面积与比例错列</w:t>
            </w:r>
            <w:r>
              <w:rPr>
                <w:rFonts w:ascii="宋体" w:hAnsi="宋体" w:eastAsia="宋体"/>
                <w:b w:val="0"/>
                <w:sz w:val="18"/>
              </w:rP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证据：表7.13中富镇“满足”面积为0但比例为7.21%，基本满足4806.67却为100%；交河镇、泊镇等行也出现0面积对应非零比例，列值明显移位或公式错误。</w:t>
            </w:r>
          </w:p>
        </w:tc>
      </w:tr>
    </w:tbl>
    <w:p w14:paraId="6FD3C85C"/>
    <w:p w14:paraId="18D25146">
      <w:pPr>
        <w:pStyle w:val="4"/>
        <w:keepNext/>
      </w:pPr>
      <w:r>
        <w:rPr>
          <w:rFonts w:ascii="微软雅黑" w:hAnsi="微软雅黑" w:eastAsia="微软雅黑"/>
        </w:rPr>
        <w:t>问题类别八：第八章土特产品土壤适宜性评价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6"/>
        <w:gridCol w:w="2060"/>
        <w:gridCol w:w="6295"/>
      </w:tblGrid>
      <w:tr w14:paraId="6A7C8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26" w:type="dxa"/>
            <w:shd w:val="clear" w:color="auto" w:fill="D9EAF7"/>
            <w:vAlign w:val="center"/>
          </w:tcPr>
          <w:p w14:paraId="601F0668">
            <w:pPr>
              <w:keepNext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级别</w:t>
            </w:r>
          </w:p>
        </w:tc>
        <w:tc>
          <w:tcPr>
            <w:tcW w:w="2060" w:type="dxa"/>
            <w:shd w:val="clear" w:color="auto" w:fill="D9EAF7"/>
            <w:vAlign w:val="center"/>
          </w:tcPr>
          <w:p w14:paraId="7CBA59F6">
            <w:pPr>
              <w:keepNext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PDF页</w:t>
            </w:r>
          </w:p>
        </w:tc>
        <w:tc>
          <w:tcPr>
            <w:tcW w:w="6295" w:type="dxa"/>
            <w:shd w:val="clear" w:color="auto" w:fill="D9EAF7"/>
            <w:vAlign w:val="center"/>
          </w:tcPr>
          <w:p w14:paraId="2A8A7746">
            <w:pPr>
              <w:keepNext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问题与证据</w:t>
            </w:r>
          </w:p>
        </w:tc>
      </w:tr>
      <w:tr w14:paraId="5D12F6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6" w:type="dxa"/>
            <w:shd w:val="clear" w:color="auto" w:fill="F4CCCC"/>
            <w:vAlign w:val="center"/>
          </w:tcPr>
          <w:p w14:paraId="5CAA2B91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严重</w:t>
            </w:r>
          </w:p>
        </w:tc>
        <w:tc>
          <w:tcPr>
            <w:tcW w:w="2060" w:type="dxa"/>
            <w:vAlign w:val="center"/>
          </w:tcPr>
          <w:p w14:paraId="19F5889F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210—215</w:t>
            </w:r>
          </w:p>
        </w:tc>
        <w:tc>
          <w:tcPr>
            <w:tcW w:w="6295" w:type="dxa"/>
            <w:vAlign w:val="center"/>
          </w:tcPr>
          <w:p w14:paraId="27BD5005">
            <w:pPr>
              <w:keepNext w:val="0"/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整章核心参数和结果仍是未完成模板</w:t>
            </w:r>
            <w:r>
              <w:rPr>
                <w:rFonts w:ascii="宋体" w:hAnsi="宋体" w:eastAsia="宋体"/>
                <w:b w:val="0"/>
                <w:sz w:val="18"/>
              </w:rP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证据：评价区、样点数量、环境变量、MaxEnt参数、AUC、指标权重、阈值、适宜区面积等关键内容大量保留“XX县”“[区域位置]”“XX个”“XX%”等占位符，未形成可审查的泊头市土特产品适宜性成果。</w:t>
            </w:r>
          </w:p>
        </w:tc>
      </w:tr>
      <w:tr w14:paraId="01675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6" w:type="dxa"/>
            <w:shd w:val="clear" w:color="auto" w:fill="F4CCCC"/>
            <w:vAlign w:val="center"/>
          </w:tcPr>
          <w:p w14:paraId="6D8C7002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严重</w:t>
            </w:r>
          </w:p>
        </w:tc>
        <w:tc>
          <w:tcPr>
            <w:tcW w:w="2060" w:type="dxa"/>
            <w:vAlign w:val="center"/>
          </w:tcPr>
          <w:p w14:paraId="1014A8B4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210—215</w:t>
            </w:r>
          </w:p>
        </w:tc>
        <w:tc>
          <w:tcPr>
            <w:tcW w:w="6295" w:type="dxa"/>
            <w:vAlign w:val="center"/>
          </w:tcPr>
          <w:p w14:paraId="7E2D780D">
            <w:pPr>
              <w:keepNext w:val="0"/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评价对象和自然条件混入苹果及异地模板</w:t>
            </w:r>
            <w:r>
              <w:rPr>
                <w:rFonts w:ascii="宋体" w:hAnsi="宋体" w:eastAsia="宋体"/>
                <w:b w:val="0"/>
                <w:sz w:val="18"/>
              </w:rP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证据：本章先写泊头鸭梨，随后转为苹果、红富士苹果，并按北部丘陵、坡地和花岗岩母质建模；这些对象和条件与泊头市鸭梨任务及报告前文平原、冲积母质背景不一致。</w:t>
            </w:r>
          </w:p>
        </w:tc>
      </w:tr>
    </w:tbl>
    <w:p w14:paraId="3022C2C0"/>
    <w:p w14:paraId="5223DA0B">
      <w:pPr>
        <w:pStyle w:val="4"/>
        <w:keepNext/>
      </w:pPr>
      <w:r>
        <w:rPr>
          <w:rFonts w:ascii="微软雅黑" w:hAnsi="微软雅黑" w:eastAsia="微软雅黑"/>
        </w:rPr>
        <w:t>问题类别九：第九章综合利用建议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6"/>
        <w:gridCol w:w="2030"/>
        <w:gridCol w:w="6305"/>
      </w:tblGrid>
      <w:tr w14:paraId="08116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46" w:type="dxa"/>
            <w:shd w:val="clear" w:color="auto" w:fill="D9EAF7"/>
            <w:vAlign w:val="center"/>
          </w:tcPr>
          <w:p w14:paraId="29827836">
            <w:pPr>
              <w:keepNext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级别</w:t>
            </w:r>
          </w:p>
        </w:tc>
        <w:tc>
          <w:tcPr>
            <w:tcW w:w="2030" w:type="dxa"/>
            <w:shd w:val="clear" w:color="auto" w:fill="D9EAF7"/>
            <w:vAlign w:val="center"/>
          </w:tcPr>
          <w:p w14:paraId="5AC36E80">
            <w:pPr>
              <w:keepNext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PDF页</w:t>
            </w:r>
          </w:p>
        </w:tc>
        <w:tc>
          <w:tcPr>
            <w:tcW w:w="6305" w:type="dxa"/>
            <w:shd w:val="clear" w:color="auto" w:fill="D9EAF7"/>
            <w:vAlign w:val="center"/>
          </w:tcPr>
          <w:p w14:paraId="04E748D8">
            <w:pPr>
              <w:keepNext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问题与证据</w:t>
            </w:r>
          </w:p>
        </w:tc>
      </w:tr>
      <w:tr w14:paraId="2F6D6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6" w:type="dxa"/>
            <w:shd w:val="clear" w:color="auto" w:fill="FCE5CD"/>
            <w:vAlign w:val="center"/>
          </w:tcPr>
          <w:p w14:paraId="77B78DF8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重要</w:t>
            </w:r>
          </w:p>
        </w:tc>
        <w:tc>
          <w:tcPr>
            <w:tcW w:w="2030" w:type="dxa"/>
            <w:vAlign w:val="center"/>
          </w:tcPr>
          <w:p w14:paraId="26356AB4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150—153、217</w:t>
            </w:r>
          </w:p>
        </w:tc>
        <w:tc>
          <w:tcPr>
            <w:tcW w:w="6305" w:type="dxa"/>
            <w:vAlign w:val="center"/>
          </w:tcPr>
          <w:p w14:paraId="4827A7BB">
            <w:pPr>
              <w:keepNext w:val="0"/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微量元素问题诊断与第五章分级结果不一致</w:t>
            </w:r>
            <w:r>
              <w:rPr>
                <w:rFonts w:ascii="宋体" w:hAnsi="宋体" w:eastAsia="宋体"/>
                <w:b w:val="0"/>
                <w:sz w:val="18"/>
              </w:rP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证据：第九章称西部区域铁、锰、硼轻度缺乏；第五章则认为有效锰、有效铜、有效硼没有低或较低等级面积，缺素重点为有效硫、有效锌和有效铁。分区建议未说明重新判定依据。</w:t>
            </w:r>
          </w:p>
        </w:tc>
      </w:tr>
      <w:tr w14:paraId="4B3B90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6" w:type="dxa"/>
            <w:shd w:val="clear" w:color="auto" w:fill="F4CCCC"/>
            <w:vAlign w:val="center"/>
          </w:tcPr>
          <w:p w14:paraId="208474F0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严重</w:t>
            </w:r>
          </w:p>
        </w:tc>
        <w:tc>
          <w:tcPr>
            <w:tcW w:w="2030" w:type="dxa"/>
            <w:vAlign w:val="center"/>
          </w:tcPr>
          <w:p w14:paraId="5B80DB45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210—220</w:t>
            </w:r>
          </w:p>
        </w:tc>
        <w:tc>
          <w:tcPr>
            <w:tcW w:w="6305" w:type="dxa"/>
            <w:vAlign w:val="center"/>
          </w:tcPr>
          <w:p w14:paraId="4FD639A5">
            <w:pPr>
              <w:keepNext w:val="0"/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综合利用建议引用了尚未形成的特色农产品评价链条</w:t>
            </w:r>
            <w:r>
              <w:rPr>
                <w:rFonts w:ascii="宋体" w:hAnsi="宋体" w:eastAsia="宋体"/>
                <w:b w:val="0"/>
                <w:sz w:val="18"/>
              </w:rP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证据：第八章泊头鸭梨适宜性评价仍为苹果模板且关键数据均未填写，第九章却直接提出梨果产业分区和布局建议。现有报告未提供从鸭梨评价指标、权重、阈值和适宜区结果到分区建议的可追溯依据。</w:t>
            </w:r>
          </w:p>
        </w:tc>
      </w:tr>
    </w:tbl>
    <w:p w14:paraId="2576DE49"/>
    <w:p w14:paraId="77861070">
      <w:pPr>
        <w:pStyle w:val="4"/>
        <w:keepNext/>
      </w:pPr>
      <w:r>
        <w:rPr>
          <w:rFonts w:ascii="微软雅黑" w:hAnsi="微软雅黑" w:eastAsia="微软雅黑"/>
        </w:rPr>
        <w:t>问题类别十：报告格式、引用和审计边界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6"/>
        <w:gridCol w:w="2030"/>
        <w:gridCol w:w="6315"/>
      </w:tblGrid>
      <w:tr w14:paraId="4CEF08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36" w:type="dxa"/>
            <w:shd w:val="clear" w:color="auto" w:fill="D9EAF7"/>
            <w:vAlign w:val="center"/>
          </w:tcPr>
          <w:p w14:paraId="2B3D7280">
            <w:pPr>
              <w:keepNext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级别</w:t>
            </w:r>
          </w:p>
        </w:tc>
        <w:tc>
          <w:tcPr>
            <w:tcW w:w="2030" w:type="dxa"/>
            <w:shd w:val="clear" w:color="auto" w:fill="D9EAF7"/>
            <w:vAlign w:val="center"/>
          </w:tcPr>
          <w:p w14:paraId="487FCE92">
            <w:pPr>
              <w:keepNext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PDF页</w:t>
            </w:r>
          </w:p>
        </w:tc>
        <w:tc>
          <w:tcPr>
            <w:tcW w:w="6315" w:type="dxa"/>
            <w:shd w:val="clear" w:color="auto" w:fill="D9EAF7"/>
            <w:vAlign w:val="center"/>
          </w:tcPr>
          <w:p w14:paraId="11F9BDB3">
            <w:pPr>
              <w:keepNext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问题与证据</w:t>
            </w:r>
          </w:p>
        </w:tc>
      </w:tr>
      <w:tr w14:paraId="73DBCC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36" w:type="dxa"/>
            <w:shd w:val="clear" w:color="auto" w:fill="FFF2CC"/>
            <w:vAlign w:val="center"/>
          </w:tcPr>
          <w:p w14:paraId="0F97D5DB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一般</w:t>
            </w:r>
          </w:p>
        </w:tc>
        <w:tc>
          <w:tcPr>
            <w:tcW w:w="2030" w:type="dxa"/>
            <w:vAlign w:val="center"/>
          </w:tcPr>
          <w:p w14:paraId="1D0F838C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6、31—32、36、152、216</w:t>
            </w:r>
          </w:p>
        </w:tc>
        <w:tc>
          <w:tcPr>
            <w:tcW w:w="6315" w:type="dxa"/>
            <w:vAlign w:val="center"/>
          </w:tcPr>
          <w:p w14:paraId="0F566005">
            <w:pPr>
              <w:keepNext w:val="0"/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图表题名、编号和正文序号存在多处编辑错误</w:t>
            </w:r>
            <w:r>
              <w:rPr>
                <w:rFonts w:ascii="宋体" w:hAnsi="宋体" w:eastAsia="宋体"/>
                <w:b w:val="0"/>
                <w:sz w:val="18"/>
              </w:rP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证据：表3.2题名写“泊头市县”；第31页正文引用图1.3而实际相邻图题为图2.2；有效硫和有效铁连续使用表5.8；第九章条目序号出现1、2、3、3、5、4的错序。</w:t>
            </w:r>
          </w:p>
        </w:tc>
      </w:tr>
      <w:tr w14:paraId="361DE9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36" w:type="dxa"/>
            <w:shd w:val="clear" w:color="auto" w:fill="FCE5CD"/>
            <w:vAlign w:val="center"/>
          </w:tcPr>
          <w:p w14:paraId="39E4F00F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重要</w:t>
            </w:r>
          </w:p>
        </w:tc>
        <w:tc>
          <w:tcPr>
            <w:tcW w:w="2030" w:type="dxa"/>
            <w:vAlign w:val="center"/>
          </w:tcPr>
          <w:p w14:paraId="42614774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全篇</w:t>
            </w:r>
          </w:p>
        </w:tc>
        <w:tc>
          <w:tcPr>
            <w:tcW w:w="6315" w:type="dxa"/>
            <w:vAlign w:val="center"/>
          </w:tcPr>
          <w:p w14:paraId="27F86C97">
            <w:pPr>
              <w:keepNext w:val="0"/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缺少完整的参考文献或资料来源清单</w:t>
            </w:r>
            <w:r>
              <w:rPr>
                <w:rFonts w:ascii="宋体" w:hAnsi="宋体" w:eastAsia="宋体"/>
                <w:b w:val="0"/>
                <w:sz w:val="18"/>
              </w:rP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证据：报告引用调查规范、河南省相关文件、黄淮海区标准、统计数据和规划资料，但文末无参考文献或资料来源章节，无法系统核验文件版本、适用范围和数据时点。</w:t>
            </w:r>
          </w:p>
        </w:tc>
      </w:tr>
    </w:tbl>
    <w:p w14:paraId="0F6A570B"/>
    <w:p w14:paraId="312B984E">
      <w:pPr>
        <w:spacing w:after="80" w:line="276" w:lineRule="auto"/>
      </w:pPr>
      <w:bookmarkStart w:id="0" w:name="_GoBack"/>
      <w:bookmarkEnd w:id="0"/>
    </w:p>
    <w:sectPr>
      <w:headerReference r:id="rId5" w:type="default"/>
      <w:footerReference r:id="rId6" w:type="default"/>
      <w:pgSz w:w="12240" w:h="15840"/>
      <w:pgMar w:top="979" w:right="979" w:bottom="936" w:left="979" w:header="432" w:footer="432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5E9783">
    <w:pPr>
      <w:pStyle w:val="24"/>
      <w:jc w:val="center"/>
    </w:pPr>
    <w:r>
      <w:rPr>
        <w:color w:val="666666"/>
        <w:sz w:val="18"/>
      </w:rPr>
      <w:t xml:space="preserve">第 </w:t>
    </w:r>
    <w:r>
      <w:rPr>
        <w:color w:val="666666"/>
        <w:sz w:val="18"/>
      </w:rPr>
      <w:fldChar w:fldCharType="begin"/>
    </w:r>
    <w:r>
      <w:rPr>
        <w:color w:val="666666"/>
        <w:sz w:val="18"/>
      </w:rPr>
      <w:instrText xml:space="preserve">PAGE</w:instrText>
    </w:r>
    <w:r>
      <w:rPr>
        <w:color w:val="666666"/>
        <w:sz w:val="18"/>
      </w:rPr>
      <w:fldChar w:fldCharType="separate"/>
    </w:r>
    <w:r>
      <w:rPr>
        <w:color w:val="666666"/>
        <w:sz w:val="18"/>
      </w:rPr>
      <w:t>1</w:t>
    </w:r>
    <w:r>
      <w:rPr>
        <w:color w:val="666666"/>
        <w:sz w:val="18"/>
      </w:rPr>
      <w:fldChar w:fldCharType="end"/>
    </w:r>
    <w:r>
      <w:rPr>
        <w:color w:val="666666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EECA79">
    <w:pPr>
      <w:pStyle w:val="25"/>
      <w:jc w:val="center"/>
    </w:pPr>
    <w:r>
      <w:rPr>
        <w:rFonts w:ascii="宋体" w:hAnsi="宋体" w:eastAsia="宋体"/>
        <w:sz w:val="18"/>
      </w:rPr>
      <w:t>泊头市土壤资源评价与利用报告｜质控审计意见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16ED0"/>
    <w:rsid w:val="00AA1D8D"/>
    <w:rsid w:val="00B47730"/>
    <w:rsid w:val="00B64C7F"/>
    <w:rsid w:val="00CB0664"/>
    <w:rsid w:val="00EE5EB0"/>
    <w:rsid w:val="00FC693F"/>
    <w:rsid w:val="02D80E4A"/>
    <w:rsid w:val="0CFD41D5"/>
    <w:rsid w:val="16F72C63"/>
    <w:rsid w:val="2A037A86"/>
    <w:rsid w:val="38D25BA2"/>
    <w:rsid w:val="4F651C73"/>
    <w:rsid w:val="59D03A57"/>
    <w:rsid w:val="5BA71B9B"/>
    <w:rsid w:val="611F2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240" w:after="120"/>
      <w:outlineLvl w:val="0"/>
    </w:pPr>
    <w:rPr>
      <w:rFonts w:asciiTheme="majorHAnsi" w:hAnsiTheme="majorHAnsi" w:eastAsiaTheme="majorEastAsia" w:cstheme="majorBidi"/>
      <w:b/>
      <w:bCs/>
      <w:color w:val="17365D"/>
      <w:sz w:val="34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160" w:after="120"/>
      <w:outlineLvl w:val="1"/>
    </w:pPr>
    <w:rPr>
      <w:rFonts w:asciiTheme="majorHAnsi" w:hAnsiTheme="majorHAnsi" w:eastAsiaTheme="majorEastAsia" w:cstheme="majorBidi"/>
      <w:b/>
      <w:bCs/>
      <w:color w:val="2F5597"/>
      <w:sz w:val="28"/>
      <w:szCs w:val="26"/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160" w:after="120"/>
      <w:outlineLvl w:val="2"/>
    </w:pPr>
    <w:rPr>
      <w:rFonts w:asciiTheme="majorHAnsi" w:hAnsiTheme="majorHAnsi" w:eastAsiaTheme="majorEastAsia" w:cstheme="majorBidi"/>
      <w:b/>
      <w:bCs/>
      <w:color w:val="2F5597"/>
      <w:sz w:val="24"/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qFormat/>
    <w:uiPriority w:val="1"/>
  </w:style>
  <w:style w:type="table" w:default="1" w:styleId="3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autoRedefine/>
    <w:unhideWhenUsed/>
    <w:qFormat/>
    <w:uiPriority w:val="39"/>
  </w:style>
  <w:style w:type="paragraph" w:styleId="27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666666"/>
      <w:spacing w:val="15"/>
      <w:sz w:val="24"/>
      <w:szCs w:val="24"/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30">
    <w:name w:val="Body Text 2"/>
    <w:basedOn w:val="1"/>
    <w:link w:val="148"/>
    <w:unhideWhenUsed/>
    <w:qFormat/>
    <w:uiPriority w:val="99"/>
    <w:pPr>
      <w:spacing w:after="120" w:line="480" w:lineRule="auto"/>
    </w:pPr>
  </w:style>
  <w:style w:type="paragraph" w:styleId="31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/>
      <w:spacing w:val="5"/>
      <w:kern w:val="28"/>
      <w:sz w:val="50"/>
      <w:szCs w:val="52"/>
    </w:rPr>
  </w:style>
  <w:style w:type="table" w:styleId="35">
    <w:name w:val="Table Grid"/>
    <w:basedOn w:val="3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6">
    <w:name w:val="Light Shading"/>
    <w:basedOn w:val="34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styleId="137">
    <w:name w:val="Hyperlink"/>
    <w:basedOn w:val="134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138">
    <w:name w:val="页眉 字符"/>
    <w:basedOn w:val="134"/>
    <w:link w:val="25"/>
    <w:qFormat/>
    <w:uiPriority w:val="99"/>
  </w:style>
  <w:style w:type="character" w:customStyle="1" w:styleId="139">
    <w:name w:val="页脚 字符"/>
    <w:basedOn w:val="134"/>
    <w:link w:val="24"/>
    <w:qFormat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标题 1 字符"/>
    <w:basedOn w:val="134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标题 2 字符"/>
    <w:basedOn w:val="134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标题 3 字符"/>
    <w:basedOn w:val="134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标题 字符"/>
    <w:basedOn w:val="134"/>
    <w:link w:val="33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副标题 字符"/>
    <w:basedOn w:val="134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正文文本 字符"/>
    <w:basedOn w:val="134"/>
    <w:link w:val="19"/>
    <w:qFormat/>
    <w:uiPriority w:val="99"/>
  </w:style>
  <w:style w:type="character" w:customStyle="1" w:styleId="148">
    <w:name w:val="正文文本 2 字符"/>
    <w:basedOn w:val="134"/>
    <w:link w:val="30"/>
    <w:qFormat/>
    <w:uiPriority w:val="99"/>
  </w:style>
  <w:style w:type="character" w:customStyle="1" w:styleId="149">
    <w:name w:val="正文文本 3 字符"/>
    <w:basedOn w:val="134"/>
    <w:link w:val="17"/>
    <w:qFormat/>
    <w:uiPriority w:val="99"/>
    <w:rPr>
      <w:sz w:val="16"/>
      <w:szCs w:val="16"/>
    </w:rPr>
  </w:style>
  <w:style w:type="character" w:customStyle="1" w:styleId="150">
    <w:name w:val="宏文本 字符"/>
    <w:basedOn w:val="134"/>
    <w:link w:val="2"/>
    <w:qFormat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引用 字符"/>
    <w:basedOn w:val="134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标题 4 字符"/>
    <w:basedOn w:val="134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标题 5 字符"/>
    <w:basedOn w:val="134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标题 6 字符"/>
    <w:basedOn w:val="134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标题 7 字符"/>
    <w:basedOn w:val="134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标题 8 字符"/>
    <w:basedOn w:val="134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标题 9 字符"/>
    <w:basedOn w:val="134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明显引用 字符"/>
    <w:basedOn w:val="134"/>
    <w:link w:val="159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7">
    <w:name w:val="Audit Callout"/>
    <w:qFormat/>
    <w:uiPriority w:val="0"/>
    <w:pPr>
      <w:spacing w:before="100" w:after="100" w:line="300" w:lineRule="auto"/>
      <w:ind w:left="198" w:right="198"/>
    </w:pPr>
    <w:rPr>
      <w:rFonts w:ascii="宋体" w:hAnsi="宋体" w:eastAsia="宋体" w:cstheme="minorBidi"/>
      <w:sz w:val="20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5937</Words>
  <Characters>6961</Characters>
  <Lines>484</Lines>
  <Paragraphs>482</Paragraphs>
  <TotalTime>93</TotalTime>
  <ScaleCrop>false</ScaleCrop>
  <LinksUpToDate>false</LinksUpToDate>
  <CharactersWithSpaces>6961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OpenAI Codex</dc:creator>
  <dc:description>generated by python-docx</dc:description>
  <cp:keywords>土壤三普, 质控, 河间市, 审计意见</cp:keywords>
  <cp:lastModifiedBy>Mi Manchi</cp:lastModifiedBy>
  <dcterms:modified xsi:type="dcterms:W3CDTF">2026-09-21T03:48:57Z</dcterms:modified>
  <dc:subject>依据既定流程、质控标准和成果模板逐页复核</dc:subject>
  <dc:title>泊头市土壤资源评价与利用报告质控审计意见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eyJoZGlkIjoiZWQ4NWNlMWZjNThhMjZjMDQyMTU5MmU3YTNkMzg1ZmEiLCJ1c2VySWQiOiIxMjQ2MDU4ODU1In0=</vt:lpwstr>
  </property>
  <property fmtid="{D5CDD505-2E9C-101B-9397-08002B2CF9AE}" pid="3" name="KSOProductBuildVer">
    <vt:lpwstr>2052-12.1.0.28043</vt:lpwstr>
  </property>
  <property fmtid="{D5CDD505-2E9C-101B-9397-08002B2CF9AE}" pid="4" name="ICV">
    <vt:lpwstr>48F01E5F7BF046A986208F8686ABF3A7_12</vt:lpwstr>
  </property>
</Properties>
</file>