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5C9FA">
      <w:pPr>
        <w:spacing w:before="200" w:after="80"/>
        <w:jc w:val="center"/>
      </w:pPr>
      <w:r>
        <w:rPr>
          <w:rFonts w:ascii="黑体" w:hAnsi="黑体" w:eastAsia="黑体"/>
          <w:b/>
          <w:sz w:val="52"/>
        </w:rPr>
        <w:t>任丘市土壤资源评价与利用报告</w:t>
      </w:r>
    </w:p>
    <w:p w14:paraId="64CCB236">
      <w:pPr>
        <w:spacing w:after="320"/>
        <w:jc w:val="center"/>
      </w:pPr>
      <w:r>
        <w:rPr>
          <w:rFonts w:ascii="黑体" w:hAnsi="黑体" w:eastAsia="黑体"/>
          <w:b/>
          <w:sz w:val="64"/>
        </w:rPr>
        <w:t>质控审计意见</w:t>
      </w:r>
    </w:p>
    <w:p w14:paraId="45F994AB">
      <w:pPr>
        <w:pStyle w:val="4"/>
      </w:pPr>
      <w:r>
        <w:t>优先整改的六个阻断点</w:t>
      </w:r>
    </w:p>
    <w:p w14:paraId="667BA293">
      <w:pPr>
        <w:pStyle w:val="16"/>
        <w:spacing w:after="60"/>
      </w:pPr>
      <w:r>
        <w:t>第三章二普土壤类型基数出现两套互相矛盾的数字（2个土类/5个亚类/10个土属/72个土种，与1个土类/2个亚类/6个土属/26个土种），且p536自述变化量不能闭合（26个土种减至7个应为19个而非14个），必须回查二普土壤志原始记录，统一基数并重新计算全部变化量。</w:t>
      </w:r>
    </w:p>
    <w:p w14:paraId="224B3372">
      <w:pPr>
        <w:pStyle w:val="16"/>
        <w:spacing w:after="60"/>
      </w:pPr>
      <w:r>
        <w:t>全报告土壤类型构成在摘要、表3.3、第四章、第九章四处口径互不一致，脱潮土97769.40亩（占7.47%）在第四章、摘要中被整体遗漏，须以表3.3为准统一各章类型构成与占比。</w:t>
      </w:r>
    </w:p>
    <w:p w14:paraId="7B30B23A">
      <w:pPr>
        <w:pStyle w:val="16"/>
        <w:spacing w:after="60"/>
      </w:pPr>
      <w:r>
        <w:t>第六章残留“肃宁县”内容（p2183），须全文检索其他县（市、区）名称并清除。</w:t>
      </w:r>
    </w:p>
    <w:p w14:paraId="7C3B4C44">
      <w:pPr>
        <w:pStyle w:val="16"/>
        <w:spacing w:after="60"/>
      </w:pPr>
      <w:r>
        <w:t>第七章残留“鹿泉区”内容（p2384），须全文检索其他县（市、区）名称并清除。</w:t>
      </w:r>
    </w:p>
    <w:p w14:paraId="3F3CC632">
      <w:pPr>
        <w:pStyle w:val="16"/>
        <w:spacing w:after="60"/>
      </w:pPr>
      <w:r>
        <w:t>第八章“土特产品土壤适宜性评价”为空章，全报告无未开展说明及折算口径，须补充该专题评价内容，或在前言与摘要说明未开展原因。</w:t>
      </w:r>
    </w:p>
    <w:p w14:paraId="035C52DB">
      <w:pPr>
        <w:pStyle w:val="16"/>
        <w:spacing w:after="60"/>
      </w:pPr>
      <w:r>
        <w:t>第五章标题体系为“土壤酸化”而全部内容为盐碱地调查，须按本县实际退化类型（盐碱）改正章节标题与论述。</w:t>
      </w:r>
    </w:p>
    <w:p w14:paraId="4EA6DB43">
      <w:pPr>
        <w:pStyle w:val="3"/>
      </w:pPr>
      <w:r>
        <w:t>问题明细</w:t>
      </w:r>
    </w:p>
    <w:p w14:paraId="5272F2D6">
      <w:pPr>
        <w:pStyle w:val="4"/>
      </w:pPr>
      <w:r>
        <w:t>问题类别一：前置材料、第一章和数据源表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6AE8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18295140">
            <w:pPr>
              <w:jc w:val="center"/>
            </w:pPr>
            <w:r>
              <w:rPr>
                <w:b/>
              </w:rPr>
              <w:t>级别</w:t>
            </w:r>
          </w:p>
        </w:tc>
        <w:tc>
          <w:tcPr>
            <w:tcW w:w="822" w:type="dxa"/>
            <w:shd w:val="clear" w:color="auto" w:fill="D9EAF7"/>
          </w:tcPr>
          <w:p w14:paraId="013CA65D">
            <w:pPr>
              <w:jc w:val="center"/>
            </w:pPr>
            <w:r>
              <w:rPr>
                <w:b/>
              </w:rPr>
              <w:t>PDF页</w:t>
            </w:r>
          </w:p>
        </w:tc>
        <w:tc>
          <w:tcPr>
            <w:tcW w:w="7597" w:type="dxa"/>
            <w:shd w:val="clear" w:color="auto" w:fill="D9EAF7"/>
          </w:tcPr>
          <w:p w14:paraId="28762B47">
            <w:pPr>
              <w:jc w:val="left"/>
            </w:pPr>
            <w:r>
              <w:rPr>
                <w:b/>
              </w:rPr>
              <w:t>问题与证据</w:t>
            </w:r>
          </w:p>
        </w:tc>
      </w:tr>
      <w:tr w14:paraId="3073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77CC7D8C">
            <w:pPr>
              <w:jc w:val="center"/>
            </w:pPr>
            <w:r>
              <w:rPr>
                <w:b/>
              </w:rPr>
              <w:t>重要</w:t>
            </w:r>
          </w:p>
        </w:tc>
        <w:tc>
          <w:tcPr>
            <w:tcW w:w="822" w:type="dxa"/>
          </w:tcPr>
          <w:p w14:paraId="6FBD942B">
            <w:pPr>
              <w:jc w:val="center"/>
            </w:pPr>
            <w:r>
              <w:t>2—5</w:t>
            </w:r>
          </w:p>
        </w:tc>
        <w:tc>
          <w:tcPr>
            <w:tcW w:w="7597" w:type="dxa"/>
          </w:tcPr>
          <w:p w14:paraId="04533AB7">
            <w:r>
              <w:t>前置材料缺图目录、表目录，全报告无参考文献</w:t>
            </w:r>
          </w:p>
          <w:p w14:paraId="0FCCE04A">
            <w:r>
              <w:t>证据：前置材料仅含前言（p15）、目录（p27，SDT内TOC域，仅正文层级目录）、摘要（p30），无图目录、无表目录；全报告检索无“参考文献”章节或文献列表。质控表要求“前置材料包含前言、目录、图目录、表目录和摘要”及“报告标题、目录、图表编号、参考文献……符合统一要求”。检查范围：前置材料全部段落及文末附件。</w:t>
            </w:r>
          </w:p>
        </w:tc>
      </w:tr>
      <w:tr w14:paraId="3579D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2F6D98D9">
            <w:pPr>
              <w:jc w:val="center"/>
            </w:pPr>
            <w:r>
              <w:rPr>
                <w:b/>
              </w:rPr>
              <w:t>重要</w:t>
            </w:r>
          </w:p>
        </w:tc>
        <w:tc>
          <w:tcPr>
            <w:tcW w:w="822" w:type="dxa"/>
          </w:tcPr>
          <w:p w14:paraId="558F088F">
            <w:pPr>
              <w:jc w:val="center"/>
            </w:pPr>
            <w:r>
              <w:t>2、4、120</w:t>
            </w:r>
          </w:p>
        </w:tc>
        <w:tc>
          <w:tcPr>
            <w:tcW w:w="7597" w:type="dxa"/>
          </w:tcPr>
          <w:p w14:paraId="2984F071">
            <w:r>
              <w:t>前言沿用二普时代“盐化潮土”“低洼盐碱地”“沙粘适中”表述，与三普结论（全域无盐碱化、整体偏黏）矛盾；土壤质地定性三处不一</w:t>
            </w:r>
          </w:p>
          <w:p w14:paraId="76306738">
            <w:r>
              <w:t>证据：前言p16：“其中典型潮土分布最广，盐化潮土与轻、沙壤质潮土呈岗、坡、洼相间分布，虽局部存在低洼盐碱地……沙粘适中”；p18：“重点聚焦……盐化土壤分布特征与改良潜力”。而第五章结论为“任丘市2024年无盐碱”（p1720）、第九章p2642“全域已实现脱盐碱”，表3.3土属中亦无盐化土属；质地方面摘要p34及第九章p2610称“整体偏黏”，第四章p1032称“全市土壤整体以砂质为主，质地适中”，与前言“沙粘适中”三者互不一致。</w:t>
            </w:r>
          </w:p>
          <w:p w14:paraId="28550B57">
            <w:r>
              <w:t>复算：前言称存在盐化潮土 vs 第五章/第九章称无盐碱化；“沙粘适中”vs“整体偏黏”vs“以砂质为主”三种质地定性并存。</w:t>
            </w:r>
          </w:p>
        </w:tc>
      </w:tr>
      <w:tr w14:paraId="6A5E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4C99CB53">
            <w:pPr>
              <w:jc w:val="center"/>
            </w:pPr>
            <w:r>
              <w:rPr>
                <w:b/>
              </w:rPr>
              <w:t>重要</w:t>
            </w:r>
          </w:p>
        </w:tc>
        <w:tc>
          <w:tcPr>
            <w:tcW w:w="822" w:type="dxa"/>
          </w:tcPr>
          <w:p w14:paraId="414A7428">
            <w:pPr>
              <w:jc w:val="center"/>
            </w:pPr>
            <w:r>
              <w:t>6</w:t>
            </w:r>
          </w:p>
        </w:tc>
        <w:tc>
          <w:tcPr>
            <w:tcW w:w="7597" w:type="dxa"/>
          </w:tcPr>
          <w:p w14:paraId="3E6FC42E">
            <w:r>
              <w:t>第一章“普查任务与范围”未按要求填报，模板占位语残留，样点类型、数量与分布等要素缺失</w:t>
            </w:r>
          </w:p>
          <w:p w14:paraId="73DD59B3">
            <w:r>
              <w:t>证据：第一章p46保留模板指令原文：“根据本县土壤三普工作方案，简要介绍土壤普查任务，包括土壤普查时间、对象与范围、土地利用类型与面积，样点类型、数量与分布等。”该占位段落未替换为实际内容；样点总数在摘要（419个）、第四章（419/402/207/379个）各节口径不一，第一章未交代样点类型（表层样/剖面样）、数量与分布的统一口径。检查范围：第一章p41-60全部段落。</w:t>
            </w:r>
          </w:p>
        </w:tc>
      </w:tr>
      <w:tr w14:paraId="554C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6198E249">
            <w:pPr>
              <w:jc w:val="center"/>
            </w:pPr>
            <w:r>
              <w:rPr>
                <w:b/>
              </w:rPr>
              <w:t>重要</w:t>
            </w:r>
          </w:p>
        </w:tc>
        <w:tc>
          <w:tcPr>
            <w:tcW w:w="822" w:type="dxa"/>
          </w:tcPr>
          <w:p w14:paraId="30543BCB">
            <w:pPr>
              <w:jc w:val="center"/>
            </w:pPr>
            <w:r>
              <w:t>9、35</w:t>
            </w:r>
          </w:p>
        </w:tc>
        <w:tc>
          <w:tcPr>
            <w:tcW w:w="7597" w:type="dxa"/>
          </w:tcPr>
          <w:p w14:paraId="15BC69ED">
            <w:r>
              <w:t>表1.1数据源表仅登记3项，后文实际使用的环境变量、气象、遥感、社会经济等数据源均未登记</w:t>
            </w:r>
          </w:p>
          <w:p w14:paraId="3D65AD1F">
            <w:r>
              <w:t>证据：表1.1“主要数据来源概述”仅3行（土地利用现状数据、二普土壤剖面描述、DEM）；而表3.1环境因素变量数据列出8类数据源（气候、母质岩性、地貌、地形、植被、土地利用、新增耕地、高分影像），第五章使用Sentinel-2遥感影像（表5.1），第四章制图使用气象数据（p1235年均温、年降水等）及三调DLTB数据（p1241），第六章使用水资源、社会经济数据，均未在表1.1登记。</w:t>
            </w:r>
          </w:p>
        </w:tc>
      </w:tr>
    </w:tbl>
    <w:p w14:paraId="7B2867AE">
      <w:pPr>
        <w:pStyle w:val="4"/>
      </w:pPr>
      <w:r>
        <w:t>问题类别二：第二章区域概况与本地衔接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790A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60D34643">
            <w:pPr>
              <w:jc w:val="center"/>
            </w:pPr>
            <w:r>
              <w:rPr>
                <w:b/>
              </w:rPr>
              <w:t>级别</w:t>
            </w:r>
          </w:p>
        </w:tc>
        <w:tc>
          <w:tcPr>
            <w:tcW w:w="822" w:type="dxa"/>
            <w:shd w:val="clear" w:color="auto" w:fill="D9EAF7"/>
          </w:tcPr>
          <w:p w14:paraId="710B64E5">
            <w:pPr>
              <w:jc w:val="center"/>
            </w:pPr>
            <w:r>
              <w:rPr>
                <w:b/>
              </w:rPr>
              <w:t>PDF页</w:t>
            </w:r>
          </w:p>
        </w:tc>
        <w:tc>
          <w:tcPr>
            <w:tcW w:w="7597" w:type="dxa"/>
            <w:shd w:val="clear" w:color="auto" w:fill="D9EAF7"/>
          </w:tcPr>
          <w:p w14:paraId="44A6EA92">
            <w:pPr>
              <w:jc w:val="left"/>
            </w:pPr>
            <w:r>
              <w:rPr>
                <w:b/>
              </w:rPr>
              <w:t>问题与证据</w:t>
            </w:r>
          </w:p>
        </w:tc>
      </w:tr>
      <w:tr w14:paraId="5EEA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7D16A0CD">
            <w:pPr>
              <w:jc w:val="center"/>
            </w:pPr>
            <w:r>
              <w:rPr>
                <w:b/>
              </w:rPr>
              <w:t>重要</w:t>
            </w:r>
          </w:p>
        </w:tc>
        <w:tc>
          <w:tcPr>
            <w:tcW w:w="822" w:type="dxa"/>
          </w:tcPr>
          <w:p w14:paraId="24E4A35F">
            <w:pPr>
              <w:jc w:val="center"/>
            </w:pPr>
            <w:r>
              <w:t>20—21</w:t>
            </w:r>
          </w:p>
        </w:tc>
        <w:tc>
          <w:tcPr>
            <w:tcW w:w="7597" w:type="dxa"/>
          </w:tcPr>
          <w:p w14:paraId="2A4CD947">
            <w:r>
              <w:t>表2.1“土地利用一级、二级分类面积表”仅含耕地、园地、林地、草地四类农用地，缺城镇村及工矿用地、交通运输用地、水域及水利设施用地等地类，且无全县合计行</w:t>
            </w:r>
          </w:p>
          <w:p w14:paraId="28612763">
            <w:r>
              <w:t>证据：表2.1共14行数据，止于“草地小计772.39公顷”，合计58061.89公顷（约87.09万亩），仅为全县总面积（870.93km²=87093公顷）的66.7%；水域及水利设施用地（任丘市毗邻白洋淀、属大清河水系）、建设用地等地类均未列出，也无全县合计。第四章p1122、p1167将同口径的870931亩称为“全市总土地面积”。</w:t>
            </w:r>
          </w:p>
        </w:tc>
      </w:tr>
      <w:tr w14:paraId="17F3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017A08F8">
            <w:pPr>
              <w:jc w:val="center"/>
            </w:pPr>
            <w:r>
              <w:rPr>
                <w:b/>
              </w:rPr>
              <w:t>重要</w:t>
            </w:r>
          </w:p>
        </w:tc>
        <w:tc>
          <w:tcPr>
            <w:tcW w:w="822" w:type="dxa"/>
          </w:tcPr>
          <w:p w14:paraId="0ED0B600">
            <w:pPr>
              <w:jc w:val="center"/>
            </w:pPr>
            <w:r>
              <w:t>4、25</w:t>
            </w:r>
          </w:p>
        </w:tc>
        <w:tc>
          <w:tcPr>
            <w:tcW w:w="7597" w:type="dxa"/>
          </w:tcPr>
          <w:p w14:paraId="77E6BD8A">
            <w:r>
              <w:t>行政区总面积两处不一：864平方千米（第三章引言）与870.93平方公里（摘要），差异6.93km²无说明</w:t>
            </w:r>
          </w:p>
          <w:p w14:paraId="4499F164">
            <w:r>
              <w:t>证据：第三章引言p361：“根据2025年最新数据，任丘市总面积864平方千米”；摘要p31：“普查覆盖全市870.93平方公里行政区域”。同一报告对全县总面积给出两个相差6.93km²的数字，均未说明口径。</w:t>
            </w:r>
          </w:p>
        </w:tc>
      </w:tr>
    </w:tbl>
    <w:p w14:paraId="2942D379">
      <w:pPr>
        <w:pStyle w:val="4"/>
      </w:pPr>
      <w:r>
        <w:t>问题类别三：第三章土壤类型与制图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76DF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09" w:type="dxa"/>
            <w:shd w:val="clear" w:color="auto" w:fill="D9EAF7"/>
          </w:tcPr>
          <w:p w14:paraId="12E01CA0">
            <w:pPr>
              <w:jc w:val="center"/>
            </w:pPr>
            <w:r>
              <w:rPr>
                <w:b/>
              </w:rPr>
              <w:t>级别</w:t>
            </w:r>
          </w:p>
        </w:tc>
        <w:tc>
          <w:tcPr>
            <w:tcW w:w="822" w:type="dxa"/>
            <w:shd w:val="clear" w:color="auto" w:fill="D9EAF7"/>
          </w:tcPr>
          <w:p w14:paraId="4DB64977">
            <w:pPr>
              <w:jc w:val="center"/>
            </w:pPr>
            <w:r>
              <w:rPr>
                <w:b/>
              </w:rPr>
              <w:t>PDF页</w:t>
            </w:r>
          </w:p>
        </w:tc>
        <w:tc>
          <w:tcPr>
            <w:tcW w:w="7597" w:type="dxa"/>
            <w:shd w:val="clear" w:color="auto" w:fill="D9EAF7"/>
          </w:tcPr>
          <w:p w14:paraId="7FA1DEB6">
            <w:pPr>
              <w:jc w:val="left"/>
            </w:pPr>
            <w:r>
              <w:rPr>
                <w:b/>
              </w:rPr>
              <w:t>问题与证据</w:t>
            </w:r>
          </w:p>
        </w:tc>
      </w:tr>
      <w:tr w14:paraId="4763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4CCCC"/>
          </w:tcPr>
          <w:p w14:paraId="3490612F">
            <w:pPr>
              <w:jc w:val="center"/>
            </w:pPr>
            <w:r>
              <w:rPr>
                <w:b/>
              </w:rPr>
              <w:t>严重</w:t>
            </w:r>
          </w:p>
        </w:tc>
        <w:tc>
          <w:tcPr>
            <w:tcW w:w="822" w:type="dxa"/>
          </w:tcPr>
          <w:p w14:paraId="55173A39">
            <w:pPr>
              <w:jc w:val="center"/>
            </w:pPr>
            <w:r>
              <w:t>25、40</w:t>
            </w:r>
          </w:p>
        </w:tc>
        <w:tc>
          <w:tcPr>
            <w:tcW w:w="7597" w:type="dxa"/>
          </w:tcPr>
          <w:p w14:paraId="3CF67EE7">
            <w:r>
              <w:t>二普土壤类型基数及二普—三普变化量三套数字互相矛盾，p536自述变化量与其前后数字不符</w:t>
            </w:r>
          </w:p>
          <w:p w14:paraId="33BDFB41">
            <w:r>
              <w:t>证据：第三章引言p362称二普为“2个土类（潮土和沼泽土）、5个亚类、10个土属和72个土种”；表3.4沿用2/5/10/72并称三普减少1个土类、3个亚类、7个土属、65个土种；但同章p536称“二普土壤类型包括1个土类，2个亚类，6个土属，26个土种；三普与二普相比……减少了1个亚类、3个土属、14个土种”。p536自身即矛盾：其给出的二普2个亚类到三普2个亚类并未减少，26个土种减至7个应为19个而非14个。</w:t>
            </w:r>
          </w:p>
          <w:p w14:paraId="1D35AE6D">
            <w:r>
              <w:t>复算：表3.4：10-3=7、72-7=65，与p362的2/5/10/72自洽；p536：2-2=0≠1、6-3=3、26-7=19≠14。两处基数（2/5/10/72与1/2/6/26）互斥，无法同真。</w:t>
            </w:r>
          </w:p>
        </w:tc>
      </w:tr>
      <w:tr w14:paraId="599D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4CCCC"/>
          </w:tcPr>
          <w:p w14:paraId="5D0D7B65">
            <w:pPr>
              <w:jc w:val="center"/>
            </w:pPr>
            <w:r>
              <w:rPr>
                <w:b/>
              </w:rPr>
              <w:t>严重</w:t>
            </w:r>
          </w:p>
        </w:tc>
        <w:tc>
          <w:tcPr>
            <w:tcW w:w="822" w:type="dxa"/>
          </w:tcPr>
          <w:p w14:paraId="3948D23D">
            <w:pPr>
              <w:jc w:val="center"/>
            </w:pPr>
            <w:r>
              <w:t>4、39、47—48、297</w:t>
            </w:r>
          </w:p>
        </w:tc>
        <w:tc>
          <w:tcPr>
            <w:tcW w:w="7597" w:type="dxa"/>
          </w:tcPr>
          <w:p w14:paraId="0D222442">
            <w:r>
              <w:t>全报告土壤类型构成（典型潮土/脱潮土及土属占比）在摘要、表3.3、第四章、第九章四处口径互不一致，脱潮土被多处遗漏</w:t>
            </w:r>
          </w:p>
          <w:p w14:paraId="6D4B01F9">
            <w:r>
              <w:t>证据：表3.3：典型潮土92.53%、脱潮土97769.40亩占7.47%，土属为黏质石灰性潮土、壤质石灰性潮土、壤质脱潮土3个；第四章p594-595及表4.3称“土壤类型仅为典型潮土”“全县无其他土壤亚类”，仅列2个土属且无脱潮土；摘要p34称“典型潮土占98.29%……土属以壤质石灰性潮土为主（占97.41%），黏质石灰性潮土占1.70%”（97.41%+1.70%=99.11%≠98.29%，且漏列壤质脱潮土）；第九章p2609称“典型潮土亚类占97.89%……壤质石灰性潮土占比91.30%”。</w:t>
            </w:r>
          </w:p>
        </w:tc>
      </w:tr>
      <w:tr w14:paraId="75C8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571D0156">
            <w:pPr>
              <w:jc w:val="center"/>
            </w:pPr>
            <w:r>
              <w:rPr>
                <w:b/>
              </w:rPr>
              <w:t>重要</w:t>
            </w:r>
          </w:p>
        </w:tc>
        <w:tc>
          <w:tcPr>
            <w:tcW w:w="822" w:type="dxa"/>
          </w:tcPr>
          <w:p w14:paraId="6E92A3A1">
            <w:pPr>
              <w:jc w:val="center"/>
            </w:pPr>
            <w:r>
              <w:t>39</w:t>
            </w:r>
          </w:p>
        </w:tc>
        <w:tc>
          <w:tcPr>
            <w:tcW w:w="7597" w:type="dxa"/>
          </w:tcPr>
          <w:p w14:paraId="397C226F">
            <w:r>
              <w:t>第三章“3个土属”只列举2个（漏壤质脱潮土）、“7个土种”未列举，“见表3”表号不规范</w:t>
            </w:r>
          </w:p>
          <w:p w14:paraId="5F149B7A">
            <w:r>
              <w:t>证据：第三章p530：“1个土类：潮土，2个亚类：典型潮土,脱潮土；3个土属：壤质石灰性潮土、黏质石灰性潮土；7个土种。各类型土壤面积统计见表3。”——称3个土属却只列2个（表3.3中的壤质脱潮土未列入），7个土种未列举；“见表3”与正文表3.3编号体系不符。</w:t>
            </w:r>
          </w:p>
        </w:tc>
      </w:tr>
      <w:tr w14:paraId="6CFC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58DE76A1">
            <w:pPr>
              <w:jc w:val="center"/>
            </w:pPr>
            <w:r>
              <w:rPr>
                <w:b/>
              </w:rPr>
              <w:t>重要</w:t>
            </w:r>
          </w:p>
        </w:tc>
        <w:tc>
          <w:tcPr>
            <w:tcW w:w="822" w:type="dxa"/>
          </w:tcPr>
          <w:p w14:paraId="018B20FC">
            <w:pPr>
              <w:jc w:val="center"/>
            </w:pPr>
            <w:r>
              <w:t>40—42</w:t>
            </w:r>
          </w:p>
        </w:tc>
        <w:tc>
          <w:tcPr>
            <w:tcW w:w="7597" w:type="dxa"/>
          </w:tcPr>
          <w:p w14:paraId="5F3F2431">
            <w:r>
              <w:t>二普—三普类型变化解释表无法闭合：表3.5仅1行且三普列空白、表3.6中壤质潮土重复归并且产物“砂质石灰性潮土”不在三普土属之列、表3.8仅1行</w:t>
            </w:r>
          </w:p>
          <w:p w14:paraId="573CB07A">
            <w:r>
              <w:t>证据：表3.5仅1行数据且三普土类、三普亚类两列为空；表3.6将“中壤质潮土”同时归并为黏质石灰性潮土和壤质石灰性潮土两个土属，并将沙质潮土、沙壤质潮土归并为“砂质石灰性潮土”，而表3.3三普土属为黏质石灰性潮土、壤质石灰性潮土、壤质脱潮土，不存在砂质石灰性潮土；表3.8仅1行（盐化潮土→典型潮土），而表3.4显示减少的1个土类（沼泽土）、3个亚类（褐土化潮土、沼泽化潮土、黏质沼泽土）均无对应解释行；p543称“另有9个土种变更名称”，与表3.7的23行数据不符。</w:t>
            </w:r>
          </w:p>
          <w:p w14:paraId="59F278D1">
            <w:r>
              <w:t>复算：表3.6共6行、3个产物土属，其中砂质石灰性潮土未出现在表3.3的3个土属中；表3.4称亚类5→2减少3个，表3.5+表3.8合计仅解释1个亚类变化；p543“9个土种变更名称”vs表3.7实际23行。</w:t>
            </w:r>
          </w:p>
        </w:tc>
      </w:tr>
    </w:tbl>
    <w:p w14:paraId="7326B207">
      <w:pPr>
        <w:pStyle w:val="4"/>
      </w:pPr>
      <w:r>
        <w:t>问题类别四：第四章土壤属性与制图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5395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666A2380">
            <w:pPr>
              <w:jc w:val="center"/>
            </w:pPr>
            <w:r>
              <w:rPr>
                <w:b/>
              </w:rPr>
              <w:t>级别</w:t>
            </w:r>
          </w:p>
        </w:tc>
        <w:tc>
          <w:tcPr>
            <w:tcW w:w="822" w:type="dxa"/>
            <w:shd w:val="clear" w:color="auto" w:fill="D9EAF7"/>
          </w:tcPr>
          <w:p w14:paraId="240678FD">
            <w:pPr>
              <w:jc w:val="center"/>
            </w:pPr>
            <w:r>
              <w:rPr>
                <w:b/>
              </w:rPr>
              <w:t>PDF页</w:t>
            </w:r>
          </w:p>
        </w:tc>
        <w:tc>
          <w:tcPr>
            <w:tcW w:w="7597" w:type="dxa"/>
            <w:shd w:val="clear" w:color="auto" w:fill="D9EAF7"/>
          </w:tcPr>
          <w:p w14:paraId="5B7CF016">
            <w:pPr>
              <w:jc w:val="left"/>
            </w:pPr>
            <w:r>
              <w:rPr>
                <w:b/>
              </w:rPr>
              <w:t>问题与证据</w:t>
            </w:r>
          </w:p>
        </w:tc>
      </w:tr>
      <w:tr w14:paraId="5D97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79E28A17">
            <w:pPr>
              <w:jc w:val="center"/>
            </w:pPr>
            <w:r>
              <w:rPr>
                <w:b/>
              </w:rPr>
              <w:t>重要</w:t>
            </w:r>
          </w:p>
        </w:tc>
        <w:tc>
          <w:tcPr>
            <w:tcW w:w="822" w:type="dxa"/>
          </w:tcPr>
          <w:p w14:paraId="5B2863E6">
            <w:pPr>
              <w:jc w:val="center"/>
            </w:pPr>
            <w:r>
              <w:t>4、39、47、81、135、228</w:t>
            </w:r>
          </w:p>
        </w:tc>
        <w:tc>
          <w:tcPr>
            <w:tcW w:w="7597" w:type="dxa"/>
          </w:tcPr>
          <w:p w14:paraId="3E945BB8">
            <w:r>
              <w:t>全县面积口径四套并存且无衔接说明：行政区870.93km²、类型图1308374.85亩、属性制图870931亩、适宜性评价878794亩</w:t>
            </w:r>
          </w:p>
          <w:p w14:paraId="3AE39BD2">
            <w:r>
              <w:t>证据：摘要p31“普查覆盖全市870.93平方公里行政区域”（约130.64万亩）；表3.3土壤类型图合计1308374.85亩；表2.1四类农用地合计58061.89公顷=870928亩，第四章将870931亩表述为“全市总土地面积”（p1122、p1167）及“土壤三普总调查面积”（p784），还称“土壤二普总调查面积为1064770亩”；第六章适宜性评价总面积878794亩。第四章p591“其他土地面积3亩”与第六章p1900“其他土地：总面积18754亩”亦不符。各口径无一处相互衔接，报告未说明统计范围差异。</w:t>
            </w:r>
          </w:p>
        </w:tc>
      </w:tr>
      <w:tr w14:paraId="4FCC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0CA6C044">
            <w:pPr>
              <w:jc w:val="center"/>
            </w:pPr>
            <w:r>
              <w:rPr>
                <w:b/>
              </w:rPr>
              <w:t>重要</w:t>
            </w:r>
          </w:p>
        </w:tc>
        <w:tc>
          <w:tcPr>
            <w:tcW w:w="822" w:type="dxa"/>
          </w:tcPr>
          <w:p w14:paraId="6701E8EF">
            <w:pPr>
              <w:jc w:val="center"/>
            </w:pPr>
            <w:r>
              <w:t>53—54</w:t>
            </w:r>
          </w:p>
        </w:tc>
        <w:tc>
          <w:tcPr>
            <w:tcW w:w="7597" w:type="dxa"/>
          </w:tcPr>
          <w:p w14:paraId="77468022">
            <w:r>
              <w:t>容重小节两个土属的样点数互换，与同章其余各指标节完全相反</w:t>
            </w:r>
          </w:p>
          <w:p w14:paraId="735FC00C">
            <w:r>
              <w:t>证据：第四章p624：“典型潮土中，壤质石灰性潮土样点9个……面积856011亩；黏质石灰性潮土样点410个……面积14920亩”。而pH（p659）、CEC（p676）、有机质（p694）、全氮（p720）、全磷（p737）各节均为“黏质石灰性潮土样点9个、面积14920亩；壤质石灰性潮土样点410个、面积856011亩”。p624样点数与土属互换，9个样点对应85.6万亩、410个样点对应1.49万亩显然不合理。</w:t>
            </w:r>
          </w:p>
          <w:p w14:paraId="172BF4E6">
            <w:r>
              <w:t>复算：p624壤质9个/黏质410个 vs p659、p676、p694、p720、p737均为壤质410个/黏质9个，面积归属却一致（壤质856011亩、黏质14920亩），样点分配在容重节被互换。</w:t>
            </w:r>
          </w:p>
        </w:tc>
      </w:tr>
      <w:tr w14:paraId="6CD3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FF2CC"/>
          </w:tcPr>
          <w:p w14:paraId="06B6114C">
            <w:pPr>
              <w:jc w:val="center"/>
            </w:pPr>
            <w:r>
              <w:rPr>
                <w:b/>
              </w:rPr>
              <w:t>一般</w:t>
            </w:r>
          </w:p>
        </w:tc>
        <w:tc>
          <w:tcPr>
            <w:tcW w:w="822" w:type="dxa"/>
          </w:tcPr>
          <w:p w14:paraId="3C73C95E">
            <w:pPr>
              <w:jc w:val="center"/>
            </w:pPr>
            <w:r>
              <w:t>90、135、145</w:t>
            </w:r>
          </w:p>
        </w:tc>
        <w:tc>
          <w:tcPr>
            <w:tcW w:w="7597" w:type="dxa"/>
          </w:tcPr>
          <w:p w14:paraId="2AE63DE9">
            <w:r>
              <w:t>有效样点总数口径不一且无说明：大量元素419个、微量元素402个、壤质石灰性潮土微量元素393个、质地207个、耕层厚度379个</w:t>
            </w:r>
          </w:p>
          <w:p w14:paraId="523FBC7A">
            <w:r>
              <w:t>证据：摘要p32“累计完成有效样点419个”；第四章大量元素各节“总样点419个”（p1122“总有效样点419个”）；第四章微量元素各节“总样点402个”（p1167“总有效样点402个”）；壤质石灰性潮土微量元素“共采集393个样点”（p831、p854、p875）；质地207个（p590）；耕层厚度379个（p605）。多个总数并存，全报告未说明各指标检测样点集不同的原因。</w:t>
            </w:r>
          </w:p>
        </w:tc>
      </w:tr>
    </w:tbl>
    <w:p w14:paraId="3ECF817E">
      <w:pPr>
        <w:pStyle w:val="4"/>
      </w:pPr>
      <w:r>
        <w:t>问题类别五：第五章退化、障碍与改良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358C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60057C81">
            <w:pPr>
              <w:jc w:val="center"/>
            </w:pPr>
            <w:r>
              <w:rPr>
                <w:b/>
              </w:rPr>
              <w:t>级别</w:t>
            </w:r>
          </w:p>
        </w:tc>
        <w:tc>
          <w:tcPr>
            <w:tcW w:w="822" w:type="dxa"/>
            <w:shd w:val="clear" w:color="auto" w:fill="D9EAF7"/>
          </w:tcPr>
          <w:p w14:paraId="512F8035">
            <w:pPr>
              <w:jc w:val="center"/>
            </w:pPr>
            <w:r>
              <w:rPr>
                <w:b/>
              </w:rPr>
              <w:t>PDF页</w:t>
            </w:r>
          </w:p>
        </w:tc>
        <w:tc>
          <w:tcPr>
            <w:tcW w:w="7597" w:type="dxa"/>
            <w:shd w:val="clear" w:color="auto" w:fill="D9EAF7"/>
          </w:tcPr>
          <w:p w14:paraId="1AD4456E">
            <w:pPr>
              <w:jc w:val="left"/>
            </w:pPr>
            <w:r>
              <w:rPr>
                <w:b/>
              </w:rPr>
              <w:t>问题与证据</w:t>
            </w:r>
          </w:p>
        </w:tc>
      </w:tr>
      <w:tr w14:paraId="67D9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4CCCC"/>
          </w:tcPr>
          <w:p w14:paraId="72132514">
            <w:pPr>
              <w:jc w:val="center"/>
            </w:pPr>
            <w:r>
              <w:rPr>
                <w:b/>
              </w:rPr>
              <w:t>严重</w:t>
            </w:r>
          </w:p>
        </w:tc>
        <w:tc>
          <w:tcPr>
            <w:tcW w:w="822" w:type="dxa"/>
          </w:tcPr>
          <w:p w14:paraId="112615BB">
            <w:pPr>
              <w:jc w:val="center"/>
            </w:pPr>
            <w:r>
              <w:t>205—206</w:t>
            </w:r>
          </w:p>
        </w:tc>
        <w:tc>
          <w:tcPr>
            <w:tcW w:w="7597" w:type="dxa"/>
          </w:tcPr>
          <w:p w14:paraId="0702B59C">
            <w:r>
              <w:t>第五章标题体系为“土壤酸化”而内容全部为盐碱地调查，标题与内容完全错位</w:t>
            </w:r>
          </w:p>
          <w:p w14:paraId="355A3E14">
            <w:r>
              <w:t>证据：第五章章题为“土壤退化、障碍与改良”，第一节标题为“土壤酸化”，其下“土壤酸化制图与验证”“土壤酸化状况”“土壤酸化成因分析”“土壤酸化治理对策”各节内容全部为盐碱地专项调查（如p1720“2024年任丘市盐碱地总面积为0.00万亩”、p1724“据二普调查资料显示，任丘市碱区盐碱地面积为35.93万亩”）。全章无任何关于“酸化”的实质内容；该县土壤pH样点均值8.38、全域碱性（摘要p37、第四章p659样点统计），客观上不存在酸化问题。</w:t>
            </w:r>
          </w:p>
        </w:tc>
      </w:tr>
      <w:tr w14:paraId="582B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3DC5D30E">
            <w:pPr>
              <w:jc w:val="center"/>
            </w:pPr>
            <w:r>
              <w:rPr>
                <w:b/>
              </w:rPr>
              <w:t>重要</w:t>
            </w:r>
          </w:p>
        </w:tc>
        <w:tc>
          <w:tcPr>
            <w:tcW w:w="822" w:type="dxa"/>
          </w:tcPr>
          <w:p w14:paraId="0E4600F6">
            <w:pPr>
              <w:jc w:val="center"/>
            </w:pPr>
            <w:r>
              <w:t>206</w:t>
            </w:r>
          </w:p>
        </w:tc>
        <w:tc>
          <w:tcPr>
            <w:tcW w:w="7597" w:type="dxa"/>
          </w:tcPr>
          <w:p w14:paraId="2976545F">
            <w:r>
              <w:t>第五章“全省碱土面积减少了35.93万亩”错用“全省”</w:t>
            </w:r>
          </w:p>
          <w:p w14:paraId="1417D5CB">
            <w:r>
              <w:t>证据：第五章p1724：“全省碱土面积减少了35.93万亩”——35.93万亩为任丘市二普盐碱地面积（轻度15.46+中度15.03+重度5.44=35.93万亩，同句已述），应为本县数字，错写为“全省”。</w:t>
            </w:r>
          </w:p>
        </w:tc>
      </w:tr>
    </w:tbl>
    <w:p w14:paraId="1CCC1EC4">
      <w:pPr>
        <w:pStyle w:val="4"/>
      </w:pPr>
      <w:r>
        <w:t>问题类别六：第六章土壤农业利用适宜性评价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09C4C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2A073C50">
            <w:pPr>
              <w:jc w:val="center"/>
            </w:pPr>
            <w:r>
              <w:rPr>
                <w:b/>
              </w:rPr>
              <w:t>级别</w:t>
            </w:r>
          </w:p>
        </w:tc>
        <w:tc>
          <w:tcPr>
            <w:tcW w:w="822" w:type="dxa"/>
            <w:shd w:val="clear" w:color="auto" w:fill="D9EAF7"/>
          </w:tcPr>
          <w:p w14:paraId="49181C4D">
            <w:pPr>
              <w:jc w:val="center"/>
            </w:pPr>
            <w:r>
              <w:rPr>
                <w:b/>
              </w:rPr>
              <w:t>PDF页</w:t>
            </w:r>
          </w:p>
        </w:tc>
        <w:tc>
          <w:tcPr>
            <w:tcW w:w="7597" w:type="dxa"/>
            <w:shd w:val="clear" w:color="auto" w:fill="D9EAF7"/>
          </w:tcPr>
          <w:p w14:paraId="39F9EF47">
            <w:pPr>
              <w:jc w:val="left"/>
            </w:pPr>
            <w:r>
              <w:rPr>
                <w:b/>
              </w:rPr>
              <w:t>问题与证据</w:t>
            </w:r>
          </w:p>
        </w:tc>
      </w:tr>
      <w:tr w14:paraId="445D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4CCCC"/>
          </w:tcPr>
          <w:p w14:paraId="75015134">
            <w:pPr>
              <w:jc w:val="center"/>
            </w:pPr>
            <w:r>
              <w:rPr>
                <w:b/>
              </w:rPr>
              <w:t>严重</w:t>
            </w:r>
          </w:p>
        </w:tc>
        <w:tc>
          <w:tcPr>
            <w:tcW w:w="822" w:type="dxa"/>
          </w:tcPr>
          <w:p w14:paraId="41539DF0">
            <w:pPr>
              <w:jc w:val="center"/>
            </w:pPr>
            <w:r>
              <w:t>252</w:t>
            </w:r>
          </w:p>
        </w:tc>
        <w:tc>
          <w:tcPr>
            <w:tcW w:w="7597" w:type="dxa"/>
          </w:tcPr>
          <w:p w14:paraId="36A823B5">
            <w:r>
              <w:t>第六章出现“肃宁县”跨县残留</w:t>
            </w:r>
          </w:p>
          <w:p w14:paraId="4F3CFD41">
            <w:r>
              <w:t>证据：第六章p2183：“……是肃宁县实现耕地占补平衡、提升耕地总量与质量的核心潜力载体”（全句上下文均为任丘市，仅县名为肃宁县），属复制其他县文本未替换。</w:t>
            </w:r>
          </w:p>
        </w:tc>
      </w:tr>
      <w:tr w14:paraId="7219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7D1A56B6">
            <w:pPr>
              <w:jc w:val="center"/>
            </w:pPr>
            <w:r>
              <w:rPr>
                <w:b/>
              </w:rPr>
              <w:t>重要</w:t>
            </w:r>
          </w:p>
        </w:tc>
        <w:tc>
          <w:tcPr>
            <w:tcW w:w="822" w:type="dxa"/>
          </w:tcPr>
          <w:p w14:paraId="08128B80">
            <w:pPr>
              <w:jc w:val="center"/>
            </w:pPr>
            <w:r>
              <w:t>226、253</w:t>
            </w:r>
          </w:p>
        </w:tc>
        <w:tc>
          <w:tcPr>
            <w:tcW w:w="7597" w:type="dxa"/>
          </w:tcPr>
          <w:p w14:paraId="762A52E4">
            <w:r>
              <w:t>宜耕错配总量三处不一：91961亩、250774亩、288144亩并存，互不衔接</w:t>
            </w:r>
          </w:p>
          <w:p w14:paraId="4327286B">
            <w:r>
              <w:t>证据：第六章p1926：“91961亩（占宜耕土地10.46%）被园地、林地、草地、其他土地占用”；p2170：错配宜耕=25379（园地）+208798（林地）+9454（草地）+7143（其他）=250774亩；p2187：后备资源总量=29096+239597+11586+7865=288144亩，其中园地、林地、草地取值为整类地面积而非其内含宜耕面积（如p2170园地宜耕仅25379亩，p2187却按园地全部29096亩计）。三处数字互不相同且无法互相推算。</w:t>
            </w:r>
          </w:p>
        </w:tc>
      </w:tr>
      <w:tr w14:paraId="362B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20231CC4">
            <w:pPr>
              <w:jc w:val="center"/>
            </w:pPr>
            <w:r>
              <w:rPr>
                <w:b/>
              </w:rPr>
              <w:t>重要</w:t>
            </w:r>
          </w:p>
        </w:tc>
        <w:tc>
          <w:tcPr>
            <w:tcW w:w="822" w:type="dxa"/>
          </w:tcPr>
          <w:p w14:paraId="5EB495ED">
            <w:pPr>
              <w:jc w:val="center"/>
            </w:pPr>
            <w:r>
              <w:t>229、253</w:t>
            </w:r>
          </w:p>
        </w:tc>
        <w:tc>
          <w:tcPr>
            <w:tcW w:w="7597" w:type="dxa"/>
          </w:tcPr>
          <w:p w14:paraId="6A463F03">
            <w:r>
              <w:t>宜耕等级与后备资源等级自相矛盾：宜耕地“全部为勉强适宜”vs后备资源“高度适宜占12.96%”</w:t>
            </w:r>
          </w:p>
          <w:p w14:paraId="4625104C">
            <w:r>
              <w:t>证据：第六章p1905：“全市宜耕地全部为勉强适宜等级，无高度适宜、中度适宜地块”；同章p2186：“全市耕地后备资源以勉强适宜为主（占87.04%），高度适宜为辅（占12.96%）”；p2188：“37330亩高度适宜后备耕地资源”。宜耕地无高度适宜，而后备耕地资源（同样为宜耕土壤）出现37330亩高度适宜，两者互斥且无解释。与配套《130982任丘市土壤农业适宜性评价》比对，数字同源，主报告第六章内部仍须统一口径。</w:t>
            </w:r>
          </w:p>
          <w:p w14:paraId="64A632D4">
            <w:r>
              <w:t>复算：p1905宜耕地高度适宜=0 vs p2186/p2188后备资源高度适宜=37330亩（12.96%）。</w:t>
            </w:r>
          </w:p>
        </w:tc>
      </w:tr>
      <w:tr w14:paraId="14B3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415365D9">
            <w:pPr>
              <w:jc w:val="center"/>
            </w:pPr>
            <w:r>
              <w:rPr>
                <w:b/>
              </w:rPr>
              <w:t>重要</w:t>
            </w:r>
          </w:p>
        </w:tc>
        <w:tc>
          <w:tcPr>
            <w:tcW w:w="822" w:type="dxa"/>
          </w:tcPr>
          <w:p w14:paraId="034CB281">
            <w:pPr>
              <w:jc w:val="center"/>
            </w:pPr>
            <w:r>
              <w:t>5、57、220</w:t>
            </w:r>
          </w:p>
        </w:tc>
        <w:tc>
          <w:tcPr>
            <w:tcW w:w="7597" w:type="dxa"/>
          </w:tcPr>
          <w:p w14:paraId="57D1ABAA">
            <w:r>
              <w:t>pH分级统计样点口径与制图口径相差悬殊且无说明：样点8.5以上占23.87%，制图a4级仅占0.59%</w:t>
            </w:r>
          </w:p>
          <w:p w14:paraId="4D5F90B9">
            <w:r>
              <w:t>证据：第四章样点统计（摘要p37、第九章p2611）：“73.51%的样点处于8.0~8.5的Ⅲ级区间，23.87%处于8.5以上的Ⅳ级区间”，样点范围7.71~9.12；第六章制图统计p1835-p1836：“a3级（8.0~8.5）面积873628亩，占比99.41%……a4级（8.5~9.0）面积5165亩，占比0.59%”。同一指标、同一调查，样点分布与制图面积分布相差约40倍，报告未说明样点统计与制图统计的转换原因。</w:t>
            </w:r>
          </w:p>
        </w:tc>
      </w:tr>
    </w:tbl>
    <w:p w14:paraId="22F24CF7">
      <w:pPr>
        <w:pStyle w:val="4"/>
      </w:pPr>
      <w:r>
        <w:t>问题类别七：第七章耕地质量等级评价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1B5D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3416DE13">
            <w:pPr>
              <w:jc w:val="center"/>
            </w:pPr>
            <w:r>
              <w:rPr>
                <w:b/>
              </w:rPr>
              <w:t>级别</w:t>
            </w:r>
          </w:p>
        </w:tc>
        <w:tc>
          <w:tcPr>
            <w:tcW w:w="822" w:type="dxa"/>
            <w:shd w:val="clear" w:color="auto" w:fill="D9EAF7"/>
          </w:tcPr>
          <w:p w14:paraId="2D6B6B62">
            <w:pPr>
              <w:jc w:val="center"/>
            </w:pPr>
            <w:r>
              <w:rPr>
                <w:b/>
              </w:rPr>
              <w:t>PDF页</w:t>
            </w:r>
          </w:p>
        </w:tc>
        <w:tc>
          <w:tcPr>
            <w:tcW w:w="7597" w:type="dxa"/>
            <w:shd w:val="clear" w:color="auto" w:fill="D9EAF7"/>
          </w:tcPr>
          <w:p w14:paraId="19681435">
            <w:pPr>
              <w:jc w:val="left"/>
            </w:pPr>
            <w:r>
              <w:rPr>
                <w:b/>
              </w:rPr>
              <w:t>问题与证据</w:t>
            </w:r>
          </w:p>
        </w:tc>
      </w:tr>
      <w:tr w14:paraId="55CA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4CCCC"/>
          </w:tcPr>
          <w:p w14:paraId="6CA25CEA">
            <w:pPr>
              <w:jc w:val="center"/>
            </w:pPr>
            <w:r>
              <w:rPr>
                <w:b/>
              </w:rPr>
              <w:t>严重</w:t>
            </w:r>
          </w:p>
        </w:tc>
        <w:tc>
          <w:tcPr>
            <w:tcW w:w="822" w:type="dxa"/>
          </w:tcPr>
          <w:p w14:paraId="3198F686">
            <w:pPr>
              <w:jc w:val="center"/>
            </w:pPr>
            <w:r>
              <w:t>269</w:t>
            </w:r>
          </w:p>
        </w:tc>
        <w:tc>
          <w:tcPr>
            <w:tcW w:w="7597" w:type="dxa"/>
          </w:tcPr>
          <w:p w14:paraId="54DB5431">
            <w:r>
              <w:t>第七章出现“鹿泉区”跨县残留</w:t>
            </w:r>
          </w:p>
          <w:p w14:paraId="4C67E9D4">
            <w:r>
              <w:t>证据：第七章p2384：“依据耕地质量综合指数拟合区域耕地年度粮食产能水平函数，评估鹿泉区各等级耕地年度粮食产能水平”（本章评价对象为任丘市）。</w:t>
            </w:r>
          </w:p>
        </w:tc>
      </w:tr>
    </w:tbl>
    <w:p w14:paraId="033FB77A">
      <w:pPr>
        <w:pStyle w:val="4"/>
      </w:pPr>
    </w:p>
    <w:p w14:paraId="18100D1A">
      <w:pPr>
        <w:pStyle w:val="4"/>
      </w:pPr>
      <w:r>
        <w:t>问题类别八：第八章土特产品土壤适宜性评价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10DE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2E8FAD35">
            <w:pPr>
              <w:jc w:val="center"/>
            </w:pPr>
            <w:r>
              <w:rPr>
                <w:b/>
              </w:rPr>
              <w:t>级别</w:t>
            </w:r>
          </w:p>
        </w:tc>
        <w:tc>
          <w:tcPr>
            <w:tcW w:w="822" w:type="dxa"/>
            <w:shd w:val="clear" w:color="auto" w:fill="D9EAF7"/>
          </w:tcPr>
          <w:p w14:paraId="5DA225FE">
            <w:pPr>
              <w:jc w:val="center"/>
            </w:pPr>
            <w:r>
              <w:rPr>
                <w:b/>
              </w:rPr>
              <w:t>PDF页</w:t>
            </w:r>
          </w:p>
        </w:tc>
        <w:tc>
          <w:tcPr>
            <w:tcW w:w="7597" w:type="dxa"/>
            <w:shd w:val="clear" w:color="auto" w:fill="D9EAF7"/>
          </w:tcPr>
          <w:p w14:paraId="7C5DD043">
            <w:pPr>
              <w:jc w:val="left"/>
            </w:pPr>
            <w:r>
              <w:rPr>
                <w:b/>
              </w:rPr>
              <w:t>问题与证据</w:t>
            </w:r>
          </w:p>
        </w:tc>
      </w:tr>
      <w:tr w14:paraId="4071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4CCCC"/>
          </w:tcPr>
          <w:p w14:paraId="5BBE6B88">
            <w:pPr>
              <w:jc w:val="center"/>
            </w:pPr>
            <w:r>
              <w:rPr>
                <w:b/>
              </w:rPr>
              <w:t>严重</w:t>
            </w:r>
          </w:p>
        </w:tc>
        <w:tc>
          <w:tcPr>
            <w:tcW w:w="822" w:type="dxa"/>
          </w:tcPr>
          <w:p w14:paraId="3E163C57">
            <w:pPr>
              <w:jc w:val="center"/>
            </w:pPr>
            <w:r>
              <w:t>296</w:t>
            </w:r>
          </w:p>
        </w:tc>
        <w:tc>
          <w:tcPr>
            <w:tcW w:w="7597" w:type="dxa"/>
          </w:tcPr>
          <w:p w14:paraId="4469077A">
            <w:r>
              <w:t>第八章“土特产品土壤适宜性评价”为空章：仅有标题，全章无任何内容，全报告无“未开展”说明及折算口径</w:t>
            </w:r>
          </w:p>
          <w:p w14:paraId="01F70FA4">
            <w:r>
              <w:t>证据：第八章标题与第九章标题（“土壤资源综合利用建议”）之间共43个段落全部为空，无文字、无表格、无图片；全文检索“土特”仅命中该章标题一处，前言、摘要、目录均无该专题未开展的说明。检查范围：全文2649个段落、149个表格及全部图片/OLE对象。</w:t>
            </w:r>
          </w:p>
        </w:tc>
      </w:tr>
    </w:tbl>
    <w:p w14:paraId="08E239F7">
      <w:pPr>
        <w:pStyle w:val="4"/>
      </w:pPr>
      <w:r>
        <w:t>问题类别九：第九章综合利用建议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3B17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2F992E71">
            <w:pPr>
              <w:jc w:val="center"/>
            </w:pPr>
            <w:r>
              <w:rPr>
                <w:b/>
              </w:rPr>
              <w:t>级别</w:t>
            </w:r>
          </w:p>
        </w:tc>
        <w:tc>
          <w:tcPr>
            <w:tcW w:w="822" w:type="dxa"/>
            <w:shd w:val="clear" w:color="auto" w:fill="D9EAF7"/>
          </w:tcPr>
          <w:p w14:paraId="3859E7A2">
            <w:pPr>
              <w:jc w:val="center"/>
            </w:pPr>
            <w:r>
              <w:rPr>
                <w:b/>
              </w:rPr>
              <w:t>PDF页</w:t>
            </w:r>
          </w:p>
        </w:tc>
        <w:tc>
          <w:tcPr>
            <w:tcW w:w="7597" w:type="dxa"/>
            <w:shd w:val="clear" w:color="auto" w:fill="D9EAF7"/>
          </w:tcPr>
          <w:p w14:paraId="00F36939">
            <w:pPr>
              <w:jc w:val="left"/>
            </w:pPr>
            <w:r>
              <w:rPr>
                <w:b/>
              </w:rPr>
              <w:t>问题与证据</w:t>
            </w:r>
          </w:p>
        </w:tc>
      </w:tr>
      <w:tr w14:paraId="783E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376F5D70">
            <w:pPr>
              <w:jc w:val="center"/>
            </w:pPr>
            <w:r>
              <w:rPr>
                <w:b/>
              </w:rPr>
              <w:t>重要</w:t>
            </w:r>
          </w:p>
        </w:tc>
        <w:tc>
          <w:tcPr>
            <w:tcW w:w="822" w:type="dxa"/>
          </w:tcPr>
          <w:p w14:paraId="1B3DEC8D">
            <w:pPr>
              <w:jc w:val="center"/>
            </w:pPr>
            <w:r>
              <w:t>298</w:t>
            </w:r>
          </w:p>
        </w:tc>
        <w:tc>
          <w:tcPr>
            <w:tcW w:w="7597" w:type="dxa"/>
          </w:tcPr>
          <w:p w14:paraId="28CBC4F3">
            <w:r>
              <w:t>第九章“轻度盐化区域（如辛中驿镇）”与同章“全域无盐碱化”及第五章“任丘市无盐碱地”矛盾</w:t>
            </w:r>
          </w:p>
          <w:p w14:paraId="2F580F90">
            <w:r>
              <w:t>证据：第九章p2616称“虽当前全域无盐碱化”，同章p2626又称“轻度盐化区域（如辛中驿镇）推行稻麦轮作、玉米-大豆轮作模式，抑制盐分表聚”；第五章p1722“任丘市无盐碱地”、p1720“2024年任丘市盐碱地总面积为0.00万亩”。“全域无盐碱化”与“轻度盐化区域”不能同真。</w:t>
            </w:r>
          </w:p>
          <w:p w14:paraId="2CB57ADA">
            <w:r>
              <w:t>复算：p2616“全域无盐碱化” vs p2626“轻度盐化区域（如辛中驿镇）” vs p1722“任丘市无盐碱地”，三处互斥。</w:t>
            </w:r>
          </w:p>
        </w:tc>
      </w:tr>
      <w:tr w14:paraId="0EEA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CE5CD"/>
          </w:tcPr>
          <w:p w14:paraId="6C7FD598">
            <w:pPr>
              <w:jc w:val="center"/>
            </w:pPr>
            <w:r>
              <w:rPr>
                <w:b/>
              </w:rPr>
              <w:t>重要</w:t>
            </w:r>
          </w:p>
        </w:tc>
        <w:tc>
          <w:tcPr>
            <w:tcW w:w="822" w:type="dxa"/>
          </w:tcPr>
          <w:p w14:paraId="5F92CFB6">
            <w:pPr>
              <w:jc w:val="center"/>
            </w:pPr>
            <w:r>
              <w:t>298</w:t>
            </w:r>
          </w:p>
        </w:tc>
        <w:tc>
          <w:tcPr>
            <w:tcW w:w="7597" w:type="dxa"/>
          </w:tcPr>
          <w:p w14:paraId="0C43F01A">
            <w:r>
              <w:t>第九章“2.09万公顷宜耕土地被园地、林地占用”无法由报告内数据复算</w:t>
            </w:r>
          </w:p>
          <w:p w14:paraId="1DC84D29">
            <w:r>
              <w:t>证据：第九章p2617：“土地利用与土壤适宜性错配问题显著，2.09万公顷宜耕土地被园地、林地占用”。第六章可复算的对应数字为：宜耕被园地、林地占用=25379+208798=234177亩=1.56万公顷（p2170），全部错配宜耕=250774亩=1.67万公顷，后备资源=288144亩=1.92万公顷，均不等于2.09万公顷。</w:t>
            </w:r>
          </w:p>
        </w:tc>
      </w:tr>
    </w:tbl>
    <w:p w14:paraId="03A801FC">
      <w:pPr>
        <w:pStyle w:val="4"/>
      </w:pPr>
    </w:p>
    <w:p w14:paraId="4635C3AA">
      <w:pPr>
        <w:pStyle w:val="4"/>
      </w:pPr>
      <w:r>
        <w:t>问题类别十：报告格式、文件格式和审计边界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822"/>
        <w:gridCol w:w="7597"/>
      </w:tblGrid>
      <w:tr w14:paraId="6679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9" w:type="dxa"/>
            <w:shd w:val="clear" w:color="auto" w:fill="D9EAF7"/>
          </w:tcPr>
          <w:p w14:paraId="693EB553">
            <w:pPr>
              <w:jc w:val="center"/>
            </w:pPr>
            <w:r>
              <w:rPr>
                <w:b/>
              </w:rPr>
              <w:t>级别</w:t>
            </w:r>
          </w:p>
        </w:tc>
        <w:tc>
          <w:tcPr>
            <w:tcW w:w="822" w:type="dxa"/>
            <w:shd w:val="clear" w:color="auto" w:fill="D9EAF7"/>
          </w:tcPr>
          <w:p w14:paraId="02B12804">
            <w:pPr>
              <w:jc w:val="center"/>
            </w:pPr>
            <w:r>
              <w:rPr>
                <w:b/>
              </w:rPr>
              <w:t>PDF页</w:t>
            </w:r>
          </w:p>
        </w:tc>
        <w:tc>
          <w:tcPr>
            <w:tcW w:w="7597" w:type="dxa"/>
            <w:shd w:val="clear" w:color="auto" w:fill="D9EAF7"/>
          </w:tcPr>
          <w:p w14:paraId="6A2B775F">
            <w:pPr>
              <w:jc w:val="left"/>
            </w:pPr>
            <w:r>
              <w:rPr>
                <w:b/>
              </w:rPr>
              <w:t>问题与证据</w:t>
            </w:r>
          </w:p>
        </w:tc>
      </w:tr>
      <w:tr w14:paraId="2CD4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FF2CC"/>
          </w:tcPr>
          <w:p w14:paraId="5569D43A">
            <w:pPr>
              <w:jc w:val="center"/>
            </w:pPr>
            <w:r>
              <w:rPr>
                <w:b/>
              </w:rPr>
              <w:t>一般</w:t>
            </w:r>
          </w:p>
        </w:tc>
        <w:tc>
          <w:tcPr>
            <w:tcW w:w="822" w:type="dxa"/>
          </w:tcPr>
          <w:p w14:paraId="1CEF082E">
            <w:pPr>
              <w:jc w:val="center"/>
            </w:pPr>
            <w:r>
              <w:t>196—197</w:t>
            </w:r>
          </w:p>
        </w:tc>
        <w:tc>
          <w:tcPr>
            <w:tcW w:w="7597" w:type="dxa"/>
          </w:tcPr>
          <w:p w14:paraId="5BEF3CC9">
            <w:r>
              <w:t>第五章表号引用错误：“见表2.2”应为表5.1，“根据表一”表号残留专题报告格式</w:t>
            </w:r>
          </w:p>
          <w:p w14:paraId="03D6D33F">
            <w:r>
              <w:t>证据：第五章p1590：“任丘市使用的遥感影像为Sentinel-2，具体信息见表2.2”——实际该表为表5.1遥感影像具体信息（第五章内）；p1581：“根据表一判断盐分类型对样本进行划分”——“表一”为专题报告编号残留。</w:t>
            </w:r>
          </w:p>
        </w:tc>
      </w:tr>
      <w:tr w14:paraId="17A2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FF2CC"/>
          </w:tcPr>
          <w:p w14:paraId="513BBF21">
            <w:pPr>
              <w:jc w:val="center"/>
            </w:pPr>
            <w:r>
              <w:rPr>
                <w:b/>
              </w:rPr>
              <w:t>一般</w:t>
            </w:r>
          </w:p>
        </w:tc>
        <w:tc>
          <w:tcPr>
            <w:tcW w:w="822" w:type="dxa"/>
          </w:tcPr>
          <w:p w14:paraId="02B44D31">
            <w:pPr>
              <w:jc w:val="center"/>
            </w:pPr>
            <w:r>
              <w:t>25</w:t>
            </w:r>
          </w:p>
        </w:tc>
        <w:tc>
          <w:tcPr>
            <w:tcW w:w="7597" w:type="dxa"/>
          </w:tcPr>
          <w:p w14:paraId="27A6516B">
            <w:r>
              <w:t>第三章将“前言”列为第一节（一、前言），与前置“前言”重名且层级错位，该节实为制图工作背景与目的意义</w:t>
            </w:r>
          </w:p>
          <w:p w14:paraId="633343D0">
            <w:r>
              <w:t>证据：第三章p357章题“土壤类型与制图”，其第一节p358为Heading 2“前言”，目录亦显示“第三章……一、前言”。该节内容（p360-p372：制图工作背景、目的意义）与“前言”体裁不符，属章节标题误用；报告前置部分另有“前言”（p15），两处“前言”并存。</w:t>
            </w:r>
          </w:p>
        </w:tc>
      </w:tr>
      <w:tr w14:paraId="4F73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FF2CC"/>
          </w:tcPr>
          <w:p w14:paraId="10C923EA">
            <w:pPr>
              <w:jc w:val="center"/>
            </w:pPr>
            <w:r>
              <w:rPr>
                <w:b/>
              </w:rPr>
              <w:t>一般</w:t>
            </w:r>
          </w:p>
        </w:tc>
        <w:tc>
          <w:tcPr>
            <w:tcW w:w="822" w:type="dxa"/>
          </w:tcPr>
          <w:p w14:paraId="3E9F3842">
            <w:pPr>
              <w:jc w:val="center"/>
            </w:pPr>
            <w:r>
              <w:t>6、44、156、272</w:t>
            </w:r>
          </w:p>
        </w:tc>
        <w:tc>
          <w:tcPr>
            <w:tcW w:w="7597" w:type="dxa"/>
          </w:tcPr>
          <w:p w14:paraId="5DEDA617">
            <w:r>
              <w:t>文字质量：多处错字、重复句、病句（上壤、麻家邬镇、中华路路街道、重复句2处、边境变量等11处）</w:t>
            </w:r>
          </w:p>
          <w:p w14:paraId="5DE1584E">
            <w:r>
              <w:t>证据：第一章p44“国务院第三次全国上壤普查领导小组办公室”（应为土壤）；p57“河北利古工程勘察设计有限公司为任丘市土壤三普数据成果汇交汇总技术单位。为任丘市土壤三普数据成果汇交汇总技术单位。”（整句重复）；p58“最终守住耕地红线、保护生态环境……推进农业高质量发展奠定坚实基础”（缺谓语“为”）；第三章p564与p569整段重复（“‘人误地一时，地误人一年’是对耕地利用重要性的概括描述……”）；第五章p1733与p1734“通过秸秆还田技术，增加土壤有机质含量；或者有机肥改良土壤。”重复；第三章p577、第七章p2414、第九章p2634“麻家邬镇”（官方名称为麻家坞镇）；第七章p2414“中华路路街道”（应为中华路街道）；第四章p1233-p1234两处“边境变量”（应为边界变量）、p1234“三普三普土壤类型图”。</w:t>
            </w:r>
          </w:p>
        </w:tc>
      </w:tr>
      <w:tr w14:paraId="3D51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9" w:type="dxa"/>
            <w:shd w:val="clear" w:color="auto" w:fill="FFF2CC"/>
          </w:tcPr>
          <w:p w14:paraId="066AACD9">
            <w:pPr>
              <w:jc w:val="center"/>
            </w:pPr>
            <w:r>
              <w:rPr>
                <w:b/>
              </w:rPr>
              <w:t>一般</w:t>
            </w:r>
          </w:p>
        </w:tc>
        <w:tc>
          <w:tcPr>
            <w:tcW w:w="822" w:type="dxa"/>
          </w:tcPr>
          <w:p w14:paraId="63FE4ACA">
            <w:pPr>
              <w:jc w:val="center"/>
            </w:pPr>
            <w:r>
              <w:t>9、36</w:t>
            </w:r>
          </w:p>
        </w:tc>
        <w:tc>
          <w:tcPr>
            <w:tcW w:w="7597" w:type="dxa"/>
          </w:tcPr>
          <w:p w14:paraId="29D19E2D">
            <w:r>
              <w:t>表3.2序号跳号（缺序号7），表1.1第二行列内容与表头错位</w:t>
            </w:r>
          </w:p>
          <w:p w14:paraId="0E95EE45">
            <w:r>
              <w:t>证据：表3.2“任丘市土壤类型可能改变区统计”序号列为1、2、3、4、5、6、8，缺序号7；表1.1第二行“二普土壤剖面描述|文字|-|1983年|县土壤志或土种志”中“1983年”落入比例尺/分辨率列，数据时段列缺失。</w:t>
            </w:r>
            <w:bookmarkStart w:id="0" w:name="_GoBack"/>
            <w:bookmarkEnd w:id="0"/>
          </w:p>
        </w:tc>
      </w:tr>
    </w:tbl>
    <w:p w14:paraId="46D5E89A">
      <w:pPr>
        <w:pStyle w:val="16"/>
        <w:numPr>
          <w:ilvl w:val="0"/>
          <w:numId w:val="0"/>
        </w:numPr>
        <w:spacing w:after="60"/>
        <w:ind w:leftChars="0"/>
      </w:pPr>
    </w:p>
    <w:sectPr>
      <w:headerReference r:id="rId5" w:type="default"/>
      <w:footerReference r:id="rId6" w:type="default"/>
      <w:pgSz w:w="12240" w:h="15840"/>
      <w:pgMar w:top="979" w:right="979" w:bottom="936" w:left="979"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E9783">
    <w:pPr>
      <w:pStyle w:val="24"/>
      <w:jc w:val="center"/>
    </w:pPr>
    <w:r>
      <w:rPr>
        <w:color w:val="666666"/>
        <w:sz w:val="18"/>
      </w:rPr>
      <w:t xml:space="preserve">第 </w:t>
    </w:r>
    <w:r>
      <w:rPr>
        <w:color w:val="666666"/>
        <w:sz w:val="18"/>
      </w:rPr>
      <w:fldChar w:fldCharType="begin"/>
    </w:r>
    <w:r>
      <w:rPr>
        <w:color w:val="666666"/>
        <w:sz w:val="18"/>
      </w:rPr>
      <w:instrText xml:space="preserve">PAGE</w:instrText>
    </w:r>
    <w:r>
      <w:rPr>
        <w:color w:val="666666"/>
        <w:sz w:val="18"/>
      </w:rPr>
      <w:fldChar w:fldCharType="separate"/>
    </w:r>
    <w:r>
      <w:rPr>
        <w:color w:val="666666"/>
        <w:sz w:val="18"/>
      </w:rPr>
      <w:t>1</w:t>
    </w:r>
    <w:r>
      <w:rPr>
        <w:color w:val="666666"/>
        <w:sz w:val="18"/>
      </w:rPr>
      <w:fldChar w:fldCharType="end"/>
    </w:r>
    <w:r>
      <w:rPr>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CA79">
    <w:pPr>
      <w:pStyle w:val="25"/>
      <w:jc w:val="center"/>
    </w:pPr>
    <w:r>
      <w:rPr>
        <w:rFonts w:ascii="宋体" w:hAnsi="宋体" w:eastAsia="宋体"/>
        <w:sz w:val="18"/>
      </w:rPr>
      <w:t>任丘市土壤资源评价与利用报告｜质控审计意见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6ED0"/>
    <w:rsid w:val="00AA1D8D"/>
    <w:rsid w:val="00B47730"/>
    <w:rsid w:val="00B64C7F"/>
    <w:rsid w:val="00CB0664"/>
    <w:rsid w:val="00EE5EB0"/>
    <w:rsid w:val="00FC693F"/>
    <w:rsid w:val="02D80E4A"/>
    <w:rsid w:val="0CFD41D5"/>
    <w:rsid w:val="11AF1AE1"/>
    <w:rsid w:val="16F72C63"/>
    <w:rsid w:val="18606AFE"/>
    <w:rsid w:val="2A037A86"/>
    <w:rsid w:val="45DE4E6B"/>
    <w:rsid w:val="4F7F321A"/>
    <w:rsid w:val="506F328F"/>
    <w:rsid w:val="55FD2DDB"/>
    <w:rsid w:val="59D03A57"/>
    <w:rsid w:val="5BA71B9B"/>
    <w:rsid w:val="611F2A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240" w:after="120"/>
      <w:outlineLvl w:val="0"/>
    </w:pPr>
    <w:rPr>
      <w:rFonts w:asciiTheme="majorHAnsi" w:hAnsiTheme="majorHAnsi" w:eastAsiaTheme="majorEastAsia" w:cstheme="majorBidi"/>
      <w:b/>
      <w:bCs/>
      <w:color w:val="17365D"/>
      <w:sz w:val="34"/>
      <w:szCs w:val="28"/>
    </w:rPr>
  </w:style>
  <w:style w:type="paragraph" w:styleId="4">
    <w:name w:val="heading 2"/>
    <w:basedOn w:val="1"/>
    <w:next w:val="1"/>
    <w:link w:val="142"/>
    <w:unhideWhenUsed/>
    <w:qFormat/>
    <w:uiPriority w:val="9"/>
    <w:pPr>
      <w:keepNext/>
      <w:keepLines/>
      <w:spacing w:before="160" w:after="120"/>
      <w:outlineLvl w:val="1"/>
    </w:pPr>
    <w:rPr>
      <w:rFonts w:asciiTheme="majorHAnsi" w:hAnsiTheme="majorHAnsi" w:eastAsiaTheme="majorEastAsia" w:cstheme="majorBidi"/>
      <w:b/>
      <w:bCs/>
      <w:color w:val="2F5597"/>
      <w:sz w:val="28"/>
      <w:szCs w:val="26"/>
    </w:rPr>
  </w:style>
  <w:style w:type="paragraph" w:styleId="5">
    <w:name w:val="heading 3"/>
    <w:basedOn w:val="1"/>
    <w:next w:val="1"/>
    <w:link w:val="143"/>
    <w:unhideWhenUsed/>
    <w:qFormat/>
    <w:uiPriority w:val="9"/>
    <w:pPr>
      <w:keepNext/>
      <w:keepLines/>
      <w:spacing w:before="160" w:after="120"/>
      <w:outlineLvl w:val="2"/>
    </w:pPr>
    <w:rPr>
      <w:rFonts w:asciiTheme="majorHAnsi" w:hAnsiTheme="majorHAnsi" w:eastAsiaTheme="majorEastAsia" w:cstheme="majorBidi"/>
      <w:b/>
      <w:bCs/>
      <w:color w:val="2F5597"/>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666666"/>
      <w:spacing w:val="15"/>
      <w:sz w:val="24"/>
      <w:szCs w:val="24"/>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50"/>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Audit Callout"/>
    <w:qFormat/>
    <w:uiPriority w:val="0"/>
    <w:pPr>
      <w:spacing w:before="100" w:after="100" w:line="300" w:lineRule="auto"/>
      <w:ind w:left="198" w:right="198"/>
    </w:pPr>
    <w:rPr>
      <w:rFonts w:ascii="宋体" w:hAnsi="宋体" w:eastAsia="宋体"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6173</Words>
  <Characters>7485</Characters>
  <Lines>484</Lines>
  <Paragraphs>482</Paragraphs>
  <TotalTime>94</TotalTime>
  <ScaleCrop>false</ScaleCrop>
  <LinksUpToDate>false</LinksUpToDate>
  <CharactersWithSpaces>7496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keywords>土壤三普, 质控, 河间市, 审计意见</cp:keywords>
  <cp:lastModifiedBy>Mi Manchi</cp:lastModifiedBy>
  <dcterms:modified xsi:type="dcterms:W3CDTF">2026-09-22T07:11:50Z</dcterms:modified>
  <dc:subject>依据既定流程和质控标准重新核查</dc:subject>
  <dc:title>黄骅市土壤资源评价与利用报告质控审计意见</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eyJoZGlkIjoiZWQ4NWNlMWZjNThhMjZjMDQyMTU5MmU3YTNkMzg1ZmEiLCJ1c2VySWQiOiIxMjQ2MDU4ODU1In0=</vt:lpwstr>
  </property>
  <property fmtid="{D5CDD505-2E9C-101B-9397-08002B2CF9AE}" pid="3" name="KSOProductBuildVer">
    <vt:lpwstr>2052-12.1.0.28043</vt:lpwstr>
  </property>
  <property fmtid="{D5CDD505-2E9C-101B-9397-08002B2CF9AE}" pid="4" name="ICV">
    <vt:lpwstr>016BF98A23CC4F7BA9272D848C41D95D_13</vt:lpwstr>
  </property>
</Properties>
</file>