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F8349"/>
    <w:p w14:paraId="485C5C57"/>
    <w:p w14:paraId="1A4F4C3A"/>
    <w:p w14:paraId="6F2BFFA5">
      <w:pPr>
        <w:jc w:val="center"/>
      </w:pPr>
      <w:r>
        <w:rPr>
          <w:rFonts w:ascii="黑体" w:hAnsi="黑体" w:eastAsia="黑体"/>
          <w:b/>
          <w:color w:val="17365D"/>
          <w:sz w:val="52"/>
        </w:rPr>
        <w:t>河间市土壤资源评价与利用报告</w:t>
      </w:r>
    </w:p>
    <w:p w14:paraId="5F1C0D63">
      <w:pPr>
        <w:jc w:val="center"/>
      </w:pPr>
      <w:r>
        <w:rPr>
          <w:rFonts w:ascii="黑体" w:hAnsi="黑体" w:eastAsia="黑体"/>
          <w:b/>
          <w:color w:val="2F5597"/>
          <w:sz w:val="64"/>
        </w:rPr>
        <w:t>质控审计意见</w:t>
      </w:r>
      <w:r>
        <w:br w:type="page"/>
      </w:r>
    </w:p>
    <w:p w14:paraId="78BEA211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bookmarkStart w:id="11" w:name="_GoBack"/>
      <w:bookmarkEnd w:id="11"/>
      <w:bookmarkStart w:id="0" w:name="_Toc240040514"/>
      <w:r>
        <w:rPr>
          <w:rFonts w:hint="eastAsia" w:ascii="微软雅黑" w:hAnsi="微软雅黑" w:eastAsia="微软雅黑" w:cs="微软雅黑"/>
          <w:lang w:val="en-US" w:eastAsia="zh-CN"/>
        </w:rPr>
        <w:t>优先整改的六个阻断点</w:t>
      </w:r>
      <w:bookmarkEnd w:id="0"/>
    </w:p>
    <w:p w14:paraId="445C5452">
      <w:pPr>
        <w:pStyle w:val="16"/>
        <w:spacing w:after="60" w:line="288" w:lineRule="auto"/>
        <w:ind w:left="340" w:hanging="198"/>
      </w:pPr>
      <w:r>
        <w:t>土壤类型数量、层级和名称在第三章、摘要及第九章之间不一致，需以数据库为唯一底稿统一。</w:t>
      </w:r>
    </w:p>
    <w:p w14:paraId="251BA83B">
      <w:pPr>
        <w:pStyle w:val="16"/>
        <w:spacing w:after="60" w:line="288" w:lineRule="auto"/>
        <w:ind w:left="340" w:hanging="198"/>
      </w:pPr>
      <w:r>
        <w:t>多数属性制图最优模型R²低于报告自定0.5阈值，且部分指标方法条件与正态性结论不衔接。</w:t>
      </w:r>
    </w:p>
    <w:p w14:paraId="31119C20">
      <w:pPr>
        <w:pStyle w:val="16"/>
        <w:spacing w:after="60" w:line="288" w:lineRule="auto"/>
        <w:ind w:left="340" w:hanging="198"/>
      </w:pPr>
      <w:r>
        <w:t>第五章“酸化”标题下实际编写盐碱地内容，退化障碍体系缺项，摘要与正文结论冲突。</w:t>
      </w:r>
    </w:p>
    <w:p w14:paraId="0B9F566A">
      <w:pPr>
        <w:pStyle w:val="16"/>
        <w:spacing w:after="60" w:line="288" w:lineRule="auto"/>
        <w:ind w:left="340" w:hanging="198"/>
      </w:pPr>
      <w:r>
        <w:t>农业利用适宜性后备资源总量、适宜程度和生态合规结论互相矛盾，必须重算并开展规划叠加。</w:t>
      </w:r>
    </w:p>
    <w:p w14:paraId="7AC2CB5D">
      <w:pPr>
        <w:pStyle w:val="16"/>
        <w:spacing w:after="60" w:line="288" w:lineRule="auto"/>
        <w:ind w:left="340" w:hanging="198"/>
      </w:pPr>
      <w:r>
        <w:t>耕地质量历史变化分组计算错误，且出现“鹿泉区”跨县复制残留。</w:t>
      </w:r>
    </w:p>
    <w:p w14:paraId="1E00AB18">
      <w:pPr>
        <w:pStyle w:val="16"/>
        <w:spacing w:after="60" w:line="288" w:lineRule="auto"/>
        <w:ind w:left="340" w:hanging="198"/>
      </w:pPr>
      <w:r>
        <w:t>第八章完全空缺，既无专题内容也无“未开展专题”的如实说明和折算口径。</w:t>
      </w:r>
    </w:p>
    <w:p w14:paraId="519D4CE3">
      <w:pPr>
        <w:pStyle w:val="3"/>
      </w:pPr>
      <w:bookmarkStart w:id="1" w:name="_Toc240040515"/>
      <w:r>
        <w:rPr>
          <w:rFonts w:hint="eastAsia" w:ascii="黑体" w:hAnsi="黑体" w:eastAsia="黑体" w:cs="黑体"/>
        </w:rPr>
        <w:t>问题明细</w:t>
      </w:r>
      <w:bookmarkEnd w:id="1"/>
    </w:p>
    <w:p w14:paraId="5C5ED519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bookmarkStart w:id="2" w:name="_Toc240040517"/>
      <w:r>
        <w:rPr>
          <w:rFonts w:hint="eastAsia" w:ascii="微软雅黑" w:hAnsi="微软雅黑" w:eastAsia="微软雅黑" w:cs="微软雅黑"/>
          <w:lang w:val="en-US" w:eastAsia="zh-CN"/>
        </w:rPr>
        <w:t>问题类别一：前置材料、第一章和数据源表</w:t>
      </w:r>
      <w:bookmarkEnd w:id="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1674"/>
        <w:gridCol w:w="6121"/>
      </w:tblGrid>
      <w:tr w14:paraId="3C11B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1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C6F95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编号/级别</w:t>
            </w:r>
          </w:p>
        </w:tc>
        <w:tc>
          <w:tcPr>
            <w:tcW w:w="167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19B91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PDF页</w:t>
            </w:r>
          </w:p>
        </w:tc>
        <w:tc>
          <w:tcPr>
            <w:tcW w:w="612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9EDDB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问题与证据</w:t>
            </w:r>
          </w:p>
        </w:tc>
      </w:tr>
      <w:tr w14:paraId="70C21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1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D092A">
            <w:pPr>
              <w:spacing w:after="0" w:line="264" w:lineRule="auto"/>
              <w:jc w:val="center"/>
            </w:pPr>
            <w:r>
              <w:rPr>
                <w:b/>
                <w:color w:val="BF6900"/>
                <w:sz w:val="16"/>
              </w:rPr>
              <w:t>QC-002</w:t>
            </w:r>
            <w:r>
              <w:rPr>
                <w:b/>
                <w:color w:val="BF6900"/>
                <w:sz w:val="16"/>
              </w:rPr>
              <w:br w:type="textWrapping"/>
            </w:r>
            <w:r>
              <w:rPr>
                <w:b/>
                <w:color w:val="BF6900"/>
                <w:sz w:val="16"/>
              </w:rPr>
              <w:t>重要</w:t>
            </w:r>
          </w:p>
        </w:tc>
        <w:tc>
          <w:tcPr>
            <w:tcW w:w="1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B54262">
            <w:pPr>
              <w:spacing w:after="0" w:line="264" w:lineRule="auto"/>
              <w:jc w:val="center"/>
            </w:pPr>
            <w:r>
              <w:rPr>
                <w:sz w:val="16"/>
              </w:rPr>
              <w:t>2—4</w:t>
            </w:r>
          </w:p>
        </w:tc>
        <w:tc>
          <w:tcPr>
            <w:tcW w:w="612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C0974C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前置材料缺少图目录和表目录</w:t>
            </w:r>
          </w:p>
          <w:p w14:paraId="7B791573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前置部分仅见前言、目录和摘要，第一章从PDF第5页开始；未见独立的图目录、表目录。</w:t>
            </w:r>
          </w:p>
        </w:tc>
      </w:tr>
      <w:tr w14:paraId="257BD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1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86C58D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16"/>
              </w:rPr>
              <w:t>QC-003</w:t>
            </w:r>
            <w:r>
              <w:rPr>
                <w:b/>
                <w:color w:val="C00000"/>
                <w:sz w:val="16"/>
              </w:rPr>
              <w:br w:type="textWrapping"/>
            </w:r>
            <w:r>
              <w:rPr>
                <w:b/>
                <w:color w:val="C00000"/>
                <w:sz w:val="16"/>
              </w:rPr>
              <w:t>严重</w:t>
            </w:r>
          </w:p>
        </w:tc>
        <w:tc>
          <w:tcPr>
            <w:tcW w:w="1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55968E">
            <w:pPr>
              <w:spacing w:after="0" w:line="264" w:lineRule="auto"/>
              <w:jc w:val="center"/>
            </w:pPr>
            <w:r>
              <w:rPr>
                <w:sz w:val="16"/>
              </w:rPr>
              <w:t>4、37、43、179、277</w:t>
            </w:r>
          </w:p>
        </w:tc>
        <w:tc>
          <w:tcPr>
            <w:tcW w:w="612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7D8162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摘要缺少核心定量结论，且与正文多处冲突</w:t>
            </w:r>
          </w:p>
          <w:p w14:paraId="39D93E21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摘要称土壤类型“多样化”、部分地区存在酸化和盐渍化；正文又称仅1个土类、1个亚类、2个土属、10个土种，2024年盐碱地面积为0.00万亩，pH整体弱碱性。摘要未给出主要类型面积、关键属性、适宜性、耕地质量和后备资源等定量结果。</w:t>
            </w:r>
          </w:p>
        </w:tc>
      </w:tr>
      <w:tr w14:paraId="57419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1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36F6B9">
            <w:pPr>
              <w:spacing w:after="0" w:line="264" w:lineRule="auto"/>
              <w:jc w:val="center"/>
            </w:pPr>
            <w:r>
              <w:rPr>
                <w:b/>
                <w:color w:val="BF6900"/>
                <w:sz w:val="16"/>
              </w:rPr>
              <w:t>QC-004</w:t>
            </w:r>
            <w:r>
              <w:rPr>
                <w:b/>
                <w:color w:val="BF6900"/>
                <w:sz w:val="16"/>
              </w:rPr>
              <w:br w:type="textWrapping"/>
            </w:r>
            <w:r>
              <w:rPr>
                <w:b/>
                <w:color w:val="BF6900"/>
                <w:sz w:val="16"/>
              </w:rPr>
              <w:t>重要</w:t>
            </w:r>
          </w:p>
        </w:tc>
        <w:tc>
          <w:tcPr>
            <w:tcW w:w="1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A3CB70">
            <w:pPr>
              <w:spacing w:after="0" w:line="264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612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C02BF4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第一章保留未填写的模板提示语</w:t>
            </w:r>
          </w:p>
          <w:p w14:paraId="10630630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正文仍保留“根据本县土壤三普工作方案，简要介绍土壤普查任务，包括……”等编写提示，未转化为河间市实际任务说明。</w:t>
            </w:r>
          </w:p>
        </w:tc>
      </w:tr>
      <w:tr w14:paraId="4D21E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1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C7BA16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16"/>
              </w:rPr>
              <w:t>QC-005</w:t>
            </w:r>
            <w:r>
              <w:rPr>
                <w:b/>
                <w:color w:val="C00000"/>
                <w:sz w:val="16"/>
              </w:rPr>
              <w:br w:type="textWrapping"/>
            </w:r>
            <w:r>
              <w:rPr>
                <w:b/>
                <w:color w:val="C00000"/>
                <w:sz w:val="16"/>
              </w:rPr>
              <w:t>严重</w:t>
            </w:r>
          </w:p>
        </w:tc>
        <w:tc>
          <w:tcPr>
            <w:tcW w:w="1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3A84E2">
            <w:pPr>
              <w:spacing w:after="0" w:line="264" w:lineRule="auto"/>
              <w:jc w:val="center"/>
            </w:pPr>
            <w:r>
              <w:rPr>
                <w:sz w:val="16"/>
              </w:rPr>
              <w:t>4、6</w:t>
            </w:r>
          </w:p>
        </w:tc>
        <w:tc>
          <w:tcPr>
            <w:tcW w:w="612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088FFD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样品制备、检测与汇总单位职责表述互相矛盾</w:t>
            </w:r>
          </w:p>
          <w:p w14:paraId="0688DE77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摘要称河北利古工程勘察设计有限公司承担样品制备及测试化验；第一章却称苏伊士环境检测技术（北京）有限公司承担样品制备与内业测试，河北利古承担数据成果汇交汇总。</w:t>
            </w:r>
          </w:p>
        </w:tc>
      </w:tr>
      <w:tr w14:paraId="56A18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1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2342B5">
            <w:pPr>
              <w:spacing w:after="0" w:line="264" w:lineRule="auto"/>
              <w:jc w:val="center"/>
            </w:pPr>
            <w:r>
              <w:rPr>
                <w:b/>
                <w:color w:val="BF6900"/>
                <w:sz w:val="16"/>
              </w:rPr>
              <w:t>QC-006</w:t>
            </w:r>
            <w:r>
              <w:rPr>
                <w:b/>
                <w:color w:val="BF6900"/>
                <w:sz w:val="16"/>
              </w:rPr>
              <w:br w:type="textWrapping"/>
            </w:r>
            <w:r>
              <w:rPr>
                <w:b/>
                <w:color w:val="BF6900"/>
                <w:sz w:val="16"/>
              </w:rPr>
              <w:t>重要</w:t>
            </w:r>
          </w:p>
        </w:tc>
        <w:tc>
          <w:tcPr>
            <w:tcW w:w="1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C2F337">
            <w:pPr>
              <w:spacing w:after="0" w:line="264" w:lineRule="auto"/>
              <w:jc w:val="center"/>
            </w:pPr>
            <w:r>
              <w:rPr>
                <w:sz w:val="16"/>
              </w:rPr>
              <w:t>8、147—150、176—177、201</w:t>
            </w:r>
          </w:p>
        </w:tc>
        <w:tc>
          <w:tcPr>
            <w:tcW w:w="612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F9808A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主要数据来源表覆盖不全</w:t>
            </w:r>
          </w:p>
          <w:p w14:paraId="6EC4F5D6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表1.1仅列2023年土地利用、1983年二普剖面描述和2021年DEM；后文还使用行政区划、遥感影像、气象、水资源、二普土壤图、2022年国土变更、盐碱地成果、耕地质量历史结果等，未在数据源表完整登记。</w:t>
            </w:r>
          </w:p>
        </w:tc>
      </w:tr>
      <w:tr w14:paraId="3B6EA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1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581A66">
            <w:pPr>
              <w:spacing w:after="0" w:line="264" w:lineRule="auto"/>
              <w:jc w:val="center"/>
            </w:pPr>
            <w:r>
              <w:rPr>
                <w:b/>
                <w:color w:val="BF6900"/>
                <w:sz w:val="16"/>
              </w:rPr>
              <w:t>QC-007</w:t>
            </w:r>
            <w:r>
              <w:rPr>
                <w:b/>
                <w:color w:val="BF6900"/>
                <w:sz w:val="16"/>
              </w:rPr>
              <w:br w:type="textWrapping"/>
            </w:r>
            <w:r>
              <w:rPr>
                <w:b/>
                <w:color w:val="BF6900"/>
                <w:sz w:val="16"/>
              </w:rPr>
              <w:t>重要</w:t>
            </w:r>
          </w:p>
        </w:tc>
        <w:tc>
          <w:tcPr>
            <w:tcW w:w="1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F968AF">
            <w:pPr>
              <w:spacing w:after="0" w:line="264" w:lineRule="auto"/>
              <w:jc w:val="center"/>
            </w:pPr>
            <w:r>
              <w:rPr>
                <w:sz w:val="16"/>
              </w:rPr>
              <w:t>8、143—144</w:t>
            </w:r>
          </w:p>
        </w:tc>
        <w:tc>
          <w:tcPr>
            <w:tcW w:w="612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31F32A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异常值处理缺少可追溯结果</w:t>
            </w:r>
          </w:p>
          <w:p w14:paraId="4A4A7A2F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第一章只给出3倍/5倍标准差确认规则；表4.71对多项指标均填“异常值0”，但未提供异常复核记录、原始值、复测值、剔除或保留理由及样点编号清单。</w:t>
            </w:r>
          </w:p>
        </w:tc>
      </w:tr>
    </w:tbl>
    <w:p w14:paraId="1EBAC636"/>
    <w:p w14:paraId="48BB868F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bookmarkStart w:id="3" w:name="_Toc240040518"/>
      <w:r>
        <w:rPr>
          <w:rFonts w:hint="eastAsia" w:ascii="微软雅黑" w:hAnsi="微软雅黑" w:eastAsia="微软雅黑" w:cs="微软雅黑"/>
          <w:lang w:val="en-US" w:eastAsia="zh-CN"/>
        </w:rPr>
        <w:t>问题类别二：第二章区域概况与本地衔接</w:t>
      </w:r>
      <w:bookmarkEnd w:id="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1664"/>
        <w:gridCol w:w="6187"/>
      </w:tblGrid>
      <w:tr w14:paraId="7E65F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4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F7FBF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编号/级别</w:t>
            </w:r>
          </w:p>
        </w:tc>
        <w:tc>
          <w:tcPr>
            <w:tcW w:w="166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46DEB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PDF页</w:t>
            </w:r>
          </w:p>
        </w:tc>
        <w:tc>
          <w:tcPr>
            <w:tcW w:w="6187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9BEAA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问题与证据</w:t>
            </w:r>
          </w:p>
        </w:tc>
      </w:tr>
      <w:tr w14:paraId="03A44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8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6B4603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16"/>
              </w:rPr>
              <w:t>QC-008</w:t>
            </w:r>
            <w:r>
              <w:rPr>
                <w:b/>
                <w:color w:val="C00000"/>
                <w:sz w:val="16"/>
              </w:rPr>
              <w:br w:type="textWrapping"/>
            </w:r>
            <w:r>
              <w:rPr>
                <w:b/>
                <w:color w:val="C00000"/>
                <w:sz w:val="16"/>
              </w:rPr>
              <w:t>严重</w:t>
            </w:r>
          </w:p>
        </w:tc>
        <w:tc>
          <w:tcPr>
            <w:tcW w:w="1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69AA99">
            <w:pPr>
              <w:spacing w:after="0" w:line="264" w:lineRule="auto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61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C26A53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地理位置出现“河间市与河间市相邻”的自相邻错误</w:t>
            </w:r>
          </w:p>
          <w:p w14:paraId="5875DB93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第三章前言写“西与高阳县、河间市相邻”，河间市不可能与自身相邻。</w:t>
            </w:r>
          </w:p>
        </w:tc>
      </w:tr>
      <w:tr w14:paraId="7DFD8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8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A318E3">
            <w:pPr>
              <w:spacing w:after="0" w:line="264" w:lineRule="auto"/>
              <w:jc w:val="center"/>
            </w:pPr>
            <w:r>
              <w:rPr>
                <w:b/>
                <w:color w:val="BF6900"/>
                <w:sz w:val="16"/>
              </w:rPr>
              <w:t>QC-0</w:t>
            </w:r>
            <w:r>
              <w:rPr>
                <w:rFonts w:hint="eastAsia"/>
                <w:b/>
                <w:color w:val="BF6900"/>
                <w:sz w:val="16"/>
                <w:lang w:val="en-US" w:eastAsia="zh-CN"/>
              </w:rPr>
              <w:t>09</w:t>
            </w:r>
            <w:r>
              <w:rPr>
                <w:b/>
                <w:color w:val="BF6900"/>
                <w:sz w:val="16"/>
              </w:rPr>
              <w:br w:type="textWrapping"/>
            </w:r>
            <w:r>
              <w:rPr>
                <w:b/>
                <w:color w:val="BF6900"/>
                <w:sz w:val="16"/>
              </w:rPr>
              <w:t>重要</w:t>
            </w:r>
          </w:p>
        </w:tc>
        <w:tc>
          <w:tcPr>
            <w:tcW w:w="1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FE7351">
            <w:pPr>
              <w:spacing w:after="0" w:line="264" w:lineRule="auto"/>
              <w:jc w:val="center"/>
            </w:pPr>
            <w:r>
              <w:rPr>
                <w:sz w:val="16"/>
              </w:rPr>
              <w:t>12—22</w:t>
            </w:r>
          </w:p>
        </w:tc>
        <w:tc>
          <w:tcPr>
            <w:tcW w:w="61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9A9C67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区域资料的统计时点和引用方式不统一</w:t>
            </w:r>
          </w:p>
          <w:p w14:paraId="586EFB2D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“近10年”“多年平均”“1956—2015年”及2023、2024、2025年资料混用；部分段落末尾直接残留“河间市人民政府”“沧州市人民政府”，没有规范出处、链接题名、发布日期或资料名。</w:t>
            </w:r>
          </w:p>
        </w:tc>
      </w:tr>
    </w:tbl>
    <w:p w14:paraId="7C7A8DCE"/>
    <w:p w14:paraId="049F0098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bookmarkStart w:id="4" w:name="_Toc240040519"/>
      <w:r>
        <w:rPr>
          <w:rFonts w:hint="eastAsia" w:ascii="微软雅黑" w:hAnsi="微软雅黑" w:eastAsia="微软雅黑" w:cs="微软雅黑"/>
          <w:lang w:val="en-US" w:eastAsia="zh-CN"/>
        </w:rPr>
        <w:t>问题类别三：第三章土壤类型与制图</w:t>
      </w:r>
      <w:bookmarkEnd w:id="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1664"/>
        <w:gridCol w:w="6180"/>
      </w:tblGrid>
      <w:tr w14:paraId="76C01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4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1AF1E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编号/级别</w:t>
            </w:r>
          </w:p>
        </w:tc>
        <w:tc>
          <w:tcPr>
            <w:tcW w:w="166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B7DAA8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PDF页</w:t>
            </w:r>
          </w:p>
        </w:tc>
        <w:tc>
          <w:tcPr>
            <w:tcW w:w="618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C20D2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问题与证据</w:t>
            </w:r>
          </w:p>
        </w:tc>
      </w:tr>
      <w:tr w14:paraId="6AA26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0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34FEDE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16"/>
              </w:rPr>
              <w:t>QC-01</w:t>
            </w:r>
            <w:r>
              <w:rPr>
                <w:rFonts w:hint="eastAsia"/>
                <w:b/>
                <w:color w:val="C00000"/>
                <w:sz w:val="16"/>
                <w:lang w:val="en-US" w:eastAsia="zh-CN"/>
              </w:rPr>
              <w:t>0</w:t>
            </w:r>
            <w:r>
              <w:rPr>
                <w:b/>
                <w:color w:val="C00000"/>
                <w:sz w:val="16"/>
              </w:rPr>
              <w:br w:type="textWrapping"/>
            </w:r>
            <w:r>
              <w:rPr>
                <w:b/>
                <w:color w:val="C00000"/>
                <w:sz w:val="16"/>
              </w:rPr>
              <w:t>严重</w:t>
            </w:r>
          </w:p>
        </w:tc>
        <w:tc>
          <w:tcPr>
            <w:tcW w:w="1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226863">
            <w:pPr>
              <w:spacing w:after="0" w:line="264" w:lineRule="auto"/>
              <w:jc w:val="center"/>
            </w:pPr>
            <w:r>
              <w:rPr>
                <w:sz w:val="16"/>
              </w:rPr>
              <w:t>9、37、40、43、277</w:t>
            </w:r>
          </w:p>
        </w:tc>
        <w:tc>
          <w:tcPr>
            <w:tcW w:w="61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0B5A5C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土壤分类层级数量在报告内反复变化</w:t>
            </w:r>
          </w:p>
          <w:p w14:paraId="56963E55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PDF第9、43页为1土类、1亚类、2土属、10土种；第37页为1土类、2亚类、3土属、7土种；第40页文字又称二普1/2/6/26、三普1/1/2/10，而表3.5称二普2/6/12/40；第277页再次称2个亚类。</w:t>
            </w:r>
          </w:p>
        </w:tc>
      </w:tr>
      <w:tr w14:paraId="4E59F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0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BA5FDC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16"/>
              </w:rPr>
              <w:t>QC-01</w:t>
            </w:r>
            <w:r>
              <w:rPr>
                <w:rFonts w:hint="eastAsia"/>
                <w:b/>
                <w:color w:val="C00000"/>
                <w:sz w:val="16"/>
                <w:lang w:val="en-US" w:eastAsia="zh-CN"/>
              </w:rPr>
              <w:t>1</w:t>
            </w:r>
            <w:r>
              <w:rPr>
                <w:b/>
                <w:color w:val="C00000"/>
                <w:sz w:val="16"/>
              </w:rPr>
              <w:br w:type="textWrapping"/>
            </w:r>
            <w:r>
              <w:rPr>
                <w:b/>
                <w:color w:val="C00000"/>
                <w:sz w:val="16"/>
              </w:rPr>
              <w:t>严重</w:t>
            </w:r>
          </w:p>
        </w:tc>
        <w:tc>
          <w:tcPr>
            <w:tcW w:w="1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FC707B">
            <w:pPr>
              <w:spacing w:after="0" w:line="264" w:lineRule="auto"/>
              <w:jc w:val="center"/>
            </w:pPr>
            <w:r>
              <w:rPr>
                <w:sz w:val="16"/>
              </w:rPr>
              <w:t>37—38</w:t>
            </w:r>
          </w:p>
        </w:tc>
        <w:tc>
          <w:tcPr>
            <w:tcW w:w="61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741EBC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表3.3的土属名称与土类体系不匹配</w:t>
            </w:r>
          </w:p>
          <w:p w14:paraId="56CBFC78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表3.3在“潮土—典型潮土”下列出“壤质石灰性褐土、砂质石灰性褐土”，而同页文字及土种名称均使用“石灰性潮土”；“褐土/潮土”层级名称冲突。</w:t>
            </w:r>
          </w:p>
        </w:tc>
      </w:tr>
      <w:tr w14:paraId="2B1AC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0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797C7C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16"/>
              </w:rPr>
              <w:t>QC-01</w:t>
            </w:r>
            <w:r>
              <w:rPr>
                <w:rFonts w:hint="eastAsia"/>
                <w:b/>
                <w:color w:val="C00000"/>
                <w:sz w:val="16"/>
                <w:lang w:val="en-US" w:eastAsia="zh-CN"/>
              </w:rPr>
              <w:t>2</w:t>
            </w:r>
            <w:r>
              <w:rPr>
                <w:b/>
                <w:color w:val="C00000"/>
                <w:sz w:val="16"/>
              </w:rPr>
              <w:br w:type="textWrapping"/>
            </w:r>
            <w:r>
              <w:rPr>
                <w:b/>
                <w:color w:val="C00000"/>
                <w:sz w:val="16"/>
              </w:rPr>
              <w:t>严重</w:t>
            </w:r>
          </w:p>
        </w:tc>
        <w:tc>
          <w:tcPr>
            <w:tcW w:w="1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A992B7">
            <w:pPr>
              <w:spacing w:after="0" w:line="264" w:lineRule="auto"/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w="61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6E3F17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二普—三普类型变化表与文字基数、减量均不一致</w:t>
            </w:r>
          </w:p>
          <w:p w14:paraId="37770935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文字称二普1/2/6/26，表3.5称2/6/12/40；按文字基数，土属6减至2应减少4个、土种26减至10应减少16个，但正文写减少3个和14个。</w:t>
            </w:r>
          </w:p>
        </w:tc>
      </w:tr>
      <w:tr w14:paraId="154E5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0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7360ED">
            <w:pPr>
              <w:spacing w:after="0" w:line="264" w:lineRule="auto"/>
              <w:jc w:val="center"/>
            </w:pPr>
            <w:r>
              <w:rPr>
                <w:b/>
                <w:color w:val="BF6900"/>
                <w:sz w:val="16"/>
              </w:rPr>
              <w:t>QC-01</w:t>
            </w:r>
            <w:r>
              <w:rPr>
                <w:rFonts w:hint="eastAsia"/>
                <w:b/>
                <w:color w:val="BF6900"/>
                <w:sz w:val="16"/>
                <w:lang w:val="en-US" w:eastAsia="zh-CN"/>
              </w:rPr>
              <w:t>3</w:t>
            </w:r>
            <w:r>
              <w:rPr>
                <w:b/>
                <w:color w:val="BF6900"/>
                <w:sz w:val="16"/>
              </w:rPr>
              <w:br w:type="textWrapping"/>
            </w:r>
            <w:r>
              <w:rPr>
                <w:b/>
                <w:color w:val="BF6900"/>
                <w:sz w:val="16"/>
              </w:rPr>
              <w:t>重要</w:t>
            </w:r>
          </w:p>
        </w:tc>
        <w:tc>
          <w:tcPr>
            <w:tcW w:w="1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5A2C2D">
            <w:pPr>
              <w:spacing w:after="0" w:line="264" w:lineRule="auto"/>
              <w:jc w:val="center"/>
            </w:pPr>
            <w:r>
              <w:rPr>
                <w:sz w:val="16"/>
              </w:rPr>
              <w:t>8、34</w:t>
            </w:r>
          </w:p>
        </w:tc>
        <w:tc>
          <w:tcPr>
            <w:tcW w:w="61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5DB082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剖面样点数量口径不一致</w:t>
            </w:r>
          </w:p>
          <w:p w14:paraId="0E49564D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第一章成果清单记载12个剖面样点，第三章制图校核过程又写11个剖面点，未说明是否有1个样点未用于制图及原因。</w:t>
            </w:r>
          </w:p>
        </w:tc>
      </w:tr>
      <w:tr w14:paraId="71B3B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0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6A5575">
            <w:pPr>
              <w:spacing w:after="0" w:line="264" w:lineRule="auto"/>
              <w:jc w:val="center"/>
            </w:pPr>
            <w:r>
              <w:rPr>
                <w:b/>
                <w:color w:val="BF6900"/>
                <w:sz w:val="16"/>
              </w:rPr>
              <w:t>QC-01</w:t>
            </w:r>
            <w:r>
              <w:rPr>
                <w:rFonts w:hint="eastAsia"/>
                <w:b/>
                <w:color w:val="BF6900"/>
                <w:sz w:val="16"/>
                <w:lang w:val="en-US" w:eastAsia="zh-CN"/>
              </w:rPr>
              <w:t>4</w:t>
            </w:r>
            <w:r>
              <w:rPr>
                <w:b/>
                <w:color w:val="BF6900"/>
                <w:sz w:val="16"/>
              </w:rPr>
              <w:br w:type="textWrapping"/>
            </w:r>
            <w:r>
              <w:rPr>
                <w:b/>
                <w:color w:val="BF6900"/>
                <w:sz w:val="16"/>
              </w:rPr>
              <w:t>重要</w:t>
            </w:r>
          </w:p>
        </w:tc>
        <w:tc>
          <w:tcPr>
            <w:tcW w:w="16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5D57A5">
            <w:pPr>
              <w:spacing w:after="0" w:line="264" w:lineRule="auto"/>
              <w:jc w:val="center"/>
            </w:pPr>
            <w:r>
              <w:rPr>
                <w:sz w:val="16"/>
              </w:rPr>
              <w:t>23—43</w:t>
            </w:r>
          </w:p>
        </w:tc>
        <w:tc>
          <w:tcPr>
            <w:tcW w:w="61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F855BE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缺少发生分类与系统分类“亚类—土种”参比成果</w:t>
            </w:r>
          </w:p>
          <w:p w14:paraId="63FE3D27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第三章未见系统分类参比表，也未说明土种层级的参比关系，无法满足质控表要求的修正后口径。</w:t>
            </w:r>
          </w:p>
        </w:tc>
      </w:tr>
    </w:tbl>
    <w:p w14:paraId="17B8AE83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bookmarkStart w:id="5" w:name="_Toc240040520"/>
    </w:p>
    <w:p w14:paraId="0C86AD01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问题类别四：第四章土壤属性与制图</w:t>
      </w:r>
      <w:bookmarkEnd w:id="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1674"/>
        <w:gridCol w:w="6143"/>
      </w:tblGrid>
      <w:tr w14:paraId="06D04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13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364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编号/级别</w:t>
            </w:r>
          </w:p>
        </w:tc>
        <w:tc>
          <w:tcPr>
            <w:tcW w:w="167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02957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PDF页</w:t>
            </w:r>
          </w:p>
        </w:tc>
        <w:tc>
          <w:tcPr>
            <w:tcW w:w="6143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EEA8A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问题与证据</w:t>
            </w:r>
          </w:p>
        </w:tc>
      </w:tr>
      <w:tr w14:paraId="12FA7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18C217">
            <w:pPr>
              <w:spacing w:after="0" w:line="264" w:lineRule="auto"/>
              <w:jc w:val="center"/>
            </w:pPr>
            <w:r>
              <w:rPr>
                <w:b/>
                <w:color w:val="BF6900"/>
                <w:sz w:val="16"/>
              </w:rPr>
              <w:t>QC-01</w:t>
            </w:r>
            <w:r>
              <w:rPr>
                <w:rFonts w:hint="eastAsia"/>
                <w:b/>
                <w:color w:val="BF6900"/>
                <w:sz w:val="16"/>
                <w:lang w:val="en-US" w:eastAsia="zh-CN"/>
              </w:rPr>
              <w:t>5</w:t>
            </w:r>
            <w:r>
              <w:rPr>
                <w:b/>
                <w:color w:val="BF6900"/>
                <w:sz w:val="16"/>
              </w:rPr>
              <w:br w:type="textWrapping"/>
            </w:r>
            <w:r>
              <w:rPr>
                <w:b/>
                <w:color w:val="BF6900"/>
                <w:sz w:val="16"/>
              </w:rPr>
              <w:t>重要</w:t>
            </w:r>
          </w:p>
        </w:tc>
        <w:tc>
          <w:tcPr>
            <w:tcW w:w="1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DA9AA9">
            <w:pPr>
              <w:spacing w:after="0" w:line="264" w:lineRule="auto"/>
              <w:jc w:val="center"/>
            </w:pPr>
            <w:r>
              <w:rPr>
                <w:sz w:val="16"/>
              </w:rPr>
              <w:t>44—47、143—144</w:t>
            </w:r>
          </w:p>
        </w:tc>
        <w:tc>
          <w:tcPr>
            <w:tcW w:w="61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C28F9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土壤质地仅使用395个样点，筛选规则未说明</w:t>
            </w:r>
          </w:p>
          <w:p w14:paraId="696CCF4B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报告表层样点总数为790个，但土壤质地统计和入模仅395个；未说明其余样点缺测、剔除或不适用的原因，也未评价空间代表性。</w:t>
            </w:r>
          </w:p>
        </w:tc>
      </w:tr>
      <w:tr w14:paraId="0CD1C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262956">
            <w:pPr>
              <w:spacing w:after="0" w:line="264" w:lineRule="auto"/>
              <w:jc w:val="center"/>
            </w:pPr>
            <w:r>
              <w:rPr>
                <w:b/>
                <w:color w:val="BF6900"/>
                <w:sz w:val="16"/>
              </w:rPr>
              <w:t>QC-01</w:t>
            </w:r>
            <w:r>
              <w:rPr>
                <w:rFonts w:hint="eastAsia"/>
                <w:b/>
                <w:color w:val="BF6900"/>
                <w:sz w:val="16"/>
                <w:lang w:val="en-US" w:eastAsia="zh-CN"/>
              </w:rPr>
              <w:t>6</w:t>
            </w:r>
            <w:r>
              <w:rPr>
                <w:b/>
                <w:color w:val="BF6900"/>
                <w:sz w:val="16"/>
              </w:rPr>
              <w:br w:type="textWrapping"/>
            </w:r>
            <w:r>
              <w:rPr>
                <w:b/>
                <w:color w:val="BF6900"/>
                <w:sz w:val="16"/>
              </w:rPr>
              <w:t>重要</w:t>
            </w:r>
          </w:p>
        </w:tc>
        <w:tc>
          <w:tcPr>
            <w:tcW w:w="1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CA6F5">
            <w:pPr>
              <w:spacing w:after="0" w:line="264" w:lineRule="auto"/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w="61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6DA8E5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有效土层厚度分级文字与表4.10不一致</w:t>
            </w:r>
          </w:p>
          <w:p w14:paraId="1AF53342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文字将60—100厘米称为“I级”，表中为II级；文字称“III级和V级”缺失，表中实际列III级和IV级，没有V级。</w:t>
            </w:r>
          </w:p>
        </w:tc>
      </w:tr>
      <w:tr w14:paraId="47A2A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526B5D">
            <w:pPr>
              <w:spacing w:after="0" w:line="264" w:lineRule="auto"/>
              <w:jc w:val="center"/>
            </w:pPr>
            <w:r>
              <w:rPr>
                <w:b/>
                <w:color w:val="BF6900"/>
                <w:sz w:val="16"/>
              </w:rPr>
              <w:t>QC-0</w:t>
            </w:r>
            <w:r>
              <w:rPr>
                <w:rFonts w:hint="eastAsia"/>
                <w:b/>
                <w:color w:val="BF6900"/>
                <w:sz w:val="16"/>
                <w:lang w:val="en-US" w:eastAsia="zh-CN"/>
              </w:rPr>
              <w:t>17</w:t>
            </w:r>
            <w:r>
              <w:rPr>
                <w:b/>
                <w:color w:val="BF6900"/>
                <w:sz w:val="16"/>
              </w:rPr>
              <w:br w:type="textWrapping"/>
            </w:r>
            <w:r>
              <w:rPr>
                <w:b/>
                <w:color w:val="BF6900"/>
                <w:sz w:val="16"/>
              </w:rPr>
              <w:t>重要</w:t>
            </w:r>
          </w:p>
        </w:tc>
        <w:tc>
          <w:tcPr>
            <w:tcW w:w="1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EDB657">
            <w:pPr>
              <w:spacing w:after="0" w:line="264" w:lineRule="auto"/>
              <w:jc w:val="center"/>
            </w:pPr>
            <w:r>
              <w:rPr>
                <w:sz w:val="16"/>
              </w:rPr>
              <w:t>54—56</w:t>
            </w:r>
          </w:p>
        </w:tc>
        <w:tc>
          <w:tcPr>
            <w:tcW w:w="61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78DC21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有效土层厚度样点与制图面积差异极大，解释不足</w:t>
            </w:r>
          </w:p>
          <w:p w14:paraId="5BA1C47E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仅12个样点中2个大于100厘米、10个为60—100厘米，但制图结果却有1503867亩（99.92%）大于100厘米、仅1173亩为60—100厘米；报告未给出土种赋值规则、验证点或不确定性。</w:t>
            </w:r>
          </w:p>
        </w:tc>
      </w:tr>
      <w:tr w14:paraId="7ABE0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C7CB55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16"/>
              </w:rPr>
              <w:t>QC-0</w:t>
            </w:r>
            <w:r>
              <w:rPr>
                <w:rFonts w:hint="eastAsia"/>
                <w:b/>
                <w:color w:val="C00000"/>
                <w:sz w:val="16"/>
                <w:lang w:val="en-US" w:eastAsia="zh-CN"/>
              </w:rPr>
              <w:t>18</w:t>
            </w:r>
            <w:r>
              <w:rPr>
                <w:b/>
                <w:color w:val="C00000"/>
                <w:sz w:val="16"/>
              </w:rPr>
              <w:br w:type="textWrapping"/>
            </w:r>
            <w:r>
              <w:rPr>
                <w:b/>
                <w:color w:val="C00000"/>
                <w:sz w:val="16"/>
              </w:rPr>
              <w:t>严重</w:t>
            </w:r>
          </w:p>
        </w:tc>
        <w:tc>
          <w:tcPr>
            <w:tcW w:w="1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D05A97">
            <w:pPr>
              <w:spacing w:after="0" w:line="264" w:lineRule="auto"/>
              <w:jc w:val="center"/>
            </w:pPr>
            <w:r>
              <w:rPr>
                <w:sz w:val="16"/>
              </w:rPr>
              <w:t>145—146、153—155</w:t>
            </w:r>
          </w:p>
        </w:tc>
        <w:tc>
          <w:tcPr>
            <w:tcW w:w="61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301D1D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正态性结论与后续克里格/随机森林克里格使用关系未说明</w:t>
            </w:r>
          </w:p>
          <w:p w14:paraId="50D9953C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报告称有效磷、阳离子交换量、有效铜、铁、硫、锌等经变换仍不满足正态性，“不可以通过普通克里格”制图；后续表4.73仍列出克里格或随机森林克里格结果，却未说明残差正态性、变异函数条件和采用该模型的依据。</w:t>
            </w:r>
          </w:p>
        </w:tc>
      </w:tr>
      <w:tr w14:paraId="26EEA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5D546F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16"/>
              </w:rPr>
              <w:t>QC-0</w:t>
            </w:r>
            <w:r>
              <w:rPr>
                <w:rFonts w:hint="eastAsia"/>
                <w:b/>
                <w:color w:val="C00000"/>
                <w:sz w:val="16"/>
                <w:lang w:val="en-US" w:eastAsia="zh-CN"/>
              </w:rPr>
              <w:t>19</w:t>
            </w:r>
            <w:r>
              <w:rPr>
                <w:b/>
                <w:color w:val="C00000"/>
                <w:sz w:val="16"/>
              </w:rPr>
              <w:br w:type="textWrapping"/>
            </w:r>
            <w:r>
              <w:rPr>
                <w:b/>
                <w:color w:val="C00000"/>
                <w:sz w:val="16"/>
              </w:rPr>
              <w:t>严重</w:t>
            </w:r>
          </w:p>
        </w:tc>
        <w:tc>
          <w:tcPr>
            <w:tcW w:w="1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7D1C56">
            <w:pPr>
              <w:spacing w:after="0" w:line="264" w:lineRule="auto"/>
              <w:jc w:val="center"/>
            </w:pPr>
            <w:r>
              <w:rPr>
                <w:sz w:val="16"/>
              </w:rPr>
              <w:t>153—155</w:t>
            </w:r>
          </w:p>
        </w:tc>
        <w:tc>
          <w:tcPr>
            <w:tcW w:w="61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B4EC4D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多数最优模型低于报告自定R²阈值仍直接用于制图</w:t>
            </w:r>
          </w:p>
          <w:p w14:paraId="00DA36BE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报告规定一般R²应大于0.5；表4.73中有机质0.49、pH 0.39、阳离子交换量0.47、全磷0.33、全钾0.28、有效磷0.26、有效硫0.39、铁0.37、铜0.24、硼0.34、钼0.45等均低于阈值，部分模型指标还为“/”，正文却称“R²较好/已满足使用”。</w:t>
            </w:r>
          </w:p>
        </w:tc>
      </w:tr>
      <w:tr w14:paraId="2588F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3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F2442D">
            <w:pPr>
              <w:spacing w:after="0" w:line="264" w:lineRule="auto"/>
              <w:jc w:val="center"/>
            </w:pPr>
            <w:r>
              <w:rPr>
                <w:b/>
                <w:color w:val="BF6900"/>
                <w:sz w:val="16"/>
              </w:rPr>
              <w:t>QC-02</w:t>
            </w:r>
            <w:r>
              <w:rPr>
                <w:rFonts w:hint="eastAsia"/>
                <w:b/>
                <w:color w:val="BF6900"/>
                <w:sz w:val="16"/>
                <w:lang w:val="en-US" w:eastAsia="zh-CN"/>
              </w:rPr>
              <w:t>0</w:t>
            </w:r>
            <w:r>
              <w:rPr>
                <w:b/>
                <w:color w:val="BF6900"/>
                <w:sz w:val="16"/>
              </w:rPr>
              <w:br w:type="textWrapping"/>
            </w:r>
            <w:r>
              <w:rPr>
                <w:b/>
                <w:color w:val="BF6900"/>
                <w:sz w:val="16"/>
              </w:rPr>
              <w:t>重要</w:t>
            </w:r>
          </w:p>
        </w:tc>
        <w:tc>
          <w:tcPr>
            <w:tcW w:w="16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2E32A2">
            <w:pPr>
              <w:spacing w:after="0" w:line="264" w:lineRule="auto"/>
              <w:jc w:val="center"/>
            </w:pPr>
            <w:r>
              <w:rPr>
                <w:sz w:val="16"/>
              </w:rPr>
              <w:t>153</w:t>
            </w:r>
          </w:p>
        </w:tc>
        <w:tc>
          <w:tcPr>
            <w:tcW w:w="61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596B36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属性图验证部分仍是提纲式占位内容</w:t>
            </w:r>
          </w:p>
          <w:p w14:paraId="5972C1D8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“独立验证集、专家经验或现场核查、其他核查定量验证评价结果……”为编写提示，未给出各指标独立验证点数、空间核查结果和关联合理性分析。</w:t>
            </w:r>
          </w:p>
        </w:tc>
      </w:tr>
    </w:tbl>
    <w:p w14:paraId="11949E59"/>
    <w:p w14:paraId="3C5DE691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bookmarkStart w:id="6" w:name="_Toc240040521"/>
      <w:r>
        <w:rPr>
          <w:rFonts w:hint="eastAsia" w:ascii="微软雅黑" w:hAnsi="微软雅黑" w:eastAsia="微软雅黑" w:cs="微软雅黑"/>
          <w:lang w:val="en-US" w:eastAsia="zh-CN"/>
        </w:rPr>
        <w:t>问题类别五：第五章退化、障碍与改良</w:t>
      </w:r>
      <w:bookmarkEnd w:id="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616"/>
        <w:gridCol w:w="6200"/>
      </w:tblGrid>
      <w:tr w14:paraId="1B64F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33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EA9FF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编号/级别</w:t>
            </w:r>
          </w:p>
        </w:tc>
        <w:tc>
          <w:tcPr>
            <w:tcW w:w="161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C8B82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PDF页</w:t>
            </w:r>
          </w:p>
        </w:tc>
        <w:tc>
          <w:tcPr>
            <w:tcW w:w="620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0B4F9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问题与证据</w:t>
            </w:r>
          </w:p>
        </w:tc>
      </w:tr>
      <w:tr w14:paraId="21041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3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BBA3CA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16"/>
              </w:rPr>
              <w:t>QC-02</w:t>
            </w:r>
            <w:r>
              <w:rPr>
                <w:rFonts w:hint="eastAsia"/>
                <w:b/>
                <w:color w:val="C00000"/>
                <w:sz w:val="16"/>
                <w:lang w:val="en-US" w:eastAsia="zh-CN"/>
              </w:rPr>
              <w:t>1</w:t>
            </w:r>
            <w:r>
              <w:rPr>
                <w:b/>
                <w:color w:val="C00000"/>
                <w:sz w:val="16"/>
              </w:rPr>
              <w:br w:type="textWrapping"/>
            </w:r>
            <w:r>
              <w:rPr>
                <w:b/>
                <w:color w:val="C00000"/>
                <w:sz w:val="16"/>
              </w:rPr>
              <w:t>严重</w:t>
            </w:r>
          </w:p>
        </w:tc>
        <w:tc>
          <w:tcPr>
            <w:tcW w:w="16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873C72">
            <w:pPr>
              <w:spacing w:after="0" w:line="264" w:lineRule="auto"/>
              <w:jc w:val="center"/>
            </w:pPr>
            <w:r>
              <w:rPr>
                <w:sz w:val="16"/>
              </w:rPr>
              <w:t>167—179</w:t>
            </w:r>
          </w:p>
        </w:tc>
        <w:tc>
          <w:tcPr>
            <w:tcW w:w="6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26C6DD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章节和小节标题写“土壤酸化”，正文实际为盐碱地评价</w:t>
            </w:r>
          </w:p>
          <w:p w14:paraId="60A80A3D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第五章设置“一、土壤酸化”“土壤酸化制图与验证”“土壤酸化状况/成因/治理对策”，但所用指标、模型、图件和结论均为水溶性盐总量、盐分类型和盐碱地。</w:t>
            </w:r>
          </w:p>
        </w:tc>
      </w:tr>
      <w:tr w14:paraId="6CE5D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3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9325DA">
            <w:pPr>
              <w:spacing w:after="0" w:line="264" w:lineRule="auto"/>
              <w:jc w:val="center"/>
            </w:pPr>
            <w:r>
              <w:rPr>
                <w:b/>
                <w:color w:val="BF6900"/>
                <w:sz w:val="16"/>
              </w:rPr>
              <w:t>QC-02</w:t>
            </w:r>
            <w:r>
              <w:rPr>
                <w:rFonts w:hint="eastAsia"/>
                <w:b/>
                <w:color w:val="BF6900"/>
                <w:sz w:val="16"/>
                <w:lang w:val="en-US" w:eastAsia="zh-CN"/>
              </w:rPr>
              <w:t>2</w:t>
            </w:r>
            <w:r>
              <w:rPr>
                <w:b/>
                <w:color w:val="BF6900"/>
                <w:sz w:val="16"/>
              </w:rPr>
              <w:br w:type="textWrapping"/>
            </w:r>
            <w:r>
              <w:rPr>
                <w:b/>
                <w:color w:val="BF6900"/>
                <w:sz w:val="16"/>
              </w:rPr>
              <w:t>重要</w:t>
            </w:r>
          </w:p>
        </w:tc>
        <w:tc>
          <w:tcPr>
            <w:tcW w:w="16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1FDEE1">
            <w:pPr>
              <w:spacing w:after="0" w:line="264" w:lineRule="auto"/>
              <w:jc w:val="center"/>
            </w:pPr>
            <w:r>
              <w:rPr>
                <w:sz w:val="16"/>
              </w:rPr>
              <w:t>167—180、275—277</w:t>
            </w:r>
          </w:p>
        </w:tc>
        <w:tc>
          <w:tcPr>
            <w:tcW w:w="6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B650E8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退化障碍类型覆盖不完整</w:t>
            </w:r>
          </w:p>
          <w:p w14:paraId="1B4A8EBA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第五章几乎仅讨论盐碱地，没有系统汇总贫瘠、缺素、板结/压实、耕层浅薄及当地土体障碍的面积、分布、等级和成因；这些问题却在第七、九章被作为主要障碍提出。</w:t>
            </w:r>
          </w:p>
        </w:tc>
      </w:tr>
      <w:tr w14:paraId="0B482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3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50953F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16"/>
              </w:rPr>
              <w:t>QC-02</w:t>
            </w:r>
            <w:r>
              <w:rPr>
                <w:rFonts w:hint="eastAsia"/>
                <w:b/>
                <w:color w:val="C00000"/>
                <w:sz w:val="16"/>
                <w:lang w:val="en-US" w:eastAsia="zh-CN"/>
              </w:rPr>
              <w:t>3</w:t>
            </w:r>
            <w:r>
              <w:rPr>
                <w:b/>
                <w:color w:val="C00000"/>
                <w:sz w:val="16"/>
              </w:rPr>
              <w:br w:type="textWrapping"/>
            </w:r>
            <w:r>
              <w:rPr>
                <w:b/>
                <w:color w:val="C00000"/>
                <w:sz w:val="16"/>
              </w:rPr>
              <w:t>严重</w:t>
            </w:r>
          </w:p>
        </w:tc>
        <w:tc>
          <w:tcPr>
            <w:tcW w:w="16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7A6F79">
            <w:pPr>
              <w:spacing w:after="0" w:line="264" w:lineRule="auto"/>
              <w:jc w:val="center"/>
            </w:pPr>
            <w:r>
              <w:rPr>
                <w:sz w:val="16"/>
              </w:rPr>
              <w:t>4、179、277—280</w:t>
            </w:r>
          </w:p>
        </w:tc>
        <w:tc>
          <w:tcPr>
            <w:tcW w:w="6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1349C7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酸化、盐渍化“现状”与“风险”概念混用并相互冲突</w:t>
            </w:r>
          </w:p>
          <w:p w14:paraId="29022273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摘要称部分地区已经存在酸化和盐渍化；第五章称2024年盐碱地0.00万亩、目前无盐碱地；第九章又称设施农业存在次生盐渍化和酸化隐患。报告未区分实测现状、预测风险和历史类型。</w:t>
            </w:r>
          </w:p>
        </w:tc>
      </w:tr>
      <w:tr w14:paraId="1D926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3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335985">
            <w:pPr>
              <w:spacing w:after="0" w:line="264" w:lineRule="auto"/>
              <w:jc w:val="center"/>
            </w:pPr>
            <w:r>
              <w:rPr>
                <w:b/>
                <w:color w:val="BF6900"/>
                <w:sz w:val="16"/>
              </w:rPr>
              <w:t>QC-02</w:t>
            </w:r>
            <w:r>
              <w:rPr>
                <w:rFonts w:hint="eastAsia"/>
                <w:b/>
                <w:color w:val="BF6900"/>
                <w:sz w:val="16"/>
                <w:lang w:val="en-US" w:eastAsia="zh-CN"/>
              </w:rPr>
              <w:t>4</w:t>
            </w:r>
            <w:r>
              <w:rPr>
                <w:b/>
                <w:color w:val="BF6900"/>
                <w:sz w:val="16"/>
              </w:rPr>
              <w:br w:type="textWrapping"/>
            </w:r>
            <w:r>
              <w:rPr>
                <w:b/>
                <w:color w:val="BF6900"/>
                <w:sz w:val="16"/>
              </w:rPr>
              <w:t>重要</w:t>
            </w:r>
          </w:p>
        </w:tc>
        <w:tc>
          <w:tcPr>
            <w:tcW w:w="16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FE3522">
            <w:pPr>
              <w:spacing w:after="0" w:line="264" w:lineRule="auto"/>
              <w:jc w:val="center"/>
            </w:pPr>
            <w:r>
              <w:rPr>
                <w:sz w:val="16"/>
              </w:rPr>
              <w:t>176—177</w:t>
            </w:r>
          </w:p>
        </w:tc>
        <w:tc>
          <w:tcPr>
            <w:tcW w:w="6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492FD3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盐碱地面积统计采用2022年国土变更数据，未解释与总体2023口径差异</w:t>
            </w:r>
          </w:p>
          <w:p w14:paraId="57BC564B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第五章明确使用2022年国土变更三调数据圈定调查区，而第一章和第六章总体采用2023年土地利用数据，报告未说明后发专题要求、版本差异或重算影响。</w:t>
            </w:r>
          </w:p>
        </w:tc>
      </w:tr>
    </w:tbl>
    <w:p w14:paraId="3A0F7273"/>
    <w:p w14:paraId="7DA67AF8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bookmarkStart w:id="7" w:name="_Toc240040522"/>
      <w:r>
        <w:rPr>
          <w:rFonts w:hint="eastAsia" w:ascii="微软雅黑" w:hAnsi="微软雅黑" w:eastAsia="微软雅黑" w:cs="微软雅黑"/>
          <w:lang w:val="en-US" w:eastAsia="zh-CN"/>
        </w:rPr>
        <w:t>问题类别六：第六至八章专题评价</w:t>
      </w:r>
      <w:bookmarkEnd w:id="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1607"/>
        <w:gridCol w:w="6232"/>
      </w:tblGrid>
      <w:tr w14:paraId="23DAE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1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9AC0B6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编号/级别</w:t>
            </w:r>
          </w:p>
        </w:tc>
        <w:tc>
          <w:tcPr>
            <w:tcW w:w="1607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FBD31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PDF页</w:t>
            </w:r>
          </w:p>
        </w:tc>
        <w:tc>
          <w:tcPr>
            <w:tcW w:w="623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9C7B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问题与证据</w:t>
            </w:r>
          </w:p>
        </w:tc>
      </w:tr>
      <w:tr w14:paraId="53FF9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1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07DBAF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16"/>
              </w:rPr>
              <w:t>QC-02</w:t>
            </w:r>
            <w:r>
              <w:rPr>
                <w:rFonts w:hint="eastAsia"/>
                <w:b/>
                <w:color w:val="C00000"/>
                <w:sz w:val="16"/>
                <w:lang w:val="en-US" w:eastAsia="zh-CN"/>
              </w:rPr>
              <w:t>5</w:t>
            </w:r>
            <w:r>
              <w:rPr>
                <w:b/>
                <w:color w:val="C00000"/>
                <w:sz w:val="16"/>
              </w:rPr>
              <w:br w:type="textWrapping"/>
            </w:r>
            <w:r>
              <w:rPr>
                <w:b/>
                <w:color w:val="C00000"/>
                <w:sz w:val="16"/>
              </w:rPr>
              <w:t>严重</w:t>
            </w:r>
          </w:p>
        </w:tc>
        <w:tc>
          <w:tcPr>
            <w:tcW w:w="16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83996D">
            <w:pPr>
              <w:spacing w:after="0" w:line="264" w:lineRule="auto"/>
              <w:jc w:val="center"/>
            </w:pPr>
            <w:r>
              <w:rPr>
                <w:sz w:val="16"/>
              </w:rPr>
              <w:t>198—199</w:t>
            </w:r>
          </w:p>
        </w:tc>
        <w:tc>
          <w:tcPr>
            <w:tcW w:w="6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A19DB3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表6.16按全评价区计算的占比被误称为各地类内部占比</w:t>
            </w:r>
          </w:p>
          <w:p w14:paraId="1D2BB139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现状耕地宜耕1089253亩，正文称占“耕地总面积71.65%”；71.65%实际为1089253/1520165，占耕地1177797亩的比例约92.48%。园地、林地等行也存在同类分母错误。</w:t>
            </w:r>
          </w:p>
        </w:tc>
      </w:tr>
      <w:tr w14:paraId="5DA9C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1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9BCC5E">
            <w:pPr>
              <w:spacing w:after="0" w:line="264" w:lineRule="auto"/>
              <w:jc w:val="center"/>
            </w:pPr>
            <w:r>
              <w:rPr>
                <w:b/>
                <w:color w:val="548235"/>
                <w:sz w:val="16"/>
              </w:rPr>
              <w:t>QC-02</w:t>
            </w:r>
            <w:r>
              <w:rPr>
                <w:rFonts w:hint="eastAsia"/>
                <w:b/>
                <w:color w:val="548235"/>
                <w:sz w:val="16"/>
                <w:lang w:val="en-US" w:eastAsia="zh-CN"/>
              </w:rPr>
              <w:t>6</w:t>
            </w:r>
            <w:r>
              <w:rPr>
                <w:b/>
                <w:color w:val="548235"/>
                <w:sz w:val="16"/>
              </w:rPr>
              <w:br w:type="textWrapping"/>
            </w:r>
            <w:r>
              <w:rPr>
                <w:b/>
                <w:color w:val="548235"/>
                <w:sz w:val="16"/>
              </w:rPr>
              <w:t>一般</w:t>
            </w:r>
          </w:p>
        </w:tc>
        <w:tc>
          <w:tcPr>
            <w:tcW w:w="16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FBF20F">
            <w:pPr>
              <w:spacing w:after="0" w:line="264" w:lineRule="auto"/>
              <w:jc w:val="center"/>
            </w:pPr>
            <w:r>
              <w:rPr>
                <w:sz w:val="16"/>
              </w:rPr>
              <w:t>226</w:t>
            </w:r>
          </w:p>
        </w:tc>
        <w:tc>
          <w:tcPr>
            <w:tcW w:w="6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822754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表6.24多行合计存在1亩误差</w:t>
            </w:r>
          </w:p>
          <w:p w14:paraId="1E2BA15A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园地37476+1954+354=39784，表中总计39783；草地合计15323，表中15324；其他土地合计15124，表中15125。各行总计之和又为1520166，与总计1520165不一致。</w:t>
            </w:r>
          </w:p>
        </w:tc>
      </w:tr>
      <w:tr w14:paraId="58F04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1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406C99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16"/>
              </w:rPr>
              <w:t>QC-0</w:t>
            </w:r>
            <w:r>
              <w:rPr>
                <w:rFonts w:hint="eastAsia"/>
                <w:b/>
                <w:color w:val="C00000"/>
                <w:sz w:val="16"/>
                <w:lang w:val="en-US" w:eastAsia="zh-CN"/>
              </w:rPr>
              <w:t>27</w:t>
            </w:r>
            <w:r>
              <w:rPr>
                <w:b/>
                <w:color w:val="C00000"/>
                <w:sz w:val="16"/>
              </w:rPr>
              <w:br w:type="textWrapping"/>
            </w:r>
            <w:r>
              <w:rPr>
                <w:b/>
                <w:color w:val="C00000"/>
                <w:sz w:val="16"/>
              </w:rPr>
              <w:t>严重</w:t>
            </w:r>
          </w:p>
        </w:tc>
        <w:tc>
          <w:tcPr>
            <w:tcW w:w="16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930E84">
            <w:pPr>
              <w:spacing w:after="0" w:line="264" w:lineRule="auto"/>
              <w:jc w:val="center"/>
            </w:pPr>
            <w:r>
              <w:rPr>
                <w:sz w:val="16"/>
              </w:rPr>
              <w:t>201、226、229</w:t>
            </w:r>
          </w:p>
        </w:tc>
        <w:tc>
          <w:tcPr>
            <w:tcW w:w="6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A084C5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耕地后备资源总量出现至少四套口径</w:t>
            </w:r>
          </w:p>
          <w:p w14:paraId="3D12307E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第201页称合计20.20万亩；表6.24非耕地宜耕量合计316337亩；第226页文字四类合计324394亩；表6.26三种适宜度四类合计342368亩，均未说明口径差异。</w:t>
            </w:r>
          </w:p>
        </w:tc>
      </w:tr>
      <w:tr w14:paraId="20270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1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B72C94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16"/>
              </w:rPr>
              <w:t>QC-0</w:t>
            </w:r>
            <w:r>
              <w:rPr>
                <w:rFonts w:hint="eastAsia"/>
                <w:b/>
                <w:color w:val="C00000"/>
                <w:sz w:val="16"/>
                <w:lang w:val="en-US" w:eastAsia="zh-CN"/>
              </w:rPr>
              <w:t>28</w:t>
            </w:r>
            <w:r>
              <w:rPr>
                <w:b/>
                <w:color w:val="C00000"/>
                <w:sz w:val="16"/>
              </w:rPr>
              <w:br w:type="textWrapping"/>
            </w:r>
            <w:r>
              <w:rPr>
                <w:b/>
                <w:color w:val="C00000"/>
                <w:sz w:val="16"/>
              </w:rPr>
              <w:t>严重</w:t>
            </w:r>
          </w:p>
        </w:tc>
        <w:tc>
          <w:tcPr>
            <w:tcW w:w="16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35D693">
            <w:pPr>
              <w:spacing w:after="0" w:line="264" w:lineRule="auto"/>
              <w:jc w:val="center"/>
            </w:pPr>
            <w:r>
              <w:rPr>
                <w:sz w:val="16"/>
              </w:rPr>
              <w:t>226—227、229</w:t>
            </w:r>
          </w:p>
        </w:tc>
        <w:tc>
          <w:tcPr>
            <w:tcW w:w="6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7590B5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后备资源适宜程度结论直接矛盾</w:t>
            </w:r>
          </w:p>
          <w:p w14:paraId="1C3D3849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第226页称中度适宜50.2%、勉强适宜48.1%、高度适宜1.7%；紧接着第227页又称“全部后备耕地资源均达到高度适宜标准”，与表6.26也不符。</w:t>
            </w:r>
          </w:p>
        </w:tc>
      </w:tr>
      <w:tr w14:paraId="797F7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1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A0CE2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16"/>
              </w:rPr>
              <w:t>QC-0</w:t>
            </w:r>
            <w:r>
              <w:rPr>
                <w:rFonts w:hint="eastAsia"/>
                <w:b/>
                <w:color w:val="C00000"/>
                <w:sz w:val="16"/>
                <w:lang w:val="en-US" w:eastAsia="zh-CN"/>
              </w:rPr>
              <w:t>29</w:t>
            </w:r>
            <w:r>
              <w:rPr>
                <w:b/>
                <w:color w:val="C00000"/>
                <w:sz w:val="16"/>
              </w:rPr>
              <w:br w:type="textWrapping"/>
            </w:r>
            <w:r>
              <w:rPr>
                <w:b/>
                <w:color w:val="C00000"/>
                <w:sz w:val="16"/>
              </w:rPr>
              <w:t>严重</w:t>
            </w:r>
          </w:p>
        </w:tc>
        <w:tc>
          <w:tcPr>
            <w:tcW w:w="16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DCF54C">
            <w:pPr>
              <w:spacing w:after="0" w:line="264" w:lineRule="auto"/>
              <w:jc w:val="center"/>
            </w:pPr>
            <w:r>
              <w:rPr>
                <w:sz w:val="16"/>
              </w:rPr>
              <w:t>227—230</w:t>
            </w:r>
          </w:p>
        </w:tc>
        <w:tc>
          <w:tcPr>
            <w:tcW w:w="6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BB2B1E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生态和规划约束结论前后相反</w:t>
            </w:r>
          </w:p>
          <w:p w14:paraId="0C71F4D2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第227页称部分后备地块划入生态保护管控、林业保育等限制区；第230页又称所有地块均不涉及生态红线、永久基本农田、水源保护区、河湖湿地和林地保护核心区。</w:t>
            </w:r>
          </w:p>
        </w:tc>
      </w:tr>
      <w:tr w14:paraId="3EF0B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1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198263">
            <w:pPr>
              <w:spacing w:after="0" w:line="264" w:lineRule="auto"/>
              <w:jc w:val="center"/>
            </w:pPr>
            <w:r>
              <w:rPr>
                <w:b/>
                <w:color w:val="BF6900"/>
                <w:sz w:val="16"/>
              </w:rPr>
              <w:t>QC-03</w:t>
            </w:r>
            <w:r>
              <w:rPr>
                <w:rFonts w:hint="eastAsia"/>
                <w:b/>
                <w:color w:val="BF6900"/>
                <w:sz w:val="16"/>
                <w:lang w:val="en-US" w:eastAsia="zh-CN"/>
              </w:rPr>
              <w:t>0</w:t>
            </w:r>
            <w:r>
              <w:rPr>
                <w:b/>
                <w:color w:val="BF6900"/>
                <w:sz w:val="16"/>
              </w:rPr>
              <w:br w:type="textWrapping"/>
            </w:r>
            <w:r>
              <w:rPr>
                <w:b/>
                <w:color w:val="BF6900"/>
                <w:sz w:val="16"/>
              </w:rPr>
              <w:t>重要</w:t>
            </w:r>
          </w:p>
        </w:tc>
        <w:tc>
          <w:tcPr>
            <w:tcW w:w="160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ABCBAF">
            <w:pPr>
              <w:spacing w:after="0" w:line="264" w:lineRule="auto"/>
              <w:jc w:val="center"/>
            </w:pPr>
            <w:r>
              <w:rPr>
                <w:sz w:val="16"/>
              </w:rPr>
              <w:t>225—228</w:t>
            </w:r>
          </w:p>
        </w:tc>
        <w:tc>
          <w:tcPr>
            <w:tcW w:w="6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B1C97F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由土壤适宜性直接推导用地调整，政策约束论证不足</w:t>
            </w:r>
          </w:p>
          <w:p w14:paraId="7B8BED91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报告将部分现状园地、林地、草地描述为“非粮、非农用地挤占”，并提出转为耕地；但同章又承认生态、规划和审批限制。土壤适宜不等于可依法开发。</w:t>
            </w:r>
          </w:p>
        </w:tc>
      </w:tr>
    </w:tbl>
    <w:p w14:paraId="6593A030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606"/>
        <w:gridCol w:w="6230"/>
      </w:tblGrid>
      <w:tr w14:paraId="70010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33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32701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编号/级别</w:t>
            </w:r>
          </w:p>
        </w:tc>
        <w:tc>
          <w:tcPr>
            <w:tcW w:w="160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C0B81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PDF页</w:t>
            </w:r>
          </w:p>
        </w:tc>
        <w:tc>
          <w:tcPr>
            <w:tcW w:w="623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25245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问题与证据</w:t>
            </w:r>
          </w:p>
        </w:tc>
      </w:tr>
      <w:tr w14:paraId="41504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3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780CF4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16"/>
              </w:rPr>
              <w:t>QC-03</w:t>
            </w:r>
            <w:r>
              <w:rPr>
                <w:rFonts w:hint="eastAsia"/>
                <w:b/>
                <w:color w:val="C00000"/>
                <w:sz w:val="16"/>
                <w:lang w:val="en-US" w:eastAsia="zh-CN"/>
              </w:rPr>
              <w:t>1</w:t>
            </w:r>
            <w:r>
              <w:rPr>
                <w:b/>
                <w:color w:val="C00000"/>
                <w:sz w:val="16"/>
              </w:rPr>
              <w:br w:type="textWrapping"/>
            </w:r>
            <w:r>
              <w:rPr>
                <w:b/>
                <w:color w:val="C00000"/>
                <w:sz w:val="16"/>
              </w:rPr>
              <w:t>严重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95E6FF">
            <w:pPr>
              <w:spacing w:after="0" w:line="264" w:lineRule="auto"/>
              <w:jc w:val="center"/>
            </w:pPr>
            <w:r>
              <w:rPr>
                <w:sz w:val="16"/>
              </w:rPr>
              <w:t>241</w:t>
            </w:r>
          </w:p>
        </w:tc>
        <w:tc>
          <w:tcPr>
            <w:tcW w:w="623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CBB64E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2023—2024年耕地质量分级变化计算错误</w:t>
            </w:r>
          </w:p>
          <w:p w14:paraId="661D96DD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按表7.5，高等级增加应为(785.81−662)+(28739.21−24187)=4676.02公顷，非4876.82；低等级应增加(1236.16+294.39+111.98)−(1365+192)=85.53公顷，非减少206.27。正确分组变化相加为5756.79公顷。</w:t>
            </w:r>
          </w:p>
        </w:tc>
      </w:tr>
      <w:tr w14:paraId="1B692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3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5F4DA4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16"/>
              </w:rPr>
              <w:t>QC-03</w:t>
            </w:r>
            <w:r>
              <w:rPr>
                <w:rFonts w:hint="eastAsia"/>
                <w:b/>
                <w:color w:val="C00000"/>
                <w:sz w:val="16"/>
                <w:lang w:val="en-US" w:eastAsia="zh-CN"/>
              </w:rPr>
              <w:t>2</w:t>
            </w:r>
            <w:r>
              <w:rPr>
                <w:b/>
                <w:color w:val="C00000"/>
                <w:sz w:val="16"/>
              </w:rPr>
              <w:br w:type="textWrapping"/>
            </w:r>
            <w:r>
              <w:rPr>
                <w:b/>
                <w:color w:val="C00000"/>
                <w:sz w:val="16"/>
              </w:rPr>
              <w:t>严重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326033">
            <w:pPr>
              <w:spacing w:after="0" w:line="264" w:lineRule="auto"/>
              <w:jc w:val="center"/>
            </w:pPr>
            <w:r>
              <w:rPr>
                <w:sz w:val="16"/>
              </w:rPr>
              <w:t>242</w:t>
            </w:r>
          </w:p>
        </w:tc>
        <w:tc>
          <w:tcPr>
            <w:tcW w:w="623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A15348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产能计算段落出现其他区县“鹿泉区”</w:t>
            </w:r>
          </w:p>
          <w:p w14:paraId="6904A0F5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正文写“评估鹿泉区各等级耕地年度粮食产能水平”，属于明显跨县复制残留。</w:t>
            </w:r>
          </w:p>
        </w:tc>
      </w:tr>
      <w:tr w14:paraId="15690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3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CDA8D5">
            <w:pPr>
              <w:spacing w:after="0" w:line="264" w:lineRule="auto"/>
              <w:jc w:val="center"/>
            </w:pPr>
            <w:r>
              <w:rPr>
                <w:b/>
                <w:color w:val="BF6900"/>
                <w:sz w:val="16"/>
              </w:rPr>
              <w:t>QC-03</w:t>
            </w:r>
            <w:r>
              <w:rPr>
                <w:rFonts w:hint="eastAsia"/>
                <w:b/>
                <w:color w:val="BF6900"/>
                <w:sz w:val="16"/>
                <w:lang w:val="en-US" w:eastAsia="zh-CN"/>
              </w:rPr>
              <w:t>3</w:t>
            </w:r>
            <w:r>
              <w:rPr>
                <w:b/>
                <w:color w:val="BF6900"/>
                <w:sz w:val="16"/>
              </w:rPr>
              <w:br w:type="textWrapping"/>
            </w:r>
            <w:r>
              <w:rPr>
                <w:b/>
                <w:color w:val="BF6900"/>
                <w:sz w:val="16"/>
              </w:rPr>
              <w:t>重要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D2ABE1">
            <w:pPr>
              <w:spacing w:after="0" w:line="264" w:lineRule="auto"/>
              <w:jc w:val="center"/>
            </w:pPr>
            <w:r>
              <w:rPr>
                <w:sz w:val="16"/>
              </w:rPr>
              <w:t>236、243、249—268</w:t>
            </w:r>
          </w:p>
        </w:tc>
        <w:tc>
          <w:tcPr>
            <w:tcW w:w="623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188891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耕地质量低等级成因与指标统计不匹配</w:t>
            </w:r>
          </w:p>
          <w:p w14:paraId="443BF47F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第243页把低等级耕地归因于“复杂地形+贫瘠/盐碱土壤”并建议盐化治理；但本章各等级地形部位均为平原低阶，多处表格称盐渍化程度100%为“无”。</w:t>
            </w:r>
          </w:p>
        </w:tc>
      </w:tr>
      <w:tr w14:paraId="0BE9A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3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86C47B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16"/>
              </w:rPr>
              <w:t>QC-03</w:t>
            </w:r>
            <w:r>
              <w:rPr>
                <w:rFonts w:hint="eastAsia"/>
                <w:b/>
                <w:color w:val="C00000"/>
                <w:sz w:val="16"/>
                <w:lang w:val="en-US" w:eastAsia="zh-CN"/>
              </w:rPr>
              <w:t>4</w:t>
            </w:r>
            <w:r>
              <w:rPr>
                <w:b/>
                <w:color w:val="C00000"/>
                <w:sz w:val="16"/>
              </w:rPr>
              <w:br w:type="textWrapping"/>
            </w:r>
            <w:r>
              <w:rPr>
                <w:b/>
                <w:color w:val="C00000"/>
                <w:sz w:val="16"/>
              </w:rPr>
              <w:t>严重</w:t>
            </w:r>
          </w:p>
        </w:tc>
        <w:tc>
          <w:tcPr>
            <w:tcW w:w="16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2C8DFB">
            <w:pPr>
              <w:spacing w:after="0" w:line="264" w:lineRule="auto"/>
              <w:jc w:val="center"/>
            </w:pPr>
            <w:r>
              <w:rPr>
                <w:sz w:val="16"/>
              </w:rPr>
              <w:t>277</w:t>
            </w:r>
          </w:p>
        </w:tc>
        <w:tc>
          <w:tcPr>
            <w:tcW w:w="623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FB437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第八章只有标题，无评价内容也无“未开展”说明</w:t>
            </w:r>
          </w:p>
          <w:p w14:paraId="01C1A09D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“第八章 土特产品土壤适宜性评价”标题后立即进入第九章；未说明是否未开展专题、未给出折算口径，也没有产品、方法、分区、验证和建议。</w:t>
            </w:r>
          </w:p>
        </w:tc>
      </w:tr>
    </w:tbl>
    <w:p w14:paraId="1DB1751F"/>
    <w:p w14:paraId="3BE6EDE5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bookmarkStart w:id="8" w:name="_Toc240040524"/>
      <w:r>
        <w:rPr>
          <w:rFonts w:hint="eastAsia" w:ascii="微软雅黑" w:hAnsi="微软雅黑" w:eastAsia="微软雅黑" w:cs="微软雅黑"/>
          <w:lang w:val="en-US" w:eastAsia="zh-CN"/>
        </w:rPr>
        <w:t>问题类别七：第九章综合利用建议</w:t>
      </w:r>
      <w:bookmarkEnd w:id="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5"/>
        <w:gridCol w:w="1553"/>
        <w:gridCol w:w="6170"/>
      </w:tblGrid>
      <w:tr w14:paraId="2646C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6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64FDB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编号/级别</w:t>
            </w:r>
          </w:p>
        </w:tc>
        <w:tc>
          <w:tcPr>
            <w:tcW w:w="1553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26AD6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PDF页</w:t>
            </w:r>
          </w:p>
        </w:tc>
        <w:tc>
          <w:tcPr>
            <w:tcW w:w="617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896B43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问题与证据</w:t>
            </w:r>
          </w:p>
        </w:tc>
      </w:tr>
      <w:tr w14:paraId="57815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5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0A113B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16"/>
              </w:rPr>
              <w:t>QC-03</w:t>
            </w:r>
            <w:r>
              <w:rPr>
                <w:rFonts w:hint="eastAsia"/>
                <w:b/>
                <w:color w:val="C00000"/>
                <w:sz w:val="16"/>
                <w:lang w:val="en-US" w:eastAsia="zh-CN"/>
              </w:rPr>
              <w:t>5</w:t>
            </w:r>
            <w:r>
              <w:rPr>
                <w:b/>
                <w:color w:val="C00000"/>
                <w:sz w:val="16"/>
              </w:rPr>
              <w:br w:type="textWrapping"/>
            </w:r>
            <w:r>
              <w:rPr>
                <w:b/>
                <w:color w:val="C00000"/>
                <w:sz w:val="16"/>
              </w:rPr>
              <w:t>严重</w:t>
            </w:r>
          </w:p>
        </w:tc>
        <w:tc>
          <w:tcPr>
            <w:tcW w:w="155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43A3E8">
            <w:pPr>
              <w:spacing w:after="0" w:line="264" w:lineRule="auto"/>
              <w:jc w:val="center"/>
            </w:pPr>
            <w:r>
              <w:rPr>
                <w:sz w:val="16"/>
              </w:rPr>
              <w:t>277</w:t>
            </w:r>
          </w:p>
        </w:tc>
        <w:tc>
          <w:tcPr>
            <w:tcW w:w="61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F3B9D8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第九章沿用与第三章冲突的土壤类型结论</w:t>
            </w:r>
          </w:p>
          <w:p w14:paraId="232D8703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第九章称全市有“典型潮土和脱潮土两个亚类”、壤质石灰性潮土占95%以上；第三章其他位置又称1个亚类、2个土属。该基础结论直接影响分区和利用建议。</w:t>
            </w:r>
          </w:p>
        </w:tc>
      </w:tr>
      <w:tr w14:paraId="2DE56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5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5F5F7A">
            <w:pPr>
              <w:spacing w:after="0" w:line="264" w:lineRule="auto"/>
              <w:jc w:val="center"/>
            </w:pPr>
            <w:r>
              <w:rPr>
                <w:b/>
                <w:color w:val="BF6900"/>
                <w:sz w:val="16"/>
              </w:rPr>
              <w:t>QC-0</w:t>
            </w:r>
            <w:r>
              <w:rPr>
                <w:rFonts w:hint="eastAsia"/>
                <w:b/>
                <w:color w:val="BF6900"/>
                <w:sz w:val="16"/>
                <w:lang w:val="en-US" w:eastAsia="zh-CN"/>
              </w:rPr>
              <w:t>36</w:t>
            </w:r>
            <w:r>
              <w:rPr>
                <w:b/>
                <w:color w:val="BF6900"/>
                <w:sz w:val="16"/>
              </w:rPr>
              <w:br w:type="textWrapping"/>
            </w:r>
            <w:r>
              <w:rPr>
                <w:b/>
                <w:color w:val="BF6900"/>
                <w:sz w:val="16"/>
              </w:rPr>
              <w:t>重要</w:t>
            </w:r>
          </w:p>
        </w:tc>
        <w:tc>
          <w:tcPr>
            <w:tcW w:w="155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DE852A">
            <w:pPr>
              <w:spacing w:after="0" w:line="264" w:lineRule="auto"/>
              <w:jc w:val="center"/>
            </w:pPr>
            <w:r>
              <w:rPr>
                <w:sz w:val="16"/>
              </w:rPr>
              <w:t>275</w:t>
            </w:r>
          </w:p>
        </w:tc>
        <w:tc>
          <w:tcPr>
            <w:tcW w:w="61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A77ECA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正文残留生成式/编辑提示语</w:t>
            </w:r>
          </w:p>
          <w:p w14:paraId="3BB7DFC1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第七章问题分析中出现“以下是基于文档第三章及全文数据的详细分析：”，不属于正式报告内容，显示文本未经编辑审校。</w:t>
            </w:r>
          </w:p>
        </w:tc>
      </w:tr>
      <w:tr w14:paraId="4B6D7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5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115EE9">
            <w:pPr>
              <w:spacing w:after="0" w:line="264" w:lineRule="auto"/>
              <w:jc w:val="center"/>
            </w:pPr>
            <w:r>
              <w:rPr>
                <w:b/>
                <w:color w:val="BF6900"/>
                <w:sz w:val="16"/>
              </w:rPr>
              <w:t>QC-0</w:t>
            </w:r>
            <w:r>
              <w:rPr>
                <w:rFonts w:hint="eastAsia"/>
                <w:b/>
                <w:color w:val="BF6900"/>
                <w:sz w:val="16"/>
                <w:lang w:val="en-US" w:eastAsia="zh-CN"/>
              </w:rPr>
              <w:t>37</w:t>
            </w:r>
            <w:r>
              <w:rPr>
                <w:b/>
                <w:color w:val="BF6900"/>
                <w:sz w:val="16"/>
              </w:rPr>
              <w:br w:type="textWrapping"/>
            </w:r>
            <w:r>
              <w:rPr>
                <w:b/>
                <w:color w:val="BF6900"/>
                <w:sz w:val="16"/>
              </w:rPr>
              <w:t>重要</w:t>
            </w:r>
          </w:p>
        </w:tc>
        <w:tc>
          <w:tcPr>
            <w:tcW w:w="155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72F74D">
            <w:pPr>
              <w:spacing w:after="0" w:line="264" w:lineRule="auto"/>
              <w:jc w:val="center"/>
            </w:pPr>
            <w:r>
              <w:rPr>
                <w:sz w:val="16"/>
              </w:rPr>
              <w:t>276、279—280</w:t>
            </w:r>
          </w:p>
        </w:tc>
        <w:tc>
          <w:tcPr>
            <w:tcW w:w="61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85F29A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部分利用建议缺少适用条件、参数和风险控制，且内部方向不一致</w:t>
            </w:r>
          </w:p>
          <w:p w14:paraId="54B8EF89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前文强调缺水与节水灌溉，第九章设施农业又建议“大水漫灌洗盐”；另提出酸性调理剂、棉隆消毒等措施，但未给适用范围、剂量、监测指标、环境风险和合规要求。</w:t>
            </w:r>
          </w:p>
        </w:tc>
      </w:tr>
    </w:tbl>
    <w:p w14:paraId="14D908C5"/>
    <w:p w14:paraId="65322F6D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bookmarkStart w:id="9" w:name="_Toc240040525"/>
      <w:r>
        <w:rPr>
          <w:rFonts w:hint="eastAsia" w:ascii="微软雅黑" w:hAnsi="微软雅黑" w:eastAsia="微软雅黑" w:cs="微软雅黑"/>
          <w:lang w:val="en-US" w:eastAsia="zh-CN"/>
        </w:rPr>
        <w:t>问题类别八：章节、专题及面积口径一致性</w:t>
      </w:r>
      <w:bookmarkEnd w:id="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1"/>
        <w:gridCol w:w="1450"/>
        <w:gridCol w:w="6135"/>
      </w:tblGrid>
      <w:tr w14:paraId="06D84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A0884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编号/级别</w:t>
            </w:r>
          </w:p>
        </w:tc>
        <w:tc>
          <w:tcPr>
            <w:tcW w:w="145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9FBF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PDF页</w:t>
            </w:r>
          </w:p>
        </w:tc>
        <w:tc>
          <w:tcPr>
            <w:tcW w:w="613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E3C87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问题与证据</w:t>
            </w:r>
          </w:p>
        </w:tc>
      </w:tr>
      <w:tr w14:paraId="5EF9F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1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80F98C">
            <w:pPr>
              <w:spacing w:after="0" w:line="264" w:lineRule="auto"/>
              <w:jc w:val="center"/>
            </w:pPr>
            <w:r>
              <w:rPr>
                <w:b/>
                <w:color w:val="C00000"/>
                <w:sz w:val="16"/>
              </w:rPr>
              <w:t>QC-0</w:t>
            </w:r>
            <w:r>
              <w:rPr>
                <w:rFonts w:hint="eastAsia"/>
                <w:b/>
                <w:color w:val="C00000"/>
                <w:sz w:val="16"/>
                <w:lang w:val="en-US" w:eastAsia="zh-CN"/>
              </w:rPr>
              <w:t>38</w:t>
            </w:r>
            <w:r>
              <w:rPr>
                <w:b/>
                <w:color w:val="C00000"/>
                <w:sz w:val="16"/>
              </w:rPr>
              <w:br w:type="textWrapping"/>
            </w:r>
            <w:r>
              <w:rPr>
                <w:b/>
                <w:color w:val="C00000"/>
                <w:sz w:val="16"/>
              </w:rPr>
              <w:t>严重</w:t>
            </w:r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F22D86">
            <w:pPr>
              <w:spacing w:after="0" w:line="264" w:lineRule="auto"/>
              <w:jc w:val="center"/>
            </w:pPr>
            <w:r>
              <w:rPr>
                <w:sz w:val="16"/>
              </w:rPr>
              <w:t>11、38、47—56、198、226、236</w:t>
            </w:r>
          </w:p>
        </w:tc>
        <w:tc>
          <w:tcPr>
            <w:tcW w:w="61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C95A53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全域、土壤图、属性制图、适宜性和耕地面积口径未建立对应关系</w:t>
            </w:r>
          </w:p>
          <w:p w14:paraId="559B0AAD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行政区约1322.44平方千米（约1983660亩）；土壤类型图面积1962595.36亩；第四章多项属性制图面积1505040亩；第六章评价面积1520165亩；耕地1177797亩。报告多处使用“全县土壤总面积/全域”却未说明排除地类、边界版本和转换关系。</w:t>
            </w:r>
          </w:p>
        </w:tc>
      </w:tr>
    </w:tbl>
    <w:p w14:paraId="3C7B0E00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bookmarkStart w:id="10" w:name="_Toc240040526"/>
    </w:p>
    <w:p w14:paraId="41241F63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问题类别九：报告格式、文件格式和数据库质检</w:t>
      </w:r>
      <w:bookmarkEnd w:id="1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442"/>
        <w:gridCol w:w="6078"/>
      </w:tblGrid>
      <w:tr w14:paraId="4A86E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D2254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编号/级别</w:t>
            </w:r>
          </w:p>
        </w:tc>
        <w:tc>
          <w:tcPr>
            <w:tcW w:w="144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AA02B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PDF页</w:t>
            </w:r>
          </w:p>
        </w:tc>
        <w:tc>
          <w:tcPr>
            <w:tcW w:w="607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F7F8B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问题与证据</w:t>
            </w:r>
          </w:p>
        </w:tc>
      </w:tr>
      <w:tr w14:paraId="02C1B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9FECC6">
            <w:pPr>
              <w:spacing w:after="0" w:line="264" w:lineRule="auto"/>
              <w:jc w:val="center"/>
            </w:pPr>
            <w:r>
              <w:rPr>
                <w:b/>
                <w:color w:val="548235"/>
                <w:sz w:val="16"/>
              </w:rPr>
              <w:t>QC-0</w:t>
            </w:r>
            <w:r>
              <w:rPr>
                <w:rFonts w:hint="eastAsia"/>
                <w:b/>
                <w:color w:val="548235"/>
                <w:sz w:val="16"/>
                <w:lang w:val="en-US" w:eastAsia="zh-CN"/>
              </w:rPr>
              <w:t>39</w:t>
            </w:r>
            <w:r>
              <w:rPr>
                <w:b/>
                <w:color w:val="548235"/>
                <w:sz w:val="16"/>
              </w:rPr>
              <w:br w:type="textWrapping"/>
            </w:r>
            <w:r>
              <w:rPr>
                <w:b/>
                <w:color w:val="548235"/>
                <w:sz w:val="16"/>
              </w:rPr>
              <w:t>一般</w:t>
            </w:r>
          </w:p>
        </w:tc>
        <w:tc>
          <w:tcPr>
            <w:tcW w:w="144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4B6DC0">
            <w:pPr>
              <w:spacing w:after="0" w:line="264" w:lineRule="auto"/>
              <w:jc w:val="center"/>
            </w:pPr>
            <w:r>
              <w:rPr>
                <w:sz w:val="16"/>
              </w:rPr>
              <w:t>151—153</w:t>
            </w:r>
          </w:p>
        </w:tc>
        <w:tc>
          <w:tcPr>
            <w:tcW w:w="60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BE487A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图件编号重复、缺少章节号</w:t>
            </w:r>
          </w:p>
          <w:p w14:paraId="6FEF2F1C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第151页两个图均标“图4.49”；第153页写“图62、图63”，与同章“图4.64”格式不一致。</w:t>
            </w:r>
          </w:p>
        </w:tc>
      </w:tr>
      <w:tr w14:paraId="0DF4E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FA7D12">
            <w:pPr>
              <w:spacing w:after="0" w:line="264" w:lineRule="auto"/>
              <w:jc w:val="center"/>
            </w:pPr>
            <w:r>
              <w:rPr>
                <w:b/>
                <w:color w:val="548235"/>
                <w:sz w:val="16"/>
              </w:rPr>
              <w:t>QC-04</w:t>
            </w:r>
            <w:r>
              <w:rPr>
                <w:rFonts w:hint="eastAsia"/>
                <w:b/>
                <w:color w:val="548235"/>
                <w:sz w:val="16"/>
                <w:lang w:val="en-US" w:eastAsia="zh-CN"/>
              </w:rPr>
              <w:t>0</w:t>
            </w:r>
            <w:r>
              <w:rPr>
                <w:b/>
                <w:color w:val="548235"/>
                <w:sz w:val="16"/>
              </w:rPr>
              <w:br w:type="textWrapping"/>
            </w:r>
            <w:r>
              <w:rPr>
                <w:b/>
                <w:color w:val="548235"/>
                <w:sz w:val="16"/>
              </w:rPr>
              <w:t>一般</w:t>
            </w:r>
          </w:p>
        </w:tc>
        <w:tc>
          <w:tcPr>
            <w:tcW w:w="144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9D0EDC">
            <w:pPr>
              <w:spacing w:after="0" w:line="264" w:lineRule="auto"/>
              <w:jc w:val="center"/>
            </w:pPr>
            <w:r>
              <w:rPr>
                <w:sz w:val="16"/>
              </w:rPr>
              <w:t>68、147—150、241及全册</w:t>
            </w:r>
          </w:p>
        </w:tc>
        <w:tc>
          <w:tcPr>
            <w:tcW w:w="60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4FC6F0">
            <w:pPr>
              <w:spacing w:after="0" w:line="264" w:lineRule="auto"/>
            </w:pPr>
            <w:r>
              <w:rPr>
                <w:b/>
                <w:color w:val="17365D"/>
                <w:sz w:val="17"/>
              </w:rPr>
              <w:t>存在不规范表述、错别字、重复标点和术语格式问题</w:t>
            </w:r>
          </w:p>
          <w:p w14:paraId="338FEE28">
            <w:pPr>
              <w:spacing w:after="40" w:line="259" w:lineRule="auto"/>
            </w:pPr>
            <w:r>
              <w:rPr>
                <w:b/>
                <w:color w:val="17365D"/>
                <w:sz w:val="16"/>
              </w:rPr>
              <w:t>证据：</w:t>
            </w:r>
            <w:r>
              <w:rPr>
                <w:sz w:val="16"/>
              </w:rPr>
              <w:t>例如用“脱贫摘帽、全员贫困”描述土壤有机质（第68页）；“边境变量/三普三普”“正太性”等文字错误；第241页出现连续句号“。。”；pH、PH、单位空格和图表题格式不统一。</w:t>
            </w:r>
          </w:p>
        </w:tc>
      </w:tr>
    </w:tbl>
    <w:p w14:paraId="067F7E48"/>
    <w:p w14:paraId="112DCD2F"/>
    <w:sectPr>
      <w:headerReference r:id="rId5" w:type="default"/>
      <w:footerReference r:id="rId6" w:type="default"/>
      <w:pgSz w:w="12240" w:h="15840"/>
      <w:pgMar w:top="979" w:right="979" w:bottom="936" w:left="979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E9783">
    <w:pPr>
      <w:pStyle w:val="24"/>
      <w:jc w:val="center"/>
    </w:pPr>
    <w:r>
      <w:rPr>
        <w:color w:val="666666"/>
        <w:sz w:val="18"/>
      </w:rPr>
      <w:t xml:space="preserve">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PAGE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ECA79">
    <w:pPr>
      <w:pStyle w:val="25"/>
      <w:jc w:val="right"/>
    </w:pPr>
    <w:r>
      <w:rPr>
        <w:color w:val="666666"/>
        <w:sz w:val="17"/>
      </w:rPr>
      <w:t>河间市土壤资源评价与利用报告｜质控审计意见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ED0"/>
    <w:rsid w:val="00AA1D8D"/>
    <w:rsid w:val="00B47730"/>
    <w:rsid w:val="00B64C7F"/>
    <w:rsid w:val="00CB0664"/>
    <w:rsid w:val="00EE5EB0"/>
    <w:rsid w:val="00FC693F"/>
    <w:rsid w:val="02D80E4A"/>
    <w:rsid w:val="0CFD41D5"/>
    <w:rsid w:val="16F72C63"/>
    <w:rsid w:val="2A037A86"/>
    <w:rsid w:val="38D25BA2"/>
    <w:rsid w:val="59D03A57"/>
    <w:rsid w:val="5BA71B9B"/>
    <w:rsid w:val="611F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2F5597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2F5597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autoRedefine/>
    <w:unhideWhenUsed/>
    <w:qFormat/>
    <w:uiPriority w:val="39"/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666666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kern w:val="28"/>
      <w:sz w:val="50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8">
    <w:name w:val="页眉 字符"/>
    <w:basedOn w:val="134"/>
    <w:link w:val="25"/>
    <w:qFormat/>
    <w:uiPriority w:val="99"/>
  </w:style>
  <w:style w:type="character" w:customStyle="1" w:styleId="139">
    <w:name w:val="页脚 字符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qFormat/>
    <w:uiPriority w:val="99"/>
  </w:style>
  <w:style w:type="character" w:customStyle="1" w:styleId="148">
    <w:name w:val="正文文本 2 字符"/>
    <w:basedOn w:val="134"/>
    <w:link w:val="30"/>
    <w:qFormat/>
    <w:uiPriority w:val="99"/>
  </w:style>
  <w:style w:type="character" w:customStyle="1" w:styleId="149">
    <w:name w:val="正文文本 3 字符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Audit Callout"/>
    <w:qFormat/>
    <w:uiPriority w:val="0"/>
    <w:pPr>
      <w:spacing w:before="100" w:after="100" w:line="300" w:lineRule="auto"/>
      <w:ind w:left="198" w:right="198"/>
    </w:pPr>
    <w:rPr>
      <w:rFonts w:ascii="宋体" w:hAnsi="宋体" w:eastAsia="宋体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4331</Words>
  <Characters>5223</Characters>
  <Lines>484</Lines>
  <Paragraphs>482</Paragraphs>
  <TotalTime>89</TotalTime>
  <ScaleCrop>false</ScaleCrop>
  <LinksUpToDate>false</LinksUpToDate>
  <CharactersWithSpaces>5225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质控审查</dc:creator>
  <dc:description>generated by python-docx</dc:description>
  <cp:keywords>土壤三普, 质控, 河间市, 审计意见</cp:keywords>
  <cp:lastModifiedBy>Mi Manchi</cp:lastModifiedBy>
  <dcterms:modified xsi:type="dcterms:W3CDTF">2026-09-18T14:10:37Z</dcterms:modified>
  <dc:subject>第三次全国土壤普查县级成果质量控制</dc:subject>
  <dc:title>河间市土壤资源评价与利用报告质控审计意见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eyJoZGlkIjoiZWQ4NWNlMWZjNThhMjZjMDQyMTU5MmU3YTNkMzg1ZmEiLCJ1c2VySWQiOiIxMjQ2MDU4ODU1In0=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48F01E5F7BF046A986208F8686ABF3A7_12</vt:lpwstr>
  </property>
</Properties>
</file>