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B6FC27">
      <w:pPr>
        <w:spacing w:before="200" w:after="80"/>
        <w:jc w:val="center"/>
      </w:pPr>
      <w:r>
        <w:rPr>
          <w:rFonts w:ascii="黑体" w:hAnsi="黑体" w:eastAsia="黑体" w:cs="黑体"/>
          <w:b/>
          <w:color w:val="000000"/>
          <w:sz w:val="52"/>
        </w:rPr>
        <w:t>青县土壤资源评价与利用报告</w:t>
      </w:r>
    </w:p>
    <w:p w14:paraId="0FEACE5A">
      <w:pPr>
        <w:spacing w:after="320"/>
        <w:jc w:val="center"/>
      </w:pPr>
      <w:r>
        <w:rPr>
          <w:rFonts w:ascii="黑体" w:hAnsi="黑体" w:eastAsia="黑体" w:cs="黑体"/>
          <w:b/>
          <w:color w:val="000000"/>
          <w:sz w:val="64"/>
        </w:rPr>
        <w:t>质控审计意见</w:t>
      </w:r>
    </w:p>
    <w:p w14:paraId="22A7835B">
      <w:pPr>
        <w:pStyle w:val="3"/>
        <w:keepNext/>
        <w:spacing w:before="160" w:after="80"/>
      </w:pPr>
      <w:r>
        <w:rPr>
          <w:rFonts w:ascii="黑体" w:hAnsi="黑体" w:eastAsia="黑体" w:cs="黑体"/>
          <w:b/>
          <w:color w:val="1F4E79"/>
          <w:sz w:val="30"/>
        </w:rPr>
        <w:t>优先整改的五个阻断点</w:t>
      </w:r>
    </w:p>
    <w:p w14:paraId="041AFDAF">
      <w:pPr>
        <w:pStyle w:val="16"/>
        <w:spacing w:after="80" w:line="276" w:lineRule="auto"/>
      </w:pPr>
      <w:r>
        <w:rPr>
          <w:rFonts w:ascii="宋体" w:hAnsi="宋体" w:eastAsia="宋体" w:cs="宋体"/>
          <w:b w:val="0"/>
          <w:color w:val="000000"/>
          <w:sz w:val="21"/>
        </w:rPr>
        <w:t>锁定县域行政边界和土壤类型统计底稿，解决1494386亩土壤类型面积超过县域总面积的问题。</w:t>
      </w:r>
    </w:p>
    <w:p w14:paraId="14FA3985">
      <w:pPr>
        <w:pStyle w:val="16"/>
        <w:spacing w:after="80" w:line="276" w:lineRule="auto"/>
      </w:pPr>
      <w:r>
        <w:rPr>
          <w:rFonts w:ascii="宋体" w:hAnsi="宋体" w:eastAsia="宋体" w:cs="宋体"/>
          <w:b w:val="0"/>
          <w:color w:val="000000"/>
          <w:sz w:val="21"/>
        </w:rPr>
        <w:t>回到属性制图工程文件，逐项复核样本底数、最终模型、参数、R²/RMSE、空间验证和质量判定。</w:t>
      </w:r>
    </w:p>
    <w:p w14:paraId="49791439">
      <w:pPr>
        <w:pStyle w:val="16"/>
        <w:spacing w:after="80" w:line="276" w:lineRule="auto"/>
      </w:pPr>
      <w:r>
        <w:rPr>
          <w:rFonts w:ascii="宋体" w:hAnsi="宋体" w:eastAsia="宋体" w:cs="宋体"/>
          <w:b w:val="0"/>
          <w:color w:val="000000"/>
          <w:sz w:val="21"/>
        </w:rPr>
        <w:t>按报告已识别的重金属风险重新核对适宜性限制因子、污染地块降级、面积和结果表。</w:t>
      </w:r>
    </w:p>
    <w:p w14:paraId="4967C00A">
      <w:pPr>
        <w:pStyle w:val="16"/>
        <w:spacing w:after="80" w:line="276" w:lineRule="auto"/>
      </w:pPr>
      <w:r>
        <w:rPr>
          <w:rFonts w:ascii="宋体" w:hAnsi="宋体" w:eastAsia="宋体" w:cs="宋体"/>
          <w:b w:val="0"/>
          <w:color w:val="000000"/>
          <w:sz w:val="21"/>
        </w:rPr>
        <w:t>统一盐碱地历史与现状分类、面积和比例，修正二普分项重复及2024年0.1%非零表述。</w:t>
      </w:r>
    </w:p>
    <w:p w14:paraId="27CE19BF">
      <w:pPr>
        <w:pStyle w:val="16"/>
        <w:spacing w:after="80" w:line="276" w:lineRule="auto"/>
      </w:pPr>
      <w:r>
        <w:rPr>
          <w:rFonts w:ascii="宋体" w:hAnsi="宋体" w:eastAsia="宋体" w:cs="宋体"/>
          <w:b w:val="0"/>
          <w:color w:val="000000"/>
          <w:sz w:val="21"/>
        </w:rPr>
        <w:t>补齐农业适宜性、耕地质量和土特产品评价的实际验证或适用性说明，并与最终专题成果同版。</w:t>
      </w:r>
    </w:p>
    <w:p w14:paraId="3115D8E9">
      <w:pPr>
        <w:pStyle w:val="3"/>
        <w:keepNext/>
        <w:spacing w:before="160" w:after="80"/>
      </w:pPr>
      <w:r>
        <w:rPr>
          <w:rFonts w:ascii="黑体" w:hAnsi="黑体" w:eastAsia="黑体" w:cs="黑体"/>
          <w:b/>
          <w:color w:val="1F4E79"/>
          <w:sz w:val="30"/>
        </w:rPr>
        <w:t>问题明细</w:t>
      </w:r>
    </w:p>
    <w:p w14:paraId="6CD94CF1">
      <w:pPr>
        <w:pStyle w:val="4"/>
        <w:keepNext/>
        <w:spacing w:before="120" w:after="80"/>
      </w:pPr>
      <w:r>
        <w:rPr>
          <w:rFonts w:ascii="微软雅黑" w:hAnsi="微软雅黑" w:eastAsia="微软雅黑" w:cs="微软雅黑"/>
          <w:b/>
          <w:color w:val="1F4E79"/>
          <w:sz w:val="24"/>
        </w:rPr>
        <w:t>问题类别一：前置材料、第一章和数据源表</w:t>
      </w:r>
    </w:p>
    <w:tbl>
      <w:tblPr>
        <w:tblStyle w:val="35"/>
        <w:tblW w:w="0" w:type="auto"/>
        <w:jc w:val="center"/>
        <w:tblBorders>
          <w:top w:val="single" w:color="7F8C8D" w:sz="4" w:space="0"/>
          <w:left w:val="single" w:color="7F8C8D" w:sz="4" w:space="0"/>
          <w:bottom w:val="single" w:color="7F8C8D" w:sz="4" w:space="0"/>
          <w:right w:val="single" w:color="7F8C8D" w:sz="4" w:space="0"/>
          <w:insideH w:val="single" w:color="7F8C8D" w:sz="4" w:space="0"/>
          <w:insideV w:val="single" w:color="7F8C8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6"/>
        <w:gridCol w:w="2490"/>
        <w:gridCol w:w="5685"/>
      </w:tblGrid>
      <w:tr w14:paraId="6D6EDCFD">
        <w:tblPrEx>
          <w:tblBorders>
            <w:top w:val="single" w:color="7F8C8D" w:sz="4" w:space="0"/>
            <w:left w:val="single" w:color="7F8C8D" w:sz="4" w:space="0"/>
            <w:bottom w:val="single" w:color="7F8C8D" w:sz="4" w:space="0"/>
            <w:right w:val="single" w:color="7F8C8D" w:sz="4" w:space="0"/>
            <w:insideH w:val="single" w:color="7F8C8D" w:sz="4" w:space="0"/>
            <w:insideV w:val="single" w:color="7F8C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106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194ACF">
            <w:pPr>
              <w:keepNext/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级别</w:t>
            </w:r>
          </w:p>
        </w:tc>
        <w:tc>
          <w:tcPr>
            <w:tcW w:w="2490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4688D3">
            <w:pPr>
              <w:keepNext/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PDF页</w:t>
            </w:r>
          </w:p>
        </w:tc>
        <w:tc>
          <w:tcPr>
            <w:tcW w:w="5685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6D468D">
            <w:pPr>
              <w:keepNext/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问题与证据</w:t>
            </w:r>
          </w:p>
        </w:tc>
      </w:tr>
      <w:tr w14:paraId="3BFB4919">
        <w:tblPrEx>
          <w:tblBorders>
            <w:top w:val="single" w:color="7F8C8D" w:sz="4" w:space="0"/>
            <w:left w:val="single" w:color="7F8C8D" w:sz="4" w:space="0"/>
            <w:bottom w:val="single" w:color="7F8C8D" w:sz="4" w:space="0"/>
            <w:right w:val="single" w:color="7F8C8D" w:sz="4" w:space="0"/>
            <w:insideH w:val="single" w:color="7F8C8D" w:sz="4" w:space="0"/>
            <w:insideV w:val="single" w:color="7F8C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06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4473EF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一般</w:t>
            </w:r>
          </w:p>
        </w:tc>
        <w:tc>
          <w:tcPr>
            <w:tcW w:w="249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A90F96">
            <w:pPr>
              <w:spacing w:after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2—8、284—286</w:t>
            </w:r>
          </w:p>
        </w:tc>
        <w:tc>
          <w:tcPr>
            <w:tcW w:w="56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B5E877">
            <w:pPr>
              <w:spacing w:after="0" w:line="259" w:lineRule="auto"/>
              <w:jc w:val="left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前置材料没有图目录、表目录，文末没有参考文献</w:t>
            </w:r>
            <w:r>
              <w:br w:type="textWrapping"/>
            </w: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证据：</w:t>
            </w: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PDF第2—3页为前言，第4—5页只有正文目录，第6—8页为摘要；第284—286页第八章结束后直接到文末，未设置图目录、表目录和参考文献。</w:t>
            </w:r>
          </w:p>
        </w:tc>
      </w:tr>
      <w:tr w14:paraId="33B4967A">
        <w:tblPrEx>
          <w:tblBorders>
            <w:top w:val="single" w:color="7F8C8D" w:sz="4" w:space="0"/>
            <w:left w:val="single" w:color="7F8C8D" w:sz="4" w:space="0"/>
            <w:bottom w:val="single" w:color="7F8C8D" w:sz="4" w:space="0"/>
            <w:right w:val="single" w:color="7F8C8D" w:sz="4" w:space="0"/>
            <w:insideH w:val="single" w:color="7F8C8D" w:sz="4" w:space="0"/>
            <w:insideV w:val="single" w:color="7F8C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06" w:type="dxa"/>
            <w:shd w:val="clear" w:color="auto" w:fill="FCE5C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A255DA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重要</w:t>
            </w:r>
          </w:p>
        </w:tc>
        <w:tc>
          <w:tcPr>
            <w:tcW w:w="249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EA1610">
            <w:pPr>
              <w:spacing w:after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12、168—182、226、250</w:t>
            </w:r>
          </w:p>
        </w:tc>
        <w:tc>
          <w:tcPr>
            <w:tcW w:w="56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DB538C">
            <w:pPr>
              <w:spacing w:after="0" w:line="259" w:lineRule="auto"/>
              <w:jc w:val="left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主要数据来源表没有覆盖正文实际使用的关键数据</w:t>
            </w:r>
            <w:r>
              <w:br w:type="textWrapping"/>
            </w: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证据：</w:t>
            </w: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PDF第12页表1.1只列土地利用现状、二普剖面描述和DEM三项数据；第168—182页属性制图实际使用三普样点、土壤类型、温度、相对湿度、降水、NDVI、SAVI、地表温度、蒸散发等数据，第226页适宜性评价还列气候、水文和图件资料，第250页耕地质量评价使用农田管理资料。上述数据的格式、时间和来源未在表1.1追溯。</w:t>
            </w:r>
          </w:p>
        </w:tc>
      </w:tr>
    </w:tbl>
    <w:p w14:paraId="3423F7A8">
      <w:pPr>
        <w:spacing w:after="0" w:line="96" w:lineRule="auto"/>
      </w:pPr>
    </w:p>
    <w:p w14:paraId="41D09341">
      <w:pPr>
        <w:pStyle w:val="4"/>
        <w:keepNext/>
        <w:spacing w:before="120" w:after="80"/>
      </w:pPr>
      <w:r>
        <w:rPr>
          <w:rFonts w:ascii="微软雅黑" w:hAnsi="微软雅黑" w:eastAsia="微软雅黑" w:cs="微软雅黑"/>
          <w:b/>
          <w:color w:val="1F4E79"/>
          <w:sz w:val="24"/>
        </w:rPr>
        <w:t>问题类别二：第二章区域概况与本地衔接</w:t>
      </w:r>
    </w:p>
    <w:tbl>
      <w:tblPr>
        <w:tblStyle w:val="35"/>
        <w:tblW w:w="0" w:type="auto"/>
        <w:jc w:val="center"/>
        <w:tblBorders>
          <w:top w:val="single" w:color="7F8C8D" w:sz="4" w:space="0"/>
          <w:left w:val="single" w:color="7F8C8D" w:sz="4" w:space="0"/>
          <w:bottom w:val="single" w:color="7F8C8D" w:sz="4" w:space="0"/>
          <w:right w:val="single" w:color="7F8C8D" w:sz="4" w:space="0"/>
          <w:insideH w:val="single" w:color="7F8C8D" w:sz="4" w:space="0"/>
          <w:insideV w:val="single" w:color="7F8C8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6"/>
        <w:gridCol w:w="2490"/>
        <w:gridCol w:w="5685"/>
      </w:tblGrid>
      <w:tr w14:paraId="30E999E8">
        <w:tblPrEx>
          <w:tblBorders>
            <w:top w:val="single" w:color="7F8C8D" w:sz="4" w:space="0"/>
            <w:left w:val="single" w:color="7F8C8D" w:sz="4" w:space="0"/>
            <w:bottom w:val="single" w:color="7F8C8D" w:sz="4" w:space="0"/>
            <w:right w:val="single" w:color="7F8C8D" w:sz="4" w:space="0"/>
            <w:insideH w:val="single" w:color="7F8C8D" w:sz="4" w:space="0"/>
            <w:insideV w:val="single" w:color="7F8C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106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77FBC7">
            <w:pPr>
              <w:keepNext/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级别</w:t>
            </w:r>
          </w:p>
        </w:tc>
        <w:tc>
          <w:tcPr>
            <w:tcW w:w="2490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76745E">
            <w:pPr>
              <w:keepNext/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PDF页</w:t>
            </w:r>
          </w:p>
        </w:tc>
        <w:tc>
          <w:tcPr>
            <w:tcW w:w="5685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9FABC1">
            <w:pPr>
              <w:keepNext/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问题与证据</w:t>
            </w:r>
          </w:p>
        </w:tc>
      </w:tr>
      <w:tr w14:paraId="0BA8FD99">
        <w:tblPrEx>
          <w:tblBorders>
            <w:top w:val="single" w:color="7F8C8D" w:sz="4" w:space="0"/>
            <w:left w:val="single" w:color="7F8C8D" w:sz="4" w:space="0"/>
            <w:bottom w:val="single" w:color="7F8C8D" w:sz="4" w:space="0"/>
            <w:right w:val="single" w:color="7F8C8D" w:sz="4" w:space="0"/>
            <w:insideH w:val="single" w:color="7F8C8D" w:sz="4" w:space="0"/>
            <w:insideV w:val="single" w:color="7F8C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06" w:type="dxa"/>
            <w:shd w:val="clear" w:color="auto" w:fill="FCE5C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B67D4C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重要</w:t>
            </w:r>
          </w:p>
        </w:tc>
        <w:tc>
          <w:tcPr>
            <w:tcW w:w="249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81239C">
            <w:pPr>
              <w:spacing w:after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2、19</w:t>
            </w:r>
          </w:p>
        </w:tc>
        <w:tc>
          <w:tcPr>
            <w:tcW w:w="56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E2CA60">
            <w:pPr>
              <w:spacing w:after="0" w:line="259" w:lineRule="auto"/>
              <w:jc w:val="left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县域总面积采用968和991平方千米两种口径</w:t>
            </w:r>
            <w:r>
              <w:br w:type="textWrapping"/>
            </w: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证据：</w:t>
            </w: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PDF第2页前言写县域总面积968平方公里；第19页社会经济概况写县域总面积991平方千米。两处均未标注数据年份、边界范围或口径转换关系。</w:t>
            </w:r>
          </w:p>
        </w:tc>
      </w:tr>
    </w:tbl>
    <w:p w14:paraId="1C0352CC">
      <w:pPr>
        <w:spacing w:after="0" w:line="96" w:lineRule="auto"/>
      </w:pPr>
    </w:p>
    <w:p w14:paraId="7B8F6B3A">
      <w:pPr>
        <w:pStyle w:val="4"/>
        <w:keepNext/>
        <w:spacing w:before="120" w:after="80"/>
      </w:pPr>
      <w:r>
        <w:rPr>
          <w:rFonts w:ascii="微软雅黑" w:hAnsi="微软雅黑" w:eastAsia="微软雅黑" w:cs="微软雅黑"/>
          <w:b/>
          <w:color w:val="1F4E79"/>
          <w:sz w:val="24"/>
        </w:rPr>
        <w:t>问题类别三：第三章土壤类型与制图</w:t>
      </w:r>
    </w:p>
    <w:tbl>
      <w:tblPr>
        <w:tblStyle w:val="35"/>
        <w:tblW w:w="0" w:type="auto"/>
        <w:jc w:val="center"/>
        <w:tblBorders>
          <w:top w:val="single" w:color="7F8C8D" w:sz="4" w:space="0"/>
          <w:left w:val="single" w:color="7F8C8D" w:sz="4" w:space="0"/>
          <w:bottom w:val="single" w:color="7F8C8D" w:sz="4" w:space="0"/>
          <w:right w:val="single" w:color="7F8C8D" w:sz="4" w:space="0"/>
          <w:insideH w:val="single" w:color="7F8C8D" w:sz="4" w:space="0"/>
          <w:insideV w:val="single" w:color="7F8C8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6"/>
        <w:gridCol w:w="2490"/>
        <w:gridCol w:w="5685"/>
      </w:tblGrid>
      <w:tr w14:paraId="2A0B08C6">
        <w:tblPrEx>
          <w:tblBorders>
            <w:top w:val="single" w:color="7F8C8D" w:sz="4" w:space="0"/>
            <w:left w:val="single" w:color="7F8C8D" w:sz="4" w:space="0"/>
            <w:bottom w:val="single" w:color="7F8C8D" w:sz="4" w:space="0"/>
            <w:right w:val="single" w:color="7F8C8D" w:sz="4" w:space="0"/>
            <w:insideH w:val="single" w:color="7F8C8D" w:sz="4" w:space="0"/>
            <w:insideV w:val="single" w:color="7F8C8D" w:sz="4" w:space="0"/>
          </w:tblBorders>
        </w:tblPrEx>
        <w:trPr>
          <w:cantSplit/>
          <w:tblHeader/>
          <w:jc w:val="center"/>
        </w:trPr>
        <w:tc>
          <w:tcPr>
            <w:tcW w:w="2106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86FC1F">
            <w:pPr>
              <w:keepNext/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级别</w:t>
            </w:r>
          </w:p>
        </w:tc>
        <w:tc>
          <w:tcPr>
            <w:tcW w:w="2490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FF266B">
            <w:pPr>
              <w:keepNext/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PDF页</w:t>
            </w:r>
          </w:p>
        </w:tc>
        <w:tc>
          <w:tcPr>
            <w:tcW w:w="5685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D8789A">
            <w:pPr>
              <w:keepNext/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问题与证据</w:t>
            </w:r>
          </w:p>
        </w:tc>
      </w:tr>
      <w:tr w14:paraId="18CEF298">
        <w:tblPrEx>
          <w:tblBorders>
            <w:top w:val="single" w:color="7F8C8D" w:sz="4" w:space="0"/>
            <w:left w:val="single" w:color="7F8C8D" w:sz="4" w:space="0"/>
            <w:bottom w:val="single" w:color="7F8C8D" w:sz="4" w:space="0"/>
            <w:right w:val="single" w:color="7F8C8D" w:sz="4" w:space="0"/>
            <w:insideH w:val="single" w:color="7F8C8D" w:sz="4" w:space="0"/>
            <w:insideV w:val="single" w:color="7F8C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06" w:type="dxa"/>
            <w:shd w:val="clear" w:color="auto" w:fill="F4CCC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B74232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严重</w:t>
            </w:r>
          </w:p>
        </w:tc>
        <w:tc>
          <w:tcPr>
            <w:tcW w:w="249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5CAAB8">
            <w:pPr>
              <w:spacing w:after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2、6、19、101</w:t>
            </w:r>
          </w:p>
        </w:tc>
        <w:tc>
          <w:tcPr>
            <w:tcW w:w="56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4C6854">
            <w:pPr>
              <w:spacing w:after="0" w:line="259" w:lineRule="auto"/>
              <w:jc w:val="left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土壤类型总面积超过报告列示的县域总面积</w:t>
            </w:r>
            <w:r>
              <w:br w:type="textWrapping"/>
            </w: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证据：</w:t>
            </w: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PDF第6页和第101页列典型潮土296688亩、盐化潮土1197698亩，并在第101页汇总潮土面积1494386亩；县域总面积在第2页为968平方千米、第19页为991平方千米。即使采用较大的991平方千米口径，折合面积也只有1486500亩。</w:t>
            </w:r>
          </w:p>
        </w:tc>
      </w:tr>
      <w:tr w14:paraId="2606529F">
        <w:tblPrEx>
          <w:tblBorders>
            <w:top w:val="single" w:color="7F8C8D" w:sz="4" w:space="0"/>
            <w:left w:val="single" w:color="7F8C8D" w:sz="4" w:space="0"/>
            <w:bottom w:val="single" w:color="7F8C8D" w:sz="4" w:space="0"/>
            <w:right w:val="single" w:color="7F8C8D" w:sz="4" w:space="0"/>
            <w:insideH w:val="single" w:color="7F8C8D" w:sz="4" w:space="0"/>
            <w:insideV w:val="single" w:color="7F8C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06" w:type="dxa"/>
            <w:shd w:val="clear" w:color="auto" w:fill="FCE5C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174B9E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重要</w:t>
            </w:r>
          </w:p>
        </w:tc>
        <w:tc>
          <w:tcPr>
            <w:tcW w:w="249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BC3CE1">
            <w:pPr>
              <w:spacing w:after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99—100</w:t>
            </w:r>
          </w:p>
        </w:tc>
        <w:tc>
          <w:tcPr>
            <w:tcW w:w="56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AD1D3C">
            <w:pPr>
              <w:spacing w:after="0" w:line="259" w:lineRule="auto"/>
              <w:jc w:val="left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土壤类型验证的第二个错误点无法从文字说明追溯</w:t>
            </w:r>
            <w:r>
              <w:br w:type="textWrapping"/>
            </w: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证据：</w:t>
            </w: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PDF第100页表3.21把序号09和13标为“不一致”；页末错误说明的第一项对应序号09，第二项却把制图土种和验证土种均写为“均黏质轻度氯化物盐化潮土”，前后名称完全相同，不能对应表中序号13的实际差异，也无法据此追溯更正内容。</w:t>
            </w:r>
          </w:p>
        </w:tc>
      </w:tr>
    </w:tbl>
    <w:p w14:paraId="1B40DC25">
      <w:pPr>
        <w:spacing w:after="0" w:line="96" w:lineRule="auto"/>
      </w:pPr>
    </w:p>
    <w:p w14:paraId="129ADE20">
      <w:pPr>
        <w:pStyle w:val="4"/>
        <w:keepNext/>
        <w:spacing w:before="120" w:after="80"/>
      </w:pPr>
      <w:r>
        <w:rPr>
          <w:rFonts w:ascii="微软雅黑" w:hAnsi="微软雅黑" w:eastAsia="微软雅黑" w:cs="微软雅黑"/>
          <w:b/>
          <w:color w:val="1F4E79"/>
          <w:sz w:val="24"/>
        </w:rPr>
        <w:t>问题类别四：第四章土壤属性与制图</w:t>
      </w:r>
    </w:p>
    <w:tbl>
      <w:tblPr>
        <w:tblStyle w:val="35"/>
        <w:tblW w:w="0" w:type="auto"/>
        <w:jc w:val="center"/>
        <w:tblBorders>
          <w:top w:val="single" w:color="7F8C8D" w:sz="4" w:space="0"/>
          <w:left w:val="single" w:color="7F8C8D" w:sz="4" w:space="0"/>
          <w:bottom w:val="single" w:color="7F8C8D" w:sz="4" w:space="0"/>
          <w:right w:val="single" w:color="7F8C8D" w:sz="4" w:space="0"/>
          <w:insideH w:val="single" w:color="7F8C8D" w:sz="4" w:space="0"/>
          <w:insideV w:val="single" w:color="7F8C8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6"/>
        <w:gridCol w:w="2500"/>
        <w:gridCol w:w="5685"/>
      </w:tblGrid>
      <w:tr w14:paraId="24E61AA0">
        <w:tblPrEx>
          <w:tblBorders>
            <w:top w:val="single" w:color="7F8C8D" w:sz="4" w:space="0"/>
            <w:left w:val="single" w:color="7F8C8D" w:sz="4" w:space="0"/>
            <w:bottom w:val="single" w:color="7F8C8D" w:sz="4" w:space="0"/>
            <w:right w:val="single" w:color="7F8C8D" w:sz="4" w:space="0"/>
            <w:insideH w:val="single" w:color="7F8C8D" w:sz="4" w:space="0"/>
            <w:insideV w:val="single" w:color="7F8C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96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384B20">
            <w:pPr>
              <w:keepNext/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级别</w:t>
            </w:r>
          </w:p>
        </w:tc>
        <w:tc>
          <w:tcPr>
            <w:tcW w:w="2500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BECB7D">
            <w:pPr>
              <w:keepNext/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PDF页</w:t>
            </w:r>
          </w:p>
        </w:tc>
        <w:tc>
          <w:tcPr>
            <w:tcW w:w="5685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730D93">
            <w:pPr>
              <w:keepNext/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问题与证据</w:t>
            </w:r>
          </w:p>
        </w:tc>
      </w:tr>
      <w:tr w14:paraId="603DBF68">
        <w:tblPrEx>
          <w:tblBorders>
            <w:top w:val="single" w:color="7F8C8D" w:sz="4" w:space="0"/>
            <w:left w:val="single" w:color="7F8C8D" w:sz="4" w:space="0"/>
            <w:bottom w:val="single" w:color="7F8C8D" w:sz="4" w:space="0"/>
            <w:right w:val="single" w:color="7F8C8D" w:sz="4" w:space="0"/>
            <w:insideH w:val="single" w:color="7F8C8D" w:sz="4" w:space="0"/>
            <w:insideV w:val="single" w:color="7F8C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6" w:type="dxa"/>
            <w:shd w:val="clear" w:color="auto" w:fill="FCE5C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0DAB842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重要</w:t>
            </w:r>
          </w:p>
        </w:tc>
        <w:tc>
          <w:tcPr>
            <w:tcW w:w="25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AD4A08">
            <w:pPr>
              <w:spacing w:after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2、6、168</w:t>
            </w:r>
          </w:p>
        </w:tc>
        <w:tc>
          <w:tcPr>
            <w:tcW w:w="56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A7ED80">
            <w:pPr>
              <w:spacing w:after="0" w:line="259" w:lineRule="auto"/>
              <w:jc w:val="left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属性制图样点总数在同页出现667和677，筛选口径未说明</w:t>
            </w:r>
            <w:r>
              <w:br w:type="textWrapping"/>
            </w: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证据：</w:t>
            </w: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PDF第2、6页称外业样点678个，其中表层样点664个、剖面样点14个；第168页正文称共有667个土壤样点数据并以667个样点开展属性制图，但同页表4.55的pH、阳离子交换量、有机质、全氮、全磷、全钾等有效样点数均为677个。</w:t>
            </w:r>
          </w:p>
        </w:tc>
      </w:tr>
      <w:tr w14:paraId="6511A817">
        <w:tblPrEx>
          <w:tblBorders>
            <w:top w:val="single" w:color="7F8C8D" w:sz="4" w:space="0"/>
            <w:left w:val="single" w:color="7F8C8D" w:sz="4" w:space="0"/>
            <w:bottom w:val="single" w:color="7F8C8D" w:sz="4" w:space="0"/>
            <w:right w:val="single" w:color="7F8C8D" w:sz="4" w:space="0"/>
            <w:insideH w:val="single" w:color="7F8C8D" w:sz="4" w:space="0"/>
            <w:insideV w:val="single" w:color="7F8C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6" w:type="dxa"/>
            <w:shd w:val="clear" w:color="auto" w:fill="FCE5C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5AE099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重要</w:t>
            </w:r>
          </w:p>
        </w:tc>
        <w:tc>
          <w:tcPr>
            <w:tcW w:w="25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36195D">
            <w:pPr>
              <w:spacing w:after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14、196、198</w:t>
            </w:r>
          </w:p>
        </w:tc>
        <w:tc>
          <w:tcPr>
            <w:tcW w:w="56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3A7BDA">
            <w:pPr>
              <w:spacing w:after="0" w:line="259" w:lineRule="auto"/>
              <w:jc w:val="left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土壤属性制图方法的概述、正文和汇总表互相冲突</w:t>
            </w:r>
            <w:r>
              <w:br w:type="textWrapping"/>
            </w: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证据：</w:t>
            </w: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PDF第14页概述称土壤属性图采用普通克里格插值；第196页则明确有效硫、有效磷、全钾、有效锰采用随机森林，其他多数因子采用随机森林克里格；同页文字称有效锰采用随机森林，而第198页表4.61又把有效锰最优方法列为随机森林克里格。</w:t>
            </w:r>
          </w:p>
        </w:tc>
      </w:tr>
      <w:tr w14:paraId="510D1754">
        <w:tblPrEx>
          <w:tblBorders>
            <w:top w:val="single" w:color="7F8C8D" w:sz="4" w:space="0"/>
            <w:left w:val="single" w:color="7F8C8D" w:sz="4" w:space="0"/>
            <w:bottom w:val="single" w:color="7F8C8D" w:sz="4" w:space="0"/>
            <w:right w:val="single" w:color="7F8C8D" w:sz="4" w:space="0"/>
            <w:insideH w:val="single" w:color="7F8C8D" w:sz="4" w:space="0"/>
            <w:insideV w:val="single" w:color="7F8C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6" w:type="dxa"/>
            <w:shd w:val="clear" w:color="auto" w:fill="FCE5C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44A840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重要</w:t>
            </w:r>
          </w:p>
        </w:tc>
        <w:tc>
          <w:tcPr>
            <w:tcW w:w="25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EF6F9F">
            <w:pPr>
              <w:spacing w:after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184—195</w:t>
            </w:r>
          </w:p>
        </w:tc>
        <w:tc>
          <w:tcPr>
            <w:tcW w:w="56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7CBBED">
            <w:pPr>
              <w:spacing w:after="0" w:line="259" w:lineRule="auto"/>
              <w:jc w:val="left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“模型参数”部分没有给出最终模型的实际参数</w:t>
            </w:r>
            <w:r>
              <w:br w:type="textWrapping"/>
            </w: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证据：</w:t>
            </w: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PDF第184页说明GS+需确定模型、块金值、偏基台值和主要范围等参数；第185页“2.模型参数”开始后主要列示环境变量及其相关性，至第195页未给出随机森林树数量、变量抽样等参数，也未给出各克里格模型的变异函数、块金值、基台值、变程或搜索邻域等实际取值。</w:t>
            </w:r>
          </w:p>
        </w:tc>
      </w:tr>
      <w:tr w14:paraId="500ABB31">
        <w:tblPrEx>
          <w:tblBorders>
            <w:top w:val="single" w:color="7F8C8D" w:sz="4" w:space="0"/>
            <w:left w:val="single" w:color="7F8C8D" w:sz="4" w:space="0"/>
            <w:bottom w:val="single" w:color="7F8C8D" w:sz="4" w:space="0"/>
            <w:right w:val="single" w:color="7F8C8D" w:sz="4" w:space="0"/>
            <w:insideH w:val="single" w:color="7F8C8D" w:sz="4" w:space="0"/>
            <w:insideV w:val="single" w:color="7F8C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6" w:type="dxa"/>
            <w:shd w:val="clear" w:color="auto" w:fill="F4CCC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1699838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严重</w:t>
            </w:r>
          </w:p>
        </w:tc>
        <w:tc>
          <w:tcPr>
            <w:tcW w:w="25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C790C5">
            <w:pPr>
              <w:spacing w:after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196—199</w:t>
            </w:r>
          </w:p>
        </w:tc>
        <w:tc>
          <w:tcPr>
            <w:tcW w:w="56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9A5D7C">
            <w:pPr>
              <w:spacing w:after="0" w:line="259" w:lineRule="auto"/>
              <w:jc w:val="left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报告自定R²阈值与最终模型表直接冲突</w:t>
            </w:r>
            <w:r>
              <w:br w:type="textWrapping"/>
            </w: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证据：</w:t>
            </w: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PDF第196页明确写“一般决定系数R²应大于0.5以上”；表4.61列出的20项最终方法中，仅阳离子交换量0.62、有效土层厚度0.66达到0.5，其余18项最终方法的R²均低于0.5，正文没有调整阈值、解释例外或说明验收依据。</w:t>
            </w:r>
          </w:p>
        </w:tc>
      </w:tr>
      <w:tr w14:paraId="560BF862">
        <w:tblPrEx>
          <w:tblBorders>
            <w:top w:val="single" w:color="7F8C8D" w:sz="4" w:space="0"/>
            <w:left w:val="single" w:color="7F8C8D" w:sz="4" w:space="0"/>
            <w:bottom w:val="single" w:color="7F8C8D" w:sz="4" w:space="0"/>
            <w:right w:val="single" w:color="7F8C8D" w:sz="4" w:space="0"/>
            <w:insideH w:val="single" w:color="7F8C8D" w:sz="4" w:space="0"/>
            <w:insideV w:val="single" w:color="7F8C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6" w:type="dxa"/>
            <w:shd w:val="clear" w:color="auto" w:fill="FCE5C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FD8F32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重要</w:t>
            </w:r>
          </w:p>
        </w:tc>
        <w:tc>
          <w:tcPr>
            <w:tcW w:w="25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14A908">
            <w:pPr>
              <w:spacing w:after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199—200</w:t>
            </w:r>
          </w:p>
        </w:tc>
        <w:tc>
          <w:tcPr>
            <w:tcW w:w="56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4932DD">
            <w:pPr>
              <w:spacing w:after="0" w:line="259" w:lineRule="auto"/>
              <w:jc w:val="left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空间分布验证没有给出可复核的量化结果</w:t>
            </w:r>
            <w:r>
              <w:br w:type="textWrapping"/>
            </w: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证据：</w:t>
            </w: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PDF第199页称将统计样点等级与栅格等级的一致性比例，并据此验证全部属性；实际只以有机质作定性说明，未给出验证样点数量、一致数量或比例、分属性结果、误差点清单和修正记录，第200页即进入小结。</w:t>
            </w:r>
          </w:p>
        </w:tc>
      </w:tr>
      <w:tr w14:paraId="7F55BA24">
        <w:tblPrEx>
          <w:tblBorders>
            <w:top w:val="single" w:color="7F8C8D" w:sz="4" w:space="0"/>
            <w:left w:val="single" w:color="7F8C8D" w:sz="4" w:space="0"/>
            <w:bottom w:val="single" w:color="7F8C8D" w:sz="4" w:space="0"/>
            <w:right w:val="single" w:color="7F8C8D" w:sz="4" w:space="0"/>
            <w:insideH w:val="single" w:color="7F8C8D" w:sz="4" w:space="0"/>
            <w:insideV w:val="single" w:color="7F8C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6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E4E13B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一般</w:t>
            </w:r>
          </w:p>
        </w:tc>
        <w:tc>
          <w:tcPr>
            <w:tcW w:w="25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51FFC1">
            <w:pPr>
              <w:spacing w:after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115、117—119</w:t>
            </w:r>
          </w:p>
        </w:tc>
        <w:tc>
          <w:tcPr>
            <w:tcW w:w="56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795474">
            <w:pPr>
              <w:spacing w:after="0" w:line="259" w:lineRule="auto"/>
              <w:jc w:val="left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耕层厚度、容重和酸碱度表的计量单位明显错置</w:t>
            </w:r>
            <w:r>
              <w:br w:type="textWrapping"/>
            </w: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证据：</w:t>
            </w: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PDF第115页表4.5把耕层厚度的均值、中位值、范围和制图均值统一标为g/kg，而正文使用cm；第117页表4.8把土壤容重标为g/kg，而正文使用g/cm³；第118—119页把无量纲的pH均值和范围写为g/kg。</w:t>
            </w:r>
          </w:p>
        </w:tc>
      </w:tr>
    </w:tbl>
    <w:p w14:paraId="3CE3BAD4">
      <w:pPr>
        <w:spacing w:after="0" w:line="96" w:lineRule="auto"/>
      </w:pPr>
    </w:p>
    <w:p w14:paraId="7104B895">
      <w:pPr>
        <w:pStyle w:val="4"/>
        <w:keepNext/>
        <w:spacing w:before="120" w:after="80"/>
      </w:pPr>
      <w:r>
        <w:rPr>
          <w:rFonts w:ascii="微软雅黑" w:hAnsi="微软雅黑" w:eastAsia="微软雅黑" w:cs="微软雅黑"/>
          <w:b/>
          <w:color w:val="1F4E79"/>
          <w:sz w:val="24"/>
        </w:rPr>
        <w:t>问题类别五：第五章退化、障碍与改良</w:t>
      </w:r>
    </w:p>
    <w:tbl>
      <w:tblPr>
        <w:tblStyle w:val="35"/>
        <w:tblW w:w="0" w:type="auto"/>
        <w:jc w:val="center"/>
        <w:tblBorders>
          <w:top w:val="single" w:color="7F8C8D" w:sz="4" w:space="0"/>
          <w:left w:val="single" w:color="7F8C8D" w:sz="4" w:space="0"/>
          <w:bottom w:val="single" w:color="7F8C8D" w:sz="4" w:space="0"/>
          <w:right w:val="single" w:color="7F8C8D" w:sz="4" w:space="0"/>
          <w:insideH w:val="single" w:color="7F8C8D" w:sz="4" w:space="0"/>
          <w:insideV w:val="single" w:color="7F8C8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6"/>
        <w:gridCol w:w="2500"/>
        <w:gridCol w:w="5685"/>
      </w:tblGrid>
      <w:tr w14:paraId="0D4597BC">
        <w:tblPrEx>
          <w:tblBorders>
            <w:top w:val="single" w:color="7F8C8D" w:sz="4" w:space="0"/>
            <w:left w:val="single" w:color="7F8C8D" w:sz="4" w:space="0"/>
            <w:bottom w:val="single" w:color="7F8C8D" w:sz="4" w:space="0"/>
            <w:right w:val="single" w:color="7F8C8D" w:sz="4" w:space="0"/>
            <w:insideH w:val="single" w:color="7F8C8D" w:sz="4" w:space="0"/>
            <w:insideV w:val="single" w:color="7F8C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96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0AF2DD">
            <w:pPr>
              <w:keepNext/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级别</w:t>
            </w:r>
          </w:p>
        </w:tc>
        <w:tc>
          <w:tcPr>
            <w:tcW w:w="2500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E0807F">
            <w:pPr>
              <w:keepNext/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PDF页</w:t>
            </w:r>
          </w:p>
        </w:tc>
        <w:tc>
          <w:tcPr>
            <w:tcW w:w="5685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A1EADB">
            <w:pPr>
              <w:keepNext/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问题与证据</w:t>
            </w:r>
          </w:p>
        </w:tc>
      </w:tr>
      <w:tr w14:paraId="19C71008">
        <w:tblPrEx>
          <w:tblBorders>
            <w:top w:val="single" w:color="7F8C8D" w:sz="4" w:space="0"/>
            <w:left w:val="single" w:color="7F8C8D" w:sz="4" w:space="0"/>
            <w:bottom w:val="single" w:color="7F8C8D" w:sz="4" w:space="0"/>
            <w:right w:val="single" w:color="7F8C8D" w:sz="4" w:space="0"/>
            <w:insideH w:val="single" w:color="7F8C8D" w:sz="4" w:space="0"/>
            <w:insideV w:val="single" w:color="7F8C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6" w:type="dxa"/>
            <w:shd w:val="clear" w:color="auto" w:fill="FCE5C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A0B72B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重要</w:t>
            </w:r>
          </w:p>
        </w:tc>
        <w:tc>
          <w:tcPr>
            <w:tcW w:w="25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F607D3">
            <w:pPr>
              <w:spacing w:after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4、204—225、281—283</w:t>
            </w:r>
          </w:p>
        </w:tc>
        <w:tc>
          <w:tcPr>
            <w:tcW w:w="56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9AD750">
            <w:pPr>
              <w:spacing w:after="0" w:line="259" w:lineRule="auto"/>
              <w:jc w:val="left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第五章只评价盐渍化，其他已识别障碍没有形成专题闭环</w:t>
            </w:r>
            <w:r>
              <w:br w:type="textWrapping"/>
            </w: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证据：</w:t>
            </w: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PDF第4页目录及第204—225页完整第五章仅设置“土壤盐渍化”和改良对策；第281—283页又明确识别紧实型土体、板结、质地失衡、有效磷不足等障碍，但第五章没有给出这些障碍的分级依据、面积、空间分布、成因和专项改良结果，也未说明不适用。</w:t>
            </w:r>
          </w:p>
        </w:tc>
      </w:tr>
      <w:tr w14:paraId="3FE315E6">
        <w:tblPrEx>
          <w:tblBorders>
            <w:top w:val="single" w:color="7F8C8D" w:sz="4" w:space="0"/>
            <w:left w:val="single" w:color="7F8C8D" w:sz="4" w:space="0"/>
            <w:bottom w:val="single" w:color="7F8C8D" w:sz="4" w:space="0"/>
            <w:right w:val="single" w:color="7F8C8D" w:sz="4" w:space="0"/>
            <w:insideH w:val="single" w:color="7F8C8D" w:sz="4" w:space="0"/>
            <w:insideV w:val="single" w:color="7F8C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6" w:type="dxa"/>
            <w:shd w:val="clear" w:color="auto" w:fill="FCE5C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BB55B0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重要</w:t>
            </w:r>
          </w:p>
        </w:tc>
        <w:tc>
          <w:tcPr>
            <w:tcW w:w="25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02D5AA7">
            <w:pPr>
              <w:spacing w:after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217—219</w:t>
            </w:r>
          </w:p>
        </w:tc>
        <w:tc>
          <w:tcPr>
            <w:tcW w:w="56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A61D43">
            <w:pPr>
              <w:spacing w:after="0" w:line="259" w:lineRule="auto"/>
              <w:jc w:val="left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2024年盐渍化分级面积为零却写有0.1%的重度及其他类型</w:t>
            </w:r>
            <w:r>
              <w:br w:type="textWrapping"/>
            </w: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证据：</w:t>
            </w: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PDF第217页和第218页表5.4均列轻度745047亩、中度21454亩，重度、盐土、碱化土和碱土全部为0，轻度与中度之和正好等于总面积766501亩；第219页却写重度盐碱地及其他类型面积相对较小、共占0.1%。</w:t>
            </w:r>
          </w:p>
        </w:tc>
      </w:tr>
      <w:tr w14:paraId="43D89FCB">
        <w:tblPrEx>
          <w:tblBorders>
            <w:top w:val="single" w:color="7F8C8D" w:sz="4" w:space="0"/>
            <w:left w:val="single" w:color="7F8C8D" w:sz="4" w:space="0"/>
            <w:bottom w:val="single" w:color="7F8C8D" w:sz="4" w:space="0"/>
            <w:right w:val="single" w:color="7F8C8D" w:sz="4" w:space="0"/>
            <w:insideH w:val="single" w:color="7F8C8D" w:sz="4" w:space="0"/>
            <w:insideV w:val="single" w:color="7F8C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6" w:type="dxa"/>
            <w:shd w:val="clear" w:color="auto" w:fill="FCE5C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0AFE44C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重要</w:t>
            </w:r>
          </w:p>
        </w:tc>
        <w:tc>
          <w:tcPr>
            <w:tcW w:w="25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965FD3">
            <w:pPr>
              <w:spacing w:after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217—219</w:t>
            </w:r>
          </w:p>
        </w:tc>
        <w:tc>
          <w:tcPr>
            <w:tcW w:w="56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22B7A9">
            <w:pPr>
              <w:spacing w:after="0" w:line="259" w:lineRule="auto"/>
              <w:jc w:val="left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二普盐碱地分级分项合计超过所列总面积</w:t>
            </w:r>
            <w:r>
              <w:br w:type="textWrapping"/>
            </w: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证据：</w:t>
            </w: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PDF第219页写二普盐碱地总面积127400亩，其中轻度68100亩、中度57100亩、重度2200亩，三项已经合计127400亩；同句又列盐土24700亩、碱化土2100亩。第217—218页现状分类把轻度、中度、重度、盐土、碱化土和碱土作为并列类型。</w:t>
            </w:r>
          </w:p>
        </w:tc>
      </w:tr>
      <w:tr w14:paraId="44866DC4">
        <w:tblPrEx>
          <w:tblBorders>
            <w:top w:val="single" w:color="7F8C8D" w:sz="4" w:space="0"/>
            <w:left w:val="single" w:color="7F8C8D" w:sz="4" w:space="0"/>
            <w:bottom w:val="single" w:color="7F8C8D" w:sz="4" w:space="0"/>
            <w:right w:val="single" w:color="7F8C8D" w:sz="4" w:space="0"/>
            <w:insideH w:val="single" w:color="7F8C8D" w:sz="4" w:space="0"/>
            <w:insideV w:val="single" w:color="7F8C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6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2D1BFD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一般</w:t>
            </w:r>
          </w:p>
        </w:tc>
        <w:tc>
          <w:tcPr>
            <w:tcW w:w="25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17839F">
            <w:pPr>
              <w:spacing w:after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218—219</w:t>
            </w:r>
          </w:p>
        </w:tc>
        <w:tc>
          <w:tcPr>
            <w:tcW w:w="56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3F4088">
            <w:pPr>
              <w:spacing w:after="0" w:line="259" w:lineRule="auto"/>
              <w:jc w:val="left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青县农场盐碱地面积在相邻表中相差1亩</w:t>
            </w:r>
            <w:r>
              <w:br w:type="textWrapping"/>
            </w: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证据：</w:t>
            </w: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PDF第218页正文和表5.4均列青县农场盐碱地20076亩；第219页表5.6列为20077亩，其分项17464、513、1902、198亩相加也为20077亩。</w:t>
            </w:r>
          </w:p>
        </w:tc>
      </w:tr>
    </w:tbl>
    <w:p w14:paraId="78F4F99F">
      <w:pPr>
        <w:spacing w:after="0" w:line="96" w:lineRule="auto"/>
      </w:pPr>
    </w:p>
    <w:p w14:paraId="55216FF8">
      <w:pPr>
        <w:pStyle w:val="4"/>
        <w:keepNext/>
        <w:spacing w:before="120" w:after="80"/>
      </w:pPr>
      <w:r>
        <w:rPr>
          <w:rFonts w:ascii="微软雅黑" w:hAnsi="微软雅黑" w:eastAsia="微软雅黑" w:cs="微软雅黑"/>
          <w:b/>
          <w:color w:val="1F4E79"/>
          <w:sz w:val="24"/>
        </w:rPr>
        <w:t>问题类别六：专题评价</w:t>
      </w:r>
    </w:p>
    <w:tbl>
      <w:tblPr>
        <w:tblStyle w:val="35"/>
        <w:tblW w:w="0" w:type="auto"/>
        <w:jc w:val="center"/>
        <w:tblBorders>
          <w:top w:val="single" w:color="7F8C8D" w:sz="4" w:space="0"/>
          <w:left w:val="single" w:color="7F8C8D" w:sz="4" w:space="0"/>
          <w:bottom w:val="single" w:color="7F8C8D" w:sz="4" w:space="0"/>
          <w:right w:val="single" w:color="7F8C8D" w:sz="4" w:space="0"/>
          <w:insideH w:val="single" w:color="7F8C8D" w:sz="4" w:space="0"/>
          <w:insideV w:val="single" w:color="7F8C8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6"/>
        <w:gridCol w:w="2470"/>
        <w:gridCol w:w="5705"/>
      </w:tblGrid>
      <w:tr w14:paraId="38C3BEF2">
        <w:tblPrEx>
          <w:tblBorders>
            <w:top w:val="single" w:color="7F8C8D" w:sz="4" w:space="0"/>
            <w:left w:val="single" w:color="7F8C8D" w:sz="4" w:space="0"/>
            <w:bottom w:val="single" w:color="7F8C8D" w:sz="4" w:space="0"/>
            <w:right w:val="single" w:color="7F8C8D" w:sz="4" w:space="0"/>
            <w:insideH w:val="single" w:color="7F8C8D" w:sz="4" w:space="0"/>
            <w:insideV w:val="single" w:color="7F8C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106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5137F3">
            <w:pPr>
              <w:keepNext/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级别</w:t>
            </w:r>
          </w:p>
        </w:tc>
        <w:tc>
          <w:tcPr>
            <w:tcW w:w="2470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94ED4F">
            <w:pPr>
              <w:keepNext/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PDF页</w:t>
            </w:r>
          </w:p>
        </w:tc>
        <w:tc>
          <w:tcPr>
            <w:tcW w:w="5705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9576F5">
            <w:pPr>
              <w:keepNext/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问题与证据</w:t>
            </w:r>
          </w:p>
        </w:tc>
      </w:tr>
      <w:tr w14:paraId="3881784A">
        <w:tblPrEx>
          <w:tblBorders>
            <w:top w:val="single" w:color="7F8C8D" w:sz="4" w:space="0"/>
            <w:left w:val="single" w:color="7F8C8D" w:sz="4" w:space="0"/>
            <w:bottom w:val="single" w:color="7F8C8D" w:sz="4" w:space="0"/>
            <w:right w:val="single" w:color="7F8C8D" w:sz="4" w:space="0"/>
            <w:insideH w:val="single" w:color="7F8C8D" w:sz="4" w:space="0"/>
            <w:insideV w:val="single" w:color="7F8C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06" w:type="dxa"/>
            <w:shd w:val="clear" w:color="auto" w:fill="F4CCC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3003B2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严重</w:t>
            </w:r>
          </w:p>
        </w:tc>
        <w:tc>
          <w:tcPr>
            <w:tcW w:w="247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6BDB5A">
            <w:pPr>
              <w:spacing w:after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3、228、234—235</w:t>
            </w:r>
          </w:p>
        </w:tc>
        <w:tc>
          <w:tcPr>
            <w:tcW w:w="570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41217B">
            <w:pPr>
              <w:spacing w:after="0" w:line="259" w:lineRule="auto"/>
              <w:jc w:val="left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前言称局部重金属轻微超标，但适宜性评价未纳入相应限制因子</w:t>
            </w:r>
            <w:r>
              <w:br w:type="textWrapping"/>
            </w: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证据：</w:t>
            </w: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PDF第3页称已开展土壤环境质量风险筛查并发现局部地块重金属轻微超标；第228页适宜性评价只选择土壤质地、水资源保障、排水、盐碱化、pH和有机质六项限制因素；第234页表6.14注释又明确重金属污染指标需在适宜程度中考虑，污染地块应下调一级。报告没有说明重金属超标地块如何进入评价，也未列相应面积和调整结果。</w:t>
            </w:r>
          </w:p>
        </w:tc>
      </w:tr>
      <w:tr w14:paraId="4341232D">
        <w:tblPrEx>
          <w:tblBorders>
            <w:top w:val="single" w:color="7F8C8D" w:sz="4" w:space="0"/>
            <w:left w:val="single" w:color="7F8C8D" w:sz="4" w:space="0"/>
            <w:bottom w:val="single" w:color="7F8C8D" w:sz="4" w:space="0"/>
            <w:right w:val="single" w:color="7F8C8D" w:sz="4" w:space="0"/>
            <w:insideH w:val="single" w:color="7F8C8D" w:sz="4" w:space="0"/>
            <w:insideV w:val="single" w:color="7F8C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06" w:type="dxa"/>
            <w:shd w:val="clear" w:color="auto" w:fill="FCE5C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2F771F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重要</w:t>
            </w:r>
          </w:p>
        </w:tc>
        <w:tc>
          <w:tcPr>
            <w:tcW w:w="247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BC12A4">
            <w:pPr>
              <w:spacing w:after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235—247</w:t>
            </w:r>
          </w:p>
        </w:tc>
        <w:tc>
          <w:tcPr>
            <w:tcW w:w="570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A85C86">
            <w:pPr>
              <w:spacing w:after="0" w:line="259" w:lineRule="auto"/>
              <w:jc w:val="left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适宜性评价只给出专家验证结论，没有实际验证记录</w:t>
            </w:r>
            <w:r>
              <w:br w:type="textWrapping"/>
            </w: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证据：</w:t>
            </w: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PDF第235页“评价结果验证与修正”只称专家组开展实地复核并认定结果科学准确，未列专家组成、复核时间、点位或图斑数量、实测限制因子、符合/不符合数量、修正清单和修正前后结果；第236—247页直接进入统计分析和建议。</w:t>
            </w:r>
          </w:p>
        </w:tc>
      </w:tr>
      <w:tr w14:paraId="3E62CA9E">
        <w:tblPrEx>
          <w:tblBorders>
            <w:top w:val="single" w:color="7F8C8D" w:sz="4" w:space="0"/>
            <w:left w:val="single" w:color="7F8C8D" w:sz="4" w:space="0"/>
            <w:bottom w:val="single" w:color="7F8C8D" w:sz="4" w:space="0"/>
            <w:right w:val="single" w:color="7F8C8D" w:sz="4" w:space="0"/>
            <w:insideH w:val="single" w:color="7F8C8D" w:sz="4" w:space="0"/>
            <w:insideV w:val="single" w:color="7F8C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06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480323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一般</w:t>
            </w:r>
          </w:p>
        </w:tc>
        <w:tc>
          <w:tcPr>
            <w:tcW w:w="247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DAA142">
            <w:pPr>
              <w:spacing w:after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235、245—246</w:t>
            </w:r>
          </w:p>
        </w:tc>
        <w:tc>
          <w:tcPr>
            <w:tcW w:w="570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DFE502">
            <w:pPr>
              <w:spacing w:after="0" w:line="259" w:lineRule="auto"/>
              <w:jc w:val="left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把评价区面积占比87.7%误写为耕地占比</w:t>
            </w:r>
            <w:r>
              <w:br w:type="textWrapping"/>
            </w: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证据：</w:t>
            </w: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PDF第235页表6.15显示勉强适宜宜耕面积962383亩，占全部评价面积87.7%；第245页又明确1077677亩宜耕土地中，现状耕地只有937262亩；第246页却写“全县87.7%耕地为勉强适宜地块”。</w:t>
            </w:r>
          </w:p>
        </w:tc>
      </w:tr>
      <w:tr w14:paraId="5E7F011E">
        <w:tblPrEx>
          <w:tblBorders>
            <w:top w:val="single" w:color="7F8C8D" w:sz="4" w:space="0"/>
            <w:left w:val="single" w:color="7F8C8D" w:sz="4" w:space="0"/>
            <w:bottom w:val="single" w:color="7F8C8D" w:sz="4" w:space="0"/>
            <w:right w:val="single" w:color="7F8C8D" w:sz="4" w:space="0"/>
            <w:insideH w:val="single" w:color="7F8C8D" w:sz="4" w:space="0"/>
            <w:insideV w:val="single" w:color="7F8C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06" w:type="dxa"/>
            <w:shd w:val="clear" w:color="auto" w:fill="FCE5C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136F64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重要</w:t>
            </w:r>
          </w:p>
        </w:tc>
        <w:tc>
          <w:tcPr>
            <w:tcW w:w="247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63D257">
            <w:pPr>
              <w:spacing w:after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256、259—260</w:t>
            </w:r>
          </w:p>
        </w:tc>
        <w:tc>
          <w:tcPr>
            <w:tcW w:w="570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86E160">
            <w:pPr>
              <w:spacing w:after="0" w:line="259" w:lineRule="auto"/>
              <w:jc w:val="left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耕地质量验证采用本年度不存在的一等地和十等地作对比</w:t>
            </w:r>
            <w:r>
              <w:br w:type="textWrapping"/>
            </w: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证据：</w:t>
            </w: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PDF第256页称通过比较一等地与十等地的有机质、有效土层厚度发现显著梯度，并称近三年产量和近五年统计单产验证吻合；第259—260页表7.8显示本年度一等地和十等地面积均为0，实际只有二至五等，且验证小节未给出三年产量、五年单产、样本数、差异值或拟合指标。</w:t>
            </w:r>
          </w:p>
        </w:tc>
      </w:tr>
      <w:tr w14:paraId="6B9B8AEF">
        <w:tblPrEx>
          <w:tblBorders>
            <w:top w:val="single" w:color="7F8C8D" w:sz="4" w:space="0"/>
            <w:left w:val="single" w:color="7F8C8D" w:sz="4" w:space="0"/>
            <w:bottom w:val="single" w:color="7F8C8D" w:sz="4" w:space="0"/>
            <w:right w:val="single" w:color="7F8C8D" w:sz="4" w:space="0"/>
            <w:insideH w:val="single" w:color="7F8C8D" w:sz="4" w:space="0"/>
            <w:insideV w:val="single" w:color="7F8C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06" w:type="dxa"/>
            <w:shd w:val="clear" w:color="auto" w:fill="FCE5C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94C441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重要</w:t>
            </w:r>
          </w:p>
        </w:tc>
        <w:tc>
          <w:tcPr>
            <w:tcW w:w="247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DA374C">
            <w:pPr>
              <w:spacing w:after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2—5、284—286</w:t>
            </w:r>
          </w:p>
        </w:tc>
        <w:tc>
          <w:tcPr>
            <w:tcW w:w="570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FB909E">
            <w:pPr>
              <w:spacing w:after="0" w:line="259" w:lineRule="auto"/>
              <w:jc w:val="left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报告没有形成土特产品适宜性专题，也未说明任务不适用</w:t>
            </w:r>
            <w:r>
              <w:br w:type="textWrapping"/>
            </w: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证据：</w:t>
            </w: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PDF第2页列举大白菜、羊角脆甜瓜、盘古冬枣等特色农产品，第3页还称重点开展了特色农产品产区土壤适宜性评价；但第4—5页目录从第七章直接进入“第八章 土壤资源综合利用建议”，第284—286页正文也只有综合建议，没有产品生态土壤要求、指标体系、评价单元、分区、面积、限制因素和验证，也没有未开展或不适用说明。</w:t>
            </w:r>
          </w:p>
        </w:tc>
      </w:tr>
    </w:tbl>
    <w:p w14:paraId="47202AA6">
      <w:pPr>
        <w:spacing w:after="0" w:line="96" w:lineRule="auto"/>
      </w:pPr>
    </w:p>
    <w:p w14:paraId="44548BF7">
      <w:pPr>
        <w:pStyle w:val="4"/>
        <w:keepNext/>
        <w:spacing w:before="120" w:after="80"/>
      </w:pPr>
      <w:r>
        <w:rPr>
          <w:rFonts w:ascii="微软雅黑" w:hAnsi="微软雅黑" w:eastAsia="微软雅黑" w:cs="微软雅黑"/>
          <w:b/>
          <w:color w:val="1F4E79"/>
          <w:sz w:val="24"/>
        </w:rPr>
        <w:t>问题类别八：章节、专题及面积口径一致性</w:t>
      </w:r>
    </w:p>
    <w:tbl>
      <w:tblPr>
        <w:tblStyle w:val="35"/>
        <w:tblW w:w="0" w:type="auto"/>
        <w:jc w:val="center"/>
        <w:tblBorders>
          <w:top w:val="single" w:color="7F8C8D" w:sz="4" w:space="0"/>
          <w:left w:val="single" w:color="7F8C8D" w:sz="4" w:space="0"/>
          <w:bottom w:val="single" w:color="7F8C8D" w:sz="4" w:space="0"/>
          <w:right w:val="single" w:color="7F8C8D" w:sz="4" w:space="0"/>
          <w:insideH w:val="single" w:color="7F8C8D" w:sz="4" w:space="0"/>
          <w:insideV w:val="single" w:color="7F8C8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6"/>
        <w:gridCol w:w="2440"/>
        <w:gridCol w:w="5725"/>
      </w:tblGrid>
      <w:tr w14:paraId="0C7B617D">
        <w:tblPrEx>
          <w:tblBorders>
            <w:top w:val="single" w:color="7F8C8D" w:sz="4" w:space="0"/>
            <w:left w:val="single" w:color="7F8C8D" w:sz="4" w:space="0"/>
            <w:bottom w:val="single" w:color="7F8C8D" w:sz="4" w:space="0"/>
            <w:right w:val="single" w:color="7F8C8D" w:sz="4" w:space="0"/>
            <w:insideH w:val="single" w:color="7F8C8D" w:sz="4" w:space="0"/>
            <w:insideV w:val="single" w:color="7F8C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116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64A37C">
            <w:pPr>
              <w:keepNext/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级别</w:t>
            </w:r>
          </w:p>
        </w:tc>
        <w:tc>
          <w:tcPr>
            <w:tcW w:w="2440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A0A8FB">
            <w:pPr>
              <w:keepNext/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PDF页</w:t>
            </w:r>
          </w:p>
        </w:tc>
        <w:tc>
          <w:tcPr>
            <w:tcW w:w="5725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40DE23">
            <w:pPr>
              <w:keepNext/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问题与证据</w:t>
            </w:r>
          </w:p>
        </w:tc>
      </w:tr>
      <w:tr w14:paraId="0E07E7EB">
        <w:tblPrEx>
          <w:tblBorders>
            <w:top w:val="single" w:color="7F8C8D" w:sz="4" w:space="0"/>
            <w:left w:val="single" w:color="7F8C8D" w:sz="4" w:space="0"/>
            <w:bottom w:val="single" w:color="7F8C8D" w:sz="4" w:space="0"/>
            <w:right w:val="single" w:color="7F8C8D" w:sz="4" w:space="0"/>
            <w:insideH w:val="single" w:color="7F8C8D" w:sz="4" w:space="0"/>
            <w:insideV w:val="single" w:color="7F8C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16" w:type="dxa"/>
            <w:shd w:val="clear" w:color="auto" w:fill="FCE5C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EEDE47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重要</w:t>
            </w:r>
          </w:p>
        </w:tc>
        <w:tc>
          <w:tcPr>
            <w:tcW w:w="244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DB1092">
            <w:pPr>
              <w:spacing w:after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6、9、19、247、260</w:t>
            </w:r>
          </w:p>
        </w:tc>
        <w:tc>
          <w:tcPr>
            <w:tcW w:w="572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0CECFB">
            <w:pPr>
              <w:spacing w:after="0" w:line="259" w:lineRule="auto"/>
              <w:jc w:val="left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耕地面积存在59366、62845.39和63026.33公顷三套口径</w:t>
            </w:r>
            <w:r>
              <w:br w:type="textWrapping"/>
            </w: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证据：</w:t>
            </w: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PDF第6页摘要和第9页普查范围写耕地63026.33公顷；第19页社会经济概况写耕地59366公顷；第247页及第260页本年度耕地质量评价合计为62845.39公顷。报告未说明三者对应的年份、土地利用现状版本、扣除规则或评价边界。</w:t>
            </w:r>
          </w:p>
        </w:tc>
      </w:tr>
    </w:tbl>
    <w:p w14:paraId="5C1E23B0">
      <w:pPr>
        <w:spacing w:after="0" w:line="96" w:lineRule="auto"/>
      </w:pPr>
    </w:p>
    <w:p w14:paraId="49FE3FE5">
      <w:pPr>
        <w:pStyle w:val="4"/>
        <w:keepNext/>
        <w:spacing w:before="120" w:after="80"/>
      </w:pPr>
      <w:r>
        <w:rPr>
          <w:rFonts w:ascii="微软雅黑" w:hAnsi="微软雅黑" w:eastAsia="微软雅黑" w:cs="微软雅黑"/>
          <w:b/>
          <w:color w:val="1F4E79"/>
          <w:sz w:val="24"/>
        </w:rPr>
        <w:t>问题类别九：报告格式、文件格式和数据库质检</w:t>
      </w:r>
    </w:p>
    <w:tbl>
      <w:tblPr>
        <w:tblStyle w:val="35"/>
        <w:tblW w:w="0" w:type="auto"/>
        <w:jc w:val="center"/>
        <w:tblBorders>
          <w:top w:val="single" w:color="7F8C8D" w:sz="4" w:space="0"/>
          <w:left w:val="single" w:color="7F8C8D" w:sz="4" w:space="0"/>
          <w:bottom w:val="single" w:color="7F8C8D" w:sz="4" w:space="0"/>
          <w:right w:val="single" w:color="7F8C8D" w:sz="4" w:space="0"/>
          <w:insideH w:val="single" w:color="7F8C8D" w:sz="4" w:space="0"/>
          <w:insideV w:val="single" w:color="7F8C8D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6"/>
        <w:gridCol w:w="2400"/>
        <w:gridCol w:w="5745"/>
      </w:tblGrid>
      <w:tr w14:paraId="2AEB1A1E">
        <w:tblPrEx>
          <w:tblBorders>
            <w:top w:val="single" w:color="7F8C8D" w:sz="4" w:space="0"/>
            <w:left w:val="single" w:color="7F8C8D" w:sz="4" w:space="0"/>
            <w:bottom w:val="single" w:color="7F8C8D" w:sz="4" w:space="0"/>
            <w:right w:val="single" w:color="7F8C8D" w:sz="4" w:space="0"/>
            <w:insideH w:val="single" w:color="7F8C8D" w:sz="4" w:space="0"/>
            <w:insideV w:val="single" w:color="7F8C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136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E82AB1">
            <w:pPr>
              <w:keepNext/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级别</w:t>
            </w:r>
          </w:p>
        </w:tc>
        <w:tc>
          <w:tcPr>
            <w:tcW w:w="2400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F02A73">
            <w:pPr>
              <w:keepNext/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PDF页</w:t>
            </w:r>
          </w:p>
        </w:tc>
        <w:tc>
          <w:tcPr>
            <w:tcW w:w="5745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187EE7">
            <w:pPr>
              <w:keepNext/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问题与证据</w:t>
            </w:r>
          </w:p>
        </w:tc>
      </w:tr>
      <w:tr w14:paraId="670DF4EA">
        <w:tblPrEx>
          <w:tblBorders>
            <w:top w:val="single" w:color="7F8C8D" w:sz="4" w:space="0"/>
            <w:left w:val="single" w:color="7F8C8D" w:sz="4" w:space="0"/>
            <w:bottom w:val="single" w:color="7F8C8D" w:sz="4" w:space="0"/>
            <w:right w:val="single" w:color="7F8C8D" w:sz="4" w:space="0"/>
            <w:insideH w:val="single" w:color="7F8C8D" w:sz="4" w:space="0"/>
            <w:insideV w:val="single" w:color="7F8C8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36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039307">
            <w:pPr>
              <w:spacing w:after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一般</w:t>
            </w:r>
          </w:p>
        </w:tc>
        <w:tc>
          <w:tcPr>
            <w:tcW w:w="240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9B7BFF">
            <w:pPr>
              <w:spacing w:after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12、101、218、226、259</w:t>
            </w:r>
          </w:p>
        </w:tc>
        <w:tc>
          <w:tcPr>
            <w:tcW w:w="574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DFB253">
            <w:pPr>
              <w:spacing w:after="0" w:line="259" w:lineRule="auto"/>
              <w:jc w:val="left"/>
            </w:pP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多处保留明显文字、名称和引用错误</w:t>
            </w:r>
            <w:r>
              <w:br w:type="textWrapping"/>
            </w:r>
            <w:r>
              <w:rPr>
                <w:rFonts w:ascii="宋体" w:hAnsi="宋体" w:eastAsia="宋体" w:cs="宋体"/>
                <w:b/>
                <w:color w:val="000000"/>
                <w:sz w:val="18"/>
              </w:rPr>
              <w:t>证据：</w:t>
            </w:r>
            <w:r>
              <w:rPr>
                <w:rFonts w:ascii="宋体" w:hAnsi="宋体" w:eastAsia="宋体" w:cs="宋体"/>
                <w:b w:val="0"/>
                <w:color w:val="000000"/>
                <w:sz w:val="18"/>
              </w:rPr>
              <w:t>PDF第12页表1.1把2023年度写为“22023年度”；第101页“2）盐化潮土”下把1197698亩写成“青县典型潮土的面积”；第218页把马厂镇写为“马场镇”；第226页多次把“适宜”写成“适宣”，且称资料清单详见“表1”而实际为表6.1；第259页称汇总结果“如表8所示”，实际表题为表7.8。</w:t>
            </w:r>
          </w:p>
        </w:tc>
      </w:tr>
    </w:tbl>
    <w:p w14:paraId="03BD233C">
      <w:pPr>
        <w:pStyle w:val="16"/>
        <w:numPr>
          <w:numId w:val="0"/>
        </w:numPr>
        <w:spacing w:after="80" w:line="276" w:lineRule="auto"/>
        <w:ind w:leftChars="0"/>
      </w:pPr>
    </w:p>
    <w:sectPr>
      <w:headerReference r:id="rId5" w:type="default"/>
      <w:footerReference r:id="rId6" w:type="default"/>
      <w:pgSz w:w="12240" w:h="15840"/>
      <w:pgMar w:top="979" w:right="979" w:bottom="936" w:left="979" w:header="432" w:footer="432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5E9783">
    <w:pPr>
      <w:pStyle w:val="24"/>
      <w:jc w:val="center"/>
    </w:pPr>
    <w:r>
      <w:rPr>
        <w:color w:val="666666"/>
        <w:sz w:val="18"/>
      </w:rPr>
      <w:t xml:space="preserve">第 </w:t>
    </w:r>
    <w:r>
      <w:rPr>
        <w:color w:val="666666"/>
        <w:sz w:val="18"/>
      </w:rPr>
      <w:fldChar w:fldCharType="begin"/>
    </w:r>
    <w:r>
      <w:rPr>
        <w:color w:val="666666"/>
        <w:sz w:val="18"/>
      </w:rPr>
      <w:instrText xml:space="preserve">PAGE</w:instrText>
    </w:r>
    <w:r>
      <w:rPr>
        <w:color w:val="666666"/>
        <w:sz w:val="18"/>
      </w:rPr>
      <w:fldChar w:fldCharType="separate"/>
    </w:r>
    <w:r>
      <w:rPr>
        <w:color w:val="666666"/>
        <w:sz w:val="18"/>
      </w:rPr>
      <w:t>1</w:t>
    </w:r>
    <w:r>
      <w:rPr>
        <w:color w:val="666666"/>
        <w:sz w:val="18"/>
      </w:rPr>
      <w:fldChar w:fldCharType="end"/>
    </w:r>
    <w:r>
      <w:rPr>
        <w:color w:val="666666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EECA79">
    <w:pPr>
      <w:pStyle w:val="25"/>
      <w:spacing w:after="0"/>
      <w:jc w:val="center"/>
    </w:pPr>
    <w:r>
      <w:rPr>
        <w:rFonts w:ascii="宋体" w:hAnsi="宋体" w:eastAsia="宋体" w:cs="宋体"/>
        <w:b w:val="0"/>
        <w:color w:val="000000"/>
        <w:sz w:val="18"/>
      </w:rPr>
      <w:t>青县土壤资源评价与利用报告｜质控审计意见</w:t>
    </w:r>
    <w:bookmarkStart w:id="0" w:name="_GoBack"/>
    <w:bookmarkEnd w:id="0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16ED0"/>
    <w:rsid w:val="00AA1D8D"/>
    <w:rsid w:val="00B47730"/>
    <w:rsid w:val="00B64C7F"/>
    <w:rsid w:val="00CB0664"/>
    <w:rsid w:val="00EE5EB0"/>
    <w:rsid w:val="00FC693F"/>
    <w:rsid w:val="02D80E4A"/>
    <w:rsid w:val="0CFD41D5"/>
    <w:rsid w:val="16F72C63"/>
    <w:rsid w:val="2A037A86"/>
    <w:rsid w:val="38D25BA2"/>
    <w:rsid w:val="510A075A"/>
    <w:rsid w:val="59D03A57"/>
    <w:rsid w:val="5BA71B9B"/>
    <w:rsid w:val="611F2AAF"/>
    <w:rsid w:val="711D1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240" w:after="120"/>
      <w:outlineLvl w:val="0"/>
    </w:pPr>
    <w:rPr>
      <w:rFonts w:asciiTheme="majorHAnsi" w:hAnsiTheme="majorHAnsi" w:eastAsiaTheme="majorEastAsia" w:cstheme="majorBidi"/>
      <w:b/>
      <w:bCs/>
      <w:color w:val="17365D"/>
      <w:sz w:val="34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160" w:after="120"/>
      <w:outlineLvl w:val="1"/>
    </w:pPr>
    <w:rPr>
      <w:rFonts w:asciiTheme="majorHAnsi" w:hAnsiTheme="majorHAnsi" w:eastAsiaTheme="majorEastAsia" w:cstheme="majorBidi"/>
      <w:b/>
      <w:bCs/>
      <w:color w:val="2F5597"/>
      <w:sz w:val="28"/>
      <w:szCs w:val="26"/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160" w:after="120"/>
      <w:outlineLvl w:val="2"/>
    </w:pPr>
    <w:rPr>
      <w:rFonts w:asciiTheme="majorHAnsi" w:hAnsiTheme="majorHAnsi" w:eastAsiaTheme="majorEastAsia" w:cstheme="majorBidi"/>
      <w:b/>
      <w:bCs/>
      <w:color w:val="2F5597"/>
      <w:sz w:val="24"/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qFormat/>
    <w:uiPriority w:val="1"/>
  </w:style>
  <w:style w:type="table" w:default="1" w:styleId="3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autoRedefine/>
    <w:unhideWhenUsed/>
    <w:qFormat/>
    <w:uiPriority w:val="39"/>
  </w:style>
  <w:style w:type="paragraph" w:styleId="27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666666"/>
      <w:spacing w:val="15"/>
      <w:sz w:val="24"/>
      <w:szCs w:val="24"/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30">
    <w:name w:val="Body Text 2"/>
    <w:basedOn w:val="1"/>
    <w:link w:val="148"/>
    <w:unhideWhenUsed/>
    <w:qFormat/>
    <w:uiPriority w:val="99"/>
    <w:pPr>
      <w:spacing w:after="120" w:line="480" w:lineRule="auto"/>
    </w:pPr>
  </w:style>
  <w:style w:type="paragraph" w:styleId="31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/>
      <w:spacing w:val="5"/>
      <w:kern w:val="28"/>
      <w:sz w:val="50"/>
      <w:szCs w:val="52"/>
    </w:rPr>
  </w:style>
  <w:style w:type="table" w:styleId="35">
    <w:name w:val="Table Grid"/>
    <w:basedOn w:val="3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6">
    <w:name w:val="Light Shading"/>
    <w:basedOn w:val="34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styleId="137">
    <w:name w:val="Hyperlink"/>
    <w:basedOn w:val="134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138">
    <w:name w:val="页眉 字符"/>
    <w:basedOn w:val="134"/>
    <w:link w:val="25"/>
    <w:qFormat/>
    <w:uiPriority w:val="99"/>
  </w:style>
  <w:style w:type="character" w:customStyle="1" w:styleId="139">
    <w:name w:val="页脚 字符"/>
    <w:basedOn w:val="134"/>
    <w:link w:val="24"/>
    <w:qFormat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标题 1 字符"/>
    <w:basedOn w:val="134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标题 2 字符"/>
    <w:basedOn w:val="134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标题 3 字符"/>
    <w:basedOn w:val="134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标题 字符"/>
    <w:basedOn w:val="134"/>
    <w:link w:val="33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副标题 字符"/>
    <w:basedOn w:val="134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正文文本 字符"/>
    <w:basedOn w:val="134"/>
    <w:link w:val="19"/>
    <w:qFormat/>
    <w:uiPriority w:val="99"/>
  </w:style>
  <w:style w:type="character" w:customStyle="1" w:styleId="148">
    <w:name w:val="正文文本 2 字符"/>
    <w:basedOn w:val="134"/>
    <w:link w:val="30"/>
    <w:qFormat/>
    <w:uiPriority w:val="99"/>
  </w:style>
  <w:style w:type="character" w:customStyle="1" w:styleId="149">
    <w:name w:val="正文文本 3 字符"/>
    <w:basedOn w:val="134"/>
    <w:link w:val="17"/>
    <w:qFormat/>
    <w:uiPriority w:val="99"/>
    <w:rPr>
      <w:sz w:val="16"/>
      <w:szCs w:val="16"/>
    </w:rPr>
  </w:style>
  <w:style w:type="character" w:customStyle="1" w:styleId="150">
    <w:name w:val="宏文本 字符"/>
    <w:basedOn w:val="134"/>
    <w:link w:val="2"/>
    <w:qFormat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引用 字符"/>
    <w:basedOn w:val="134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标题 4 字符"/>
    <w:basedOn w:val="134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标题 5 字符"/>
    <w:basedOn w:val="134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标题 6 字符"/>
    <w:basedOn w:val="134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标题 7 字符"/>
    <w:basedOn w:val="134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标题 8 字符"/>
    <w:basedOn w:val="134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标题 9 字符"/>
    <w:basedOn w:val="134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明显引用 字符"/>
    <w:basedOn w:val="134"/>
    <w:link w:val="15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7">
    <w:name w:val="Audit Callout"/>
    <w:qFormat/>
    <w:uiPriority w:val="0"/>
    <w:pPr>
      <w:spacing w:before="100" w:after="100" w:line="300" w:lineRule="auto"/>
      <w:ind w:left="198" w:right="198"/>
    </w:pPr>
    <w:rPr>
      <w:rFonts w:ascii="宋体" w:hAnsi="宋体" w:eastAsia="宋体" w:cstheme="minorBidi"/>
      <w:sz w:val="20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4364</Words>
  <Characters>5050</Characters>
  <Lines>484</Lines>
  <Paragraphs>482</Paragraphs>
  <TotalTime>90</TotalTime>
  <ScaleCrop>false</ScaleCrop>
  <LinksUpToDate>false</LinksUpToDate>
  <CharactersWithSpaces>5057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土壤资源评价与利用报告质控复核</dc:creator>
  <dc:description>generated by python-docx</dc:description>
  <cp:keywords>青县, 土壤资源评价与利用, 质控, 审计意见</cp:keywords>
  <cp:lastModifiedBy>Mi Manchi</cp:lastModifiedBy>
  <dcterms:modified xsi:type="dcterms:W3CDTF">2026-09-23T11:52:41Z</dcterms:modified>
  <dc:subject>第三次全国土壤普查土壤资源评价与利用报告质控</dc:subject>
  <dc:title>青县土壤资源评价与利用报告质控审计意见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eyJoZGlkIjoiZWQ4NWNlMWZjNThhMjZjMDQyMTU5MmU3YTNkMzg1ZmEiLCJ1c2VySWQiOiIxMjQ2MDU4ODU1In0=</vt:lpwstr>
  </property>
  <property fmtid="{D5CDD505-2E9C-101B-9397-08002B2CF9AE}" pid="3" name="KSOProductBuildVer">
    <vt:lpwstr>2052-12.1.0.28043</vt:lpwstr>
  </property>
  <property fmtid="{D5CDD505-2E9C-101B-9397-08002B2CF9AE}" pid="4" name="ICV">
    <vt:lpwstr>48F01E5F7BF046A986208F8686ABF3A7_12</vt:lpwstr>
  </property>
</Properties>
</file>