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43E63">
      <w:pPr>
        <w:spacing w:before="200" w:after="80"/>
        <w:jc w:val="center"/>
      </w:pPr>
      <w:r>
        <w:rPr>
          <w:rFonts w:ascii="黑体" w:hAnsi="黑体" w:eastAsia="黑体"/>
          <w:b/>
          <w:sz w:val="52"/>
        </w:rPr>
        <w:t>献县土壤资源评价与利用报告</w:t>
      </w:r>
    </w:p>
    <w:p w14:paraId="49EC1A31">
      <w:pPr>
        <w:spacing w:after="320"/>
        <w:jc w:val="center"/>
      </w:pPr>
      <w:r>
        <w:rPr>
          <w:rFonts w:ascii="黑体" w:hAnsi="黑体" w:eastAsia="黑体"/>
          <w:b/>
          <w:sz w:val="64"/>
        </w:rPr>
        <w:t>质控审计意见</w:t>
      </w:r>
    </w:p>
    <w:p w14:paraId="10440156">
      <w:pPr>
        <w:pStyle w:val="4"/>
        <w:keepNext/>
      </w:pPr>
      <w:r>
        <w:rPr>
          <w:rFonts w:ascii="微软雅黑" w:hAnsi="微软雅黑" w:eastAsia="微软雅黑"/>
        </w:rPr>
        <w:t>优先整改的六个阻断点</w:t>
      </w:r>
    </w:p>
    <w:p w14:paraId="2C0DCC17">
      <w:pPr>
        <w:pStyle w:val="16"/>
        <w:keepLines/>
        <w:spacing w:after="60" w:line="276" w:lineRule="auto"/>
      </w:pPr>
      <w:r>
        <w:rPr>
          <w:rFonts w:ascii="宋体" w:hAnsi="宋体" w:eastAsia="宋体"/>
          <w:sz w:val="21"/>
        </w:rPr>
        <w:t>第三章全县土壤面积、潮土面积和三普土属数量形成多套口径，核心土壤资源底数尚未统一。</w:t>
      </w:r>
    </w:p>
    <w:p w14:paraId="5EEAD222">
      <w:pPr>
        <w:pStyle w:val="16"/>
        <w:keepLines/>
        <w:spacing w:after="60" w:line="276" w:lineRule="auto"/>
      </w:pPr>
      <w:r>
        <w:rPr>
          <w:rFonts w:ascii="宋体" w:hAnsi="宋体" w:eastAsia="宋体"/>
          <w:sz w:val="21"/>
        </w:rPr>
        <w:t>第四章制图方法、土壤类型质地、耕层厚度、有效硫和有效锌等关键统计相互冲突，需回到原始数据和模型统一重算。</w:t>
      </w:r>
    </w:p>
    <w:p w14:paraId="29F921C1">
      <w:pPr>
        <w:pStyle w:val="16"/>
        <w:keepLines/>
        <w:spacing w:after="60" w:line="276" w:lineRule="auto"/>
      </w:pPr>
      <w:r>
        <w:rPr>
          <w:rFonts w:ascii="宋体" w:hAnsi="宋体" w:eastAsia="宋体"/>
          <w:sz w:val="21"/>
        </w:rPr>
        <w:t>第五章以“土壤酸化”为标题却实际开展盐碱化评价，盐碱化现状又与摘要、耕地质量和综合利用建议相互否定。</w:t>
      </w:r>
    </w:p>
    <w:p w14:paraId="450661EB">
      <w:pPr>
        <w:pStyle w:val="16"/>
        <w:keepLines/>
        <w:spacing w:after="60" w:line="276" w:lineRule="auto"/>
      </w:pPr>
      <w:r>
        <w:rPr>
          <w:rFonts w:ascii="宋体" w:hAnsi="宋体" w:eastAsia="宋体"/>
          <w:sz w:val="21"/>
        </w:rPr>
        <w:t>第六章后备耕地梯队、分土属改良面积、水资源等级和pH比例不能与本章表格闭合，验证记录也不足以追溯。</w:t>
      </w:r>
    </w:p>
    <w:p w14:paraId="5E4D680D">
      <w:pPr>
        <w:pStyle w:val="16"/>
        <w:keepLines/>
        <w:spacing w:after="60" w:line="276" w:lineRule="auto"/>
      </w:pPr>
      <w:r>
        <w:rPr>
          <w:rFonts w:ascii="宋体" w:hAnsi="宋体" w:eastAsia="宋体"/>
          <w:sz w:val="21"/>
        </w:rPr>
        <w:t>第七章因子表、分等级面积、容重分档和问题程度存在数学矛盾，且耕地水资源分级与第六章不一致。</w:t>
      </w:r>
    </w:p>
    <w:p w14:paraId="610068C8">
      <w:pPr>
        <w:pStyle w:val="16"/>
        <w:keepLines/>
        <w:spacing w:after="60" w:line="276" w:lineRule="auto"/>
      </w:pPr>
      <w:r>
        <w:rPr>
          <w:rFonts w:ascii="宋体" w:hAnsi="宋体" w:eastAsia="宋体"/>
          <w:sz w:val="21"/>
        </w:rPr>
        <w:t>报告未说明土特产品评价的适用和完成状态，综合利用建议仍引用前文已否定的酸化、盐碱化判断，并残留多个外县名称。</w:t>
      </w:r>
    </w:p>
    <w:p w14:paraId="27C7AF04">
      <w:pPr>
        <w:pStyle w:val="3"/>
        <w:keepNext/>
      </w:pPr>
      <w:r>
        <w:rPr>
          <w:rFonts w:ascii="黑体" w:hAnsi="黑体" w:eastAsia="黑体"/>
        </w:rPr>
        <w:t>问题明细</w:t>
      </w:r>
    </w:p>
    <w:p w14:paraId="0A9BC28F">
      <w:pPr>
        <w:pStyle w:val="4"/>
        <w:keepNext/>
      </w:pPr>
      <w:r>
        <w:rPr>
          <w:rFonts w:ascii="微软雅黑" w:hAnsi="微软雅黑" w:eastAsia="微软雅黑"/>
        </w:rPr>
        <w:t>问题类别一：前置材料、第一章和数据源表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20"/>
        <w:gridCol w:w="5845"/>
      </w:tblGrid>
      <w:tr w14:paraId="0EB8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8BCEE7F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20" w:type="dxa"/>
            <w:shd w:val="clear" w:color="auto" w:fill="D9EAF7"/>
            <w:vAlign w:val="center"/>
          </w:tcPr>
          <w:p w14:paraId="583BEBEE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45" w:type="dxa"/>
            <w:shd w:val="clear" w:color="auto" w:fill="D9EAF7"/>
            <w:vAlign w:val="center"/>
          </w:tcPr>
          <w:p w14:paraId="07C56BE1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215D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CE5CD"/>
            <w:vAlign w:val="center"/>
          </w:tcPr>
          <w:p w14:paraId="5AC5C54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20" w:type="dxa"/>
            <w:vAlign w:val="center"/>
          </w:tcPr>
          <w:p w14:paraId="617137D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3—5</w:t>
            </w:r>
          </w:p>
        </w:tc>
        <w:tc>
          <w:tcPr>
            <w:tcW w:w="5845" w:type="dxa"/>
            <w:vAlign w:val="center"/>
          </w:tcPr>
          <w:p w14:paraId="714FB8A0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前置材料未单列图目录和表目录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证据：物理第3—4页为正文目录，第5页进入摘要；正文目录后未设置独立图目录、表目录。</w:t>
            </w:r>
          </w:p>
        </w:tc>
      </w:tr>
      <w:tr w14:paraId="7357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4CCCC"/>
            <w:vAlign w:val="center"/>
          </w:tcPr>
          <w:p w14:paraId="6A2A954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20" w:type="dxa"/>
            <w:vAlign w:val="center"/>
          </w:tcPr>
          <w:p w14:paraId="774B980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5845" w:type="dxa"/>
            <w:vAlign w:val="center"/>
          </w:tcPr>
          <w:p w14:paraId="0B00290E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普查任务与范围段落保留编写提示文字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一章在“普查任务与范围”下直接保留“根据本县土壤三普工作方案，简要介绍土壤普查任务，包括土壤普查时间、对象与范围、土地利用类型与面积，样点类型、数量与分布等。”，属于编写提示，未替换为献县实际内容。</w:t>
            </w:r>
          </w:p>
        </w:tc>
      </w:tr>
      <w:tr w14:paraId="5D10A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CE5CD"/>
            <w:vAlign w:val="center"/>
          </w:tcPr>
          <w:p w14:paraId="1DBB85D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20" w:type="dxa"/>
            <w:vAlign w:val="center"/>
          </w:tcPr>
          <w:p w14:paraId="5558082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5845" w:type="dxa"/>
            <w:vAlign w:val="center"/>
          </w:tcPr>
          <w:p w14:paraId="10D388D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土地利用数据年份与统一基准时点未衔接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证据：表1.1登记土地利用现状数据时段为2023年度；紧接的数据处理文字又称“标准时点统一以2019年12月31日为基准”。报告未说明2019基准与2023年度国土变更调查数据如何转换或统一。</w:t>
            </w:r>
          </w:p>
        </w:tc>
      </w:tr>
    </w:tbl>
    <w:p w14:paraId="413B960E"/>
    <w:p w14:paraId="23560892">
      <w:pPr>
        <w:pStyle w:val="4"/>
        <w:keepNext/>
      </w:pPr>
      <w:r>
        <w:rPr>
          <w:rFonts w:ascii="微软雅黑" w:hAnsi="微软雅黑" w:eastAsia="微软雅黑"/>
        </w:rPr>
        <w:t>问题类别二：第二章区域概况与农业生产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30"/>
        <w:gridCol w:w="5835"/>
      </w:tblGrid>
      <w:tr w14:paraId="42E2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333B162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59391766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35" w:type="dxa"/>
            <w:shd w:val="clear" w:color="auto" w:fill="D9EAF7"/>
            <w:vAlign w:val="center"/>
          </w:tcPr>
          <w:p w14:paraId="4A5F07EC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5FF7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CE5CD"/>
            <w:vAlign w:val="center"/>
          </w:tcPr>
          <w:p w14:paraId="38CFC49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30" w:type="dxa"/>
            <w:vAlign w:val="center"/>
          </w:tcPr>
          <w:p w14:paraId="16E0DF8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6、14—15</w:t>
            </w:r>
          </w:p>
        </w:tc>
        <w:tc>
          <w:tcPr>
            <w:tcW w:w="5835" w:type="dxa"/>
            <w:vAlign w:val="center"/>
          </w:tcPr>
          <w:p w14:paraId="0FCEC7A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核心气候指标存在多套数值且未交代统计期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证据：第6页写年均气温约12.5℃、年降水量约550毫米；第14页写年平均气温13.5℃、年平均降水量483.6毫米；第15页又写多年平均降水量550毫米。报告未列各数值的资料年份或统计期。</w:t>
            </w:r>
          </w:p>
        </w:tc>
      </w:tr>
      <w:tr w14:paraId="197D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4CCCC"/>
            <w:vAlign w:val="center"/>
          </w:tcPr>
          <w:p w14:paraId="19307DD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4D4F479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19—20</w:t>
            </w:r>
          </w:p>
        </w:tc>
        <w:tc>
          <w:tcPr>
            <w:tcW w:w="5835" w:type="dxa"/>
            <w:vAlign w:val="center"/>
          </w:tcPr>
          <w:p w14:paraId="4125D3C8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土地利用现状文字与表2.1的地类和总量不一致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19页文字另列“其他土地总面积2.65万亩，以设施农用地为主”，表2.1却没有其他土地行，表内合计1,731,277亩已经等于表中所列各类之和。若将文字所述2.65万亩并入，合计应为1,757,777亩，不再是表中总量。</w:t>
            </w:r>
          </w:p>
        </w:tc>
      </w:tr>
      <w:tr w14:paraId="3240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CE5CD"/>
            <w:vAlign w:val="center"/>
          </w:tcPr>
          <w:p w14:paraId="4EFD091E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30" w:type="dxa"/>
            <w:vAlign w:val="center"/>
          </w:tcPr>
          <w:p w14:paraId="32C7873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20—21</w:t>
            </w:r>
          </w:p>
        </w:tc>
        <w:tc>
          <w:tcPr>
            <w:tcW w:w="5835" w:type="dxa"/>
            <w:vAlign w:val="center"/>
          </w:tcPr>
          <w:p w14:paraId="777B9F9B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土地利用历史变化未形成定量对比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证据：“土地利用历史变化”仅叙述农业发展和种植变化，未给出二普或第一、第二次全国土地调查至现状的地类面积对比、变化量及空间变化统计。</w:t>
            </w:r>
          </w:p>
        </w:tc>
      </w:tr>
      <w:tr w14:paraId="003A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4CCCC"/>
            <w:vAlign w:val="center"/>
          </w:tcPr>
          <w:p w14:paraId="1A1C8CE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431D0F3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w="5835" w:type="dxa"/>
            <w:vAlign w:val="center"/>
          </w:tcPr>
          <w:p w14:paraId="0F5CB67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高标准农田占比计算错误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证据：正文称耕地99.85万亩、已建高标准农田85万亩，占耕地面积78.5%。按本段数值复算，85÷99.85×100%=85.13%，不是78.5%。</w:t>
            </w:r>
          </w:p>
        </w:tc>
      </w:tr>
    </w:tbl>
    <w:p w14:paraId="2FD19D78"/>
    <w:p w14:paraId="43AF4D33">
      <w:pPr>
        <w:pStyle w:val="4"/>
        <w:keepNext/>
      </w:pPr>
      <w:r>
        <w:rPr>
          <w:rFonts w:ascii="微软雅黑" w:hAnsi="微软雅黑" w:eastAsia="微软雅黑"/>
        </w:rPr>
        <w:t>问题类别三：第三章土壤类型与制图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2450"/>
        <w:gridCol w:w="5825"/>
      </w:tblGrid>
      <w:tr w14:paraId="6B10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06" w:type="dxa"/>
            <w:shd w:val="clear" w:color="auto" w:fill="D9EAF7"/>
            <w:vAlign w:val="center"/>
          </w:tcPr>
          <w:p w14:paraId="6DE11D09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50" w:type="dxa"/>
            <w:shd w:val="clear" w:color="auto" w:fill="D9EAF7"/>
            <w:vAlign w:val="center"/>
          </w:tcPr>
          <w:p w14:paraId="0C563729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25" w:type="dxa"/>
            <w:shd w:val="clear" w:color="auto" w:fill="D9EAF7"/>
            <w:vAlign w:val="center"/>
          </w:tcPr>
          <w:p w14:paraId="3DCDC73F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0A16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6" w:type="dxa"/>
            <w:shd w:val="clear" w:color="auto" w:fill="F4CCCC"/>
            <w:vAlign w:val="center"/>
          </w:tcPr>
          <w:p w14:paraId="2C5C069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50" w:type="dxa"/>
            <w:vAlign w:val="center"/>
          </w:tcPr>
          <w:p w14:paraId="2A32E43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2、5、36—37、121—122</w:t>
            </w:r>
          </w:p>
        </w:tc>
        <w:tc>
          <w:tcPr>
            <w:tcW w:w="5825" w:type="dxa"/>
            <w:vAlign w:val="center"/>
          </w:tcPr>
          <w:p w14:paraId="57ABA2E7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全县土壤面积和潮土面积存在多套互不相容的口径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证据：前言第2页称潮土总面积175.50万亩；摘要第5页称潮土1,755,049亩、占99.87%；表3.8及第121—122页各土属面积合计为1,714,977亩，其中潮土为1,712,569亩、风沙土2,408亩。三套核心面积未说明评价范围差异。</w:t>
            </w:r>
          </w:p>
        </w:tc>
      </w:tr>
      <w:tr w14:paraId="70D3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6" w:type="dxa"/>
            <w:shd w:val="clear" w:color="auto" w:fill="F4CCCC"/>
            <w:vAlign w:val="center"/>
          </w:tcPr>
          <w:p w14:paraId="725E78B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50" w:type="dxa"/>
            <w:vAlign w:val="center"/>
          </w:tcPr>
          <w:p w14:paraId="3E8EE1D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126、130—131</w:t>
            </w:r>
          </w:p>
        </w:tc>
        <w:tc>
          <w:tcPr>
            <w:tcW w:w="5825" w:type="dxa"/>
            <w:vAlign w:val="center"/>
          </w:tcPr>
          <w:p w14:paraId="53D099A3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三普土属数量在同章出现6个和12个两种结论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证据：第126页表3.41明确三普土属由17个减少为6个；第130页原因分析却写“归并减少到12个土属”；第131页结论又列为6个土属。</w:t>
            </w:r>
          </w:p>
        </w:tc>
      </w:tr>
    </w:tbl>
    <w:p w14:paraId="28253657"/>
    <w:p w14:paraId="28996054">
      <w:pPr>
        <w:pStyle w:val="4"/>
        <w:keepNext/>
      </w:pPr>
      <w:r>
        <w:rPr>
          <w:rFonts w:ascii="微软雅黑" w:hAnsi="微软雅黑" w:eastAsia="微软雅黑"/>
        </w:rPr>
        <w:t>问题类别四：第四章土壤属性与制图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430"/>
        <w:gridCol w:w="5825"/>
      </w:tblGrid>
      <w:tr w14:paraId="18896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6" w:type="dxa"/>
            <w:shd w:val="clear" w:color="auto" w:fill="D9EAF7"/>
            <w:vAlign w:val="center"/>
          </w:tcPr>
          <w:p w14:paraId="5F9E12CB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53435AE8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25" w:type="dxa"/>
            <w:shd w:val="clear" w:color="auto" w:fill="D9EAF7"/>
            <w:vAlign w:val="center"/>
          </w:tcPr>
          <w:p w14:paraId="5257DABE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4A286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313F4DA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46CA7369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11、286</w:t>
            </w:r>
          </w:p>
        </w:tc>
        <w:tc>
          <w:tcPr>
            <w:tcW w:w="5825" w:type="dxa"/>
            <w:vAlign w:val="center"/>
          </w:tcPr>
          <w:p w14:paraId="10E84A69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属性制图方法登记与模型汇总表不一致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证据：第11页称最终空间数据“采用普通克里金插值法”；表4.80则将大多数属性的制图模型列为“随机森林克里格”，部分为“随机森林”。报告未说明方法更改或属性差异化建模。</w:t>
            </w:r>
          </w:p>
        </w:tc>
      </w:tr>
      <w:tr w14:paraId="6172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76161CE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2C60CBC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141—143</w:t>
            </w:r>
          </w:p>
        </w:tc>
        <w:tc>
          <w:tcPr>
            <w:tcW w:w="5825" w:type="dxa"/>
            <w:vAlign w:val="center"/>
          </w:tcPr>
          <w:p w14:paraId="062FC7F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土地利用类型下的质地比例使用了错误分母且合计行填报异常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141页称水浇地壤质黏土364,089亩“占水浇地26.98%”，但水浇地总面积823,993亩，实际占44.19%；26.98%是相对全属性制图范围1,353,721亩的比例。表4.2又将水浇地合计样点355个、园地9个、林地11个的占比分别写为0.00。</w:t>
            </w:r>
          </w:p>
        </w:tc>
      </w:tr>
      <w:tr w14:paraId="00C9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7CAAC58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2175A0E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143—144</w:t>
            </w:r>
          </w:p>
        </w:tc>
        <w:tc>
          <w:tcPr>
            <w:tcW w:w="5825" w:type="dxa"/>
            <w:vAlign w:val="center"/>
          </w:tcPr>
          <w:p w14:paraId="0CDB6430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土壤类型质地统计的正文、表格和总量互相冲突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证据：第143页称典型潮土1,124,342亩、占82.08%，壤质石灰性潮土1,004,427亩；表4.3第144页则列典型潮土1,350,041亩、占99.73%，壤质石灰性潮土1,100,194亩。第144页表前还称制图统计1,368,753亩，而表内全县总计为1,353,721亩。</w:t>
            </w:r>
          </w:p>
        </w:tc>
      </w:tr>
      <w:tr w14:paraId="0141C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5C2F1BC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262AE47E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144—145</w:t>
            </w:r>
          </w:p>
        </w:tc>
        <w:tc>
          <w:tcPr>
            <w:tcW w:w="5825" w:type="dxa"/>
            <w:vAlign w:val="center"/>
          </w:tcPr>
          <w:p w14:paraId="2C07EA50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耕层厚度等级结论与表4.4相反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证据：表4.4显示Ⅰ级、Ⅱ级样点均为0，Ⅳ级样点占84.32%、制图面积占96.09%，是绝对主体；第145页却描述Ⅱ级样点聚集，并称Ⅲ级呈全域广泛分布、为全域主导。</w:t>
            </w:r>
          </w:p>
        </w:tc>
      </w:tr>
      <w:tr w14:paraId="719E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52A938C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45B0741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199—200、204</w:t>
            </w:r>
          </w:p>
        </w:tc>
        <w:tc>
          <w:tcPr>
            <w:tcW w:w="5825" w:type="dxa"/>
            <w:vAlign w:val="center"/>
          </w:tcPr>
          <w:p w14:paraId="0B3980EC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有效硫全县均值和中位数前后不一致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证据：第199页写全县均值29.35mg/kg、中位数11.2mg/kg；表4.41第200页和土壤类型统计第204页均给出全县均值24.24mg/kg、中位数10.95mg/kg。</w:t>
            </w:r>
          </w:p>
        </w:tc>
      </w:tr>
      <w:tr w14:paraId="1DD8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6C69A3A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2D4E838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222—223、225—226</w:t>
            </w:r>
          </w:p>
        </w:tc>
        <w:tc>
          <w:tcPr>
            <w:tcW w:w="5825" w:type="dxa"/>
            <w:vAlign w:val="center"/>
          </w:tcPr>
          <w:p w14:paraId="791C05C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有效锌统计值和单位在相邻内容中不一致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证据：第222页正文写全县均值1.36g/kg；表4.56第223页给出样点均值1.28mg/kg、制图均值1.42mg/kg；第225—226页不同土地利用和土壤类型统计又以1.28mg/kg为样点均值。除数值不一致外，g/kg与mg/kg相差1000倍。</w:t>
            </w:r>
          </w:p>
        </w:tc>
      </w:tr>
    </w:tbl>
    <w:p w14:paraId="40A0970E"/>
    <w:p w14:paraId="43A535DC">
      <w:pPr>
        <w:pStyle w:val="4"/>
        <w:keepNext/>
      </w:pPr>
      <w:r>
        <w:rPr>
          <w:rFonts w:ascii="微软雅黑" w:hAnsi="微软雅黑" w:eastAsia="微软雅黑"/>
        </w:rPr>
        <w:t>问题类别五：第五章退化、障碍与改良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40"/>
        <w:gridCol w:w="5825"/>
      </w:tblGrid>
      <w:tr w14:paraId="2C4A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11988496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40" w:type="dxa"/>
            <w:shd w:val="clear" w:color="auto" w:fill="D9EAF7"/>
            <w:vAlign w:val="center"/>
          </w:tcPr>
          <w:p w14:paraId="3E898E24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25" w:type="dxa"/>
            <w:shd w:val="clear" w:color="auto" w:fill="D9EAF7"/>
            <w:vAlign w:val="center"/>
          </w:tcPr>
          <w:p w14:paraId="2B60E82E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32A3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4CCCC"/>
            <w:vAlign w:val="center"/>
          </w:tcPr>
          <w:p w14:paraId="172BFFB8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073AEB7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292—307</w:t>
            </w:r>
          </w:p>
        </w:tc>
        <w:tc>
          <w:tcPr>
            <w:tcW w:w="5825" w:type="dxa"/>
            <w:vAlign w:val="center"/>
          </w:tcPr>
          <w:p w14:paraId="6FD180A8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章节标题和小节名称均写土壤酸化，实际内容为盐碱化评价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五章第一节标题为“土壤酸化”，其中的制图、现状、成因、治理标题继续使用“土壤酸化”，但方法采用盐分遥感指数，表5.3为盐碱地面积，正文反复分析盐碱化和返盐风险；第306页“二、土壤盐渍化”仅写“献县无盐碱地”。</w:t>
            </w:r>
          </w:p>
        </w:tc>
      </w:tr>
      <w:tr w14:paraId="223D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4CCCC"/>
            <w:vAlign w:val="center"/>
          </w:tcPr>
          <w:p w14:paraId="170F51F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55CA836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2、5、304—307、318、371、379、425—426</w:t>
            </w:r>
          </w:p>
        </w:tc>
        <w:tc>
          <w:tcPr>
            <w:tcW w:w="5825" w:type="dxa"/>
            <w:vAlign w:val="center"/>
          </w:tcPr>
          <w:p w14:paraId="24E4D41E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盐碱化现状结论跨章节互相否定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304—307页称2024年盐碱地为0、献县无盐碱地，第318页农业适宜性统计也为100%无盐碱化，第379页耕地质量统计各乡镇均为“无”；但前言、摘要仍写局部盐化或轻度盐化，第371页把低等级耕地归因于土壤盐碱，第425—426页又划定西部、北部盐碱地改良区和东部轻度盐碱区。</w:t>
            </w:r>
          </w:p>
        </w:tc>
      </w:tr>
      <w:tr w14:paraId="55F97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4CCCC"/>
            <w:vAlign w:val="center"/>
          </w:tcPr>
          <w:p w14:paraId="4C725F7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2952D42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297—301</w:t>
            </w:r>
          </w:p>
        </w:tc>
        <w:tc>
          <w:tcPr>
            <w:tcW w:w="5825" w:type="dxa"/>
            <w:vAlign w:val="center"/>
          </w:tcPr>
          <w:p w14:paraId="5852E019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盐碱化模型的波段说明和参数文本存在内部错误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298页SI5公式写为(B3×B3)+(B4×B4)+(B8×B8)，随后却同时将B8解释为“近红外波段”和“红光波段”；第301页随机森林参数又出现“'max_features':'sqrt'”后另起“'sqrt','max_depth':40”的重复残缺文本，参数集合无法按原文复现。</w:t>
            </w:r>
          </w:p>
        </w:tc>
      </w:tr>
      <w:tr w14:paraId="5C07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CE5CD"/>
            <w:vAlign w:val="center"/>
          </w:tcPr>
          <w:p w14:paraId="0C5D848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40" w:type="dxa"/>
            <w:vAlign w:val="center"/>
          </w:tcPr>
          <w:p w14:paraId="0735073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302—303</w:t>
            </w:r>
          </w:p>
        </w:tc>
        <w:tc>
          <w:tcPr>
            <w:tcW w:w="5825" w:type="dxa"/>
            <w:vAlign w:val="center"/>
          </w:tcPr>
          <w:p w14:paraId="4F61E7F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盐碱化面积统计采用2022年地类数据，与报告主用2023年版本未衔接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证据：第302—303页两次明确“基于2022年国土变更三调数据”统计盐碱地面积；第一章表1.1和第二章土地利用现状使用2023年度数据。报告未说明为何本专题回退到2022年及两版边界转换方法。</w:t>
            </w:r>
          </w:p>
        </w:tc>
      </w:tr>
      <w:tr w14:paraId="74B97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CE5CD"/>
            <w:vAlign w:val="center"/>
          </w:tcPr>
          <w:p w14:paraId="7908FBE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40" w:type="dxa"/>
            <w:vAlign w:val="center"/>
          </w:tcPr>
          <w:p w14:paraId="7D4E463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292—307、420—423</w:t>
            </w:r>
          </w:p>
        </w:tc>
        <w:tc>
          <w:tcPr>
            <w:tcW w:w="5825" w:type="dxa"/>
            <w:vAlign w:val="center"/>
          </w:tcPr>
          <w:p w14:paraId="023FBE8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退化障碍章节未覆盖报告后文识别的主要障碍类型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五章仅围绕盐碱化展开；第七章第420—423页却识别有机质和速效钾不足、局部缺磷、水资源保障不足、排水弱化、土壤紧实、耕层浅薄和砂化等主要障碍。第五章未给这些障碍的面积、程度、成因和改良分区，也未说明不开展原因。</w:t>
            </w:r>
          </w:p>
        </w:tc>
      </w:tr>
    </w:tbl>
    <w:p w14:paraId="0CC3F9FA"/>
    <w:p w14:paraId="2949253F">
      <w:pPr>
        <w:pStyle w:val="4"/>
        <w:keepNext/>
      </w:pPr>
      <w:r>
        <w:rPr>
          <w:rFonts w:ascii="微软雅黑" w:hAnsi="微软雅黑" w:eastAsia="微软雅黑"/>
        </w:rPr>
        <w:t>问题类别六：第六章土壤农业利用适宜性评价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430"/>
        <w:gridCol w:w="5825"/>
      </w:tblGrid>
      <w:tr w14:paraId="74FCB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26" w:type="dxa"/>
            <w:shd w:val="clear" w:color="auto" w:fill="D9EAF7"/>
            <w:vAlign w:val="center"/>
          </w:tcPr>
          <w:p w14:paraId="0E627277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597CE30C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25" w:type="dxa"/>
            <w:shd w:val="clear" w:color="auto" w:fill="D9EAF7"/>
            <w:vAlign w:val="center"/>
          </w:tcPr>
          <w:p w14:paraId="6EB7A382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2188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CE5CD"/>
            <w:vAlign w:val="center"/>
          </w:tcPr>
          <w:p w14:paraId="0123F8E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30" w:type="dxa"/>
            <w:vAlign w:val="center"/>
          </w:tcPr>
          <w:p w14:paraId="4EC54D69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326—329</w:t>
            </w:r>
          </w:p>
        </w:tc>
        <w:tc>
          <w:tcPr>
            <w:tcW w:w="5825" w:type="dxa"/>
            <w:vAlign w:val="center"/>
          </w:tcPr>
          <w:p w14:paraId="37565569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适宜性验证仅列通用流程，缺乏实际复核记录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证据：“评价结果验证与修正”仅说明室内比对、实地复核、调整和再次验证的流程；后文仅概括称完成实地采样复核，未列验证单元数量、位置、抽样规则、实测结果、调整前后清单或不一致率。</w:t>
            </w:r>
          </w:p>
        </w:tc>
      </w:tr>
      <w:tr w14:paraId="67BE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CE5CD"/>
            <w:vAlign w:val="center"/>
          </w:tcPr>
          <w:p w14:paraId="3D84116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30" w:type="dxa"/>
            <w:vAlign w:val="center"/>
          </w:tcPr>
          <w:p w14:paraId="2B5F8F6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314、329</w:t>
            </w:r>
          </w:p>
        </w:tc>
        <w:tc>
          <w:tcPr>
            <w:tcW w:w="5825" w:type="dxa"/>
            <w:vAlign w:val="center"/>
          </w:tcPr>
          <w:p w14:paraId="6F53A2A6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水资源w2等级名称被改写为充分满足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证据：表6.6第314页规定w1为充分满足、w2为满足，w2占52.81%；第329页合理性论证却把52.81%写成“充分满足”，改变了分级含义。</w:t>
            </w:r>
          </w:p>
        </w:tc>
      </w:tr>
      <w:tr w14:paraId="1E96E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CE5CD"/>
            <w:vAlign w:val="center"/>
          </w:tcPr>
          <w:p w14:paraId="33863C0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30" w:type="dxa"/>
            <w:vAlign w:val="center"/>
          </w:tcPr>
          <w:p w14:paraId="09845D3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347—349</w:t>
            </w:r>
          </w:p>
        </w:tc>
        <w:tc>
          <w:tcPr>
            <w:tcW w:w="5825" w:type="dxa"/>
            <w:vAlign w:val="center"/>
          </w:tcPr>
          <w:p w14:paraId="29228C1C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二调适宜性总面积文字与表格不一致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证据：第347页正文称二调土地总面积1,406,990亩；表19第349页合计为1,406,906亩，且宜耕1,383,056亩与宜园23,850亩相加也为1,406,906亩。</w:t>
            </w:r>
          </w:p>
        </w:tc>
      </w:tr>
      <w:tr w14:paraId="2B0F0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2BB56DA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58D660E1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353—355</w:t>
            </w:r>
          </w:p>
        </w:tc>
        <w:tc>
          <w:tcPr>
            <w:tcW w:w="5825" w:type="dxa"/>
            <w:vAlign w:val="center"/>
          </w:tcPr>
          <w:p w14:paraId="0239A866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后备耕地乡镇梯队划分不符合报告自定阈值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报告定义第一梯队为大于2万亩，却漏列河城街镇42,800亩和陈庄镇26,934亩；第二梯队定义为1万—2万亩，却列入河城街镇42,800亩、临河乡9,349亩、本斋回族乡6,198亩和小平王乡5,716亩；第三梯队小于1万亩又只列十五级镇、垒头乡、梅庄洼农场。</w:t>
            </w:r>
          </w:p>
        </w:tc>
      </w:tr>
      <w:tr w14:paraId="20EB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4CCCC"/>
            <w:vAlign w:val="center"/>
          </w:tcPr>
          <w:p w14:paraId="5B4969C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4A64919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349—350、358—359</w:t>
            </w:r>
          </w:p>
        </w:tc>
        <w:tc>
          <w:tcPr>
            <w:tcW w:w="5825" w:type="dxa"/>
            <w:vAlign w:val="center"/>
          </w:tcPr>
          <w:p w14:paraId="5873C4B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分土属改良方案的面积与前文土属统计不对应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证据：第349页壤质石灰性潮土总面积为1,125,589亩、占81.55%，第350页黏质石灰性潮土为150,518亩、占10.90%；第358页改良方案却分别写为540,952亩和44,377亩，同时仍沿用81.55%和10.90%。</w:t>
            </w:r>
          </w:p>
        </w:tc>
      </w:tr>
      <w:tr w14:paraId="1685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26" w:type="dxa"/>
            <w:shd w:val="clear" w:color="auto" w:fill="FCE5CD"/>
            <w:vAlign w:val="center"/>
          </w:tcPr>
          <w:p w14:paraId="5B6A8DC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30" w:type="dxa"/>
            <w:vAlign w:val="center"/>
          </w:tcPr>
          <w:p w14:paraId="02CCCA50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322、359</w:t>
            </w:r>
          </w:p>
        </w:tc>
        <w:tc>
          <w:tcPr>
            <w:tcW w:w="5825" w:type="dxa"/>
            <w:vAlign w:val="center"/>
          </w:tcPr>
          <w:p w14:paraId="79F30DC6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pH适宜区比例前后不一致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证据：表6.10第322页显示pH 5.5—8.5范围的a2、a3合计为100%，其中a3为98.09%；第359页却写“91.92%地块pH处于5.5—8.5区间”。</w:t>
            </w:r>
          </w:p>
        </w:tc>
      </w:tr>
    </w:tbl>
    <w:p w14:paraId="55B439D5"/>
    <w:p w14:paraId="3A89F188">
      <w:pPr>
        <w:pStyle w:val="4"/>
        <w:keepNext/>
      </w:pPr>
      <w:r>
        <w:rPr>
          <w:rFonts w:ascii="微软雅黑" w:hAnsi="微软雅黑" w:eastAsia="微软雅黑"/>
        </w:rPr>
        <w:t>问题类别七：第七章耕地质量等级评价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440"/>
        <w:gridCol w:w="5805"/>
      </w:tblGrid>
      <w:tr w14:paraId="3070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36" w:type="dxa"/>
            <w:shd w:val="clear" w:color="auto" w:fill="D9EAF7"/>
            <w:vAlign w:val="center"/>
          </w:tcPr>
          <w:p w14:paraId="6FF89A46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40" w:type="dxa"/>
            <w:shd w:val="clear" w:color="auto" w:fill="D9EAF7"/>
            <w:vAlign w:val="center"/>
          </w:tcPr>
          <w:p w14:paraId="390D0AC0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05" w:type="dxa"/>
            <w:shd w:val="clear" w:color="auto" w:fill="D9EAF7"/>
            <w:vAlign w:val="center"/>
          </w:tcPr>
          <w:p w14:paraId="4D6B7295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3487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FF2CC"/>
            <w:vAlign w:val="center"/>
          </w:tcPr>
          <w:p w14:paraId="79DA3DE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一般</w:t>
            </w:r>
          </w:p>
        </w:tc>
        <w:tc>
          <w:tcPr>
            <w:tcW w:w="2440" w:type="dxa"/>
            <w:vAlign w:val="center"/>
          </w:tcPr>
          <w:p w14:paraId="58633AF3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364—367</w:t>
            </w:r>
          </w:p>
        </w:tc>
        <w:tc>
          <w:tcPr>
            <w:tcW w:w="5805" w:type="dxa"/>
            <w:vAlign w:val="center"/>
          </w:tcPr>
          <w:p w14:paraId="53FD8155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表7.4在同一表内重复列示整组指标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证据：表7.4先列地形部位、质地构型、耕层质地、水资源条件、排水能力和盐渍化程度；第366页中部又从地形部位开始重复一整组，延续至第367页。</w:t>
            </w:r>
          </w:p>
        </w:tc>
      </w:tr>
      <w:tr w14:paraId="0CB1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CE5CD"/>
            <w:vAlign w:val="center"/>
          </w:tcPr>
          <w:p w14:paraId="076DF10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40" w:type="dxa"/>
            <w:vAlign w:val="center"/>
          </w:tcPr>
          <w:p w14:paraId="57F32EB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367</w:t>
            </w:r>
          </w:p>
        </w:tc>
        <w:tc>
          <w:tcPr>
            <w:tcW w:w="5805" w:type="dxa"/>
            <w:vAlign w:val="center"/>
          </w:tcPr>
          <w:p w14:paraId="257B9EAC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耕地质量验证缺少可复核的样本和结果统计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证据：验证段称收集近三年典型地块产量并与近五年统计年鉴比较，但未给验证样本数量、各等级产量数据、偏差或一致率、异常单元和修正结果。</w:t>
            </w:r>
          </w:p>
        </w:tc>
      </w:tr>
      <w:tr w14:paraId="4298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4CCCC"/>
            <w:vAlign w:val="center"/>
          </w:tcPr>
          <w:p w14:paraId="5D4F4C0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70CAE88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371、379</w:t>
            </w:r>
          </w:p>
        </w:tc>
        <w:tc>
          <w:tcPr>
            <w:tcW w:w="5805" w:type="dxa"/>
            <w:vAlign w:val="center"/>
          </w:tcPr>
          <w:p w14:paraId="21FA6032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低等级耕地成因写盐碱化，与本章100%无盐渍化相冲突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证据：第371页称低等级耕地多因“土壤盐碱/沙化”且需盐碱治理；表7.14第379页却显示全部乡镇盐渍化程度均为“无”、占比100%。</w:t>
            </w:r>
          </w:p>
        </w:tc>
      </w:tr>
      <w:tr w14:paraId="7D64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4CCCC"/>
            <w:vAlign w:val="center"/>
          </w:tcPr>
          <w:p w14:paraId="48B5492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54D4D69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314、377</w:t>
            </w:r>
          </w:p>
        </w:tc>
        <w:tc>
          <w:tcPr>
            <w:tcW w:w="5805" w:type="dxa"/>
            <w:vAlign w:val="center"/>
          </w:tcPr>
          <w:p w14:paraId="3E71EE84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水资源不满足面积在第六、七章相互否定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证据：第六章表6.6称全体参评对象w5“不满足”为0；第七章表7.12却显示耕地中高官镇10.91%、淮镇5.24%、郭庄镇2.31%等为“不满足”。耕地属于第六章参评对象，两者不能同时成立。</w:t>
            </w:r>
          </w:p>
        </w:tc>
      </w:tr>
      <w:tr w14:paraId="66093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FF2CC"/>
            <w:vAlign w:val="center"/>
          </w:tcPr>
          <w:p w14:paraId="1E194BD4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一般</w:t>
            </w:r>
          </w:p>
        </w:tc>
        <w:tc>
          <w:tcPr>
            <w:tcW w:w="2440" w:type="dxa"/>
            <w:vAlign w:val="center"/>
          </w:tcPr>
          <w:p w14:paraId="1D21CFA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372—373、385—390</w:t>
            </w:r>
          </w:p>
        </w:tc>
        <w:tc>
          <w:tcPr>
            <w:tcW w:w="5805" w:type="dxa"/>
            <w:vAlign w:val="center"/>
          </w:tcPr>
          <w:p w14:paraId="044BB911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土壤容重单位在正文和多张表中错写为g/m³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证据：第372页正文称容重1.39—1.47g/m³，表7.19、表7.23等表头也写g/m³；相邻正文和后续表格使用g/cm³。</w:t>
            </w:r>
          </w:p>
        </w:tc>
      </w:tr>
      <w:tr w14:paraId="7C552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4CCCC"/>
            <w:vAlign w:val="center"/>
          </w:tcPr>
          <w:p w14:paraId="0C2E33FD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24FD5659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384—385</w:t>
            </w:r>
          </w:p>
        </w:tc>
        <w:tc>
          <w:tcPr>
            <w:tcW w:w="5805" w:type="dxa"/>
            <w:vAlign w:val="center"/>
          </w:tcPr>
          <w:p w14:paraId="43B6D79F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表7.18混入第二套因子结果并与本表前半部分冲突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证据：表7.18“献县二等地因子占比表”前半部分写水资源条件“满足100%”、质地构型上松下紧型91.18%；同表后半部分重新从地形、质地构型开始，写水资源条件“基本满足100%”、质地构型上松下紧型53.65%。</w:t>
            </w:r>
          </w:p>
        </w:tc>
      </w:tr>
      <w:tr w14:paraId="4F21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4CCCC"/>
            <w:vAlign w:val="center"/>
          </w:tcPr>
          <w:p w14:paraId="134566D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5D20306F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390—401</w:t>
            </w:r>
          </w:p>
        </w:tc>
        <w:tc>
          <w:tcPr>
            <w:tcW w:w="5805" w:type="dxa"/>
            <w:vAlign w:val="center"/>
          </w:tcPr>
          <w:p w14:paraId="03F1E9ED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四等、六等和七等耕地统计文字多处不能与相邻表格对应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390页称段村镇四等地1,992.1公顷、占7.74%，表7.24第391页为2,406.91公顷；第391页称壤体黏石灰性潮土1,766.24公顷，表7.25为4,848.00公顷。第398页四个六等地主要乡镇占比之和写66.83%，实际为86.73%。第401页先称集中于两个乡镇却列三个，且把本斋回族乡面积写为2.26公顷，表7.36为14.15公顷。</w:t>
            </w:r>
          </w:p>
        </w:tc>
      </w:tr>
      <w:tr w14:paraId="5105E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4CCCC"/>
            <w:vAlign w:val="center"/>
          </w:tcPr>
          <w:p w14:paraId="2C3F7A67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0AEB180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400、408—410</w:t>
            </w:r>
          </w:p>
        </w:tc>
        <w:tc>
          <w:tcPr>
            <w:tcW w:w="5805" w:type="dxa"/>
            <w:vAlign w:val="center"/>
          </w:tcPr>
          <w:p w14:paraId="15DDFDA7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容重均值与分档面积在数学上不能同时成立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400—401页六等地容重均值为1.46g/cm³；表7.43却显示六等地33.45%在1.45—1.55g/cm³、66.55%大于1.55g/cm³。即使各档均取下限，平均值也至少约1.52g/cm³，不可能为1.46g/cm³。二等地均值1.42g/cm³与95.28%落在1.45—1.55g/cm³、3.12%大于1.55g/cm³也同样不相容。</w:t>
            </w:r>
          </w:p>
        </w:tc>
      </w:tr>
      <w:tr w14:paraId="3B2D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4CCCC"/>
            <w:vAlign w:val="center"/>
          </w:tcPr>
          <w:p w14:paraId="32413F92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40" w:type="dxa"/>
            <w:vAlign w:val="center"/>
          </w:tcPr>
          <w:p w14:paraId="4132169B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420—421</w:t>
            </w:r>
          </w:p>
        </w:tc>
        <w:tc>
          <w:tcPr>
            <w:tcW w:w="5805" w:type="dxa"/>
            <w:vAlign w:val="center"/>
          </w:tcPr>
          <w:p w14:paraId="5E44E441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养分等级差异被表述为1—2个数量级，明显超过本章数据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证据：第421页称五、六等耕地与二等地养分水平差距达1—2个数量级；本章表7.19、7.31、7.35、7.39中的有机质均值约10.99—16.17g/kg、速效钾约115.67—226.52mg/kg、有效磷约13.93—19.48mg/kg，均不足10倍，更不是10—100倍。</w:t>
            </w:r>
          </w:p>
        </w:tc>
      </w:tr>
    </w:tbl>
    <w:p w14:paraId="22A5D016"/>
    <w:p w14:paraId="16E5CAB5">
      <w:pPr>
        <w:pStyle w:val="4"/>
        <w:keepNext/>
      </w:pPr>
      <w:r>
        <w:rPr>
          <w:rFonts w:ascii="微软雅黑" w:hAnsi="微软雅黑" w:eastAsia="微软雅黑"/>
        </w:rPr>
        <w:t>问题类别八：土特产品土壤适宜性评价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440"/>
        <w:gridCol w:w="5805"/>
      </w:tblGrid>
      <w:tr w14:paraId="7C50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36" w:type="dxa"/>
            <w:shd w:val="clear" w:color="auto" w:fill="D9EAF7"/>
            <w:vAlign w:val="center"/>
          </w:tcPr>
          <w:p w14:paraId="7C4E994E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40" w:type="dxa"/>
            <w:shd w:val="clear" w:color="auto" w:fill="D9EAF7"/>
            <w:vAlign w:val="center"/>
          </w:tcPr>
          <w:p w14:paraId="031836A3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05" w:type="dxa"/>
            <w:shd w:val="clear" w:color="auto" w:fill="D9EAF7"/>
            <w:vAlign w:val="center"/>
          </w:tcPr>
          <w:p w14:paraId="52872B4A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2F37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6" w:type="dxa"/>
            <w:shd w:val="clear" w:color="auto" w:fill="FCE5CD"/>
            <w:vAlign w:val="center"/>
          </w:tcPr>
          <w:p w14:paraId="57A9F89C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重要</w:t>
            </w:r>
          </w:p>
        </w:tc>
        <w:tc>
          <w:tcPr>
            <w:tcW w:w="2440" w:type="dxa"/>
            <w:vAlign w:val="center"/>
          </w:tcPr>
          <w:p w14:paraId="5F70CDCE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3—4、425</w:t>
            </w:r>
          </w:p>
        </w:tc>
        <w:tc>
          <w:tcPr>
            <w:tcW w:w="5805" w:type="dxa"/>
            <w:vAlign w:val="center"/>
          </w:tcPr>
          <w:p w14:paraId="769A2A70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报告未说明土特产品评价是否适用，章节体系直接由第七章转入综合建议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目录仅有八章，第八章已是“土壤资源综合利用建议”，未设置土特产品土壤适宜性评价章节；报告也未说明本县未开展该专题、适用条件或折算口径。报告前言和摘要又提到金丝小枣等特色农产品及作物适配。</w:t>
            </w:r>
          </w:p>
        </w:tc>
      </w:tr>
    </w:tbl>
    <w:p w14:paraId="41F3D7C9"/>
    <w:p w14:paraId="6B49AFA1">
      <w:pPr>
        <w:pStyle w:val="4"/>
        <w:keepNext/>
      </w:pPr>
      <w:r>
        <w:rPr>
          <w:rFonts w:ascii="微软雅黑" w:hAnsi="微软雅黑" w:eastAsia="微软雅黑"/>
        </w:rPr>
        <w:t>问题类别九：综合利用建议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2430"/>
        <w:gridCol w:w="5805"/>
      </w:tblGrid>
      <w:tr w14:paraId="0591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6" w:type="dxa"/>
            <w:shd w:val="clear" w:color="auto" w:fill="D9EAF7"/>
            <w:vAlign w:val="center"/>
          </w:tcPr>
          <w:p w14:paraId="48FC6610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12D7A1F5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PDF页</w:t>
            </w:r>
          </w:p>
        </w:tc>
        <w:tc>
          <w:tcPr>
            <w:tcW w:w="5805" w:type="dxa"/>
            <w:shd w:val="clear" w:color="auto" w:fill="D9EAF7"/>
            <w:vAlign w:val="center"/>
          </w:tcPr>
          <w:p w14:paraId="7FB3A44B">
            <w:pPr>
              <w:keepNext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问题与证据</w:t>
            </w:r>
          </w:p>
        </w:tc>
      </w:tr>
      <w:tr w14:paraId="354C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6" w:type="dxa"/>
            <w:shd w:val="clear" w:color="auto" w:fill="F4CCCC"/>
            <w:vAlign w:val="center"/>
          </w:tcPr>
          <w:p w14:paraId="5BA108E6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严重</w:t>
            </w:r>
          </w:p>
        </w:tc>
        <w:tc>
          <w:tcPr>
            <w:tcW w:w="2430" w:type="dxa"/>
            <w:vAlign w:val="center"/>
          </w:tcPr>
          <w:p w14:paraId="55B492EA">
            <w:pPr>
              <w:keepNext w:val="0"/>
              <w:spacing w:before="0" w:after="0" w:line="259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162、304—307、379、425—427</w:t>
            </w:r>
          </w:p>
        </w:tc>
        <w:tc>
          <w:tcPr>
            <w:tcW w:w="5805" w:type="dxa"/>
            <w:vAlign w:val="center"/>
          </w:tcPr>
          <w:p w14:paraId="6D7E1323">
            <w:pPr>
              <w:keepNext w:val="0"/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综合利用建议引用了前文已经否定的酸化和盐碱化问题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证据：第162页明确“未出现酸化或碱化风险”，第304—307页及第379页认定当前无盐碱地、耕地盐渍化100%为无；第425—427页却诊断设施菜地和连作果园轻度酸化、低等级耕地盐碱化较重，并设置盐碱地改良分区和酸化调理措施。</w:t>
            </w:r>
          </w:p>
        </w:tc>
      </w:tr>
    </w:tbl>
    <w:p w14:paraId="3179CE96">
      <w:pPr>
        <w:pStyle w:val="16"/>
        <w:keepLines/>
        <w:numPr>
          <w:ilvl w:val="0"/>
          <w:numId w:val="0"/>
        </w:numPr>
        <w:spacing w:after="60" w:line="276" w:lineRule="auto"/>
        <w:ind w:leftChars="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jc w:val="center"/>
    </w:pPr>
    <w:r>
      <w:rPr>
        <w:rFonts w:ascii="宋体" w:hAnsi="宋体" w:eastAsia="宋体"/>
        <w:sz w:val="18"/>
      </w:rPr>
      <w:t>献县土壤资源评价与利用报告｜质控审计意见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1BA6DAD"/>
    <w:rsid w:val="02D80E4A"/>
    <w:rsid w:val="0CFD41D5"/>
    <w:rsid w:val="16F72C63"/>
    <w:rsid w:val="2A037A86"/>
    <w:rsid w:val="338B77DA"/>
    <w:rsid w:val="38D25BA2"/>
    <w:rsid w:val="59D03A57"/>
    <w:rsid w:val="5BA71B9B"/>
    <w:rsid w:val="611F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4736</Words>
  <Characters>5956</Characters>
  <Lines>484</Lines>
  <Paragraphs>482</Paragraphs>
  <TotalTime>90</TotalTime>
  <ScaleCrop>false</ScaleCrop>
  <LinksUpToDate>false</LinksUpToDate>
  <CharactersWithSpaces>5958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Codex</dc:creator>
  <dc:description>generated by python-docx</dc:description>
  <cp:keywords>土壤三普, 质控, 河间市, 审计意见</cp:keywords>
  <cp:lastModifiedBy>Mi Manchi</cp:lastModifiedBy>
  <dcterms:modified xsi:type="dcterms:W3CDTF">2026-09-22T07:11:17Z</dcterms:modified>
  <dc:subject>依据既定流程、质控标准和成果模板逐页复核</dc:subject>
  <dc:title>献县土壤资源评价与利用报告质控审计意见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