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C5C06">
      <w:pPr>
        <w:spacing w:before="200" w:after="80"/>
        <w:jc w:val="center"/>
      </w:pPr>
      <w:r>
        <w:rPr>
          <w:rFonts w:ascii="黑体" w:hAnsi="黑体" w:eastAsia="黑体" w:cs="黑体"/>
          <w:b/>
          <w:color w:val="000000"/>
          <w:sz w:val="52"/>
        </w:rPr>
        <w:t>肃宁县土壤资源评价与利用报告</w:t>
      </w:r>
    </w:p>
    <w:p w14:paraId="3975CB33">
      <w:pPr>
        <w:spacing w:after="320"/>
        <w:jc w:val="center"/>
      </w:pPr>
      <w:r>
        <w:rPr>
          <w:rFonts w:ascii="黑体" w:hAnsi="黑体" w:eastAsia="黑体" w:cs="黑体"/>
          <w:b/>
          <w:color w:val="000000"/>
          <w:sz w:val="64"/>
        </w:rPr>
        <w:t>质控审计意见</w:t>
      </w:r>
    </w:p>
    <w:p w14:paraId="6E981164">
      <w:pPr>
        <w:pStyle w:val="3"/>
        <w:keepNext/>
        <w:spacing w:before="160" w:after="80"/>
      </w:pPr>
      <w:r>
        <w:rPr>
          <w:rFonts w:ascii="黑体" w:hAnsi="黑体" w:eastAsia="黑体" w:cs="黑体"/>
          <w:b/>
          <w:color w:val="1F4E79"/>
          <w:sz w:val="30"/>
        </w:rPr>
        <w:t>优先整改的六个阻断点</w:t>
      </w:r>
    </w:p>
    <w:p w14:paraId="2731A573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县域总面积、土地利用分类和跨章节评价面积没有统一底稿，表2.1文字、表格及合计也不一致。</w:t>
      </w:r>
    </w:p>
    <w:p w14:paraId="6794DEF9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异常值称全部保留但汇总统计排除了已列极值，属性模型又与报告自定R²阈值及候选模型结果不闭合。</w:t>
      </w:r>
    </w:p>
    <w:p w14:paraId="3B02FBF0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第五章把盐碱地内容写在“土壤酸化”标题下，并同时出现“无盐碱地”“局部轻度盐化”和返盐风险1.53万亩等未分口径结论。</w:t>
      </w:r>
    </w:p>
    <w:p w14:paraId="70D12CA7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第六章把pH 8.5—9.0的a4面积整体解释成酸性地块，并在未展示规划叠加证据的情况下直接提出大规模园、林、草地清退开发。</w:t>
      </w:r>
    </w:p>
    <w:p w14:paraId="1A4820A7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第七章等级面积和平均产能出现两套数值，乡镇合计数据整列错配，产能方法还残留“鹿泉区”。</w:t>
      </w:r>
    </w:p>
    <w:p w14:paraId="295C0CC0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第八章对pH、盐渍化和耕地质量的总括与前文相反，同时全文没有形成土特产品土壤适宜性评价专题或未开展说明。</w:t>
      </w:r>
    </w:p>
    <w:p w14:paraId="1CBB14F6">
      <w:pPr>
        <w:pStyle w:val="3"/>
        <w:keepNext/>
        <w:spacing w:before="160" w:after="80"/>
      </w:pPr>
      <w:r>
        <w:rPr>
          <w:rFonts w:ascii="黑体" w:hAnsi="黑体" w:eastAsia="黑体" w:cs="黑体"/>
          <w:b/>
          <w:color w:val="1F4E79"/>
          <w:sz w:val="30"/>
        </w:rPr>
        <w:t>问题明细</w:t>
      </w:r>
    </w:p>
    <w:p w14:paraId="00C45B8E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问题类别一：前置材料、第一章和数据源表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920"/>
        <w:gridCol w:w="6525"/>
      </w:tblGrid>
      <w:tr w14:paraId="255C99B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9D88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9CDD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52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A25A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535D28CB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11A8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A25B2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9</w:t>
            </w:r>
          </w:p>
        </w:tc>
        <w:tc>
          <w:tcPr>
            <w:tcW w:w="65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1972F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数据源表与正文的基准时点没有统一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表1.1列明土地利用现状数据为2023年度；同页“基础数据”又称“标准时点统一以2019年12月31日为基准”，未说明2019基准与2023年度变更数据分别用于何种统计、如何转换。</w:t>
            </w:r>
          </w:p>
        </w:tc>
      </w:tr>
    </w:tbl>
    <w:p w14:paraId="138D5EA3">
      <w:pPr>
        <w:spacing w:after="0" w:line="96" w:lineRule="auto"/>
      </w:pPr>
    </w:p>
    <w:p w14:paraId="334F89CF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问题类别二：第二章区域概况与本地衔接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950"/>
        <w:gridCol w:w="6505"/>
      </w:tblGrid>
      <w:tr w14:paraId="768A90F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</w:tblPrEx>
        <w:trPr>
          <w:cantSplit/>
          <w:tblHeader/>
          <w:jc w:val="center"/>
        </w:trPr>
        <w:tc>
          <w:tcPr>
            <w:tcW w:w="182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D7C9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5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987A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50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C83A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779FE400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614D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D83C6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2、5、18—20</w:t>
            </w:r>
          </w:p>
        </w:tc>
        <w:tc>
          <w:tcPr>
            <w:tcW w:w="65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09682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县域总面积出现四组不相容数值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PDF第2页为76.94万亩（约512.93平方千米），第5页摘要为525平方公里，第18页为516平方千米，第19—20页表2.1总计为754163亩（约502.78平方千米）；报告未说明行政区、土地利用统计区或土壤调查区的边界差异。</w:t>
            </w:r>
          </w:p>
        </w:tc>
      </w:tr>
      <w:tr w14:paraId="432F3A08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3848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5076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19—20</w:t>
            </w:r>
          </w:p>
        </w:tc>
        <w:tc>
          <w:tcPr>
            <w:tcW w:w="65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DD646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土地利用现状文字、表格和合计互相不一致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PDF第19页文字称园地1709亩、设施农用地21016亩、草地4148亩；表2.1分别为园地17087亩、草地4116亩，且一级地类中没有设施农用地。表内一级地类小计相加为754162亩，而表尾总计为754163亩。</w:t>
            </w:r>
          </w:p>
        </w:tc>
      </w:tr>
      <w:tr w14:paraId="0BFAD73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7D9B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173CC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20—21</w:t>
            </w:r>
          </w:p>
        </w:tc>
        <w:tc>
          <w:tcPr>
            <w:tcW w:w="65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308B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土地利用历史变化小节没有形成历史对比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“（二）土地利用历史变化”仅叙述农业产业、设施蔬菜、果品和机械化发展，没有列示二普或历次土地调查的分类面积、变化量、空间变化和成因对比。</w:t>
            </w:r>
          </w:p>
        </w:tc>
      </w:tr>
      <w:tr w14:paraId="608A844F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5B51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993E4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w="65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CD29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蔬菜单产的吨、千克和斤换算错误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PDF第26页将160万吨/16.8万亩写为9524斤/亩，将54.2万吨/11万亩写为4927斤/亩，并将117206吨/25770亩写为45.48吨（90960斤）/亩。</w:t>
            </w:r>
          </w:p>
        </w:tc>
      </w:tr>
    </w:tbl>
    <w:p w14:paraId="7E028C76">
      <w:pPr>
        <w:spacing w:after="0" w:line="96" w:lineRule="auto"/>
      </w:pPr>
    </w:p>
    <w:p w14:paraId="5F63B8C8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问题类别三：第三章土壤类型与制图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960"/>
        <w:gridCol w:w="6485"/>
      </w:tblGrid>
      <w:tr w14:paraId="78CD3759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6F45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6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2B92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4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7816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39BFFAD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E444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AB24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35—36、334—336</w:t>
            </w:r>
          </w:p>
        </w:tc>
        <w:tc>
          <w:tcPr>
            <w:tcW w:w="6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2FE4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土种数量和清单在第三章与第七章不一致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第三章表3.7及正文为1个土类、1个亚类、3个土属、12个土种；第七章PDF第334—336页称1个土类、13个土种，并新增第三章清单中没有的“均壤石灰性潮土”112.32公顷。</w:t>
            </w:r>
          </w:p>
        </w:tc>
      </w:tr>
      <w:tr w14:paraId="6BD9018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1364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939F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107—109</w:t>
            </w:r>
          </w:p>
        </w:tc>
        <w:tc>
          <w:tcPr>
            <w:tcW w:w="6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692C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验证表把一个土种不一致点标为一致并高估正确率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107页称30个点中28个正确、正确率93.33%；表3.27已将JSN104和JSN1012标为“否”，第109页JSN1026的三普土种为“均黏壤石灰性潮土”、验证土种为“均壤质石灰性潮土”，仍标为“是”；同页又称最终对14个图斑土种名称进行了修正。</w:t>
            </w:r>
          </w:p>
        </w:tc>
      </w:tr>
    </w:tbl>
    <w:p w14:paraId="133E407C">
      <w:pPr>
        <w:spacing w:after="0" w:line="96" w:lineRule="auto"/>
      </w:pPr>
    </w:p>
    <w:p w14:paraId="5EEF48A0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问题类别四：第四章土壤属性与制图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960"/>
        <w:gridCol w:w="6475"/>
      </w:tblGrid>
      <w:tr w14:paraId="132EB941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4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0706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6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1F37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47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D520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5F0768A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204A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C0CC2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121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2A906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表4.1多项制图面积占比复算错误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表4.1以564695亩为全县制图合计，却将530286亩列为91.82%、22388亩列为6.15%、5169亩列为0.76%、4758亩列为0.97%；正文据此重复同一组占比并称样点与制图趋势高度吻合。</w:t>
            </w:r>
          </w:p>
        </w:tc>
      </w:tr>
      <w:tr w14:paraId="6FCE754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3288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00DD5E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10、232—234、255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E3E3E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异常值称全部保留，但汇总统计排除了已列出的极值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10页及第232—233页称15个异常样点经核实均保留、不剔除；表4.81列出样点1309260102000095的速效钾1112、有效磷376、有效硫251。紧接的表4.82却分别以576、194、56.6为最大值，样本数也降为317、317、313；第255页小结又采用有效硫最大值251、均值8.33。</w:t>
            </w:r>
          </w:p>
        </w:tc>
      </w:tr>
      <w:tr w14:paraId="686041BB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C7FE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C03C9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253—254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3EAC3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报告自定R²阈值与最终模型表直接冲突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PDF第253页明确写“一般决定系数R²应大于0.5以上”；表4.87列出的21项最终模型中仅黏粒0.67、阳离子交换量0.62、速效钾0.52达到0.5，其余18项均低于该阈值，正文未调整阈值或解释验收依据。</w:t>
            </w:r>
          </w:p>
        </w:tc>
      </w:tr>
      <w:tr w14:paraId="74A6FE61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712F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A27F0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251、253—254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1C65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最优模型选择没有与候选模型指标闭合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4.86中有机质“GS+随机森林”R²为0.72、随机森林克里格为0.37，酸碱度渔网克里格随机森林R²为0.78、随机森林克里格为0.20；表4.87却分别选择R²为0.37和0.20的随机森林克里格。正文仅笼统称部分渔网结果空间效果差，没有逐项给出舍弃高R²方案和选取最终模型的依据。</w:t>
            </w:r>
          </w:p>
        </w:tc>
      </w:tr>
      <w:tr w14:paraId="23BCB1CF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989F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3C8E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126、255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45C5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耕层厚度小结比例与表4.4均不一致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表4.4显示10—15厘米样点占283/303=93.40%，制图面积占419038/429514=97.53%；第255页小结却写“93.93%耕地集中在10.0—15.0cm”，该值既不是样点占比，也不是制图面积占比。</w:t>
            </w:r>
          </w:p>
        </w:tc>
      </w:tr>
    </w:tbl>
    <w:p w14:paraId="6F22655C">
      <w:pPr>
        <w:spacing w:after="0" w:line="96" w:lineRule="auto"/>
      </w:pPr>
    </w:p>
    <w:p w14:paraId="08D9F246">
      <w:pPr>
        <w:pStyle w:val="4"/>
        <w:keepNext/>
        <w:spacing w:before="120" w:after="80"/>
        <w:rPr>
          <w:rFonts w:ascii="微软雅黑" w:hAnsi="微软雅黑" w:eastAsia="微软雅黑" w:cs="微软雅黑"/>
          <w:b/>
          <w:color w:val="1F4E79"/>
          <w:sz w:val="24"/>
        </w:rPr>
      </w:pPr>
    </w:p>
    <w:p w14:paraId="3E7E4837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问题类别五：第五章退化、障碍与改良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960"/>
        <w:gridCol w:w="6475"/>
      </w:tblGrid>
      <w:tr w14:paraId="34E55A99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4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AE98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6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F06C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47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7EEC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1BD2C86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063F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E0105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258—273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BCCA2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“土壤酸化”标题下实际编写盐碱地评价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五章设置“一、土壤酸化”“土壤酸化制图与验证”“土壤酸化状况/成因/治理对策”，但相应数据、盐分指数、随机森林模型、风险面积和治理措施均为盐碱地内容；直至第273页才另设“二、土壤盐渍化”且仅写“肃宁县无盐碱地”。</w:t>
            </w:r>
          </w:p>
        </w:tc>
      </w:tr>
      <w:tr w14:paraId="5FDCCFC7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84AB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E768A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2、5、271—273、358、362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A33C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盐渍化现状结论在报告内部互相冲突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271页称2024年盐碱地总面积0.00万亩、第273页称“无盐碱地”，第358页又称各等级耕地100%无盐渍化；前言和摘要称局部轻度盐化，第362页综合建议称西部、北部存在轻度盐渍化特征，且第271页另给返盐风险面积1.53万亩。报告没有区分现状盐渍化、设施次生盐渍化和返盐风险的对象与面积。</w:t>
            </w:r>
          </w:p>
        </w:tc>
      </w:tr>
      <w:tr w14:paraId="550B4B7F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22DB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B028B4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268—269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200A3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盐碱地评价改用2022年度土地数据但没有口径说明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第五章明确采用2022年度国土变更调查成果与盐碱地图斑叠加；第一章表1.1和第六、七章均采用2023年度土地利用变更数据，报告没有说明专项使用2022数据的原因、边界差异或面积转换。</w:t>
            </w:r>
          </w:p>
        </w:tc>
      </w:tr>
      <w:tr w14:paraId="5FAFF33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7F41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E0C55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264、267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4CF57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盐分遥感公式说明和模型参数存在不可复现文本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PDF第264页SI5公式使用B3、B4、B8平方和，但波段说明写“B8为近红外波段，B8为红光波段”，同一波段被赋予两种含义；第267页参数列表出现“'max_features':'sqrt' 'sqrt','max_depth':40”，多出一个'sqrt'且分隔符未写，无法按原文还原参数字典。</w:t>
            </w:r>
          </w:p>
        </w:tc>
      </w:tr>
      <w:tr w14:paraId="5FA8BD21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ED45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CFBBE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255—258、273—274</w:t>
            </w:r>
          </w:p>
        </w:tc>
        <w:tc>
          <w:tcPr>
            <w:tcW w:w="64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AE8AE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退化障碍章节没有覆盖报告已识别的主要障碍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第四章小结和第七章明确提出耕层浅薄、土壤偏紧实、养分失衡及中微量元素短板；第五章主体仅评价盐碱地，没有汇总这些障碍的面积、分布、程度和成因，也没有建立对应改良分区。</w:t>
            </w:r>
          </w:p>
        </w:tc>
      </w:tr>
    </w:tbl>
    <w:p w14:paraId="04885E35">
      <w:pPr>
        <w:spacing w:after="0" w:line="96" w:lineRule="auto"/>
      </w:pPr>
    </w:p>
    <w:p w14:paraId="000996BC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问题类别六：第六至八章专题评价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970"/>
        <w:gridCol w:w="6465"/>
      </w:tblGrid>
      <w:tr w14:paraId="4367C9B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4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C561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7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B55E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46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4D53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5C10DE3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7187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44E94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279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F7EA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土壤质地m1级比例文字与表6.5不一致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PDF第279页正文称m1级570234亩、占96.35%；表6.5同一面积占97.35%。</w:t>
            </w:r>
          </w:p>
        </w:tc>
      </w:tr>
      <w:tr w14:paraId="26285CF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005D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597C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278、281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FD57D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水资源w4等级没有定义却参与面积统计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表6.4把w4分级标准写成“/”，表6.6却将9649亩、1.65%的评价单元赋为w4；正文也称共有4个等级，但没有说明w4代表的水资源限制程度及其与适宜性等级的关系。</w:t>
            </w:r>
          </w:p>
        </w:tc>
      </w:tr>
      <w:tr w14:paraId="08E2E0F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E460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98BA0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289、319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53582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把pH 8.5—9.0的a4面积误判为pH 5.0—5.5酸性地块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表6.10将a4定义为pH 5.0—5.5或8.5—9.0，面积47336亩、占8.08%；第四章第255页又说明全县pH均为8.0—9.0、无酸性土壤。第319页却把全部8.08%写成pH 5.0—5.5并提出施用生石灰。</w:t>
            </w:r>
          </w:p>
        </w:tc>
      </w:tr>
      <w:tr w14:paraId="6ED7133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1A5E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12080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293—294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5872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适宜性评价验证仅列流程，没有实际验证记录和结果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“评价结果验证与修正”仅说明室内比对、实地复核、调整指标和再次验证的一般流程，没有给出复核点数量、位置、实测值、判定结果、修正清单或验证精度。</w:t>
            </w:r>
          </w:p>
        </w:tc>
      </w:tr>
      <w:tr w14:paraId="27D9585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D3E4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1BD1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313—317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14C1F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后备耕地和地类清退结论超出了报告展示的规划核验依据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313页直接断言149798亩潜力地块均不涉及生态保护红线、永久基本农田核心区；第315—317页据此提出清退17041亩园地、107979亩林地及4011亩草地，并给出年度开发计划。虽然表6.3列有“国土空间规划”，正文没有展示规划图层版本、叠加规则、冲突图斑数量或审批约束，且第315页又承认骨干防护林受生态布局约束。</w:t>
            </w:r>
          </w:p>
        </w:tc>
      </w:tr>
      <w:tr w14:paraId="07FCE333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F399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F0EEE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3—4、362—364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AA63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报告没有形成土特产品土壤适宜性评价专题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目录在第七章后直接进入“第八章土壤资源综合利用建议”；正文虽多次提到肃宁圆茄，但仅在综合建议中给出一般措施，没有产品生态土壤要求、指标体系、评价单元、适宜性分区、面积、限制因素、验证和专题图，也没有说明本县未开展该专题及折算口径。</w:t>
            </w:r>
          </w:p>
        </w:tc>
      </w:tr>
      <w:tr w14:paraId="3275384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567E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B134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326—327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B3B5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产能计算对象残留其他区县名称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PDF第326页“评价结果验证”后，第327页产能计算方法写“评估鹿泉区各等级耕地年度粮食产能水平”，与肃宁县报告对象不符。</w:t>
            </w:r>
          </w:p>
        </w:tc>
      </w:tr>
      <w:tr w14:paraId="0212689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1898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0DEB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326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6AE1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耕地质量验证结论没有配套数据表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正文称收集近三年典型地块产量、比较各等级指标梯度，并与近五年统计年鉴单产比对后“趋势和量级基本一致”，但没有列出年份、地块数、作物、等级、实测产量、统计来源、差异率或判定标准。</w:t>
            </w:r>
          </w:p>
        </w:tc>
      </w:tr>
      <w:tr w14:paraId="7E8492AB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6468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5E9D4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327、329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9FD0E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耕地质量等级面积和平均产能在相邻页面出现两套结果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第327页及表7.7采用四等22319.86公顷、五等4797.89公顷、六等814.88公顷；第329页表前文字改为四等22313.84、五等5112.44、六等585.18公顷。第329页同一段称全县平均年度产能971.79千克/亩，表7.7合计却为994.93千克/亩。</w:t>
            </w:r>
          </w:p>
        </w:tc>
      </w:tr>
      <w:tr w14:paraId="7131D3B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29DF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0B9AA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329—330</w:t>
            </w:r>
          </w:p>
        </w:tc>
        <w:tc>
          <w:tcPr>
            <w:tcW w:w="64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E9CC0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表7.8乡镇合计列整体错位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表7.8中师素镇1.49+4677.31=4678.80公顷，但合计写2641.27；付家佐镇合计应2641.27，却写2727.41；其后各乡镇合计依次落入下一行，河北留善寺镇写成全县28634.28，总计行又写2641.27。</w:t>
            </w:r>
          </w:p>
        </w:tc>
      </w:tr>
    </w:tbl>
    <w:p w14:paraId="16CFFCA4">
      <w:pPr>
        <w:spacing w:after="0" w:line="96" w:lineRule="auto"/>
      </w:pPr>
    </w:p>
    <w:p w14:paraId="06CB0AF1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问题类别七：第八章综合利用建议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980"/>
        <w:gridCol w:w="6455"/>
      </w:tblGrid>
      <w:tr w14:paraId="0AD1A26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4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0669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9B7A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45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AEF4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6186836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F8D8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038FD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255、329、358、362</w:t>
            </w:r>
          </w:p>
        </w:tc>
        <w:tc>
          <w:tcPr>
            <w:tcW w:w="64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413D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综合建议对pH、盐渍化和耕地质量的概括与前文冲突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362页称土壤pH整体呈中性、局部酸化，西部北部有轻度盐渍化，耕地质量整体较高且以中高等级为主；第255页明确全县pH为8.0—9.0、整体弱碱性，第358页称各等级耕地100%无盐渍化，第329页称高等级仅2.45%、中等级97.56%且正文称“整体中等偏下”。</w:t>
            </w:r>
          </w:p>
        </w:tc>
      </w:tr>
      <w:tr w14:paraId="305A0EB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9E0C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19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A99D2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362—364</w:t>
            </w:r>
          </w:p>
        </w:tc>
        <w:tc>
          <w:tcPr>
            <w:tcW w:w="64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A0A72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四个综合利用分区缺少空间落位依据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第八章仅以“中部、南部”“县城周边”“西部、北部”“东部”等方向性文字划分四区，没有分区图、分区面积、乡镇或图斑边界清单，也没有说明分区与土壤类型、质量等级和障碍因子图层的叠加方法。</w:t>
            </w:r>
          </w:p>
        </w:tc>
      </w:tr>
    </w:tbl>
    <w:p w14:paraId="6EF310B1">
      <w:pPr>
        <w:spacing w:after="0" w:line="96" w:lineRule="auto"/>
      </w:pPr>
    </w:p>
    <w:p w14:paraId="4D776DDC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问题类别八：章节、专题及面积口径一致性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980"/>
        <w:gridCol w:w="6445"/>
      </w:tblGrid>
      <w:tr w14:paraId="5DF49E2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5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B8C8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19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3525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644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505C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6C2F59C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04A9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19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34350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19—20、35—36、121、277、295、320</w:t>
            </w:r>
          </w:p>
        </w:tc>
        <w:tc>
          <w:tcPr>
            <w:tcW w:w="64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9490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土地、土壤图、属性制图、适宜性和耕地面积未建立口径对应关系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2.1土地利用总计754163亩，表3.7土壤类型面积769405.05亩，表4.1质地制图面积564695亩，第六章评价对象585728亩，第七章现状耕地429514亩。报告在多处使用“全县”“全域”“参评土壤”，但未给出排除地类、边界版本及各面积之间的勾稽表。</w:t>
            </w:r>
          </w:p>
        </w:tc>
      </w:tr>
    </w:tbl>
    <w:p w14:paraId="2EECC665">
      <w:pPr>
        <w:spacing w:after="0" w:line="96" w:lineRule="auto"/>
      </w:pPr>
    </w:p>
    <w:p w14:paraId="1E1C310C">
      <w:pPr>
        <w:spacing w:after="0" w:line="96" w:lineRule="auto"/>
      </w:pPr>
    </w:p>
    <w:p w14:paraId="268A9FE6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spacing w:after="0"/>
      <w:jc w:val="center"/>
    </w:pPr>
    <w:r>
      <w:rPr>
        <w:rFonts w:ascii="宋体" w:hAnsi="宋体" w:eastAsia="宋体" w:cs="宋体"/>
        <w:b w:val="0"/>
        <w:color w:val="000000"/>
        <w:sz w:val="18"/>
      </w:rPr>
      <w:t>肃宁县土壤资源评价与利用报告｜质控审计意见（复核稿）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0CFD41D5"/>
    <w:rsid w:val="16F72C63"/>
    <w:rsid w:val="17662629"/>
    <w:rsid w:val="2A037A86"/>
    <w:rsid w:val="38D25BA2"/>
    <w:rsid w:val="59D03A57"/>
    <w:rsid w:val="5BA71B9B"/>
    <w:rsid w:val="611F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937</Words>
  <Characters>1051</Characters>
  <Lines>484</Lines>
  <Paragraphs>482</Paragraphs>
  <TotalTime>91</TotalTime>
  <ScaleCrop>false</ScaleCrop>
  <LinksUpToDate>false</LinksUpToDate>
  <CharactersWithSpaces>1052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土壤资源评价与利用报告质控复核</dc:creator>
  <dc:description>generated by python-docx</dc:description>
  <cp:keywords>肃宁县, 土壤资源评价与利用, 质控, 审计意见</cp:keywords>
  <cp:lastModifiedBy>Mi Manchi</cp:lastModifiedBy>
  <dcterms:modified xsi:type="dcterms:W3CDTF">2026-09-22T07:10:31Z</dcterms:modified>
  <dc:subject>第三次全国土壤普查土壤资源评价与利用报告质控</dc:subject>
  <dc:title>肃宁县土壤资源评价与利用报告质控审计意见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