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4F0ECC">
      <w:pPr>
        <w:spacing w:after="280"/>
      </w:pPr>
    </w:p>
    <w:p w14:paraId="6A181668">
      <w:pPr>
        <w:spacing w:after="280"/>
      </w:pPr>
    </w:p>
    <w:p w14:paraId="48B95947">
      <w:pPr>
        <w:spacing w:after="280"/>
      </w:pPr>
    </w:p>
    <w:p w14:paraId="1228CB83">
      <w:pPr>
        <w:spacing w:after="240"/>
        <w:jc w:val="center"/>
      </w:pPr>
      <w:r>
        <w:rPr>
          <w:rFonts w:ascii="黑体" w:hAnsi="黑体" w:eastAsia="黑体"/>
          <w:b/>
          <w:color w:val="17365D"/>
          <w:sz w:val="52"/>
        </w:rPr>
        <w:t>黄骅市土壤资源评价与利用报告</w:t>
      </w:r>
    </w:p>
    <w:p w14:paraId="706B593F">
      <w:pPr>
        <w:spacing w:after="0"/>
        <w:jc w:val="center"/>
      </w:pPr>
      <w:r>
        <w:rPr>
          <w:rFonts w:ascii="黑体" w:hAnsi="黑体" w:eastAsia="黑体"/>
          <w:b/>
          <w:color w:val="2F5597"/>
          <w:sz w:val="64"/>
        </w:rPr>
        <w:t>质控审计意见</w:t>
      </w:r>
      <w:r>
        <w:rPr>
          <w:rFonts w:ascii="黑体" w:hAnsi="黑体" w:eastAsia="黑体"/>
          <w:b/>
          <w:color w:val="2F5597"/>
          <w:sz w:val="64"/>
        </w:rPr>
        <w:br w:type="page"/>
      </w:r>
    </w:p>
    <w:p w14:paraId="278DCFE8">
      <w:pPr>
        <w:keepNext/>
        <w:pageBreakBefore w:val="0"/>
        <w:spacing w:before="240" w:after="120" w:line="252" w:lineRule="auto"/>
      </w:pPr>
      <w:bookmarkStart w:id="0" w:name="_GoBack"/>
      <w:bookmarkEnd w:id="0"/>
      <w:r>
        <w:rPr>
          <w:rFonts w:ascii="黑体" w:hAnsi="黑体" w:eastAsia="黑体"/>
          <w:b/>
          <w:color w:val="17365D"/>
          <w:sz w:val="34"/>
        </w:rPr>
        <w:t>优先整改的八个阻断点</w:t>
      </w:r>
    </w:p>
    <w:p w14:paraId="3AD4D6E3">
      <w:pPr>
        <w:spacing w:after="80" w:line="259" w:lineRule="auto"/>
        <w:ind w:left="259" w:hanging="259"/>
      </w:pPr>
      <w:r>
        <w:rPr>
          <w:rFonts w:ascii="宋体" w:hAnsi="宋体" w:eastAsia="宋体"/>
          <w:b/>
          <w:color w:val="2F5597"/>
          <w:sz w:val="19"/>
        </w:rPr>
        <w:t xml:space="preserve">• </w:t>
      </w:r>
      <w:r>
        <w:rPr>
          <w:rFonts w:ascii="宋体" w:hAnsi="宋体" w:eastAsia="宋体"/>
          <w:sz w:val="19"/>
        </w:rPr>
        <w:t>普查样点在第一章、第四章出现1065、1092、1250三套口径，且分项合计不能对应总数，须以验收数据和数据库为唯一底稿重算。</w:t>
      </w:r>
    </w:p>
    <w:p w14:paraId="2C58295D">
      <w:pPr>
        <w:spacing w:after="80" w:line="259" w:lineRule="auto"/>
        <w:ind w:left="259" w:hanging="259"/>
      </w:pPr>
      <w:r>
        <w:rPr>
          <w:rFonts w:ascii="宋体" w:hAnsi="宋体" w:eastAsia="宋体"/>
          <w:b/>
          <w:color w:val="2F5597"/>
          <w:sz w:val="19"/>
        </w:rPr>
        <w:t xml:space="preserve">• </w:t>
      </w:r>
      <w:r>
        <w:rPr>
          <w:rFonts w:ascii="宋体" w:hAnsi="宋体" w:eastAsia="宋体"/>
          <w:sz w:val="19"/>
        </w:rPr>
        <w:t>县域总面积及土壤类型、属性、适宜性、耕地质量、盐碱地面积互不闭合，须建立统一边界、年份、地类与单位口径对照表。</w:t>
      </w:r>
    </w:p>
    <w:p w14:paraId="28296726">
      <w:pPr>
        <w:spacing w:after="80" w:line="259" w:lineRule="auto"/>
        <w:ind w:left="259" w:hanging="259"/>
      </w:pPr>
      <w:r>
        <w:rPr>
          <w:rFonts w:ascii="宋体" w:hAnsi="宋体" w:eastAsia="宋体"/>
          <w:b/>
          <w:color w:val="2F5597"/>
          <w:sz w:val="19"/>
        </w:rPr>
        <w:t xml:space="preserve">• </w:t>
      </w:r>
      <w:r>
        <w:rPr>
          <w:rFonts w:ascii="宋体" w:hAnsi="宋体" w:eastAsia="宋体"/>
          <w:sz w:val="19"/>
        </w:rPr>
        <w:t>第三章表4.19乡镇土壤类型面积出现数量级错误，总计901.3025万亩，必须回查GIS统计并重出表。</w:t>
      </w:r>
    </w:p>
    <w:p w14:paraId="0B8B313C">
      <w:pPr>
        <w:spacing w:after="80" w:line="259" w:lineRule="auto"/>
        <w:ind w:left="259" w:hanging="259"/>
      </w:pPr>
      <w:r>
        <w:rPr>
          <w:rFonts w:ascii="宋体" w:hAnsi="宋体" w:eastAsia="宋体"/>
          <w:b/>
          <w:color w:val="2F5597"/>
          <w:sz w:val="19"/>
        </w:rPr>
        <w:t xml:space="preserve">• </w:t>
      </w:r>
      <w:r>
        <w:rPr>
          <w:rFonts w:ascii="宋体" w:hAnsi="宋体" w:eastAsia="宋体"/>
          <w:sz w:val="19"/>
        </w:rPr>
        <w:t>第四章属性制图方法与模型表冲突，多数指标R²偏低，关键属性图及其在后续评价中的使用条件须重新评估。</w:t>
      </w:r>
    </w:p>
    <w:p w14:paraId="1F93F846">
      <w:pPr>
        <w:spacing w:after="80" w:line="259" w:lineRule="auto"/>
        <w:ind w:left="259" w:hanging="259"/>
      </w:pPr>
      <w:r>
        <w:rPr>
          <w:rFonts w:ascii="宋体" w:hAnsi="宋体" w:eastAsia="宋体"/>
          <w:b/>
          <w:color w:val="2F5597"/>
          <w:sz w:val="19"/>
        </w:rPr>
        <w:t xml:space="preserve">• </w:t>
      </w:r>
      <w:r>
        <w:rPr>
          <w:rFonts w:ascii="宋体" w:hAnsi="宋体" w:eastAsia="宋体"/>
          <w:sz w:val="19"/>
        </w:rPr>
        <w:t>第五章盐碱地遥感指数波段和公式存在基础错误，季节迁移模型仅以少量配对样本支撑1047个建模样本，应重算并量化不确定性。</w:t>
      </w:r>
    </w:p>
    <w:p w14:paraId="388768B6">
      <w:pPr>
        <w:spacing w:after="80" w:line="259" w:lineRule="auto"/>
        <w:ind w:left="259" w:hanging="259"/>
      </w:pPr>
      <w:r>
        <w:rPr>
          <w:rFonts w:ascii="宋体" w:hAnsi="宋体" w:eastAsia="宋体"/>
          <w:b/>
          <w:color w:val="2F5597"/>
          <w:sz w:val="19"/>
        </w:rPr>
        <w:t xml:space="preserve">• </w:t>
      </w:r>
      <w:r>
        <w:rPr>
          <w:rFonts w:ascii="宋体" w:hAnsi="宋体" w:eastAsia="宋体"/>
          <w:sz w:val="19"/>
        </w:rPr>
        <w:t>第六章评价对象总量和地类结构使用两套数据，进而得出97.73%现状耕地宜林及约140万亩退出建议，须整体重做并开展规划合规核验。</w:t>
      </w:r>
    </w:p>
    <w:p w14:paraId="0C7A1045">
      <w:pPr>
        <w:spacing w:after="80" w:line="259" w:lineRule="auto"/>
        <w:ind w:left="259" w:hanging="259"/>
      </w:pPr>
      <w:r>
        <w:rPr>
          <w:rFonts w:ascii="宋体" w:hAnsi="宋体" w:eastAsia="宋体"/>
          <w:b/>
          <w:color w:val="2F5597"/>
          <w:sz w:val="19"/>
        </w:rPr>
        <w:t xml:space="preserve">• </w:t>
      </w:r>
      <w:r>
        <w:rPr>
          <w:rFonts w:ascii="宋体" w:hAnsi="宋体" w:eastAsia="宋体"/>
          <w:sz w:val="19"/>
        </w:rPr>
        <w:t>第八章高粱模型样本由102个变为16个，不适宜阈值误写为pH＜0.70，优势区面积也不一致，分类成果须重新验证。</w:t>
      </w:r>
    </w:p>
    <w:p w14:paraId="047FA3A5">
      <w:pPr>
        <w:spacing w:after="80" w:line="259" w:lineRule="auto"/>
        <w:ind w:left="259" w:hanging="259"/>
      </w:pPr>
      <w:r>
        <w:rPr>
          <w:rFonts w:ascii="宋体" w:hAnsi="宋体" w:eastAsia="宋体"/>
          <w:b/>
          <w:color w:val="2F5597"/>
          <w:sz w:val="19"/>
        </w:rPr>
        <w:t xml:space="preserve">• </w:t>
      </w:r>
      <w:r>
        <w:rPr>
          <w:rFonts w:ascii="宋体" w:hAnsi="宋体" w:eastAsia="宋体"/>
          <w:sz w:val="19"/>
        </w:rPr>
        <w:t>目录、书签和章节体系尚未形成最终版，且出现“雄县”等跨县残留；在数据重算完成后应统一重编、更新域并全篇校对。</w:t>
      </w:r>
    </w:p>
    <w:p w14:paraId="346BA1A5">
      <w:pPr>
        <w:keepNext/>
        <w:pageBreakBefore w:val="0"/>
        <w:spacing w:before="240" w:after="120" w:line="252" w:lineRule="auto"/>
      </w:pPr>
      <w:r>
        <w:rPr>
          <w:rFonts w:ascii="黑体" w:hAnsi="黑体" w:eastAsia="黑体"/>
          <w:b/>
          <w:color w:val="17365D"/>
          <w:sz w:val="34"/>
        </w:rPr>
        <w:t>问题明细</w:t>
      </w:r>
    </w:p>
    <w:p w14:paraId="7041A02D">
      <w:pPr>
        <w:keepNext/>
        <w:pageBreakBefore w:val="0"/>
        <w:spacing w:before="180" w:after="120" w:line="252" w:lineRule="auto"/>
      </w:pPr>
      <w:r>
        <w:rPr>
          <w:rFonts w:ascii="黑体" w:hAnsi="黑体" w:eastAsia="黑体"/>
          <w:b/>
          <w:color w:val="2F5597"/>
          <w:sz w:val="27"/>
        </w:rPr>
        <w:t>问题类别</w:t>
      </w:r>
      <w:r>
        <w:rPr>
          <w:rFonts w:hint="eastAsia" w:ascii="黑体" w:hAnsi="黑体" w:eastAsia="黑体"/>
          <w:b/>
          <w:color w:val="2F5597"/>
          <w:sz w:val="27"/>
          <w:lang w:val="en-US" w:eastAsia="zh-CN"/>
        </w:rPr>
        <w:t>一</w:t>
      </w:r>
      <w:r>
        <w:rPr>
          <w:rFonts w:ascii="黑体" w:hAnsi="黑体" w:eastAsia="黑体"/>
          <w:b/>
          <w:color w:val="2F5597"/>
          <w:sz w:val="27"/>
        </w:rPr>
        <w:t>：前置材料、第一章和数据源表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6"/>
        <w:gridCol w:w="2180"/>
        <w:gridCol w:w="5585"/>
      </w:tblGrid>
      <w:tr w14:paraId="4A572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2516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FC3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w="2180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05F5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PDF页</w:t>
            </w:r>
          </w:p>
        </w:tc>
        <w:tc>
          <w:tcPr>
            <w:tcW w:w="5585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ED71E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问题与证据</w:t>
            </w:r>
          </w:p>
        </w:tc>
      </w:tr>
      <w:tr w14:paraId="536EA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16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AF66141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2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77A3E2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8</w:t>
            </w:r>
          </w:p>
        </w:tc>
        <w:tc>
          <w:tcPr>
            <w:tcW w:w="558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D075B2C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表层样点分类合计与报告总数不相等</w:t>
            </w:r>
          </w:p>
          <w:p w14:paraId="18BCC8EC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正文称表层样点1065个，其中耕地923、园地70、林地8、草地25个，四类合计仅1026个，少39个；同段又称普查对象仅含耕地、园地、林地，却列出草地样点。</w:t>
            </w:r>
          </w:p>
        </w:tc>
      </w:tr>
      <w:tr w14:paraId="3C486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16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FFAAAB7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2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650F1F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8—9</w:t>
            </w:r>
          </w:p>
        </w:tc>
        <w:tc>
          <w:tcPr>
            <w:tcW w:w="558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E11B3DE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主要数据来源表登记范围明显不足</w:t>
            </w:r>
          </w:p>
          <w:p w14:paraId="58B20F59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表1.1仅列2023年土地利用、1983年二普剖面描述和2018年DEM；后文实际还使用行政区划、二普土壤图、遥感影像、气象水文、盐碱地调查、耕地质量、永久基本农田及规划等数据，未登记格式、年份、比例尺和来源。</w:t>
            </w:r>
          </w:p>
        </w:tc>
      </w:tr>
      <w:tr w14:paraId="5FD1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16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F4CB954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2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B502E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9</w:t>
            </w:r>
          </w:p>
        </w:tc>
        <w:tc>
          <w:tcPr>
            <w:tcW w:w="558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746E974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数据处理未给出异常值核验和处置结果</w:t>
            </w:r>
          </w:p>
          <w:p w14:paraId="63B95D8E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数据处理仅说明二普图配准和剖面点位校核，未交代测试数据异常值识别、复测、剔除或保留的数量与样点清单，也未形成可追溯处理记录。</w:t>
            </w:r>
          </w:p>
        </w:tc>
      </w:tr>
      <w:tr w14:paraId="453EB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16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418BA23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218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3EA037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6、9</w:t>
            </w:r>
          </w:p>
        </w:tc>
        <w:tc>
          <w:tcPr>
            <w:tcW w:w="558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AF37CF1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摘要和成果清单缺少可验收的定量结果</w:t>
            </w:r>
          </w:p>
          <w:p w14:paraId="68A9BED2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摘要未给出土壤类型数量与面积、主要属性统计、退化面积、适宜性等级、耕地质量等级及土特产品评价等关键定量结论；成果清单对属性图、专题图和数据成果仅作泛称，未列完整图名及数量。</w:t>
            </w:r>
          </w:p>
        </w:tc>
      </w:tr>
    </w:tbl>
    <w:p w14:paraId="3664532B">
      <w:pPr>
        <w:spacing w:after="40"/>
      </w:pPr>
    </w:p>
    <w:p w14:paraId="282114AD">
      <w:pPr>
        <w:keepNext/>
        <w:pageBreakBefore w:val="0"/>
        <w:spacing w:before="180" w:after="120" w:line="252" w:lineRule="auto"/>
      </w:pPr>
      <w:r>
        <w:rPr>
          <w:rFonts w:ascii="黑体" w:hAnsi="黑体" w:eastAsia="黑体"/>
          <w:b/>
          <w:color w:val="2F5597"/>
          <w:sz w:val="27"/>
        </w:rPr>
        <w:t>问题类别</w:t>
      </w:r>
      <w:r>
        <w:rPr>
          <w:rFonts w:hint="eastAsia" w:ascii="黑体" w:hAnsi="黑体" w:eastAsia="黑体"/>
          <w:b/>
          <w:color w:val="2F5597"/>
          <w:sz w:val="27"/>
          <w:lang w:val="en-US" w:eastAsia="zh-CN"/>
        </w:rPr>
        <w:t>二</w:t>
      </w:r>
      <w:r>
        <w:rPr>
          <w:rFonts w:ascii="黑体" w:hAnsi="黑体" w:eastAsia="黑体"/>
          <w:b/>
          <w:color w:val="2F5597"/>
          <w:sz w:val="27"/>
        </w:rPr>
        <w:t>：第二章区域概况与本地衔接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2170"/>
        <w:gridCol w:w="5585"/>
      </w:tblGrid>
      <w:tr w14:paraId="4CDD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6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DEF90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w="2170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C08E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PDF页</w:t>
            </w:r>
          </w:p>
        </w:tc>
        <w:tc>
          <w:tcPr>
            <w:tcW w:w="5585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FAE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问题与证据</w:t>
            </w:r>
          </w:p>
        </w:tc>
      </w:tr>
      <w:tr w14:paraId="04C56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6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74038FA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217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F2A9E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6—7、11、180</w:t>
            </w:r>
          </w:p>
        </w:tc>
        <w:tc>
          <w:tcPr>
            <w:tcW w:w="558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7E9B847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辖区面积存在两套无法换算一致的总量</w:t>
            </w:r>
          </w:p>
          <w:p w14:paraId="272DE344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摘要、第一章和第五章专题写陆域面积2212平方千米，折合331.80万亩；第一章及第二章又写土地总面积17.18万公顷，折合257.70万亩，相差74.10万亩，未说明是否因行政边界、园区或海陆口径造成。</w:t>
            </w:r>
          </w:p>
        </w:tc>
      </w:tr>
      <w:tr w14:paraId="6F10E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6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E9297B5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217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691CD6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7、10—11</w:t>
            </w:r>
          </w:p>
        </w:tc>
        <w:tc>
          <w:tcPr>
            <w:tcW w:w="558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B8CD898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区域基础指标跨章节冲突且缺少年份来源</w:t>
            </w:r>
          </w:p>
          <w:p w14:paraId="68AB46BA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年均温分别为12.9℃和10.8℃，年均降水分别约570毫米和544.9毫米，河道总长分别为543.3千米和564.1千米；旱碱麦面积分别为83万余亩和60余万亩。正文未标注对应统计年度和权威来源。</w:t>
            </w:r>
          </w:p>
        </w:tc>
      </w:tr>
      <w:tr w14:paraId="73419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6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EFEDE13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217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2D0B5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10—12</w:t>
            </w:r>
          </w:p>
        </w:tc>
        <w:tc>
          <w:tcPr>
            <w:tcW w:w="558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B7AA0BA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土地利用、母质和地貌内容未达到图表化要求</w:t>
            </w:r>
          </w:p>
          <w:p w14:paraId="4656F483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第二章未提供土地利用一级、二级地类面积表及土地利用现状图，也未见母质类型面积表和母质/地质插图；土地利用历史仅作定性叙述，未以二普或历次土地调查数据列示面积变化并分析原因。</w:t>
            </w:r>
          </w:p>
        </w:tc>
      </w:tr>
      <w:tr w14:paraId="04E6E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6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0D5CF6F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217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C59C91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10—11</w:t>
            </w:r>
          </w:p>
        </w:tc>
        <w:tc>
          <w:tcPr>
            <w:tcW w:w="558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F2EA236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社会经济和农业生产数据缺少统计年度及出处</w:t>
            </w:r>
          </w:p>
          <w:p w14:paraId="7287DAC9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地区生产总值、固定资产投资、居民收入、高标准农田、经营主体、亩产和产业链产值等均未标注统计年份或引用来源；末句还残留“黄骅市人民政府”字样，证据链不完整。</w:t>
            </w:r>
          </w:p>
        </w:tc>
      </w:tr>
    </w:tbl>
    <w:p w14:paraId="44713A12">
      <w:pPr>
        <w:spacing w:after="40"/>
      </w:pPr>
    </w:p>
    <w:p w14:paraId="70ACEA98">
      <w:pPr>
        <w:keepNext/>
        <w:pageBreakBefore w:val="0"/>
        <w:spacing w:before="180" w:after="120" w:line="252" w:lineRule="auto"/>
      </w:pPr>
      <w:r>
        <w:rPr>
          <w:rFonts w:ascii="黑体" w:hAnsi="黑体" w:eastAsia="黑体"/>
          <w:b/>
          <w:color w:val="2F5597"/>
          <w:sz w:val="27"/>
        </w:rPr>
        <w:t>问题类别</w:t>
      </w:r>
      <w:r>
        <w:rPr>
          <w:rFonts w:hint="eastAsia" w:ascii="黑体" w:hAnsi="黑体" w:eastAsia="黑体"/>
          <w:b/>
          <w:color w:val="2F5597"/>
          <w:sz w:val="27"/>
          <w:lang w:val="en-US" w:eastAsia="zh-CN"/>
        </w:rPr>
        <w:t>三</w:t>
      </w:r>
      <w:r>
        <w:rPr>
          <w:rFonts w:ascii="黑体" w:hAnsi="黑体" w:eastAsia="黑体"/>
          <w:b/>
          <w:color w:val="2F5597"/>
          <w:sz w:val="27"/>
        </w:rPr>
        <w:t>：第三章土壤类型与制图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5083C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929BC3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w="1181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0B8C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PDF页</w:t>
            </w:r>
          </w:p>
        </w:tc>
        <w:tc>
          <w:tcPr>
            <w:tcW w:w="7747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1ECC0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问题与证据</w:t>
            </w:r>
          </w:p>
        </w:tc>
      </w:tr>
      <w:tr w14:paraId="7255E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E2F0D9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D46360B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548235"/>
                <w:sz w:val="16"/>
              </w:rPr>
              <w:t>一般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A1B2A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13—103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8344A09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第三章内部仍保留独立专题报告的原章节编号</w:t>
            </w:r>
          </w:p>
          <w:p w14:paraId="5696DB87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第三章下依次出现“第二章土壤分类”“第三章土壤类型与变化”“第四章土壤类型图编制”“第五章结论与建议”，层级与总报告章节体系冲突。</w:t>
            </w:r>
          </w:p>
        </w:tc>
      </w:tr>
      <w:tr w14:paraId="2EB8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53C4FBE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32C02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86—88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6BB2C81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表4.19乡镇面积汇总存在数量级错误</w:t>
            </w:r>
          </w:p>
          <w:p w14:paraId="51F03365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潮滩滨海盐土总面积称400145亩，但表中南排河镇399915亩、新村回族乡399919亩，两项已达799834亩；典型滨海盐土总面积称428208亩，乡镇分项也远超该值。表末总计9013025亩，明显超出县域面积及本章各土类总量。</w:t>
            </w:r>
          </w:p>
        </w:tc>
      </w:tr>
      <w:tr w14:paraId="0F679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0FF5355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76901D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15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AFBFA66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系统分类参比未落实到土种层级</w:t>
            </w:r>
          </w:p>
          <w:p w14:paraId="3EBCEE1A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表2.2仅列发生分类的土类、亚类、土属与系统分类的亚类、土类，未给出土种参比关系；无法满足土种层级成果核验需要。</w:t>
            </w:r>
          </w:p>
        </w:tc>
      </w:tr>
      <w:tr w14:paraId="6989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423C0A9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011829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24—26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4E1A46A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土壤分布描述含明显异地或方位残留</w:t>
            </w:r>
          </w:p>
          <w:p w14:paraId="79D8AEB6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沼泽土概述写“主要分布于坝上高原周边”，与黄骅滨海平原区不符；同一分布规律段又写“西部则是广泛的滨海盐土”，后文却称滨海盐土位于东部及北部临渤海地带。</w:t>
            </w:r>
          </w:p>
        </w:tc>
      </w:tr>
      <w:tr w14:paraId="32C7B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7271208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8EAE4D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78、81—84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910537B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模型精度、应用范围和实地验证之间缺少闭环解释</w:t>
            </w:r>
          </w:p>
          <w:p w14:paraId="24B88811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土属图总体精度0.792、土种图0.677（kappa 0.61），仅选取不确定性小于0.3的结果修正7个图斑；后文30个图斑验证准确率又为93.33%。报告未说明两套精度的样本、口径及7个应用图斑清单，示例页还显示应用前后土种名称相同。</w:t>
            </w:r>
          </w:p>
        </w:tc>
      </w:tr>
    </w:tbl>
    <w:p w14:paraId="289CA583">
      <w:pPr>
        <w:spacing w:after="40"/>
      </w:pPr>
    </w:p>
    <w:p w14:paraId="66673DA9">
      <w:pPr>
        <w:keepNext/>
        <w:pageBreakBefore/>
        <w:spacing w:before="180" w:after="120" w:line="252" w:lineRule="auto"/>
      </w:pPr>
      <w:r>
        <w:rPr>
          <w:rFonts w:ascii="黑体" w:hAnsi="黑体" w:eastAsia="黑体"/>
          <w:b/>
          <w:color w:val="2F5597"/>
          <w:sz w:val="27"/>
        </w:rPr>
        <w:t>问题类别</w:t>
      </w:r>
      <w:r>
        <w:rPr>
          <w:rFonts w:hint="eastAsia" w:ascii="黑体" w:hAnsi="黑体" w:eastAsia="黑体"/>
          <w:b/>
          <w:color w:val="2F5597"/>
          <w:sz w:val="27"/>
          <w:lang w:val="en-US" w:eastAsia="zh-CN"/>
        </w:rPr>
        <w:t>四</w:t>
      </w:r>
      <w:r>
        <w:rPr>
          <w:rFonts w:ascii="黑体" w:hAnsi="黑体" w:eastAsia="黑体"/>
          <w:b/>
          <w:color w:val="2F5597"/>
          <w:sz w:val="27"/>
        </w:rPr>
        <w:t>：第四章土壤属性与制图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704C6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5F8B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w="1181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2A35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PDF页</w:t>
            </w:r>
          </w:p>
        </w:tc>
        <w:tc>
          <w:tcPr>
            <w:tcW w:w="7747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B52A6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问题与证据</w:t>
            </w:r>
          </w:p>
        </w:tc>
      </w:tr>
      <w:tr w14:paraId="2F22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E512A39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3B8F3B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8、104、169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EC81820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土壤属性分析样点总数出现1065、1092和1250三套口径</w:t>
            </w:r>
          </w:p>
          <w:p w14:paraId="72438DF4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第一章称表层样点1065个；第四章多项属性表称表层调查样点1092个；制图数据处理又称共有1250个样点，包含1092个表层和27个剖面，两者合计1119个，却继续称以1250个表层样点制图。</w:t>
            </w:r>
          </w:p>
        </w:tc>
      </w:tr>
      <w:tr w14:paraId="6A452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972466F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42DCB1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107—110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BE08CEE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阳离子交换量统计表的总计行与分项不一致</w:t>
            </w:r>
          </w:p>
          <w:p w14:paraId="0C49EA75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分级表总计为1092点、1830448亩；土地利用表分项样点951+81+12+9+39=1092、面积合计1830448亩，但总计行却写463点、1015981亩；土壤类型表分项亦合计1092点，总计行写1057点。</w:t>
            </w:r>
          </w:p>
        </w:tc>
      </w:tr>
      <w:tr w14:paraId="6C76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3A7F4B2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8DF863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114—118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8A2DACD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全氮最大值疑有小数点错误并在三张表间冲突</w:t>
            </w:r>
          </w:p>
          <w:p w14:paraId="44DF0ABE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全域范围写0.16—20g/kg，土地利用汇总写0.16—2g/kg；正文同时称最高类型均值仅1.16g/kg。20g/kg与其余统计不协调，且会影响均值、分级和制图，应回查原始数据。</w:t>
            </w:r>
          </w:p>
        </w:tc>
      </w:tr>
      <w:tr w14:paraId="465DE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9DAE81F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40B3A1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168—175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93757DB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属性制图方法与最优模型表互相矛盾且低精度结果未处置</w:t>
            </w:r>
          </w:p>
          <w:p w14:paraId="5652A129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正文称有机质等采用GS+克里金、pH等采用普通克里金；表4.4却将多数指标列为随机森林，全氮和有效铁列为“渔网克里格”。有效锌R²仅0.19、有效铜0.24，多数指标R²为0.31—0.44，仍直接声称可支撑管理，未给出准入阈值、替代方案或风险边界。</w:t>
            </w:r>
          </w:p>
        </w:tc>
      </w:tr>
      <w:tr w14:paraId="438B2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008E1F4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5F5C6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169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32A8569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异常值筛查结论缺少可追溯证据</w:t>
            </w:r>
          </w:p>
          <w:p w14:paraId="727894E5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报告称17项指标均未筛出异常值，但未提供样点编号、邻域统计、复核记录或原始值—复测值对照；且后文已出现全氮极值和样点总数冲突，需重新核验。</w:t>
            </w:r>
          </w:p>
        </w:tc>
      </w:tr>
      <w:tr w14:paraId="07E89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CE1F18B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EECDF2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176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E628932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土壤容重解释与物理含义相反</w:t>
            </w:r>
          </w:p>
          <w:p w14:paraId="6FE26495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正文把1.91g/cm³称为“4级（较低）”后又判断“土壤极疏松”。高容重通常反映土体紧实、孔隙度偏低，结论与指标方向不符。</w:t>
            </w:r>
          </w:p>
        </w:tc>
      </w:tr>
    </w:tbl>
    <w:p w14:paraId="37DC6226">
      <w:pPr>
        <w:spacing w:after="40"/>
      </w:pPr>
    </w:p>
    <w:p w14:paraId="43A049BF">
      <w:pPr>
        <w:keepNext/>
        <w:pageBreakBefore w:val="0"/>
        <w:spacing w:before="180" w:after="120" w:line="252" w:lineRule="auto"/>
      </w:pPr>
      <w:r>
        <w:rPr>
          <w:rFonts w:ascii="黑体" w:hAnsi="黑体" w:eastAsia="黑体"/>
          <w:b/>
          <w:color w:val="2F5597"/>
          <w:sz w:val="27"/>
        </w:rPr>
        <w:t>问题类别</w:t>
      </w:r>
      <w:r>
        <w:rPr>
          <w:rFonts w:hint="eastAsia" w:ascii="黑体" w:hAnsi="黑体" w:eastAsia="黑体"/>
          <w:b/>
          <w:color w:val="2F5597"/>
          <w:sz w:val="27"/>
          <w:lang w:val="en-US" w:eastAsia="zh-CN"/>
        </w:rPr>
        <w:t>五</w:t>
      </w:r>
      <w:r>
        <w:rPr>
          <w:rFonts w:ascii="黑体" w:hAnsi="黑体" w:eastAsia="黑体"/>
          <w:b/>
          <w:color w:val="2F5597"/>
          <w:sz w:val="27"/>
        </w:rPr>
        <w:t>：第五章退化、障碍与改良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51679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C0273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w="1181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6092E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PDF页</w:t>
            </w:r>
          </w:p>
        </w:tc>
        <w:tc>
          <w:tcPr>
            <w:tcW w:w="7747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A04BF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问题与证据</w:t>
            </w:r>
          </w:p>
        </w:tc>
      </w:tr>
      <w:tr w14:paraId="6F997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E2F0D9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EDAB984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548235"/>
                <w:sz w:val="16"/>
              </w:rPr>
              <w:t>一般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1FB66B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179—205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8298022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第五章直接嵌入独立盐碱地报告的章节结构</w:t>
            </w:r>
          </w:p>
          <w:p w14:paraId="7B5B6A70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第五章下重新出现“第一章调查背景与意义”“第二章调查内容与方法”“第三章调查结果与分析”“第四章盐碱地治理对策及建议”，与总报告层级冲突。</w:t>
            </w:r>
          </w:p>
        </w:tc>
      </w:tr>
      <w:tr w14:paraId="4F27B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607B2D5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AAC916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179—205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6D5DF66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退化障碍体系仅展开盐碱化，其他主要类型缺项</w:t>
            </w:r>
          </w:p>
          <w:p w14:paraId="53999E4B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本章未按贫瘠、缺素、板结、压实、渍涝及当地土体障碍等类型系统列示面积、分布、程度、成因和改良措施，也未说明未开展或无相关问题的依据。</w:t>
            </w:r>
          </w:p>
        </w:tc>
      </w:tr>
      <w:tr w14:paraId="57EB4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326ACE5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391743A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182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9FE22A6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第五章把二普类型数量当作现状表述</w:t>
            </w:r>
          </w:p>
          <w:p w14:paraId="7CE80BA9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本页直接称黄骅市土壤为3个土类、7个亚类、15个土属、79个土种，未标注为二普口径；与第三章三普成果4个土类、9个亚类、12个土属、76个土种冲突。</w:t>
            </w:r>
          </w:p>
        </w:tc>
      </w:tr>
      <w:tr w14:paraId="3C08A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D931356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F9F74D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184—185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0A2B504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盐碱地专题样点分项不能完整对应50个点位</w:t>
            </w:r>
          </w:p>
          <w:p w14:paraId="53D06E85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称专题点位50个，同时写表层取样50个、剖面取样27个，关系不清；土地利用分项耕地44、林地1、园地2、草地1合计48个，少2个；“黄骅市辖2乡7镇”也与第一章行政区划不一致。</w:t>
            </w:r>
          </w:p>
        </w:tc>
      </w:tr>
      <w:tr w14:paraId="40C4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0A83CD1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B07A68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195—196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FD44C4E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盐碱地遥感指数公式和Sentinel-2波段说明存在基础错误</w:t>
            </w:r>
          </w:p>
          <w:p w14:paraId="1FC7AC72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NDMI使用B8与B5并把B5称为短波红外，NDSI使用B4与B8；SI5说明中同一B8同时被解释为近红外和红光，SI9又把B2、B3颜色说明对调。这些指标进入模型前必须按传感器官方波段定义复核重算。</w:t>
            </w:r>
          </w:p>
        </w:tc>
      </w:tr>
      <w:tr w14:paraId="3EA7E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B92FDAC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36E171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190—192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9472153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季节迁移模型支撑不足且未量化不确定性</w:t>
            </w:r>
          </w:p>
          <w:p w14:paraId="59ECEFFC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春秋同号匹配仅30组，其中5组秋季盐基总量未测；线性迁移模型R²为0.5105，却用于形成1047个建模样本。报告未给出残差检验、置信区间、独立验证及迁移误差对分级面积的影响。</w:t>
            </w:r>
          </w:p>
        </w:tc>
      </w:tr>
      <w:tr w14:paraId="25B95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F4BDC29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372F65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200—203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78A6D0A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盐碱地制图土地利用年份与变化归因均不充分</w:t>
            </w:r>
          </w:p>
          <w:p w14:paraId="2F8017F3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制图明确基于2022年三调数据，与第一章和耕地质量评价采用2023年变更调查不一致；2023—2024年盐碱耕地减少1.59%即归因于治理措施，但未说明两期模型、影像、阈值和精度是否可比，也未给出显著性或误差范围。</w:t>
            </w:r>
          </w:p>
        </w:tc>
      </w:tr>
    </w:tbl>
    <w:p w14:paraId="516D4361">
      <w:pPr>
        <w:spacing w:after="40"/>
      </w:pPr>
    </w:p>
    <w:p w14:paraId="01C51FA6">
      <w:pPr>
        <w:keepNext/>
        <w:pageBreakBefore/>
        <w:spacing w:before="180" w:after="120" w:line="252" w:lineRule="auto"/>
      </w:pPr>
      <w:r>
        <w:rPr>
          <w:rFonts w:ascii="黑体" w:hAnsi="黑体" w:eastAsia="黑体"/>
          <w:b/>
          <w:color w:val="2F5597"/>
          <w:sz w:val="27"/>
        </w:rPr>
        <w:t>问题类别</w:t>
      </w:r>
      <w:r>
        <w:rPr>
          <w:rFonts w:hint="eastAsia" w:ascii="黑体" w:hAnsi="黑体" w:eastAsia="黑体"/>
          <w:b/>
          <w:color w:val="2F5597"/>
          <w:sz w:val="27"/>
          <w:lang w:val="en-US" w:eastAsia="zh-CN"/>
        </w:rPr>
        <w:t>六</w:t>
      </w:r>
      <w:r>
        <w:rPr>
          <w:rFonts w:ascii="黑体" w:hAnsi="黑体" w:eastAsia="黑体"/>
          <w:b/>
          <w:color w:val="2F5597"/>
          <w:sz w:val="27"/>
        </w:rPr>
        <w:t>：第六至八章专题评价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4B85C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2DF98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w="1181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590640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PDF页</w:t>
            </w:r>
          </w:p>
        </w:tc>
        <w:tc>
          <w:tcPr>
            <w:tcW w:w="7747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55A290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问题与证据</w:t>
            </w:r>
          </w:p>
        </w:tc>
      </w:tr>
      <w:tr w14:paraId="1549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0A26324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B5D2C6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210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0A1DAF2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农业利用适宜性评价对象总面积出现两套完全不同结果</w:t>
            </w:r>
          </w:p>
          <w:p w14:paraId="0456E5AD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文字称总评价面积962222亩，表1.1合计1859839亩，相差897617亩；后续分析均采用1859839亩，未解释前一套数据来源。</w:t>
            </w:r>
          </w:p>
        </w:tc>
      </w:tr>
      <w:tr w14:paraId="0E06B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6B0A4EA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2066A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210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2ACCADD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评价对象各地类面积与表1.1逐项矛盾</w:t>
            </w:r>
          </w:p>
          <w:p w14:paraId="791E7624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文字称耕地773431亩，其中水浇地758479亩、旱地13218亩；表中水浇地102968亩、旱地1311793亩。文字还称盐碱地无分布，表中却列120972亩。园地、林地、草地和其他土地也均为另一套数字。</w:t>
            </w:r>
          </w:p>
        </w:tc>
      </w:tr>
      <w:tr w14:paraId="5EC10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862A158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479BAC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229—242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8C28A85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97.73%现状耕地被评为宜林，结论与现实生产明显失配</w:t>
            </w:r>
          </w:p>
          <w:p w14:paraId="31A8F467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报告称现状耕地约140万亩中仅31892亩宜耕，并建议约140万亩有序退出、部分乡镇调减基本农田任务；该结论与报告所述大规模旱碱麦生产和耕地质量评价对象141.48万亩并存。必须先复核限制因子、分级规则、数据赋值与实地验证，未经规划合规审查不得直接转化为调整建议。</w:t>
            </w:r>
          </w:p>
        </w:tc>
      </w:tr>
      <w:tr w14:paraId="52299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B67A8D2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D05778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203、210、241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E1F80A8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盐碱地面积在专题与适宜性章节相差约13倍</w:t>
            </w:r>
          </w:p>
          <w:p w14:paraId="05A5022A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第五章统计盐碱地总面积156.0775万亩；第六章表1.1和后备开发建议使用120972亩，二者相差143.98万亩，未说明一个是专题范围、地类代码还是其他筛选口径。</w:t>
            </w:r>
          </w:p>
        </w:tc>
      </w:tr>
      <w:tr w14:paraId="03709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99D064F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CE2204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269—270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C81942E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九等地粮食生产潜力前后不一致</w:t>
            </w:r>
          </w:p>
          <w:p w14:paraId="45E1CEC8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表3.15及正文给出九等地615.43kg/亩，下一页问题诊断却写从三等地1074.29kg/亩降至九等地500kg/亩。</w:t>
            </w:r>
          </w:p>
        </w:tc>
      </w:tr>
      <w:tr w14:paraId="1A9CC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F042618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046512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266—270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DA699F2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耕地养分结论与分级统计表不一致</w:t>
            </w:r>
          </w:p>
          <w:p w14:paraId="3BDD849F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问题诊断称各等级有效磷均为10—20mg/kg，表3.11却显示三至九等地同时分布于&gt;40、30—40、20—30、10—20及≤10mg/kg等多个区间；正文还重复写两次“四等地”盐渍化情况。</w:t>
            </w:r>
          </w:p>
        </w:tc>
      </w:tr>
      <w:tr w14:paraId="20EAE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1CA846B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919099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320—321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264A646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高粱MaxEnt模型样本量由102个突变为16个</w:t>
            </w:r>
          </w:p>
          <w:p w14:paraId="5FD38418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方法段称将102个高粱地理分布点与25个环境变量建模；下一页却称“将16个黄骅高粱实际点位数据和15个环境因子数据”构建初始模型，未说明筛除规则和训练/测试样本实际数量。</w:t>
            </w:r>
          </w:p>
        </w:tc>
      </w:tr>
    </w:tbl>
    <w:p w14:paraId="22BDF132">
      <w:pPr>
        <w:spacing w:after="60"/>
      </w:pP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233B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D371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w="1181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541D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PDF页</w:t>
            </w:r>
          </w:p>
        </w:tc>
        <w:tc>
          <w:tcPr>
            <w:tcW w:w="7747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6CF88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问题与证据</w:t>
            </w:r>
          </w:p>
        </w:tc>
      </w:tr>
      <w:tr w14:paraId="1E77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E0ED49C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5616E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324—325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4ECA809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高粱适宜性不适宜阈值写成“pH＜0.70”</w:t>
            </w:r>
          </w:p>
          <w:p w14:paraId="30FAF117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前文定义的是综合评价指数阈值S2，表5.10却写“不适宜区pH＜0.70，或盐渍化程度为重度”。pH＜0.70不符合本区土壤事实，且会改变分类逻辑，应核对是否误写为综合指数＜0.70并重算。</w:t>
            </w:r>
          </w:p>
        </w:tc>
      </w:tr>
      <w:tr w14:paraId="6B589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432AE82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C610EC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320—323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244F96F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高粱评价指标筛选结果前后不一致</w:t>
            </w:r>
          </w:p>
          <w:p w14:paraId="4461CCF0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表5.6列15项；随后称最终6项为耕层质地、有机质、pH、交换性钙、灌溉保证率、排水条件，但后续说明和权重表使用盐渍化程度而没有交换性钙。</w:t>
            </w:r>
          </w:p>
        </w:tc>
      </w:tr>
      <w:tr w14:paraId="3EBBD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F8A6F91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FC8672C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321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3F4A9F0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高粱模型年均温范围与本县气候数据冲突</w:t>
            </w:r>
          </w:p>
          <w:p w14:paraId="5403AA24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评价指标表将年均温列为15.7—16.9℃，而第一、二、五章分别给出12.9℃或10.8℃；未说明数据时期、空间分辨率或该范围是否仅代表样点。</w:t>
            </w:r>
          </w:p>
        </w:tc>
      </w:tr>
      <w:tr w14:paraId="5691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94396EF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447B75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325、329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FE88F9E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高粱优势区面积在结果页之间不一致</w:t>
            </w:r>
          </w:p>
          <w:p w14:paraId="1E5B8382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总体结果称优势区4175.51公顷；优势区属性分析各项均以4199.07公顷为本级总面积，相差23.56公顷，适宜区和不适宜区面积的统一性也应同步复核。</w:t>
            </w:r>
          </w:p>
        </w:tc>
      </w:tr>
      <w:tr w14:paraId="7A2A8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46D5F0A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A01B4A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318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CE987B8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土特产品评价仍使用2022年土地利用现状图</w:t>
            </w:r>
          </w:p>
          <w:p w14:paraId="7FD09470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评价单元明确由三普土壤类型图叠加2022年土地利用现状图形成，与统一采用2023年度国土变更调查的报告口径不一致。</w:t>
            </w:r>
          </w:p>
        </w:tc>
      </w:tr>
      <w:tr w14:paraId="59728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B57CEE8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39319F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272、342—345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388BADE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已提出冬枣专题任务但正文未交代成果状态</w:t>
            </w:r>
          </w:p>
          <w:p w14:paraId="4150FC77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第八章称需完成高粱、冬枣等土特农产品评价，实际仅展开高粱；第九章又直接提出冬枣产业建议。若冬枣评价另册完成，应明确引用；若未开展，应如实说明并按相应评分口径处理。</w:t>
            </w:r>
          </w:p>
        </w:tc>
      </w:tr>
    </w:tbl>
    <w:p w14:paraId="54E13515">
      <w:pPr>
        <w:spacing w:after="40"/>
      </w:pPr>
    </w:p>
    <w:p w14:paraId="60C5B4B4">
      <w:pPr>
        <w:keepNext/>
        <w:pageBreakBefore w:val="0"/>
        <w:spacing w:before="180" w:after="120" w:line="252" w:lineRule="auto"/>
      </w:pPr>
      <w:r>
        <w:rPr>
          <w:rFonts w:ascii="黑体" w:hAnsi="黑体" w:eastAsia="黑体"/>
          <w:b/>
          <w:color w:val="2F5597"/>
          <w:sz w:val="27"/>
        </w:rPr>
        <w:t>问题类别</w:t>
      </w:r>
      <w:r>
        <w:rPr>
          <w:rFonts w:hint="eastAsia" w:ascii="黑体" w:hAnsi="黑体" w:eastAsia="黑体"/>
          <w:b/>
          <w:color w:val="2F5597"/>
          <w:sz w:val="27"/>
          <w:lang w:val="en-US" w:eastAsia="zh-CN"/>
        </w:rPr>
        <w:t>七</w:t>
      </w:r>
      <w:r>
        <w:rPr>
          <w:rFonts w:ascii="黑体" w:hAnsi="黑体" w:eastAsia="黑体"/>
          <w:b/>
          <w:color w:val="2F5597"/>
          <w:sz w:val="27"/>
        </w:rPr>
        <w:t>：第九章综合利用建议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243D4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2FEFF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w="1181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C60380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PDF页</w:t>
            </w:r>
          </w:p>
        </w:tc>
        <w:tc>
          <w:tcPr>
            <w:tcW w:w="7747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57C52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问题与证据</w:t>
            </w:r>
          </w:p>
        </w:tc>
      </w:tr>
      <w:tr w14:paraId="75EF1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D7FDB72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33D1BBE3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342—345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1222EC5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第九章分区建议建立在尚未通过一致性校验的适宜性结果上</w:t>
            </w:r>
          </w:p>
          <w:p w14:paraId="70E8C8D0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本章直接采用“宜林97.91%、宜耕2.09%、97.73%现状耕地位于宜林区”等结果划分三大区并提出耕地退出、基本农田调整方向；鉴于第六章输入面积、地类结构和盐碱地口径均冲突，本章结论目前不可直接用于决策。</w:t>
            </w:r>
          </w:p>
        </w:tc>
      </w:tr>
      <w:tr w14:paraId="07D5D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F786E34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A644A5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342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E130A82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耕地质量等级数量表述错误</w:t>
            </w:r>
          </w:p>
          <w:p w14:paraId="4AFDC28C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本章称耕地质量横跨三至十等共8个等级；第七章实际仅列三、四、五、六、七、八、九等共7个等级，十等地无分布。</w:t>
            </w:r>
          </w:p>
        </w:tc>
      </w:tr>
      <w:tr w14:paraId="1179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ED8B75A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87FF9EE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342—345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DB296F2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综合利用建议未吸收高粱适宜性评价的定量结果</w:t>
            </w:r>
          </w:p>
          <w:p w14:paraId="39EA1439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第八章评价高粱优势区、适宜区和不适宜区，但第九章未引用三类面积、空间分布及限制因素，特色产业建议集中于旱碱麦、冬枣和饲草，未形成“前述评价—分区—措施”的闭环。</w:t>
            </w:r>
          </w:p>
        </w:tc>
      </w:tr>
    </w:tbl>
    <w:p w14:paraId="0C3A87ED">
      <w:pPr>
        <w:spacing w:after="40"/>
      </w:pPr>
    </w:p>
    <w:p w14:paraId="613F55AC">
      <w:pPr>
        <w:keepNext/>
        <w:pageBreakBefore w:val="0"/>
        <w:spacing w:before="180" w:after="120" w:line="252" w:lineRule="auto"/>
      </w:pPr>
      <w:r>
        <w:rPr>
          <w:rFonts w:ascii="黑体" w:hAnsi="黑体" w:eastAsia="黑体"/>
          <w:b/>
          <w:color w:val="2F5597"/>
          <w:sz w:val="27"/>
        </w:rPr>
        <w:t>问题类别</w:t>
      </w:r>
      <w:r>
        <w:rPr>
          <w:rFonts w:hint="eastAsia" w:ascii="黑体" w:hAnsi="黑体" w:eastAsia="黑体"/>
          <w:b/>
          <w:color w:val="2F5597"/>
          <w:sz w:val="27"/>
          <w:lang w:val="en-US" w:eastAsia="zh-CN"/>
        </w:rPr>
        <w:t>八</w:t>
      </w:r>
      <w:r>
        <w:rPr>
          <w:rFonts w:ascii="黑体" w:hAnsi="黑体" w:eastAsia="黑体"/>
          <w:b/>
          <w:color w:val="2F5597"/>
          <w:sz w:val="27"/>
        </w:rPr>
        <w:t>：章节、专题及面积口径一致性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759D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2C2E64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w="1181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01467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PDF页</w:t>
            </w:r>
          </w:p>
        </w:tc>
        <w:tc>
          <w:tcPr>
            <w:tcW w:w="7747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906561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问题与证据</w:t>
            </w:r>
          </w:p>
        </w:tc>
      </w:tr>
      <w:tr w14:paraId="15933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CE4D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7AFDAF7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C00000"/>
                <w:sz w:val="16"/>
              </w:rPr>
              <w:t>严重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B446F9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87—88、93—98、104—175、203、210、243、342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5813921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全报告缺少统一面积口径对照表</w:t>
            </w:r>
          </w:p>
          <w:p w14:paraId="793A5D44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土壤类型表总计3455581亩，乡镇分布表总计9013025亩，属性制图为1830448亩，农业适宜性为1859839亩，耕地质量为94317.43公顷（1414761.45亩），盐碱地专题为156.0775万亩。各数字可能对应全域、评价区、耕地或地类筛选，但报告未逐项定义边界、年份、排除规则及换算关系。</w:t>
            </w:r>
          </w:p>
        </w:tc>
      </w:tr>
      <w:tr w14:paraId="2DC15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E7E6E6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277626F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666666"/>
                <w:sz w:val="16"/>
              </w:rPr>
              <w:t>待核验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78A1F95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—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948DEB0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配套专题报告、图件和数据库一致性尚待核验</w:t>
            </w:r>
          </w:p>
          <w:p w14:paraId="26A72A4B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666666"/>
                <w:sz w:val="15"/>
              </w:rPr>
              <w:t>说明：</w:t>
            </w:r>
            <w:r>
              <w:rPr>
                <w:rFonts w:ascii="宋体" w:hAnsi="宋体" w:eastAsia="宋体"/>
                <w:sz w:val="15"/>
              </w:rPr>
              <w:t>本次仅取得主报告DOCX，未取得同版土壤类型图、属性栅格、农业适宜性、耕地质量、盐碱地、高粱专题报告及成果数据库，故无法确认第三至八章的类型、指标、面积、模型参数和结论是否与配套成果一致。本项为审计边界，不作为已确认缺陷计数。</w:t>
            </w:r>
          </w:p>
        </w:tc>
      </w:tr>
    </w:tbl>
    <w:p w14:paraId="40FBA3F6">
      <w:pPr>
        <w:spacing w:after="40"/>
      </w:pPr>
    </w:p>
    <w:p w14:paraId="3832793E">
      <w:pPr>
        <w:keepNext/>
        <w:pageBreakBefore w:val="0"/>
        <w:spacing w:before="180" w:after="120" w:line="252" w:lineRule="auto"/>
      </w:pPr>
      <w:r>
        <w:rPr>
          <w:rFonts w:ascii="黑体" w:hAnsi="黑体" w:eastAsia="黑体"/>
          <w:b/>
          <w:color w:val="2F5597"/>
          <w:sz w:val="27"/>
        </w:rPr>
        <w:t>问题类别</w:t>
      </w:r>
      <w:r>
        <w:rPr>
          <w:rFonts w:hint="eastAsia" w:ascii="黑体" w:hAnsi="黑体" w:eastAsia="黑体"/>
          <w:b/>
          <w:color w:val="2F5597"/>
          <w:sz w:val="27"/>
          <w:lang w:val="en-US" w:eastAsia="zh-CN"/>
        </w:rPr>
        <w:t>九</w:t>
      </w:r>
      <w:r>
        <w:rPr>
          <w:rFonts w:ascii="黑体" w:hAnsi="黑体" w:eastAsia="黑体"/>
          <w:b/>
          <w:color w:val="2F5597"/>
          <w:sz w:val="27"/>
        </w:rPr>
        <w:t>：报告格式、文件格式和数据库质检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7"/>
        <w:gridCol w:w="3427"/>
        <w:gridCol w:w="3427"/>
      </w:tblGrid>
      <w:tr w14:paraId="1FB2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A5EC5F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级别</w:t>
            </w:r>
          </w:p>
        </w:tc>
        <w:tc>
          <w:tcPr>
            <w:tcW w:w="1181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4F869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PDF页</w:t>
            </w:r>
          </w:p>
        </w:tc>
        <w:tc>
          <w:tcPr>
            <w:tcW w:w="7747" w:type="dxa"/>
            <w:shd w:val="clear" w:color="auto" w:fill="17365D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561A7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FFFFFF"/>
                <w:sz w:val="16"/>
              </w:rPr>
              <w:t>问题与证据</w:t>
            </w:r>
          </w:p>
        </w:tc>
      </w:tr>
      <w:tr w14:paraId="1D297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E2F0D9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F6A0C83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548235"/>
                <w:sz w:val="16"/>
              </w:rPr>
              <w:t>一般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0DBD5144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3—5、10—13及后续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7742B98F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目录、正文和页脚页码未统一</w:t>
            </w:r>
          </w:p>
          <w:p w14:paraId="79B6367C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目录大量书签失效；PDF第10、11、12页页脚均显示“6”，第三章首页PDF第13页仍显示“6”，后续页码继续按嵌入专题重排，无法稳定对应目录和引用。</w:t>
            </w:r>
          </w:p>
        </w:tc>
      </w:tr>
      <w:tr w14:paraId="700C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E2F0D9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E04E27D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548235"/>
                <w:sz w:val="16"/>
              </w:rPr>
              <w:t>一般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F59823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78—85及多处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6EDBF276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图表编号和题名存在错序或错指</w:t>
            </w:r>
          </w:p>
          <w:p w14:paraId="4B8420E4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同一段出现图4.22、图4.23等编号，前文文字与题名对应不稳定；表4.17、表4.18、表4.19在正文引用和实际题名间错位。应按章连续重编并逐项交叉引用。</w:t>
            </w:r>
          </w:p>
        </w:tc>
      </w:tr>
      <w:tr w14:paraId="5E5D0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FFF2CC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D39F48B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BF6900"/>
                <w:sz w:val="16"/>
              </w:rPr>
              <w:t>重要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55B3EEED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全篇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4AF826E8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缺少参考文献或资料来源清单</w:t>
            </w:r>
          </w:p>
          <w:p w14:paraId="4B8C9070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报告大量引用规范、政府规划、统计数据、产业报告、历史文献和市场数据，但全文未见参考文献章节或可追溯来源清单，无法核验引用版本和数据时点。</w:t>
            </w:r>
          </w:p>
        </w:tc>
      </w:tr>
      <w:tr w14:paraId="041EA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shd w:val="clear" w:color="auto" w:fill="E2F0D9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145A5DE7">
            <w:pPr>
              <w:spacing w:before="20" w:after="0" w:line="240" w:lineRule="auto"/>
              <w:jc w:val="center"/>
            </w:pPr>
            <w:r>
              <w:rPr>
                <w:rFonts w:ascii="宋体" w:hAnsi="宋体" w:eastAsia="宋体"/>
                <w:b/>
                <w:color w:val="548235"/>
                <w:sz w:val="16"/>
              </w:rPr>
              <w:t>一般</w:t>
            </w:r>
          </w:p>
        </w:tc>
        <w:tc>
          <w:tcPr>
            <w:tcW w:w="118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0135806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sz w:val="15"/>
              </w:rPr>
              <w:t>12、24、169、175、243、321等</w:t>
            </w:r>
          </w:p>
        </w:tc>
        <w:tc>
          <w:tcPr>
            <w:tcW w:w="774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 w14:paraId="2DE5E539">
            <w:pPr>
              <w:spacing w:after="20" w:line="247" w:lineRule="auto"/>
            </w:pPr>
            <w:r>
              <w:rPr>
                <w:rFonts w:ascii="宋体" w:hAnsi="宋体" w:eastAsia="宋体"/>
                <w:b/>
                <w:color w:val="17365D"/>
                <w:sz w:val="16"/>
              </w:rPr>
              <w:t>存在空白页、术语和文字校对问题</w:t>
            </w:r>
          </w:p>
          <w:p w14:paraId="7FA982D2">
            <w:pPr>
              <w:spacing w:after="0" w:line="247" w:lineRule="auto"/>
            </w:pPr>
            <w:r>
              <w:rPr>
                <w:rFonts w:ascii="宋体" w:hAnsi="宋体" w:eastAsia="宋体"/>
                <w:b/>
                <w:color w:val="17365D"/>
                <w:sz w:val="15"/>
              </w:rPr>
              <w:t>证据：</w:t>
            </w:r>
            <w:r>
              <w:rPr>
                <w:rFonts w:ascii="宋体" w:hAnsi="宋体" w:eastAsia="宋体"/>
                <w:sz w:val="15"/>
              </w:rPr>
              <w:t>PDF第12页基本空白；正文可见“冲击平原/冲积平原”混用、“第三次全部普查”“ACU/AUC”“渔网克里格”等疑似错字或术语不规范，需开展全篇统一校对。</w:t>
            </w:r>
          </w:p>
        </w:tc>
      </w:tr>
    </w:tbl>
    <w:p w14:paraId="5AA0475C">
      <w:pPr>
        <w:spacing w:after="40"/>
      </w:pPr>
    </w:p>
    <w:sectPr>
      <w:headerReference r:id="rId5" w:type="default"/>
      <w:footerReference r:id="rId6" w:type="default"/>
      <w:pgSz w:w="12240" w:h="15840"/>
      <w:pgMar w:top="979" w:right="979" w:bottom="936" w:left="979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E9783">
    <w:pPr>
      <w:pStyle w:val="24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ECA79">
    <w:pPr>
      <w:pStyle w:val="25"/>
      <w:spacing w:after="0"/>
      <w:jc w:val="right"/>
    </w:pPr>
    <w:r>
      <w:rPr>
        <w:rFonts w:ascii="宋体" w:hAnsi="宋体" w:eastAsia="宋体"/>
        <w:color w:val="7F7F7F"/>
        <w:sz w:val="17"/>
      </w:rPr>
      <w:t>黄骅市土壤资源评价与利用报告｜质控审计意见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ED0"/>
    <w:rsid w:val="00AA1D8D"/>
    <w:rsid w:val="00B47730"/>
    <w:rsid w:val="00B64C7F"/>
    <w:rsid w:val="00CB0664"/>
    <w:rsid w:val="00EE5EB0"/>
    <w:rsid w:val="00FC693F"/>
    <w:rsid w:val="02D80E4A"/>
    <w:rsid w:val="16F72C63"/>
    <w:rsid w:val="274F3D59"/>
    <w:rsid w:val="2A037A86"/>
    <w:rsid w:val="43AF0275"/>
    <w:rsid w:val="59D03A57"/>
    <w:rsid w:val="5AE00F34"/>
    <w:rsid w:val="5BA71B9B"/>
    <w:rsid w:val="611F2AAF"/>
    <w:rsid w:val="720A2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2F559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Audit Callout"/>
    <w:qFormat/>
    <w:uiPriority w:val="0"/>
    <w:pPr>
      <w:spacing w:before="100" w:after="100" w:line="300" w:lineRule="auto"/>
      <w:ind w:left="198" w:right="198"/>
    </w:pPr>
    <w:rPr>
      <w:rFonts w:ascii="宋体" w:hAnsi="宋体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846</Words>
  <Characters>901</Characters>
  <Lines>484</Lines>
  <Paragraphs>482</Paragraphs>
  <TotalTime>92</TotalTime>
  <ScaleCrop>false</ScaleCrop>
  <LinksUpToDate>false</LinksUpToDate>
  <CharactersWithSpaces>909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质控审查</dc:creator>
  <dc:description>generated by python-docx</dc:description>
  <cp:keywords>土壤三普, 质控, 河间市, 审计意见</cp:keywords>
  <cp:lastModifiedBy>Mi Manchi</cp:lastModifiedBy>
  <dcterms:modified xsi:type="dcterms:W3CDTF">2026-09-23T09:29:18Z</dcterms:modified>
  <dc:subject>第三次全国土壤普查成果质量控制审计</dc:subject>
  <dc:title>黄骅市土壤资源评价与利用报告质控审计意见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eyJoZGlkIjoiZWQ4NWNlMWZjNThhMjZjMDQyMTU5MmU3YTNkMzg1ZmEiLCJ1c2VySWQiOiIxMjQ2MDU4ODU1In0=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48F01E5F7BF046A986208F8686ABF3A7_12</vt:lpwstr>
  </property>
</Properties>
</file>