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515C1F">
      <w:pPr>
        <w:jc w:val="center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沧州市沧县</w:t>
      </w:r>
      <w:r>
        <w:rPr>
          <w:rFonts w:hint="eastAsia"/>
          <w:sz w:val="28"/>
          <w:szCs w:val="36"/>
        </w:rPr>
        <w:t>土壤农业利用适宜性评价</w:t>
      </w:r>
      <w:r>
        <w:rPr>
          <w:rFonts w:hint="eastAsia"/>
          <w:sz w:val="28"/>
          <w:szCs w:val="36"/>
          <w:lang w:val="en-US" w:eastAsia="zh-CN"/>
        </w:rPr>
        <w:t>质控反馈</w:t>
      </w:r>
    </w:p>
    <w:p w14:paraId="2D182D3D">
      <w:pPr>
        <w:numPr>
          <w:ilvl w:val="0"/>
          <w:numId w:val="0"/>
        </w:num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一、数据与数据库成果反馈</w:t>
      </w:r>
    </w:p>
    <w:p w14:paraId="39EB7528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1、基础数据中缺少规范所需的各类数据，请及时补充完善。此外，基础数据中还应包含国土空间规划（包含“三区三线”数据）。</w:t>
      </w:r>
    </w:p>
    <w:p w14:paraId="79D098F5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67325" cy="950595"/>
            <wp:effectExtent l="0" t="0" r="571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8C6B1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2、过程数据文件内无任何数据，请及时补充完善。</w:t>
      </w:r>
    </w:p>
    <w:p w14:paraId="59C0241F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1770" cy="233680"/>
            <wp:effectExtent l="0" t="0" r="1270" b="1016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1F6C9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3、成果数据分类不规范且不完整，请按照如下规范进行补充完善。</w:t>
      </w:r>
    </w:p>
    <w:p w14:paraId="4E4FD02C">
      <w:pPr>
        <w:jc w:val="both"/>
      </w:pPr>
      <w:r>
        <w:drawing>
          <wp:inline distT="0" distB="0" distL="114300" distR="114300">
            <wp:extent cx="5271770" cy="1305560"/>
            <wp:effectExtent l="0" t="0" r="1270" b="508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1E574">
      <w:pPr>
        <w:jc w:val="both"/>
        <w:rPr>
          <w:rFonts w:hint="default"/>
          <w:sz w:val="28"/>
          <w:szCs w:val="36"/>
          <w:lang w:val="en-US" w:eastAsia="zh-CN"/>
        </w:rPr>
      </w:pPr>
      <w:bookmarkStart w:id="0" w:name="_GoBack"/>
      <w:r>
        <w:rPr>
          <w:rFonts w:hint="eastAsia"/>
          <w:sz w:val="28"/>
          <w:szCs w:val="36"/>
          <w:lang w:val="en-US" w:eastAsia="zh-CN"/>
        </w:rPr>
        <w:t>4、缺少数据库成果。</w:t>
      </w:r>
    </w:p>
    <w:bookmarkEnd w:id="0"/>
    <w:p w14:paraId="276F7E64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二、图件成果</w:t>
      </w:r>
    </w:p>
    <w:p w14:paraId="75694B4C">
      <w:pPr>
        <w:numPr>
          <w:ilvl w:val="0"/>
          <w:numId w:val="0"/>
        </w:num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1、图件成果应按三部分组成，其一是限制因素分级图，其二是土壤农业利用适宜性评价图，其三是可耕地资源潜力分布图，目前未进行分类。</w:t>
      </w:r>
    </w:p>
    <w:p w14:paraId="41182F97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4293235" cy="2067560"/>
            <wp:effectExtent l="0" t="0" r="444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93235" cy="206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A6B1F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2、土壤类型面积统计表，单位应为万亩。</w:t>
      </w:r>
    </w:p>
    <w:p w14:paraId="2BC57C9D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5271135" cy="2808605"/>
            <wp:effectExtent l="0" t="0" r="1905" b="1079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8C316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3、部分成果图中出现缺少部分信息的情况，请核查其余所有成果图。</w:t>
      </w:r>
    </w:p>
    <w:p w14:paraId="4BEEAA97">
      <w:pPr>
        <w:jc w:val="both"/>
        <w:rPr>
          <w:rFonts w:hint="default"/>
          <w:sz w:val="28"/>
          <w:szCs w:val="36"/>
          <w:lang w:val="en-US" w:eastAsia="zh-CN"/>
        </w:rPr>
      </w:pPr>
      <w:r>
        <w:drawing>
          <wp:inline distT="0" distB="0" distL="114300" distR="114300">
            <wp:extent cx="4770120" cy="1059180"/>
            <wp:effectExtent l="0" t="0" r="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411D9">
      <w:pPr>
        <w:jc w:val="both"/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4、成果数据中缺少限制性因素分级图。</w:t>
      </w:r>
    </w:p>
    <w:p w14:paraId="64FDBD7F">
      <w:pPr>
        <w:jc w:val="both"/>
      </w:pPr>
      <w:r>
        <w:drawing>
          <wp:inline distT="0" distB="0" distL="114300" distR="114300">
            <wp:extent cx="4323080" cy="3086735"/>
            <wp:effectExtent l="0" t="0" r="5080" b="698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AAF55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5、成果数据中缺少可耕地资源潜力分布图。</w:t>
      </w:r>
    </w:p>
    <w:p w14:paraId="5819EB21">
      <w:pPr>
        <w:jc w:val="both"/>
      </w:pPr>
      <w:r>
        <w:drawing>
          <wp:inline distT="0" distB="0" distL="114300" distR="114300">
            <wp:extent cx="3456305" cy="3232785"/>
            <wp:effectExtent l="0" t="0" r="3175" b="1333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1D1FE">
      <w:pPr>
        <w:jc w:val="both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sz w:val="28"/>
          <w:szCs w:val="36"/>
          <w:lang w:val="en-US" w:eastAsia="zh-CN"/>
        </w:rPr>
        <w:t>6、耕地资源潜力面积统计表单位应为万亩。</w:t>
      </w:r>
    </w:p>
    <w:p w14:paraId="31130DB4">
      <w:pPr>
        <w:jc w:val="both"/>
        <w:rPr>
          <w:rFonts w:hint="eastAsia"/>
          <w:lang w:val="en-US" w:eastAsia="zh-CN"/>
        </w:rPr>
      </w:pPr>
      <w:r>
        <w:drawing>
          <wp:inline distT="0" distB="0" distL="114300" distR="114300">
            <wp:extent cx="5264785" cy="1864995"/>
            <wp:effectExtent l="0" t="0" r="8255" b="952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864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00FE">
      <w:pPr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三、文字成果</w:t>
      </w:r>
    </w:p>
    <w:p w14:paraId="5D266C06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1、目录结构与规范不一致，缺少前言和其他需要说明的技术问题等内容。</w:t>
      </w:r>
    </w:p>
    <w:p w14:paraId="788DE7CF">
      <w:pPr>
        <w:jc w:val="both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5420" cy="2908935"/>
            <wp:effectExtent l="0" t="0" r="7620" b="190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90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5CE73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2、第三章应为评价结果分析与验证，第四章应为评价成果应用，且应根据下方规范内容展开描述。</w:t>
      </w:r>
    </w:p>
    <w:p w14:paraId="3E10BA7F">
      <w:pPr>
        <w:jc w:val="both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325" cy="3277235"/>
            <wp:effectExtent l="0" t="0" r="5715" b="1460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6AA9C">
      <w:pPr>
        <w:jc w:val="both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4785" cy="1524635"/>
            <wp:effectExtent l="0" t="0" r="8255" b="1460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524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37F51">
      <w:pPr>
        <w:jc w:val="both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3、注意统计表各指标计量单位。</w:t>
      </w:r>
    </w:p>
    <w:p w14:paraId="59D4C836">
      <w:pPr>
        <w:jc w:val="both"/>
        <w:rPr>
          <w:rFonts w:hint="default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129405" cy="3581400"/>
            <wp:effectExtent l="0" t="0" r="635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940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2C15A">
      <w:pPr>
        <w:jc w:val="both"/>
        <w:rPr>
          <w:rFonts w:hint="eastAsia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180840" cy="1867535"/>
            <wp:effectExtent l="0" t="0" r="10160" b="698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80840" cy="1867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4A3B35">
      <w:pPr>
        <w:jc w:val="both"/>
        <w:rPr>
          <w:rFonts w:hint="eastAsia"/>
          <w:sz w:val="28"/>
          <w:szCs w:val="28"/>
          <w:lang w:val="en-US" w:eastAsia="zh-CN"/>
        </w:rPr>
      </w:pPr>
    </w:p>
    <w:p w14:paraId="0F475704">
      <w:pPr>
        <w:jc w:val="both"/>
        <w:rPr>
          <w:rFonts w:hint="eastAsia"/>
          <w:sz w:val="28"/>
          <w:szCs w:val="28"/>
          <w:lang w:val="en-US" w:eastAsia="zh-CN"/>
        </w:rPr>
      </w:pPr>
    </w:p>
    <w:p w14:paraId="2D1F5F46">
      <w:pPr>
        <w:jc w:val="both"/>
        <w:rPr>
          <w:rFonts w:hint="eastAsia"/>
          <w:sz w:val="28"/>
          <w:szCs w:val="28"/>
          <w:lang w:val="en-US" w:eastAsia="zh-CN"/>
        </w:rPr>
      </w:pPr>
    </w:p>
    <w:p w14:paraId="3ECF38C9">
      <w:pPr>
        <w:jc w:val="both"/>
        <w:rPr>
          <w:rFonts w:hint="default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157DA1"/>
    <w:rsid w:val="3A8F3C58"/>
    <w:rsid w:val="7A85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418</Words>
  <Characters>418</Characters>
  <Lines>0</Lines>
  <Paragraphs>0</Paragraphs>
  <TotalTime>0</TotalTime>
  <ScaleCrop>false</ScaleCrop>
  <LinksUpToDate>false</LinksUpToDate>
  <CharactersWithSpaces>418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2026-09-02T04:33:00Z</dcterms:created>
  <dc:creator>30551</dc:creator>
  <cp:lastModifiedBy>Mi Manchi</cp:lastModifiedBy>
  <dcterms:modified xsi:type="dcterms:W3CDTF">2026-09-02T13:31:10Z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eyJoZGlkIjoiZWQ4NWNlMWZjNThhMjZjMDQyMTU5MmU3YTNkMzg1ZmEiLCJ1c2VySWQiOiIxMjQ2MDU4ODU1In0=</vt:lpwstr>
  </property>
  <property fmtid="{D5CDD505-2E9C-101B-9397-08002B2CF9AE}" pid="4" name="ICV">
    <vt:lpwstr>6D540411A80F43F4A0D42E105C5A5709_12</vt:lpwstr>
  </property>
</Properties>
</file>