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AI辅助质控Skill说明报告</w:t>
      </w:r>
    </w:p>
    <w:p>
      <w:pPr>
        <w:pStyle w:val="Subtitle"/>
      </w:pPr>
      <w:r>
        <w:t>功能边界  证据组织  人工复核与确认</w:t>
      </w:r>
    </w:p>
    <w:p>
      <w:r>
        <w:t>近期开发的soil-survey-qc Skill，是将三普成果检查要求、证据记录方式与文档编制步骤组织为可复用流程的AI辅助工具。其工作价值在于协助整理材料、定位核查内容、维护问题与依据的对应关系，并编制便于人工复核的报告工作稿。所有输出结果均须经人工复核后方可确认；正式反馈、专业判定与签认责任仍由相应人员按项目程序承担。</w:t>
      </w:r>
    </w:p>
    <w:p>
      <w:pPr>
        <w:keepNext/>
        <w:spacing w:after="60"/>
      </w:pPr>
      <w:r>
        <w:drawing>
          <wp:inline xmlns:a="http://schemas.openxmlformats.org/drawingml/2006/main" xmlns:pic="http://schemas.openxmlformats.org/drawingml/2006/picture">
            <wp:extent cx="5580000" cy="32364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kill_flow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236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t>图1  AI辅助与人工控制相结合的质控工作流程示意</w:t>
      </w:r>
    </w:p>
    <w:p>
      <w:r>
        <w:t>本说明依据2026年9月12日本地Skill指令、脚本入口和项目配置编制，介绍其已配置的工作方式，不把流程要求等同于每次运行均已完成，也不据此宣称准确率、漏检率或效率提升比例。</w:t>
      </w:r>
    </w:p>
    <w:p>
      <w:r>
        <w:br w:type="page"/>
      </w:r>
    </w:p>
    <w:p>
      <w:pPr>
        <w:pStyle w:val="Heading1"/>
      </w:pPr>
      <w:r>
        <w:t>一 适用范围与主要辅助功能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1587"/>
        <w:gridCol w:w="3969"/>
        <w:gridCol w:w="3798"/>
      </w:tblGrid>
      <w:tr>
        <w:trPr>
          <w:tblHeader/>
        </w:trPr>
        <w:tc>
          <w:tcPr>
            <w:tcW w:type="dxa" w:w="1587"/>
            <w:shd w:fill="E5EDF4"/>
          </w:tcPr>
          <w:p>
            <w:pPr>
              <w:spacing w:after="80" w:before="80"/>
            </w:pPr>
            <w:r>
              <w:rPr>
                <w:sz w:val="18"/>
              </w:rPr>
              <w:t>功能环节</w:t>
            </w:r>
          </w:p>
        </w:tc>
        <w:tc>
          <w:tcPr>
            <w:tcW w:type="dxa" w:w="3969"/>
            <w:shd w:fill="E5EDF4"/>
          </w:tcPr>
          <w:p>
            <w:pPr>
              <w:spacing w:after="80" w:before="80"/>
            </w:pPr>
            <w:r>
              <w:rPr>
                <w:sz w:val="18"/>
              </w:rPr>
              <w:t>可提供的辅助</w:t>
            </w:r>
          </w:p>
        </w:tc>
        <w:tc>
          <w:tcPr>
            <w:tcW w:type="dxa" w:w="3798"/>
            <w:shd w:fill="E5EDF4"/>
          </w:tcPr>
          <w:p>
            <w:pPr>
              <w:spacing w:after="80" w:before="80"/>
            </w:pPr>
            <w:r>
              <w:rPr>
                <w:sz w:val="18"/>
              </w:rPr>
              <w:t>必要边界</w:t>
            </w:r>
          </w:p>
        </w:tc>
      </w:tr>
      <w:tr>
        <w:tc>
          <w:tcPr>
            <w:tcW w:type="dxa" w:w="1587"/>
          </w:tcPr>
          <w:p>
            <w:pPr>
              <w:spacing w:after="80" w:before="80"/>
            </w:pPr>
            <w:r>
              <w:rPr>
                <w:sz w:val="18"/>
              </w:rPr>
              <w:t>范围与版本梳理</w:t>
            </w:r>
          </w:p>
        </w:tc>
        <w:tc>
          <w:tcPr>
            <w:tcW w:type="dxa" w:w="3969"/>
          </w:tcPr>
          <w:p>
            <w:pPr>
              <w:spacing w:after="80" w:before="80"/>
            </w:pPr>
            <w:r>
              <w:rPr>
                <w:sz w:val="18"/>
              </w:rPr>
              <w:t>登记地区、成果类型、输入位置、版本及文件指纹；核对目录和压缩包成员。</w:t>
            </w:r>
          </w:p>
        </w:tc>
        <w:tc>
          <w:tcPr>
            <w:tcW w:type="dxa" w:w="3798"/>
          </w:tcPr>
          <w:p>
            <w:pPr>
              <w:spacing w:after="80" w:before="80"/>
            </w:pPr>
            <w:r>
              <w:rPr>
                <w:sz w:val="18"/>
              </w:rPr>
              <w:t>列目录、读取成功和实质审核完成分别记录；文件名不同不直接判缺交。</w:t>
            </w:r>
          </w:p>
        </w:tc>
      </w:tr>
      <w:tr>
        <w:tc>
          <w:tcPr>
            <w:tcW w:type="dxa" w:w="1587"/>
          </w:tcPr>
          <w:p>
            <w:pPr>
              <w:spacing w:after="80" w:before="80"/>
            </w:pPr>
            <w:r>
              <w:rPr>
                <w:sz w:val="18"/>
              </w:rPr>
              <w:t>依据定位</w:t>
            </w:r>
          </w:p>
        </w:tc>
        <w:tc>
          <w:tcPr>
            <w:tcW w:type="dxa" w:w="3969"/>
          </w:tcPr>
          <w:p>
            <w:pPr>
              <w:spacing w:after="80" w:before="80"/>
            </w:pPr>
            <w:r>
              <w:rPr>
                <w:sz w:val="18"/>
              </w:rPr>
              <w:t>登记正式文件名称、版本、条款位置与原件，建立适用关系。</w:t>
            </w:r>
          </w:p>
        </w:tc>
        <w:tc>
          <w:tcPr>
            <w:tcW w:type="dxa" w:w="3798"/>
          </w:tcPr>
          <w:p>
            <w:pPr>
              <w:spacing w:after="80" w:before="80"/>
            </w:pPr>
            <w:r>
              <w:rPr>
                <w:sz w:val="18"/>
              </w:rPr>
              <w:t>正式依据适用性由人核定；培训材料不直接作强制或否决依据。</w:t>
            </w:r>
          </w:p>
        </w:tc>
      </w:tr>
      <w:tr>
        <w:tc>
          <w:tcPr>
            <w:tcW w:type="dxa" w:w="1587"/>
          </w:tcPr>
          <w:p>
            <w:pPr>
              <w:spacing w:after="80" w:before="80"/>
            </w:pPr>
            <w:r>
              <w:rPr>
                <w:sz w:val="18"/>
              </w:rPr>
              <w:t>内容核对</w:t>
            </w:r>
          </w:p>
        </w:tc>
        <w:tc>
          <w:tcPr>
            <w:tcW w:type="dxa" w:w="3969"/>
          </w:tcPr>
          <w:p>
            <w:pPr>
              <w:spacing w:after="80" w:before="80"/>
            </w:pPr>
            <w:r>
              <w:rPr>
                <w:sz w:val="18"/>
              </w:rPr>
              <w:t>辅助读取文字和表格、计算核对、识别跨报告表述或数值差异。</w:t>
            </w:r>
          </w:p>
        </w:tc>
        <w:tc>
          <w:tcPr>
            <w:tcW w:type="dxa" w:w="3798"/>
          </w:tcPr>
          <w:p>
            <w:pPr>
              <w:spacing w:after="80" w:before="80"/>
            </w:pPr>
            <w:r>
              <w:rPr>
                <w:sz w:val="18"/>
              </w:rPr>
              <w:t>关键词或章节命中仅作线索；候选问题必须回到正文和上下文核实。</w:t>
            </w:r>
          </w:p>
        </w:tc>
      </w:tr>
      <w:tr>
        <w:tc>
          <w:tcPr>
            <w:tcW w:type="dxa" w:w="1587"/>
          </w:tcPr>
          <w:p>
            <w:pPr>
              <w:spacing w:after="80" w:before="80"/>
            </w:pPr>
            <w:r>
              <w:rPr>
                <w:sz w:val="18"/>
              </w:rPr>
              <w:t>数据实读</w:t>
            </w:r>
          </w:p>
        </w:tc>
        <w:tc>
          <w:tcPr>
            <w:tcW w:type="dxa" w:w="3969"/>
          </w:tcPr>
          <w:p>
            <w:pPr>
              <w:spacing w:after="80" w:before="80"/>
            </w:pPr>
            <w:r>
              <w:rPr>
                <w:sz w:val="18"/>
              </w:rPr>
              <w:t>在授权范围内调用相应读取工具检查数据库、矢量、栅格及表格。</w:t>
            </w:r>
          </w:p>
        </w:tc>
        <w:tc>
          <w:tcPr>
            <w:tcW w:type="dxa" w:w="3798"/>
          </w:tcPr>
          <w:p>
            <w:pPr>
              <w:spacing w:after="80" w:before="80"/>
            </w:pPr>
            <w:r>
              <w:rPr>
                <w:sz w:val="18"/>
              </w:rPr>
              <w:t>依赖可用读取器和明确任务范围；一次参数检查不能替代全部空间质量核验。</w:t>
            </w:r>
          </w:p>
        </w:tc>
      </w:tr>
      <w:tr>
        <w:tc>
          <w:tcPr>
            <w:tcW w:type="dxa" w:w="1587"/>
          </w:tcPr>
          <w:p>
            <w:pPr>
              <w:spacing w:after="80" w:before="80"/>
            </w:pPr>
            <w:r>
              <w:rPr>
                <w:sz w:val="18"/>
              </w:rPr>
              <w:t>证据与报告编制</w:t>
            </w:r>
          </w:p>
        </w:tc>
        <w:tc>
          <w:tcPr>
            <w:tcW w:type="dxa" w:w="3969"/>
          </w:tcPr>
          <w:p>
            <w:pPr>
              <w:spacing w:after="80" w:before="80"/>
            </w:pPr>
            <w:r>
              <w:rPr>
                <w:sz w:val="18"/>
              </w:rPr>
              <w:t>组织原件截图、问题说明、依据及审查项对应；生成Word工作稿和配套清单。</w:t>
            </w:r>
          </w:p>
        </w:tc>
        <w:tc>
          <w:tcPr>
            <w:tcW w:type="dxa" w:w="3798"/>
          </w:tcPr>
          <w:p>
            <w:pPr>
              <w:spacing w:after="80" w:before="80"/>
            </w:pPr>
            <w:r>
              <w:rPr>
                <w:sz w:val="18"/>
              </w:rPr>
              <w:t>构建通过只表明相应结构校验通过；仍需逐页核对证据、版式与事实。</w:t>
            </w:r>
          </w:p>
        </w:tc>
      </w:tr>
      <w:tr>
        <w:tc>
          <w:tcPr>
            <w:tcW w:type="dxa" w:w="1587"/>
          </w:tcPr>
          <w:p>
            <w:pPr>
              <w:spacing w:after="80" w:before="80"/>
            </w:pPr>
            <w:r>
              <w:rPr>
                <w:sz w:val="18"/>
              </w:rPr>
              <w:t>整改复核</w:t>
            </w:r>
          </w:p>
        </w:tc>
        <w:tc>
          <w:tcPr>
            <w:tcW w:type="dxa" w:w="3969"/>
          </w:tcPr>
          <w:p>
            <w:pPr>
              <w:spacing w:after="80" w:before="80"/>
            </w:pPr>
            <w:r>
              <w:rPr>
                <w:sz w:val="18"/>
              </w:rPr>
              <w:t>将历史问题与本轮现行文字报告对应，辅助整理整改状态和两轮证据。</w:t>
            </w:r>
          </w:p>
        </w:tc>
        <w:tc>
          <w:tcPr>
            <w:tcW w:type="dxa" w:w="3798"/>
          </w:tcPr>
          <w:p>
            <w:pPr>
              <w:spacing w:after="80" w:before="80"/>
            </w:pPr>
            <w:r>
              <w:rPr>
                <w:sz w:val="18"/>
              </w:rPr>
              <w:t>缺少现行报告不直接认定未修改；整改结论须经人工核实。</w:t>
            </w:r>
          </w:p>
        </w:tc>
      </w:tr>
    </w:tbl>
    <w:p>
      <w:pPr>
        <w:pStyle w:val="Heading1"/>
      </w:pPr>
      <w:r>
        <w:t>本项目的范围约束</w:t>
      </w:r>
    </w:p>
    <w:p>
      <w:r>
        <w:t>Skill指令覆盖市级土壤类型图、土壤退化与障碍、土特产品适宜性评价、总体数据工作报告及耕地质量等级评价文字成果等工作。每轮以明确授权范围为准，不因工具具有某类读取能力而扩大检查对象。</w:t>
      </w:r>
    </w:p>
    <w:p>
      <w:r>
        <w:t>当前耕地质量等级评价限定为文字报告及报告内文字、表格、公式和插图；不据此新增检查另行提交的数据库、矢量、栅格或独立成果图。上一批已审对象按历史文字问题开展整改复核，新审对象按文字成果审查路径处理。</w:t>
      </w:r>
    </w:p>
    <w:p>
      <w:r>
        <w:t>验收前检查、市县自验、省级验收和国家抽验的形成时点不同。人工需先确定阶段及适用对象，不能提前把后续阶段才应形成的材料判为缺交，也不能将个别地区的阶段判断推广到其他地区。</w:t>
      </w:r>
    </w:p>
    <w:p>
      <w:r>
        <w:br w:type="page"/>
      </w:r>
    </w:p>
    <w:p>
      <w:pPr>
        <w:pStyle w:val="Heading1"/>
      </w:pPr>
      <w:r>
        <w:t>二 原件证据与问题记录</w:t>
      </w:r>
    </w:p>
    <w:p>
      <w:pPr>
        <w:keepNext/>
        <w:spacing w:after="60"/>
      </w:pPr>
      <w:r>
        <w:drawing>
          <wp:inline xmlns:a="http://schemas.openxmlformats.org/drawingml/2006/main" xmlns:pic="http://schemas.openxmlformats.org/drawingml/2006/picture">
            <wp:extent cx="5580000" cy="26598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vidence_flow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26598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t>图2  依据 原件 核查记录与人工判断的对应关系示意</w:t>
      </w:r>
    </w:p>
    <w:p>
      <w:r>
        <w:t>每条候选问题应明确被检对象、原件事实、比较位置和实际未满足的要求。数值或文字不一致应分别保留比较双方及其他被断言位置，给出具体值、单位、页码或数据定位，避免仅以“不一致”笼统描述。</w:t>
      </w:r>
    </w:p>
    <w:p>
      <w:r>
        <w:t>图像证据采用原生Word、Excel、PDF或成果图片的实际页面，可作必要裁剪和标注。AI生成图片、重绘表格及示意图不得充当成果问题证据。本报告中的流程图仅解释工具工作方式，不是某地区存在问题的证明。</w:t>
      </w:r>
    </w:p>
    <w:p>
      <w:r>
        <w:t>同一真实问题可以对应多个审查项，但问题记录按真实问题去重，各审查项仍需有具体依据。符合项也应记录核查事实，不能因未发现关键词或已有章节标题而批量判定符合。专业复核应同时检查问题项与符合项，防止仅关注已列出问题。</w:t>
      </w:r>
    </w:p>
    <w:p>
      <w:r>
        <w:t>文件缺交、读取失败、核查未完成和专业判断条件不足分别记录。缺交判断需核清约定接收范围、兄弟目录及压缩包等位置，并确认正式要求；读取失败需列明实际路径和错误。尚未开展的检查不能写成材料缺失或规范有歧义。</w:t>
      </w:r>
    </w:p>
    <w:p>
      <w:r>
        <w:br w:type="page"/>
      </w:r>
    </w:p>
    <w:p>
      <w:pPr>
        <w:pStyle w:val="Heading1"/>
      </w:pPr>
      <w:r>
        <w:t>三 人工控制环节与规范使用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1531"/>
        <w:gridCol w:w="4762"/>
        <w:gridCol w:w="3061"/>
      </w:tblGrid>
      <w:tr>
        <w:trPr>
          <w:tblHeader/>
        </w:trPr>
        <w:tc>
          <w:tcPr>
            <w:tcW w:type="dxa" w:w="1531"/>
            <w:shd w:fill="E5EDF4"/>
          </w:tcPr>
          <w:p>
            <w:pPr>
              <w:spacing w:after="80" w:before="80"/>
            </w:pPr>
            <w:r>
              <w:rPr>
                <w:sz w:val="18"/>
              </w:rPr>
              <w:t>控制环节</w:t>
            </w:r>
          </w:p>
        </w:tc>
        <w:tc>
          <w:tcPr>
            <w:tcW w:type="dxa" w:w="4762"/>
            <w:shd w:fill="E5EDF4"/>
          </w:tcPr>
          <w:p>
            <w:pPr>
              <w:spacing w:after="80" w:before="80"/>
            </w:pPr>
            <w:r>
              <w:rPr>
                <w:sz w:val="18"/>
              </w:rPr>
              <w:t>人工应确认的内容</w:t>
            </w:r>
          </w:p>
        </w:tc>
        <w:tc>
          <w:tcPr>
            <w:tcW w:type="dxa" w:w="3061"/>
            <w:shd w:fill="E5EDF4"/>
          </w:tcPr>
          <w:p>
            <w:pPr>
              <w:spacing w:after="80" w:before="80"/>
            </w:pPr>
            <w:r>
              <w:rPr>
                <w:sz w:val="18"/>
              </w:rPr>
              <w:t>确认后的处理</w:t>
            </w:r>
          </w:p>
        </w:tc>
      </w:tr>
      <w:tr>
        <w:tc>
          <w:tcPr>
            <w:tcW w:type="dxa" w:w="1531"/>
          </w:tcPr>
          <w:p>
            <w:pPr>
              <w:spacing w:after="80" w:before="80"/>
            </w:pPr>
            <w:r>
              <w:rPr>
                <w:sz w:val="18"/>
              </w:rPr>
              <w:t>启动前</w:t>
            </w:r>
          </w:p>
        </w:tc>
        <w:tc>
          <w:tcPr>
            <w:tcW w:type="dxa" w:w="4762"/>
          </w:tcPr>
          <w:p>
            <w:pPr>
              <w:spacing w:after="80" w:before="80"/>
            </w:pPr>
            <w:r>
              <w:rPr>
                <w:sz w:val="18"/>
              </w:rPr>
              <w:t>任务地区、成果类型、阶段、授权范围、输入版本、正式依据。</w:t>
            </w:r>
          </w:p>
        </w:tc>
        <w:tc>
          <w:tcPr>
            <w:tcW w:type="dxa" w:w="3061"/>
          </w:tcPr>
          <w:p>
            <w:pPr>
              <w:spacing w:after="80" w:before="80"/>
            </w:pPr>
            <w:r>
              <w:rPr>
                <w:sz w:val="18"/>
              </w:rPr>
              <w:t>锁定本轮范围与输入清单。</w:t>
            </w:r>
          </w:p>
        </w:tc>
      </w:tr>
      <w:tr>
        <w:tc>
          <w:tcPr>
            <w:tcW w:type="dxa" w:w="1531"/>
          </w:tcPr>
          <w:p>
            <w:pPr>
              <w:spacing w:after="80" w:before="80"/>
            </w:pPr>
            <w:r>
              <w:rPr>
                <w:sz w:val="18"/>
              </w:rPr>
              <w:t>问题形成后</w:t>
            </w:r>
          </w:p>
        </w:tc>
        <w:tc>
          <w:tcPr>
            <w:tcW w:type="dxa" w:w="4762"/>
          </w:tcPr>
          <w:p>
            <w:pPr>
              <w:spacing w:after="80" w:before="80"/>
            </w:pPr>
            <w:r>
              <w:rPr>
                <w:sz w:val="18"/>
              </w:rPr>
              <w:t>原文事实、上下文、数值核算、依据适用性、比较双方证据。</w:t>
            </w:r>
          </w:p>
        </w:tc>
        <w:tc>
          <w:tcPr>
            <w:tcW w:type="dxa" w:w="3061"/>
          </w:tcPr>
          <w:p>
            <w:pPr>
              <w:spacing w:after="80" w:before="80"/>
            </w:pPr>
            <w:r>
              <w:rPr>
                <w:sz w:val="18"/>
              </w:rPr>
              <w:t>修正或撤销不成立问题，补查遗漏。</w:t>
            </w:r>
          </w:p>
        </w:tc>
      </w:tr>
      <w:tr>
        <w:tc>
          <w:tcPr>
            <w:tcW w:type="dxa" w:w="1531"/>
          </w:tcPr>
          <w:p>
            <w:pPr>
              <w:spacing w:after="80" w:before="80"/>
            </w:pPr>
            <w:r>
              <w:rPr>
                <w:sz w:val="18"/>
              </w:rPr>
              <w:t>报告生成后</w:t>
            </w:r>
          </w:p>
        </w:tc>
        <w:tc>
          <w:tcPr>
            <w:tcW w:type="dxa" w:w="4762"/>
          </w:tcPr>
          <w:p>
            <w:pPr>
              <w:spacing w:after="80" w:before="80"/>
            </w:pPr>
            <w:r>
              <w:rPr>
                <w:sz w:val="18"/>
              </w:rPr>
              <w:t>审查项与问题双向对应、符合项依据、数量、勾选、截图及分页。</w:t>
            </w:r>
          </w:p>
        </w:tc>
        <w:tc>
          <w:tcPr>
            <w:tcW w:type="dxa" w:w="3061"/>
          </w:tcPr>
          <w:p>
            <w:pPr>
              <w:spacing w:after="80" w:before="80"/>
            </w:pPr>
            <w:r>
              <w:rPr>
                <w:sz w:val="18"/>
              </w:rPr>
              <w:t>形成可审定的报告工作稿。</w:t>
            </w:r>
          </w:p>
        </w:tc>
      </w:tr>
      <w:tr>
        <w:tc>
          <w:tcPr>
            <w:tcW w:type="dxa" w:w="1531"/>
          </w:tcPr>
          <w:p>
            <w:pPr>
              <w:spacing w:after="80" w:before="80"/>
            </w:pPr>
            <w:r>
              <w:rPr>
                <w:sz w:val="18"/>
              </w:rPr>
              <w:t>对外反馈前</w:t>
            </w:r>
          </w:p>
        </w:tc>
        <w:tc>
          <w:tcPr>
            <w:tcW w:type="dxa" w:w="4762"/>
          </w:tcPr>
          <w:p>
            <w:pPr>
              <w:spacing w:after="80" w:before="80"/>
            </w:pPr>
            <w:r>
              <w:rPr>
                <w:sz w:val="18"/>
              </w:rPr>
              <w:t>结论与措辞、未核事项处理、签认权限和文件版本。</w:t>
            </w:r>
          </w:p>
        </w:tc>
        <w:tc>
          <w:tcPr>
            <w:tcW w:type="dxa" w:w="3061"/>
          </w:tcPr>
          <w:p>
            <w:pPr>
              <w:spacing w:after="80" w:before="80"/>
            </w:pPr>
            <w:r>
              <w:rPr>
                <w:sz w:val="18"/>
              </w:rPr>
              <w:t>经授权人员确认后按项目流程反馈。</w:t>
            </w:r>
          </w:p>
        </w:tc>
      </w:tr>
      <w:tr>
        <w:tc>
          <w:tcPr>
            <w:tcW w:type="dxa" w:w="1531"/>
          </w:tcPr>
          <w:p>
            <w:pPr>
              <w:spacing w:after="80" w:before="80"/>
            </w:pPr>
            <w:r>
              <w:rPr>
                <w:sz w:val="18"/>
              </w:rPr>
              <w:t>整改复核时</w:t>
            </w:r>
          </w:p>
        </w:tc>
        <w:tc>
          <w:tcPr>
            <w:tcW w:type="dxa" w:w="4762"/>
          </w:tcPr>
          <w:p>
            <w:pPr>
              <w:spacing w:after="80" w:before="80"/>
            </w:pPr>
            <w:r>
              <w:rPr>
                <w:sz w:val="18"/>
              </w:rPr>
              <w:t>旧问题原件与现行成果对应、修改事实及是否满足要求。</w:t>
            </w:r>
          </w:p>
        </w:tc>
        <w:tc>
          <w:tcPr>
            <w:tcW w:type="dxa" w:w="3061"/>
          </w:tcPr>
          <w:p>
            <w:pPr>
              <w:spacing w:after="80" w:before="80"/>
            </w:pPr>
            <w:r>
              <w:rPr>
                <w:sz w:val="18"/>
              </w:rPr>
              <w:t>确认整改状态并保留两轮证据。</w:t>
            </w:r>
          </w:p>
        </w:tc>
      </w:tr>
    </w:tbl>
    <w:p>
      <w:pPr>
        <w:pStyle w:val="Heading1"/>
      </w:pPr>
      <w:r>
        <w:t>建议使用顺序</w:t>
      </w:r>
    </w:p>
    <w:p>
      <w:r>
        <w:t>由负责人确定任务并提供原始成果、接收记录、正式依据及采用模板；操作者登记输入并组织辅助检查；专业人员逐项复核候选问题和符合项；再编制报告、执行一致性检查并查看原生渲染后的每一页。存在未核事项时说明实际已查部分、待补工作及解决途径，不能将其隐藏在已判定条目中。</w:t>
      </w:r>
    </w:p>
    <w:p>
      <w:r>
        <w:t>交付材料可包括分地区分类型的Word报告工作稿、整改复核报告、单独的未核事项汇总及实际检查文件对应清单。具体格式与范围按任务确定，保留原件、旧版和修订关系。文件清单说明实际检查对象，不能仅按文件数推算审核深度。</w:t>
      </w:r>
    </w:p>
    <w:p>
      <w:pPr>
        <w:pStyle w:val="Heading1"/>
      </w:pPr>
      <w:r>
        <w:t>能力边界与说明依据</w:t>
      </w:r>
    </w:p>
    <w:p>
      <w:r>
        <w:t>该Skill不独立作出验收通过、否决、签章或责任认定，不替代现场核验和地方专业知识判断。它不能保证所有误差均被识别，也不能仅凭脚本校验成功证明所有结论正确。输出应标识其复核状态，经人工确认后才可用于正式反馈和工作报告引用。</w:t>
      </w:r>
    </w:p>
    <w:p>
      <w:r>
        <w:t>本说明核对了本地soil-survey-qc/SKILL.md、scripts/qc.py、证据与文档生成相关脚本及本项目配置。脚本包含提取、证据组织、记录检查、报告构建、整改复核和渲染等入口；这些入口不构成“无人参与即可完成质控”的承诺。当前项目运行记录仍为进行中，不能把已有文件数量表述为全范围审核完成。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020" w:right="1191" w:bottom="1020" w:left="119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t xml:space="preserve">2026年9月12日  |  </w:t>
    </w:r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sz w:val="16"/>
      </w:rPr>
      <w:t>河北省第三次全国土壤普查成果编制质量控制工作材料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88" w:lineRule="auto" w:after="120"/>
    </w:pPr>
    <w:rPr>
      <w:rFonts w:ascii="Microsoft YaHei" w:hAnsi="Microsoft YaHei" w:eastAsia="微软雅黑"/>
      <w:color w:val="000000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00" w:after="120"/>
      <w:outlineLvl w:val="0"/>
    </w:pPr>
    <w:rPr>
      <w:rFonts w:asciiTheme="majorHAnsi" w:eastAsiaTheme="majorEastAsia" w:hAnsiTheme="majorHAnsi" w:cstheme="majorBidi" w:ascii="Microsoft YaHei" w:hAnsi="Microsoft YaHei" w:eastAsia="微软雅黑"/>
      <w:b/>
      <w:bCs/>
      <w:color w:val="000000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20"/>
      <w:outlineLvl w:val="1"/>
    </w:pPr>
    <w:rPr>
      <w:rFonts w:asciiTheme="majorHAnsi" w:eastAsiaTheme="majorEastAsia" w:hAnsiTheme="majorHAnsi" w:cstheme="majorBidi" w:ascii="Microsoft YaHei" w:hAnsi="Microsoft YaHei" w:eastAsia="微软雅黑"/>
      <w:b/>
      <w:bCs/>
      <w:color w:val="000000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160" w:line="240" w:lineRule="auto"/>
      <w:contextualSpacing/>
    </w:pPr>
    <w:rPr>
      <w:rFonts w:asciiTheme="majorHAnsi" w:eastAsiaTheme="majorEastAsia" w:hAnsiTheme="majorHAnsi" w:cstheme="majorBidi" w:ascii="Microsoft YaHei" w:hAnsi="Microsoft YaHei" w:eastAsia="微软雅黑"/>
      <w:color w:val="000000"/>
      <w:spacing w:val="5"/>
      <w:kern w:val="28"/>
      <w:sz w:val="4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 w:ascii="Microsoft YaHei" w:hAnsi="Microsoft YaHei" w:eastAsia="微软雅黑"/>
      <w:i w:val="0"/>
      <w:iCs/>
      <w:color w:val="000000"/>
      <w:spacing w:val="15"/>
      <w:sz w:val="20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rFonts w:ascii="Microsoft YaHei" w:hAnsi="Microsoft YaHei" w:eastAsia="微软雅黑"/>
      <w:b/>
      <w:bCs/>
      <w:color w:val="000000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Relationship Id="rId12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